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3C4FE" w14:textId="42268703" w:rsidR="00DB79F0" w:rsidRDefault="00DB79F0" w:rsidP="00DB79F0">
      <w:pPr>
        <w:pStyle w:val="VIRTCoverPageHeading"/>
        <w:ind w:left="-426"/>
        <w:outlineLvl w:val="0"/>
        <w:rPr>
          <w:rFonts w:ascii="Calibri Light" w:hAnsi="Calibri Light" w:cs="Calibri Light"/>
        </w:rPr>
      </w:pPr>
      <w:bookmarkStart w:id="0" w:name="_Toc35006350"/>
      <w:r>
        <w:drawing>
          <wp:anchor distT="0" distB="0" distL="114300" distR="114300" simplePos="0" relativeHeight="251658240" behindDoc="0" locked="0" layoutInCell="1" allowOverlap="1" wp14:anchorId="32042E6A" wp14:editId="054713A9">
            <wp:simplePos x="0" y="0"/>
            <wp:positionH relativeFrom="column">
              <wp:posOffset>-189186</wp:posOffset>
            </wp:positionH>
            <wp:positionV relativeFrom="paragraph">
              <wp:posOffset>-217170</wp:posOffset>
            </wp:positionV>
            <wp:extent cx="1733550" cy="14377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733550" cy="1437770"/>
                    </a:xfrm>
                    <a:prstGeom prst="rect">
                      <a:avLst/>
                    </a:prstGeom>
                  </pic:spPr>
                </pic:pic>
              </a:graphicData>
            </a:graphic>
            <wp14:sizeRelH relativeFrom="margin">
              <wp14:pctWidth>0</wp14:pctWidth>
            </wp14:sizeRelH>
            <wp14:sizeRelV relativeFrom="margin">
              <wp14:pctHeight>0</wp14:pctHeight>
            </wp14:sizeRelV>
          </wp:anchor>
        </w:drawing>
      </w:r>
      <w:r>
        <w:rPr>
          <w:rFonts w:ascii="Calibri Light" w:hAnsi="Calibri Light" w:cs="Calibri Light"/>
        </w:rPr>
        <w:drawing>
          <wp:anchor distT="0" distB="0" distL="114300" distR="114300" simplePos="0" relativeHeight="251656192" behindDoc="1" locked="0" layoutInCell="1" allowOverlap="1" wp14:anchorId="61BEEF55" wp14:editId="7B094402">
            <wp:simplePos x="0" y="0"/>
            <wp:positionH relativeFrom="column">
              <wp:posOffset>-1599477</wp:posOffset>
            </wp:positionH>
            <wp:positionV relativeFrom="paragraph">
              <wp:posOffset>-1328814</wp:posOffset>
            </wp:positionV>
            <wp:extent cx="8081645" cy="2354707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81645" cy="23547070"/>
                    </a:xfrm>
                    <a:prstGeom prst="rect">
                      <a:avLst/>
                    </a:prstGeom>
                    <a:noFill/>
                  </pic:spPr>
                </pic:pic>
              </a:graphicData>
            </a:graphic>
            <wp14:sizeRelH relativeFrom="margin">
              <wp14:pctWidth>0</wp14:pctWidth>
            </wp14:sizeRelH>
            <wp14:sizeRelV relativeFrom="margin">
              <wp14:pctHeight>0</wp14:pctHeight>
            </wp14:sizeRelV>
          </wp:anchor>
        </w:drawing>
      </w:r>
    </w:p>
    <w:p w14:paraId="343897F8" w14:textId="3F1C14E0" w:rsidR="00DB79F0" w:rsidRDefault="00DB79F0" w:rsidP="00DB79F0">
      <w:pPr>
        <w:pStyle w:val="VIRTCoverPageHeading"/>
        <w:ind w:left="-426"/>
        <w:outlineLvl w:val="0"/>
        <w:rPr>
          <w:rFonts w:ascii="Calibri Light" w:hAnsi="Calibri Light" w:cs="Calibri Light"/>
        </w:rPr>
      </w:pPr>
    </w:p>
    <w:p w14:paraId="5675AE00" w14:textId="2E1A4DC7" w:rsidR="00DB79F0" w:rsidRDefault="00DB79F0" w:rsidP="00DB79F0">
      <w:pPr>
        <w:pStyle w:val="VIRTCoverPageHeading"/>
        <w:ind w:left="-426"/>
        <w:outlineLvl w:val="0"/>
        <w:rPr>
          <w:rFonts w:ascii="Calibri Light" w:hAnsi="Calibri Light" w:cs="Calibri Light"/>
        </w:rPr>
      </w:pPr>
    </w:p>
    <w:p w14:paraId="6DB87377" w14:textId="3A751206" w:rsidR="00DB79F0" w:rsidRDefault="00DB79F0" w:rsidP="00DB79F0">
      <w:pPr>
        <w:pStyle w:val="VIRTCoverPageHeading"/>
        <w:ind w:left="-426"/>
        <w:outlineLvl w:val="0"/>
        <w:rPr>
          <w:rFonts w:ascii="Calibri Light" w:hAnsi="Calibri Light" w:cs="Calibri Light"/>
        </w:rPr>
      </w:pPr>
    </w:p>
    <w:p w14:paraId="2463D138" w14:textId="70A4287F" w:rsidR="00DB79F0" w:rsidRDefault="00DB79F0" w:rsidP="00DB79F0">
      <w:pPr>
        <w:pStyle w:val="VIRTCoverPageHeading"/>
        <w:ind w:left="-426"/>
        <w:outlineLvl w:val="0"/>
        <w:rPr>
          <w:rFonts w:ascii="Calibri Light" w:hAnsi="Calibri Light" w:cs="Calibri Light"/>
        </w:rPr>
      </w:pPr>
    </w:p>
    <w:bookmarkEnd w:id="0"/>
    <w:p w14:paraId="000037B9" w14:textId="42633F6B" w:rsidR="00DB79F0" w:rsidRDefault="00DB79F0" w:rsidP="00DB79F0">
      <w:pPr>
        <w:pStyle w:val="VIRTCoverPageHeading"/>
        <w:ind w:left="-426"/>
        <w:outlineLvl w:val="0"/>
        <w:rPr>
          <w:rFonts w:ascii="Calibri Light" w:hAnsi="Calibri Light" w:cs="Calibri Light"/>
        </w:rPr>
      </w:pPr>
      <w:r>
        <w:rPr>
          <w:rFonts w:ascii="Calibri Light" w:hAnsi="Calibri Light" w:cs="Calibri Light"/>
        </w:rPr>
        <w:t>Review of Superannuation Arrangements for Victorian Members of Parliament</w:t>
      </w:r>
    </w:p>
    <w:p w14:paraId="7484BAD8" w14:textId="77777777" w:rsidR="00D21627" w:rsidRDefault="00D21627" w:rsidP="00DB79F0">
      <w:pPr>
        <w:pStyle w:val="VIRTCoverPageHeading"/>
        <w:ind w:left="-426"/>
        <w:outlineLvl w:val="0"/>
        <w:rPr>
          <w:rFonts w:ascii="Calibri Light" w:hAnsi="Calibri Light" w:cs="Calibri Light"/>
        </w:rPr>
      </w:pPr>
    </w:p>
    <w:p w14:paraId="23666C41" w14:textId="2300DB8B" w:rsidR="00DB79F0" w:rsidRDefault="00DB79F0" w:rsidP="00DB79F0">
      <w:pPr>
        <w:pStyle w:val="VIRTCoverPageHeading"/>
        <w:ind w:left="-426"/>
        <w:outlineLvl w:val="0"/>
        <w:rPr>
          <w:rFonts w:ascii="Calibri Light" w:hAnsi="Calibri Light" w:cs="Calibri Light"/>
        </w:rPr>
      </w:pPr>
      <w:r>
        <w:rPr>
          <w:rFonts w:ascii="Calibri Light" w:hAnsi="Calibri Light" w:cs="Calibri Light"/>
        </w:rPr>
        <w:t>Issues Paper</w:t>
      </w:r>
    </w:p>
    <w:p w14:paraId="72F32CB3" w14:textId="7606BA9F" w:rsidR="00D21627" w:rsidRDefault="00D21627" w:rsidP="00DB79F0">
      <w:pPr>
        <w:pStyle w:val="VIRTCoverPageHeading"/>
        <w:ind w:left="-426"/>
        <w:outlineLvl w:val="0"/>
        <w:rPr>
          <w:rFonts w:ascii="Calibri Light" w:hAnsi="Calibri Light" w:cs="Calibri Light"/>
        </w:rPr>
      </w:pPr>
    </w:p>
    <w:p w14:paraId="7B325FAB" w14:textId="2C499037" w:rsidR="00D21627" w:rsidRPr="00D05301" w:rsidRDefault="00D21627" w:rsidP="00DB79F0">
      <w:pPr>
        <w:pStyle w:val="VIRTCoverPageHeading"/>
        <w:ind w:left="-426"/>
        <w:outlineLvl w:val="0"/>
        <w:rPr>
          <w:rFonts w:ascii="Calibri Light" w:hAnsi="Calibri Light" w:cs="Calibri Light"/>
        </w:rPr>
      </w:pPr>
      <w:r>
        <w:rPr>
          <w:rFonts w:ascii="Calibri Light" w:hAnsi="Calibri Light" w:cs="Calibri Light"/>
        </w:rPr>
        <w:t>May 2020</w:t>
      </w:r>
    </w:p>
    <w:p w14:paraId="2E3D2338" w14:textId="016FFE43" w:rsidR="00DB79F0" w:rsidRDefault="00DB79F0" w:rsidP="002026CF">
      <w:pPr>
        <w:pStyle w:val="VIRTHeading2"/>
        <w:numPr>
          <w:ilvl w:val="0"/>
          <w:numId w:val="0"/>
        </w:numPr>
      </w:pPr>
      <w:r>
        <w:br w:type="page"/>
      </w:r>
    </w:p>
    <w:p w14:paraId="34492792" w14:textId="4CB98884" w:rsidR="00B62D18" w:rsidRDefault="00B62D18" w:rsidP="002026CF">
      <w:pPr>
        <w:pStyle w:val="VIRTHeading2"/>
        <w:numPr>
          <w:ilvl w:val="0"/>
          <w:numId w:val="0"/>
        </w:numPr>
      </w:pPr>
      <w:bookmarkStart w:id="1" w:name="_Toc40451927"/>
      <w:bookmarkStart w:id="2" w:name="_Toc40777634"/>
      <w:bookmarkStart w:id="3" w:name="_GoBack"/>
      <w:bookmarkEnd w:id="3"/>
      <w:r>
        <w:lastRenderedPageBreak/>
        <w:t>Contents</w:t>
      </w:r>
      <w:bookmarkEnd w:id="1"/>
      <w:bookmarkEnd w:id="2"/>
      <w:r w:rsidR="004F1B39">
        <w:tab/>
      </w:r>
    </w:p>
    <w:sdt>
      <w:sdtPr>
        <w:rPr>
          <w:rFonts w:ascii="Arial" w:eastAsia="Rockwell" w:hAnsi="Arial" w:cs="Times New Roman"/>
          <w:b w:val="0"/>
          <w:bCs w:val="0"/>
          <w:noProof w:val="0"/>
          <w:color w:val="7F7F7F"/>
          <w:sz w:val="20"/>
        </w:rPr>
        <w:id w:val="1578161639"/>
        <w:docPartObj>
          <w:docPartGallery w:val="Table of Contents"/>
          <w:docPartUnique/>
        </w:docPartObj>
      </w:sdtPr>
      <w:sdtEndPr>
        <w:rPr>
          <w:rFonts w:ascii="Calibri Light" w:eastAsiaTheme="minorHAnsi" w:hAnsi="Calibri Light" w:cstheme="minorBidi"/>
          <w:b/>
          <w:bCs/>
          <w:noProof/>
          <w:color w:val="4D4D4D" w:themeColor="accent6"/>
          <w:sz w:val="26"/>
        </w:rPr>
      </w:sdtEndPr>
      <w:sdtContent>
        <w:p w14:paraId="77EAE1FD" w14:textId="24F233B4" w:rsidR="0001391C" w:rsidRDefault="0001391C">
          <w:pPr>
            <w:pStyle w:val="TOC1"/>
            <w:rPr>
              <w:rFonts w:asciiTheme="minorHAnsi" w:eastAsiaTheme="minorEastAsia" w:hAnsiTheme="minorHAnsi"/>
              <w:b w:val="0"/>
              <w:bCs w:val="0"/>
              <w:color w:val="auto"/>
              <w:sz w:val="22"/>
              <w:lang w:eastAsia="en-AU"/>
            </w:rPr>
          </w:pPr>
          <w:r>
            <w:rPr>
              <w:rFonts w:asciiTheme="minorHAnsi" w:hAnsiTheme="minorHAnsi"/>
              <w:color w:val="4D4D4D"/>
              <w:sz w:val="22"/>
              <w:lang w:val="en-US"/>
            </w:rPr>
            <w:fldChar w:fldCharType="begin"/>
          </w:r>
          <w:r>
            <w:rPr>
              <w:rFonts w:asciiTheme="minorHAnsi" w:hAnsiTheme="minorHAnsi"/>
              <w:color w:val="4D4D4D"/>
              <w:sz w:val="22"/>
              <w:lang w:val="en-US"/>
            </w:rPr>
            <w:instrText xml:space="preserve"> TOC \h \z \t "VIRT Heading 2,1,VIRT Heading 3,2" </w:instrText>
          </w:r>
          <w:r>
            <w:rPr>
              <w:rFonts w:asciiTheme="minorHAnsi" w:hAnsiTheme="minorHAnsi"/>
              <w:color w:val="4D4D4D"/>
              <w:sz w:val="22"/>
              <w:lang w:val="en-US"/>
            </w:rPr>
            <w:fldChar w:fldCharType="separate"/>
          </w:r>
          <w:hyperlink w:anchor="_Toc40777634" w:history="1">
            <w:r w:rsidRPr="003740BD">
              <w:rPr>
                <w:rStyle w:val="Hyperlink"/>
              </w:rPr>
              <w:t>Contents</w:t>
            </w:r>
            <w:r>
              <w:rPr>
                <w:webHidden/>
              </w:rPr>
              <w:tab/>
            </w:r>
            <w:r>
              <w:rPr>
                <w:webHidden/>
              </w:rPr>
              <w:fldChar w:fldCharType="begin"/>
            </w:r>
            <w:r>
              <w:rPr>
                <w:webHidden/>
              </w:rPr>
              <w:instrText xml:space="preserve"> PAGEREF _Toc40777634 \h </w:instrText>
            </w:r>
            <w:r>
              <w:rPr>
                <w:webHidden/>
              </w:rPr>
            </w:r>
            <w:r>
              <w:rPr>
                <w:webHidden/>
              </w:rPr>
              <w:fldChar w:fldCharType="separate"/>
            </w:r>
            <w:r>
              <w:rPr>
                <w:webHidden/>
              </w:rPr>
              <w:t>2</w:t>
            </w:r>
            <w:r>
              <w:rPr>
                <w:webHidden/>
              </w:rPr>
              <w:fldChar w:fldCharType="end"/>
            </w:r>
          </w:hyperlink>
        </w:p>
        <w:p w14:paraId="08ECA89D" w14:textId="4DD71B3A" w:rsidR="0001391C" w:rsidRDefault="0096420A">
          <w:pPr>
            <w:pStyle w:val="TOC1"/>
            <w:rPr>
              <w:rFonts w:asciiTheme="minorHAnsi" w:eastAsiaTheme="minorEastAsia" w:hAnsiTheme="minorHAnsi"/>
              <w:b w:val="0"/>
              <w:bCs w:val="0"/>
              <w:color w:val="auto"/>
              <w:sz w:val="22"/>
              <w:lang w:eastAsia="en-AU"/>
            </w:rPr>
          </w:pPr>
          <w:hyperlink w:anchor="_Toc40777635" w:history="1">
            <w:r w:rsidR="0001391C" w:rsidRPr="003740BD">
              <w:rPr>
                <w:rStyle w:val="Hyperlink"/>
              </w:rPr>
              <w:t>Glossary</w:t>
            </w:r>
            <w:r w:rsidR="0001391C">
              <w:rPr>
                <w:webHidden/>
              </w:rPr>
              <w:tab/>
            </w:r>
            <w:r w:rsidR="0001391C">
              <w:rPr>
                <w:webHidden/>
              </w:rPr>
              <w:fldChar w:fldCharType="begin"/>
            </w:r>
            <w:r w:rsidR="0001391C">
              <w:rPr>
                <w:webHidden/>
              </w:rPr>
              <w:instrText xml:space="preserve"> PAGEREF _Toc40777635 \h </w:instrText>
            </w:r>
            <w:r w:rsidR="0001391C">
              <w:rPr>
                <w:webHidden/>
              </w:rPr>
            </w:r>
            <w:r w:rsidR="0001391C">
              <w:rPr>
                <w:webHidden/>
              </w:rPr>
              <w:fldChar w:fldCharType="separate"/>
            </w:r>
            <w:r w:rsidR="0001391C">
              <w:rPr>
                <w:webHidden/>
              </w:rPr>
              <w:t>4</w:t>
            </w:r>
            <w:r w:rsidR="0001391C">
              <w:rPr>
                <w:webHidden/>
              </w:rPr>
              <w:fldChar w:fldCharType="end"/>
            </w:r>
          </w:hyperlink>
        </w:p>
        <w:p w14:paraId="7A0D52B1" w14:textId="629C2E01" w:rsidR="0001391C" w:rsidRDefault="0096420A">
          <w:pPr>
            <w:pStyle w:val="TOC1"/>
            <w:rPr>
              <w:rFonts w:asciiTheme="minorHAnsi" w:eastAsiaTheme="minorEastAsia" w:hAnsiTheme="minorHAnsi"/>
              <w:b w:val="0"/>
              <w:bCs w:val="0"/>
              <w:color w:val="auto"/>
              <w:sz w:val="22"/>
              <w:lang w:eastAsia="en-AU"/>
            </w:rPr>
          </w:pPr>
          <w:hyperlink w:anchor="_Toc40777636" w:history="1">
            <w:r w:rsidR="0001391C" w:rsidRPr="003740BD">
              <w:rPr>
                <w:rStyle w:val="Hyperlink"/>
              </w:rPr>
              <w:t>1</w:t>
            </w:r>
            <w:r w:rsidR="0001391C">
              <w:rPr>
                <w:rFonts w:asciiTheme="minorHAnsi" w:eastAsiaTheme="minorEastAsia" w:hAnsiTheme="minorHAnsi"/>
                <w:b w:val="0"/>
                <w:bCs w:val="0"/>
                <w:color w:val="auto"/>
                <w:sz w:val="22"/>
                <w:lang w:eastAsia="en-AU"/>
              </w:rPr>
              <w:tab/>
            </w:r>
            <w:r w:rsidR="0001391C" w:rsidRPr="003740BD">
              <w:rPr>
                <w:rStyle w:val="Hyperlink"/>
              </w:rPr>
              <w:t>Introduction</w:t>
            </w:r>
            <w:r w:rsidR="0001391C">
              <w:rPr>
                <w:webHidden/>
              </w:rPr>
              <w:tab/>
            </w:r>
            <w:r w:rsidR="0001391C">
              <w:rPr>
                <w:webHidden/>
              </w:rPr>
              <w:fldChar w:fldCharType="begin"/>
            </w:r>
            <w:r w:rsidR="0001391C">
              <w:rPr>
                <w:webHidden/>
              </w:rPr>
              <w:instrText xml:space="preserve"> PAGEREF _Toc40777636 \h </w:instrText>
            </w:r>
            <w:r w:rsidR="0001391C">
              <w:rPr>
                <w:webHidden/>
              </w:rPr>
            </w:r>
            <w:r w:rsidR="0001391C">
              <w:rPr>
                <w:webHidden/>
              </w:rPr>
              <w:fldChar w:fldCharType="separate"/>
            </w:r>
            <w:r w:rsidR="0001391C">
              <w:rPr>
                <w:webHidden/>
              </w:rPr>
              <w:t>5</w:t>
            </w:r>
            <w:r w:rsidR="0001391C">
              <w:rPr>
                <w:webHidden/>
              </w:rPr>
              <w:fldChar w:fldCharType="end"/>
            </w:r>
          </w:hyperlink>
        </w:p>
        <w:p w14:paraId="6C2A5153" w14:textId="50AC55A0" w:rsidR="0001391C" w:rsidRDefault="0096420A">
          <w:pPr>
            <w:pStyle w:val="TOC2"/>
            <w:rPr>
              <w:rFonts w:asciiTheme="minorHAnsi" w:eastAsiaTheme="minorEastAsia" w:hAnsiTheme="minorHAnsi"/>
              <w:noProof/>
              <w:color w:val="auto"/>
              <w:sz w:val="22"/>
              <w:lang w:eastAsia="en-AU"/>
            </w:rPr>
          </w:pPr>
          <w:hyperlink w:anchor="_Toc40777637" w:history="1">
            <w:r w:rsidR="0001391C" w:rsidRPr="003740BD">
              <w:rPr>
                <w:rStyle w:val="Hyperlink"/>
                <w:noProof/>
              </w:rPr>
              <w:t>Schemes under review</w:t>
            </w:r>
            <w:r w:rsidR="0001391C">
              <w:rPr>
                <w:noProof/>
                <w:webHidden/>
              </w:rPr>
              <w:tab/>
            </w:r>
            <w:r w:rsidR="0001391C">
              <w:rPr>
                <w:noProof/>
                <w:webHidden/>
              </w:rPr>
              <w:fldChar w:fldCharType="begin"/>
            </w:r>
            <w:r w:rsidR="0001391C">
              <w:rPr>
                <w:noProof/>
                <w:webHidden/>
              </w:rPr>
              <w:instrText xml:space="preserve"> PAGEREF _Toc40777637 \h </w:instrText>
            </w:r>
            <w:r w:rsidR="0001391C">
              <w:rPr>
                <w:noProof/>
                <w:webHidden/>
              </w:rPr>
            </w:r>
            <w:r w:rsidR="0001391C">
              <w:rPr>
                <w:noProof/>
                <w:webHidden/>
              </w:rPr>
              <w:fldChar w:fldCharType="separate"/>
            </w:r>
            <w:r w:rsidR="0001391C">
              <w:rPr>
                <w:noProof/>
                <w:webHidden/>
              </w:rPr>
              <w:t>6</w:t>
            </w:r>
            <w:r w:rsidR="0001391C">
              <w:rPr>
                <w:noProof/>
                <w:webHidden/>
              </w:rPr>
              <w:fldChar w:fldCharType="end"/>
            </w:r>
          </w:hyperlink>
        </w:p>
        <w:p w14:paraId="2E7ED544" w14:textId="5FAAB2C0" w:rsidR="0001391C" w:rsidRDefault="0096420A">
          <w:pPr>
            <w:pStyle w:val="TOC2"/>
            <w:rPr>
              <w:rFonts w:asciiTheme="minorHAnsi" w:eastAsiaTheme="minorEastAsia" w:hAnsiTheme="minorHAnsi"/>
              <w:noProof/>
              <w:color w:val="auto"/>
              <w:sz w:val="22"/>
              <w:lang w:eastAsia="en-AU"/>
            </w:rPr>
          </w:pPr>
          <w:hyperlink w:anchor="_Toc40777638" w:history="1">
            <w:r w:rsidR="0001391C" w:rsidRPr="003740BD">
              <w:rPr>
                <w:rStyle w:val="Hyperlink"/>
                <w:noProof/>
              </w:rPr>
              <w:t>Particular questions for consideration</w:t>
            </w:r>
            <w:r w:rsidR="0001391C">
              <w:rPr>
                <w:noProof/>
                <w:webHidden/>
              </w:rPr>
              <w:tab/>
            </w:r>
            <w:r w:rsidR="0001391C">
              <w:rPr>
                <w:noProof/>
                <w:webHidden/>
              </w:rPr>
              <w:fldChar w:fldCharType="begin"/>
            </w:r>
            <w:r w:rsidR="0001391C">
              <w:rPr>
                <w:noProof/>
                <w:webHidden/>
              </w:rPr>
              <w:instrText xml:space="preserve"> PAGEREF _Toc40777638 \h </w:instrText>
            </w:r>
            <w:r w:rsidR="0001391C">
              <w:rPr>
                <w:noProof/>
                <w:webHidden/>
              </w:rPr>
            </w:r>
            <w:r w:rsidR="0001391C">
              <w:rPr>
                <w:noProof/>
                <w:webHidden/>
              </w:rPr>
              <w:fldChar w:fldCharType="separate"/>
            </w:r>
            <w:r w:rsidR="0001391C">
              <w:rPr>
                <w:noProof/>
                <w:webHidden/>
              </w:rPr>
              <w:t>7</w:t>
            </w:r>
            <w:r w:rsidR="0001391C">
              <w:rPr>
                <w:noProof/>
                <w:webHidden/>
              </w:rPr>
              <w:fldChar w:fldCharType="end"/>
            </w:r>
          </w:hyperlink>
        </w:p>
        <w:p w14:paraId="52C84BC6" w14:textId="0479342F" w:rsidR="0001391C" w:rsidRDefault="0096420A">
          <w:pPr>
            <w:pStyle w:val="TOC1"/>
            <w:rPr>
              <w:rFonts w:asciiTheme="minorHAnsi" w:eastAsiaTheme="minorEastAsia" w:hAnsiTheme="minorHAnsi"/>
              <w:b w:val="0"/>
              <w:bCs w:val="0"/>
              <w:color w:val="auto"/>
              <w:sz w:val="22"/>
              <w:lang w:eastAsia="en-AU"/>
            </w:rPr>
          </w:pPr>
          <w:hyperlink w:anchor="_Toc40777639" w:history="1">
            <w:r w:rsidR="0001391C" w:rsidRPr="003740BD">
              <w:rPr>
                <w:rStyle w:val="Hyperlink"/>
              </w:rPr>
              <w:t>2</w:t>
            </w:r>
            <w:r w:rsidR="0001391C">
              <w:rPr>
                <w:rFonts w:asciiTheme="minorHAnsi" w:eastAsiaTheme="minorEastAsia" w:hAnsiTheme="minorHAnsi"/>
                <w:b w:val="0"/>
                <w:bCs w:val="0"/>
                <w:color w:val="auto"/>
                <w:sz w:val="22"/>
                <w:lang w:eastAsia="en-AU"/>
              </w:rPr>
              <w:tab/>
            </w:r>
            <w:r w:rsidR="0001391C" w:rsidRPr="003740BD">
              <w:rPr>
                <w:rStyle w:val="Hyperlink"/>
              </w:rPr>
              <w:t>The Tribunal’s proposed analytical framework</w:t>
            </w:r>
            <w:r w:rsidR="0001391C">
              <w:rPr>
                <w:webHidden/>
              </w:rPr>
              <w:tab/>
            </w:r>
            <w:r w:rsidR="0001391C">
              <w:rPr>
                <w:webHidden/>
              </w:rPr>
              <w:fldChar w:fldCharType="begin"/>
            </w:r>
            <w:r w:rsidR="0001391C">
              <w:rPr>
                <w:webHidden/>
              </w:rPr>
              <w:instrText xml:space="preserve"> PAGEREF _Toc40777639 \h </w:instrText>
            </w:r>
            <w:r w:rsidR="0001391C">
              <w:rPr>
                <w:webHidden/>
              </w:rPr>
            </w:r>
            <w:r w:rsidR="0001391C">
              <w:rPr>
                <w:webHidden/>
              </w:rPr>
              <w:fldChar w:fldCharType="separate"/>
            </w:r>
            <w:r w:rsidR="0001391C">
              <w:rPr>
                <w:webHidden/>
              </w:rPr>
              <w:t>8</w:t>
            </w:r>
            <w:r w:rsidR="0001391C">
              <w:rPr>
                <w:webHidden/>
              </w:rPr>
              <w:fldChar w:fldCharType="end"/>
            </w:r>
          </w:hyperlink>
        </w:p>
        <w:p w14:paraId="690FBC00" w14:textId="75BF8939" w:rsidR="0001391C" w:rsidRDefault="0096420A">
          <w:pPr>
            <w:pStyle w:val="TOC2"/>
            <w:rPr>
              <w:rFonts w:asciiTheme="minorHAnsi" w:eastAsiaTheme="minorEastAsia" w:hAnsiTheme="minorHAnsi"/>
              <w:noProof/>
              <w:color w:val="auto"/>
              <w:sz w:val="22"/>
              <w:lang w:eastAsia="en-AU"/>
            </w:rPr>
          </w:pPr>
          <w:hyperlink w:anchor="_Toc40777640" w:history="1">
            <w:r w:rsidR="0001391C" w:rsidRPr="003740BD">
              <w:rPr>
                <w:rStyle w:val="Hyperlink"/>
                <w:noProof/>
              </w:rPr>
              <w:t>Implications of grandfathering arrangements</w:t>
            </w:r>
            <w:r w:rsidR="0001391C">
              <w:rPr>
                <w:noProof/>
                <w:webHidden/>
              </w:rPr>
              <w:tab/>
            </w:r>
            <w:r w:rsidR="0001391C">
              <w:rPr>
                <w:noProof/>
                <w:webHidden/>
              </w:rPr>
              <w:fldChar w:fldCharType="begin"/>
            </w:r>
            <w:r w:rsidR="0001391C">
              <w:rPr>
                <w:noProof/>
                <w:webHidden/>
              </w:rPr>
              <w:instrText xml:space="preserve"> PAGEREF _Toc40777640 \h </w:instrText>
            </w:r>
            <w:r w:rsidR="0001391C">
              <w:rPr>
                <w:noProof/>
                <w:webHidden/>
              </w:rPr>
            </w:r>
            <w:r w:rsidR="0001391C">
              <w:rPr>
                <w:noProof/>
                <w:webHidden/>
              </w:rPr>
              <w:fldChar w:fldCharType="separate"/>
            </w:r>
            <w:r w:rsidR="0001391C">
              <w:rPr>
                <w:noProof/>
                <w:webHidden/>
              </w:rPr>
              <w:t>10</w:t>
            </w:r>
            <w:r w:rsidR="0001391C">
              <w:rPr>
                <w:noProof/>
                <w:webHidden/>
              </w:rPr>
              <w:fldChar w:fldCharType="end"/>
            </w:r>
          </w:hyperlink>
        </w:p>
        <w:p w14:paraId="1BAC3A5F" w14:textId="3436774B" w:rsidR="0001391C" w:rsidRDefault="0096420A">
          <w:pPr>
            <w:pStyle w:val="TOC1"/>
            <w:rPr>
              <w:rFonts w:asciiTheme="minorHAnsi" w:eastAsiaTheme="minorEastAsia" w:hAnsiTheme="minorHAnsi"/>
              <w:b w:val="0"/>
              <w:bCs w:val="0"/>
              <w:color w:val="auto"/>
              <w:sz w:val="22"/>
              <w:lang w:eastAsia="en-AU"/>
            </w:rPr>
          </w:pPr>
          <w:hyperlink w:anchor="_Toc40777641" w:history="1">
            <w:r w:rsidR="0001391C" w:rsidRPr="003740BD">
              <w:rPr>
                <w:rStyle w:val="Hyperlink"/>
              </w:rPr>
              <w:t>3</w:t>
            </w:r>
            <w:r w:rsidR="0001391C">
              <w:rPr>
                <w:rFonts w:asciiTheme="minorHAnsi" w:eastAsiaTheme="minorEastAsia" w:hAnsiTheme="minorHAnsi"/>
                <w:b w:val="0"/>
                <w:bCs w:val="0"/>
                <w:color w:val="auto"/>
                <w:sz w:val="22"/>
                <w:lang w:eastAsia="en-AU"/>
              </w:rPr>
              <w:tab/>
            </w:r>
            <w:r w:rsidR="0001391C" w:rsidRPr="003740BD">
              <w:rPr>
                <w:rStyle w:val="Hyperlink"/>
              </w:rPr>
              <w:t>Key historical events</w:t>
            </w:r>
            <w:r w:rsidR="0001391C">
              <w:rPr>
                <w:webHidden/>
              </w:rPr>
              <w:tab/>
            </w:r>
            <w:r w:rsidR="0001391C">
              <w:rPr>
                <w:webHidden/>
              </w:rPr>
              <w:fldChar w:fldCharType="begin"/>
            </w:r>
            <w:r w:rsidR="0001391C">
              <w:rPr>
                <w:webHidden/>
              </w:rPr>
              <w:instrText xml:space="preserve"> PAGEREF _Toc40777641 \h </w:instrText>
            </w:r>
            <w:r w:rsidR="0001391C">
              <w:rPr>
                <w:webHidden/>
              </w:rPr>
            </w:r>
            <w:r w:rsidR="0001391C">
              <w:rPr>
                <w:webHidden/>
              </w:rPr>
              <w:fldChar w:fldCharType="separate"/>
            </w:r>
            <w:r w:rsidR="0001391C">
              <w:rPr>
                <w:webHidden/>
              </w:rPr>
              <w:t>11</w:t>
            </w:r>
            <w:r w:rsidR="0001391C">
              <w:rPr>
                <w:webHidden/>
              </w:rPr>
              <w:fldChar w:fldCharType="end"/>
            </w:r>
          </w:hyperlink>
        </w:p>
        <w:p w14:paraId="39481758" w14:textId="0C3765FD" w:rsidR="0001391C" w:rsidRDefault="0096420A">
          <w:pPr>
            <w:pStyle w:val="TOC2"/>
            <w:rPr>
              <w:rFonts w:asciiTheme="minorHAnsi" w:eastAsiaTheme="minorEastAsia" w:hAnsiTheme="minorHAnsi"/>
              <w:noProof/>
              <w:color w:val="auto"/>
              <w:sz w:val="22"/>
              <w:lang w:eastAsia="en-AU"/>
            </w:rPr>
          </w:pPr>
          <w:hyperlink w:anchor="_Toc40777642" w:history="1">
            <w:r w:rsidR="0001391C" w:rsidRPr="003740BD">
              <w:rPr>
                <w:rStyle w:val="Hyperlink"/>
                <w:noProof/>
              </w:rPr>
              <w:t>Reforms following Hazell Review</w:t>
            </w:r>
            <w:r w:rsidR="0001391C">
              <w:rPr>
                <w:noProof/>
                <w:webHidden/>
              </w:rPr>
              <w:tab/>
            </w:r>
            <w:r w:rsidR="0001391C">
              <w:rPr>
                <w:noProof/>
                <w:webHidden/>
              </w:rPr>
              <w:fldChar w:fldCharType="begin"/>
            </w:r>
            <w:r w:rsidR="0001391C">
              <w:rPr>
                <w:noProof/>
                <w:webHidden/>
              </w:rPr>
              <w:instrText xml:space="preserve"> PAGEREF _Toc40777642 \h </w:instrText>
            </w:r>
            <w:r w:rsidR="0001391C">
              <w:rPr>
                <w:noProof/>
                <w:webHidden/>
              </w:rPr>
            </w:r>
            <w:r w:rsidR="0001391C">
              <w:rPr>
                <w:noProof/>
                <w:webHidden/>
              </w:rPr>
              <w:fldChar w:fldCharType="separate"/>
            </w:r>
            <w:r w:rsidR="0001391C">
              <w:rPr>
                <w:noProof/>
                <w:webHidden/>
              </w:rPr>
              <w:t>13</w:t>
            </w:r>
            <w:r w:rsidR="0001391C">
              <w:rPr>
                <w:noProof/>
                <w:webHidden/>
              </w:rPr>
              <w:fldChar w:fldCharType="end"/>
            </w:r>
          </w:hyperlink>
        </w:p>
        <w:p w14:paraId="1DB453BA" w14:textId="607DEEAA" w:rsidR="0001391C" w:rsidRDefault="0096420A">
          <w:pPr>
            <w:pStyle w:val="TOC1"/>
            <w:rPr>
              <w:rFonts w:asciiTheme="minorHAnsi" w:eastAsiaTheme="minorEastAsia" w:hAnsiTheme="minorHAnsi"/>
              <w:b w:val="0"/>
              <w:bCs w:val="0"/>
              <w:color w:val="auto"/>
              <w:sz w:val="22"/>
              <w:lang w:eastAsia="en-AU"/>
            </w:rPr>
          </w:pPr>
          <w:hyperlink w:anchor="_Toc40777643" w:history="1">
            <w:r w:rsidR="0001391C" w:rsidRPr="003740BD">
              <w:rPr>
                <w:rStyle w:val="Hyperlink"/>
              </w:rPr>
              <w:t>4</w:t>
            </w:r>
            <w:r w:rsidR="0001391C">
              <w:rPr>
                <w:rFonts w:asciiTheme="minorHAnsi" w:eastAsiaTheme="minorEastAsia" w:hAnsiTheme="minorHAnsi"/>
                <w:b w:val="0"/>
                <w:bCs w:val="0"/>
                <w:color w:val="auto"/>
                <w:sz w:val="22"/>
                <w:lang w:eastAsia="en-AU"/>
              </w:rPr>
              <w:tab/>
            </w:r>
            <w:r w:rsidR="0001391C" w:rsidRPr="003740BD">
              <w:rPr>
                <w:rStyle w:val="Hyperlink"/>
              </w:rPr>
              <w:t>Current superannuation arrangements for Victorian MPs</w:t>
            </w:r>
            <w:r w:rsidR="0001391C">
              <w:rPr>
                <w:webHidden/>
              </w:rPr>
              <w:tab/>
            </w:r>
            <w:r w:rsidR="0001391C">
              <w:rPr>
                <w:webHidden/>
              </w:rPr>
              <w:fldChar w:fldCharType="begin"/>
            </w:r>
            <w:r w:rsidR="0001391C">
              <w:rPr>
                <w:webHidden/>
              </w:rPr>
              <w:instrText xml:space="preserve"> PAGEREF _Toc40777643 \h </w:instrText>
            </w:r>
            <w:r w:rsidR="0001391C">
              <w:rPr>
                <w:webHidden/>
              </w:rPr>
            </w:r>
            <w:r w:rsidR="0001391C">
              <w:rPr>
                <w:webHidden/>
              </w:rPr>
              <w:fldChar w:fldCharType="separate"/>
            </w:r>
            <w:r w:rsidR="0001391C">
              <w:rPr>
                <w:webHidden/>
              </w:rPr>
              <w:t>14</w:t>
            </w:r>
            <w:r w:rsidR="0001391C">
              <w:rPr>
                <w:webHidden/>
              </w:rPr>
              <w:fldChar w:fldCharType="end"/>
            </w:r>
          </w:hyperlink>
        </w:p>
        <w:p w14:paraId="29FCC85C" w14:textId="04758C51" w:rsidR="0001391C" w:rsidRDefault="0096420A">
          <w:pPr>
            <w:pStyle w:val="TOC2"/>
            <w:rPr>
              <w:rFonts w:asciiTheme="minorHAnsi" w:eastAsiaTheme="minorEastAsia" w:hAnsiTheme="minorHAnsi"/>
              <w:noProof/>
              <w:color w:val="auto"/>
              <w:sz w:val="22"/>
              <w:lang w:eastAsia="en-AU"/>
            </w:rPr>
          </w:pPr>
          <w:hyperlink w:anchor="_Toc40777644" w:history="1">
            <w:r w:rsidR="0001391C" w:rsidRPr="003740BD">
              <w:rPr>
                <w:rStyle w:val="Hyperlink"/>
                <w:noProof/>
              </w:rPr>
              <w:t>Defined benefit schemes</w:t>
            </w:r>
            <w:r w:rsidR="0001391C">
              <w:rPr>
                <w:noProof/>
                <w:webHidden/>
              </w:rPr>
              <w:tab/>
            </w:r>
            <w:r w:rsidR="0001391C">
              <w:rPr>
                <w:noProof/>
                <w:webHidden/>
              </w:rPr>
              <w:fldChar w:fldCharType="begin"/>
            </w:r>
            <w:r w:rsidR="0001391C">
              <w:rPr>
                <w:noProof/>
                <w:webHidden/>
              </w:rPr>
              <w:instrText xml:space="preserve"> PAGEREF _Toc40777644 \h </w:instrText>
            </w:r>
            <w:r w:rsidR="0001391C">
              <w:rPr>
                <w:noProof/>
                <w:webHidden/>
              </w:rPr>
            </w:r>
            <w:r w:rsidR="0001391C">
              <w:rPr>
                <w:noProof/>
                <w:webHidden/>
              </w:rPr>
              <w:fldChar w:fldCharType="separate"/>
            </w:r>
            <w:r w:rsidR="0001391C">
              <w:rPr>
                <w:noProof/>
                <w:webHidden/>
              </w:rPr>
              <w:t>14</w:t>
            </w:r>
            <w:r w:rsidR="0001391C">
              <w:rPr>
                <w:noProof/>
                <w:webHidden/>
              </w:rPr>
              <w:fldChar w:fldCharType="end"/>
            </w:r>
          </w:hyperlink>
        </w:p>
        <w:p w14:paraId="619F3754" w14:textId="7E6B2DE1" w:rsidR="0001391C" w:rsidRDefault="0096420A">
          <w:pPr>
            <w:pStyle w:val="TOC2"/>
            <w:rPr>
              <w:rFonts w:asciiTheme="minorHAnsi" w:eastAsiaTheme="minorEastAsia" w:hAnsiTheme="minorHAnsi"/>
              <w:noProof/>
              <w:color w:val="auto"/>
              <w:sz w:val="22"/>
              <w:lang w:eastAsia="en-AU"/>
            </w:rPr>
          </w:pPr>
          <w:hyperlink w:anchor="_Toc40777645" w:history="1">
            <w:r w:rsidR="0001391C" w:rsidRPr="003740BD">
              <w:rPr>
                <w:rStyle w:val="Hyperlink"/>
                <w:noProof/>
              </w:rPr>
              <w:t>Accumulation scheme</w:t>
            </w:r>
            <w:r w:rsidR="0001391C">
              <w:rPr>
                <w:noProof/>
                <w:webHidden/>
              </w:rPr>
              <w:tab/>
            </w:r>
            <w:r w:rsidR="0001391C">
              <w:rPr>
                <w:noProof/>
                <w:webHidden/>
              </w:rPr>
              <w:fldChar w:fldCharType="begin"/>
            </w:r>
            <w:r w:rsidR="0001391C">
              <w:rPr>
                <w:noProof/>
                <w:webHidden/>
              </w:rPr>
              <w:instrText xml:space="preserve"> PAGEREF _Toc40777645 \h </w:instrText>
            </w:r>
            <w:r w:rsidR="0001391C">
              <w:rPr>
                <w:noProof/>
                <w:webHidden/>
              </w:rPr>
            </w:r>
            <w:r w:rsidR="0001391C">
              <w:rPr>
                <w:noProof/>
                <w:webHidden/>
              </w:rPr>
              <w:fldChar w:fldCharType="separate"/>
            </w:r>
            <w:r w:rsidR="0001391C">
              <w:rPr>
                <w:noProof/>
                <w:webHidden/>
              </w:rPr>
              <w:t>15</w:t>
            </w:r>
            <w:r w:rsidR="0001391C">
              <w:rPr>
                <w:noProof/>
                <w:webHidden/>
              </w:rPr>
              <w:fldChar w:fldCharType="end"/>
            </w:r>
          </w:hyperlink>
        </w:p>
        <w:p w14:paraId="341A7D6A" w14:textId="25A62D4B" w:rsidR="0001391C" w:rsidRDefault="0096420A">
          <w:pPr>
            <w:pStyle w:val="TOC1"/>
            <w:rPr>
              <w:rFonts w:asciiTheme="minorHAnsi" w:eastAsiaTheme="minorEastAsia" w:hAnsiTheme="minorHAnsi"/>
              <w:b w:val="0"/>
              <w:bCs w:val="0"/>
              <w:color w:val="auto"/>
              <w:sz w:val="22"/>
              <w:lang w:eastAsia="en-AU"/>
            </w:rPr>
          </w:pPr>
          <w:hyperlink w:anchor="_Toc40777646" w:history="1">
            <w:r w:rsidR="0001391C" w:rsidRPr="003740BD">
              <w:rPr>
                <w:rStyle w:val="Hyperlink"/>
              </w:rPr>
              <w:t>5</w:t>
            </w:r>
            <w:r w:rsidR="0001391C">
              <w:rPr>
                <w:rFonts w:asciiTheme="minorHAnsi" w:eastAsiaTheme="minorEastAsia" w:hAnsiTheme="minorHAnsi"/>
                <w:b w:val="0"/>
                <w:bCs w:val="0"/>
                <w:color w:val="auto"/>
                <w:sz w:val="22"/>
                <w:lang w:eastAsia="en-AU"/>
              </w:rPr>
              <w:tab/>
            </w:r>
            <w:r w:rsidR="0001391C" w:rsidRPr="003740BD">
              <w:rPr>
                <w:rStyle w:val="Hyperlink"/>
              </w:rPr>
              <w:t>Comparing the schemes</w:t>
            </w:r>
            <w:r w:rsidR="0001391C">
              <w:rPr>
                <w:webHidden/>
              </w:rPr>
              <w:tab/>
            </w:r>
            <w:r w:rsidR="0001391C">
              <w:rPr>
                <w:webHidden/>
              </w:rPr>
              <w:fldChar w:fldCharType="begin"/>
            </w:r>
            <w:r w:rsidR="0001391C">
              <w:rPr>
                <w:webHidden/>
              </w:rPr>
              <w:instrText xml:space="preserve"> PAGEREF _Toc40777646 \h </w:instrText>
            </w:r>
            <w:r w:rsidR="0001391C">
              <w:rPr>
                <w:webHidden/>
              </w:rPr>
            </w:r>
            <w:r w:rsidR="0001391C">
              <w:rPr>
                <w:webHidden/>
              </w:rPr>
              <w:fldChar w:fldCharType="separate"/>
            </w:r>
            <w:r w:rsidR="0001391C">
              <w:rPr>
                <w:webHidden/>
              </w:rPr>
              <w:t>19</w:t>
            </w:r>
            <w:r w:rsidR="0001391C">
              <w:rPr>
                <w:webHidden/>
              </w:rPr>
              <w:fldChar w:fldCharType="end"/>
            </w:r>
          </w:hyperlink>
        </w:p>
        <w:p w14:paraId="774A148F" w14:textId="1519180C" w:rsidR="0001391C" w:rsidRDefault="0096420A">
          <w:pPr>
            <w:pStyle w:val="TOC2"/>
            <w:rPr>
              <w:rFonts w:asciiTheme="minorHAnsi" w:eastAsiaTheme="minorEastAsia" w:hAnsiTheme="minorHAnsi"/>
              <w:noProof/>
              <w:color w:val="auto"/>
              <w:sz w:val="22"/>
              <w:lang w:eastAsia="en-AU"/>
            </w:rPr>
          </w:pPr>
          <w:hyperlink w:anchor="_Toc40777647" w:history="1">
            <w:r w:rsidR="0001391C" w:rsidRPr="003740BD">
              <w:rPr>
                <w:rStyle w:val="Hyperlink"/>
                <w:noProof/>
              </w:rPr>
              <w:t>Proposed actuarial modelling</w:t>
            </w:r>
            <w:r w:rsidR="0001391C">
              <w:rPr>
                <w:noProof/>
                <w:webHidden/>
              </w:rPr>
              <w:tab/>
            </w:r>
            <w:r w:rsidR="0001391C">
              <w:rPr>
                <w:noProof/>
                <w:webHidden/>
              </w:rPr>
              <w:fldChar w:fldCharType="begin"/>
            </w:r>
            <w:r w:rsidR="0001391C">
              <w:rPr>
                <w:noProof/>
                <w:webHidden/>
              </w:rPr>
              <w:instrText xml:space="preserve"> PAGEREF _Toc40777647 \h </w:instrText>
            </w:r>
            <w:r w:rsidR="0001391C">
              <w:rPr>
                <w:noProof/>
                <w:webHidden/>
              </w:rPr>
            </w:r>
            <w:r w:rsidR="0001391C">
              <w:rPr>
                <w:noProof/>
                <w:webHidden/>
              </w:rPr>
              <w:fldChar w:fldCharType="separate"/>
            </w:r>
            <w:r w:rsidR="0001391C">
              <w:rPr>
                <w:noProof/>
                <w:webHidden/>
              </w:rPr>
              <w:t>20</w:t>
            </w:r>
            <w:r w:rsidR="0001391C">
              <w:rPr>
                <w:noProof/>
                <w:webHidden/>
              </w:rPr>
              <w:fldChar w:fldCharType="end"/>
            </w:r>
          </w:hyperlink>
        </w:p>
        <w:p w14:paraId="7003B5F8" w14:textId="3ABF654C" w:rsidR="0001391C" w:rsidRDefault="0096420A">
          <w:pPr>
            <w:pStyle w:val="TOC1"/>
            <w:rPr>
              <w:rFonts w:asciiTheme="minorHAnsi" w:eastAsiaTheme="minorEastAsia" w:hAnsiTheme="minorHAnsi"/>
              <w:b w:val="0"/>
              <w:bCs w:val="0"/>
              <w:color w:val="auto"/>
              <w:sz w:val="22"/>
              <w:lang w:eastAsia="en-AU"/>
            </w:rPr>
          </w:pPr>
          <w:hyperlink w:anchor="_Toc40777648" w:history="1">
            <w:r w:rsidR="0001391C" w:rsidRPr="003740BD">
              <w:rPr>
                <w:rStyle w:val="Hyperlink"/>
              </w:rPr>
              <w:t>6</w:t>
            </w:r>
            <w:r w:rsidR="0001391C">
              <w:rPr>
                <w:rFonts w:asciiTheme="minorHAnsi" w:eastAsiaTheme="minorEastAsia" w:hAnsiTheme="minorHAnsi"/>
                <w:b w:val="0"/>
                <w:bCs w:val="0"/>
                <w:color w:val="auto"/>
                <w:sz w:val="22"/>
                <w:lang w:eastAsia="en-AU"/>
              </w:rPr>
              <w:tab/>
            </w:r>
            <w:r w:rsidR="0001391C" w:rsidRPr="003740BD">
              <w:rPr>
                <w:rStyle w:val="Hyperlink"/>
              </w:rPr>
              <w:t>Other jurisdictions and Victorian public sector roles</w:t>
            </w:r>
            <w:r w:rsidR="0001391C">
              <w:rPr>
                <w:webHidden/>
              </w:rPr>
              <w:tab/>
            </w:r>
            <w:r w:rsidR="0001391C">
              <w:rPr>
                <w:webHidden/>
              </w:rPr>
              <w:fldChar w:fldCharType="begin"/>
            </w:r>
            <w:r w:rsidR="0001391C">
              <w:rPr>
                <w:webHidden/>
              </w:rPr>
              <w:instrText xml:space="preserve"> PAGEREF _Toc40777648 \h </w:instrText>
            </w:r>
            <w:r w:rsidR="0001391C">
              <w:rPr>
                <w:webHidden/>
              </w:rPr>
            </w:r>
            <w:r w:rsidR="0001391C">
              <w:rPr>
                <w:webHidden/>
              </w:rPr>
              <w:fldChar w:fldCharType="separate"/>
            </w:r>
            <w:r w:rsidR="0001391C">
              <w:rPr>
                <w:webHidden/>
              </w:rPr>
              <w:t>20</w:t>
            </w:r>
            <w:r w:rsidR="0001391C">
              <w:rPr>
                <w:webHidden/>
              </w:rPr>
              <w:fldChar w:fldCharType="end"/>
            </w:r>
          </w:hyperlink>
        </w:p>
        <w:p w14:paraId="5968ED65" w14:textId="7E9BC9ED" w:rsidR="0001391C" w:rsidRDefault="0096420A">
          <w:pPr>
            <w:pStyle w:val="TOC2"/>
            <w:rPr>
              <w:rFonts w:asciiTheme="minorHAnsi" w:eastAsiaTheme="minorEastAsia" w:hAnsiTheme="minorHAnsi"/>
              <w:noProof/>
              <w:color w:val="auto"/>
              <w:sz w:val="22"/>
              <w:lang w:eastAsia="en-AU"/>
            </w:rPr>
          </w:pPr>
          <w:hyperlink w:anchor="_Toc40777649" w:history="1">
            <w:r w:rsidR="0001391C" w:rsidRPr="003740BD">
              <w:rPr>
                <w:rStyle w:val="Hyperlink"/>
                <w:noProof/>
              </w:rPr>
              <w:t>Members of Parliament in other Australian jurisdictions</w:t>
            </w:r>
            <w:r w:rsidR="0001391C">
              <w:rPr>
                <w:noProof/>
                <w:webHidden/>
              </w:rPr>
              <w:tab/>
            </w:r>
            <w:r w:rsidR="0001391C">
              <w:rPr>
                <w:noProof/>
                <w:webHidden/>
              </w:rPr>
              <w:fldChar w:fldCharType="begin"/>
            </w:r>
            <w:r w:rsidR="0001391C">
              <w:rPr>
                <w:noProof/>
                <w:webHidden/>
              </w:rPr>
              <w:instrText xml:space="preserve"> PAGEREF _Toc40777649 \h </w:instrText>
            </w:r>
            <w:r w:rsidR="0001391C">
              <w:rPr>
                <w:noProof/>
                <w:webHidden/>
              </w:rPr>
            </w:r>
            <w:r w:rsidR="0001391C">
              <w:rPr>
                <w:noProof/>
                <w:webHidden/>
              </w:rPr>
              <w:fldChar w:fldCharType="separate"/>
            </w:r>
            <w:r w:rsidR="0001391C">
              <w:rPr>
                <w:noProof/>
                <w:webHidden/>
              </w:rPr>
              <w:t>20</w:t>
            </w:r>
            <w:r w:rsidR="0001391C">
              <w:rPr>
                <w:noProof/>
                <w:webHidden/>
              </w:rPr>
              <w:fldChar w:fldCharType="end"/>
            </w:r>
          </w:hyperlink>
        </w:p>
        <w:p w14:paraId="296810BD" w14:textId="78A7E55F" w:rsidR="0001391C" w:rsidRDefault="0096420A">
          <w:pPr>
            <w:pStyle w:val="TOC2"/>
            <w:rPr>
              <w:rFonts w:asciiTheme="minorHAnsi" w:eastAsiaTheme="minorEastAsia" w:hAnsiTheme="minorHAnsi"/>
              <w:noProof/>
              <w:color w:val="auto"/>
              <w:sz w:val="22"/>
              <w:lang w:eastAsia="en-AU"/>
            </w:rPr>
          </w:pPr>
          <w:hyperlink w:anchor="_Toc40777650" w:history="1">
            <w:r w:rsidR="0001391C" w:rsidRPr="003740BD">
              <w:rPr>
                <w:rStyle w:val="Hyperlink"/>
                <w:noProof/>
              </w:rPr>
              <w:t>Superannuation arrangements for Victorian public sector employees</w:t>
            </w:r>
            <w:r w:rsidR="0001391C">
              <w:rPr>
                <w:noProof/>
                <w:webHidden/>
              </w:rPr>
              <w:tab/>
            </w:r>
            <w:r w:rsidR="0001391C">
              <w:rPr>
                <w:noProof/>
                <w:webHidden/>
              </w:rPr>
              <w:fldChar w:fldCharType="begin"/>
            </w:r>
            <w:r w:rsidR="0001391C">
              <w:rPr>
                <w:noProof/>
                <w:webHidden/>
              </w:rPr>
              <w:instrText xml:space="preserve"> PAGEREF _Toc40777650 \h </w:instrText>
            </w:r>
            <w:r w:rsidR="0001391C">
              <w:rPr>
                <w:noProof/>
                <w:webHidden/>
              </w:rPr>
            </w:r>
            <w:r w:rsidR="0001391C">
              <w:rPr>
                <w:noProof/>
                <w:webHidden/>
              </w:rPr>
              <w:fldChar w:fldCharType="separate"/>
            </w:r>
            <w:r w:rsidR="0001391C">
              <w:rPr>
                <w:noProof/>
                <w:webHidden/>
              </w:rPr>
              <w:t>22</w:t>
            </w:r>
            <w:r w:rsidR="0001391C">
              <w:rPr>
                <w:noProof/>
                <w:webHidden/>
              </w:rPr>
              <w:fldChar w:fldCharType="end"/>
            </w:r>
          </w:hyperlink>
        </w:p>
        <w:p w14:paraId="1856DC5C" w14:textId="269BB1E6" w:rsidR="0001391C" w:rsidRDefault="0096420A">
          <w:pPr>
            <w:pStyle w:val="TOC1"/>
            <w:rPr>
              <w:rFonts w:asciiTheme="minorHAnsi" w:eastAsiaTheme="minorEastAsia" w:hAnsiTheme="minorHAnsi"/>
              <w:b w:val="0"/>
              <w:bCs w:val="0"/>
              <w:color w:val="auto"/>
              <w:sz w:val="22"/>
              <w:lang w:eastAsia="en-AU"/>
            </w:rPr>
          </w:pPr>
          <w:hyperlink w:anchor="_Toc40777651" w:history="1">
            <w:r w:rsidR="0001391C" w:rsidRPr="003740BD">
              <w:rPr>
                <w:rStyle w:val="Hyperlink"/>
              </w:rPr>
              <w:t>7</w:t>
            </w:r>
            <w:r w:rsidR="0001391C">
              <w:rPr>
                <w:rFonts w:asciiTheme="minorHAnsi" w:eastAsiaTheme="minorEastAsia" w:hAnsiTheme="minorHAnsi"/>
                <w:b w:val="0"/>
                <w:bCs w:val="0"/>
                <w:color w:val="auto"/>
                <w:sz w:val="22"/>
                <w:lang w:eastAsia="en-AU"/>
              </w:rPr>
              <w:tab/>
            </w:r>
            <w:r w:rsidR="0001391C" w:rsidRPr="003740BD">
              <w:rPr>
                <w:rStyle w:val="Hyperlink"/>
              </w:rPr>
              <w:t>Impact of Commonwealth legislation</w:t>
            </w:r>
            <w:r w:rsidR="0001391C">
              <w:rPr>
                <w:webHidden/>
              </w:rPr>
              <w:tab/>
            </w:r>
            <w:r w:rsidR="0001391C">
              <w:rPr>
                <w:webHidden/>
              </w:rPr>
              <w:fldChar w:fldCharType="begin"/>
            </w:r>
            <w:r w:rsidR="0001391C">
              <w:rPr>
                <w:webHidden/>
              </w:rPr>
              <w:instrText xml:space="preserve"> PAGEREF _Toc40777651 \h </w:instrText>
            </w:r>
            <w:r w:rsidR="0001391C">
              <w:rPr>
                <w:webHidden/>
              </w:rPr>
            </w:r>
            <w:r w:rsidR="0001391C">
              <w:rPr>
                <w:webHidden/>
              </w:rPr>
              <w:fldChar w:fldCharType="separate"/>
            </w:r>
            <w:r w:rsidR="0001391C">
              <w:rPr>
                <w:webHidden/>
              </w:rPr>
              <w:t>22</w:t>
            </w:r>
            <w:r w:rsidR="0001391C">
              <w:rPr>
                <w:webHidden/>
              </w:rPr>
              <w:fldChar w:fldCharType="end"/>
            </w:r>
          </w:hyperlink>
        </w:p>
        <w:p w14:paraId="575063A7" w14:textId="0A803932" w:rsidR="0001391C" w:rsidRDefault="0096420A">
          <w:pPr>
            <w:pStyle w:val="TOC2"/>
            <w:rPr>
              <w:rFonts w:asciiTheme="minorHAnsi" w:eastAsiaTheme="minorEastAsia" w:hAnsiTheme="minorHAnsi"/>
              <w:noProof/>
              <w:color w:val="auto"/>
              <w:sz w:val="22"/>
              <w:lang w:eastAsia="en-AU"/>
            </w:rPr>
          </w:pPr>
          <w:hyperlink w:anchor="_Toc40777652" w:history="1">
            <w:r w:rsidR="0001391C" w:rsidRPr="003740BD">
              <w:rPr>
                <w:rStyle w:val="Hyperlink"/>
                <w:noProof/>
              </w:rPr>
              <w:t>Impact of the concessional contributions cap on MPs in the accumulation scheme</w:t>
            </w:r>
            <w:r w:rsidR="0001391C">
              <w:rPr>
                <w:noProof/>
                <w:webHidden/>
              </w:rPr>
              <w:tab/>
            </w:r>
            <w:r w:rsidR="0001391C">
              <w:rPr>
                <w:noProof/>
                <w:webHidden/>
              </w:rPr>
              <w:fldChar w:fldCharType="begin"/>
            </w:r>
            <w:r w:rsidR="0001391C">
              <w:rPr>
                <w:noProof/>
                <w:webHidden/>
              </w:rPr>
              <w:instrText xml:space="preserve"> PAGEREF _Toc40777652 \h </w:instrText>
            </w:r>
            <w:r w:rsidR="0001391C">
              <w:rPr>
                <w:noProof/>
                <w:webHidden/>
              </w:rPr>
            </w:r>
            <w:r w:rsidR="0001391C">
              <w:rPr>
                <w:noProof/>
                <w:webHidden/>
              </w:rPr>
              <w:fldChar w:fldCharType="separate"/>
            </w:r>
            <w:r w:rsidR="0001391C">
              <w:rPr>
                <w:noProof/>
                <w:webHidden/>
              </w:rPr>
              <w:t>23</w:t>
            </w:r>
            <w:r w:rsidR="0001391C">
              <w:rPr>
                <w:noProof/>
                <w:webHidden/>
              </w:rPr>
              <w:fldChar w:fldCharType="end"/>
            </w:r>
          </w:hyperlink>
        </w:p>
        <w:p w14:paraId="420BDA48" w14:textId="400C204C" w:rsidR="0001391C" w:rsidRDefault="0096420A">
          <w:pPr>
            <w:pStyle w:val="TOC2"/>
            <w:rPr>
              <w:rFonts w:asciiTheme="minorHAnsi" w:eastAsiaTheme="minorEastAsia" w:hAnsiTheme="minorHAnsi"/>
              <w:noProof/>
              <w:color w:val="auto"/>
              <w:sz w:val="22"/>
              <w:lang w:eastAsia="en-AU"/>
            </w:rPr>
          </w:pPr>
          <w:hyperlink w:anchor="_Toc40777653" w:history="1">
            <w:r w:rsidR="0001391C" w:rsidRPr="003740BD">
              <w:rPr>
                <w:rStyle w:val="Hyperlink"/>
                <w:noProof/>
              </w:rPr>
              <w:t>Effect of superannuation balance limits on members of the defined benefit schemes</w:t>
            </w:r>
            <w:r w:rsidR="0001391C">
              <w:rPr>
                <w:noProof/>
                <w:webHidden/>
              </w:rPr>
              <w:tab/>
            </w:r>
            <w:r w:rsidR="0001391C">
              <w:rPr>
                <w:noProof/>
                <w:webHidden/>
              </w:rPr>
              <w:fldChar w:fldCharType="begin"/>
            </w:r>
            <w:r w:rsidR="0001391C">
              <w:rPr>
                <w:noProof/>
                <w:webHidden/>
              </w:rPr>
              <w:instrText xml:space="preserve"> PAGEREF _Toc40777653 \h </w:instrText>
            </w:r>
            <w:r w:rsidR="0001391C">
              <w:rPr>
                <w:noProof/>
                <w:webHidden/>
              </w:rPr>
            </w:r>
            <w:r w:rsidR="0001391C">
              <w:rPr>
                <w:noProof/>
                <w:webHidden/>
              </w:rPr>
              <w:fldChar w:fldCharType="separate"/>
            </w:r>
            <w:r w:rsidR="0001391C">
              <w:rPr>
                <w:noProof/>
                <w:webHidden/>
              </w:rPr>
              <w:t>24</w:t>
            </w:r>
            <w:r w:rsidR="0001391C">
              <w:rPr>
                <w:noProof/>
                <w:webHidden/>
              </w:rPr>
              <w:fldChar w:fldCharType="end"/>
            </w:r>
          </w:hyperlink>
        </w:p>
        <w:p w14:paraId="5508D65D" w14:textId="0565CB04" w:rsidR="0038636E" w:rsidRPr="0001391C" w:rsidRDefault="0096420A" w:rsidP="0001391C">
          <w:pPr>
            <w:pStyle w:val="TOC1"/>
            <w:rPr>
              <w:rFonts w:asciiTheme="minorHAnsi" w:eastAsiaTheme="minorEastAsia" w:hAnsiTheme="minorHAnsi"/>
              <w:b w:val="0"/>
              <w:bCs w:val="0"/>
              <w:color w:val="auto"/>
              <w:sz w:val="22"/>
              <w:lang w:eastAsia="en-AU"/>
            </w:rPr>
          </w:pPr>
          <w:hyperlink w:anchor="_Toc40777654" w:history="1">
            <w:r w:rsidR="0001391C" w:rsidRPr="003740BD">
              <w:rPr>
                <w:rStyle w:val="Hyperlink"/>
              </w:rPr>
              <w:t>References</w:t>
            </w:r>
            <w:r w:rsidR="0001391C">
              <w:rPr>
                <w:webHidden/>
              </w:rPr>
              <w:tab/>
            </w:r>
            <w:r w:rsidR="0001391C">
              <w:rPr>
                <w:webHidden/>
              </w:rPr>
              <w:fldChar w:fldCharType="begin"/>
            </w:r>
            <w:r w:rsidR="0001391C">
              <w:rPr>
                <w:webHidden/>
              </w:rPr>
              <w:instrText xml:space="preserve"> PAGEREF _Toc40777654 \h </w:instrText>
            </w:r>
            <w:r w:rsidR="0001391C">
              <w:rPr>
                <w:webHidden/>
              </w:rPr>
            </w:r>
            <w:r w:rsidR="0001391C">
              <w:rPr>
                <w:webHidden/>
              </w:rPr>
              <w:fldChar w:fldCharType="separate"/>
            </w:r>
            <w:r w:rsidR="0001391C">
              <w:rPr>
                <w:webHidden/>
              </w:rPr>
              <w:t>26</w:t>
            </w:r>
            <w:r w:rsidR="0001391C">
              <w:rPr>
                <w:webHidden/>
              </w:rPr>
              <w:fldChar w:fldCharType="end"/>
            </w:r>
          </w:hyperlink>
          <w:r w:rsidR="0001391C">
            <w:rPr>
              <w:rFonts w:asciiTheme="minorHAnsi" w:hAnsiTheme="minorHAnsi"/>
              <w:color w:val="4D4D4D"/>
              <w:sz w:val="22"/>
              <w:lang w:val="en-US"/>
            </w:rPr>
            <w:fldChar w:fldCharType="end"/>
          </w:r>
        </w:p>
      </w:sdtContent>
    </w:sdt>
    <w:p w14:paraId="415FF63C" w14:textId="10B6EF59" w:rsidR="00F426B0" w:rsidRDefault="00F426B0" w:rsidP="002026CF">
      <w:pPr>
        <w:pStyle w:val="VIRTHeading2"/>
        <w:numPr>
          <w:ilvl w:val="0"/>
          <w:numId w:val="0"/>
        </w:numPr>
      </w:pPr>
      <w:r>
        <w:br w:type="page"/>
      </w:r>
      <w:bookmarkStart w:id="4" w:name="_Toc40777635"/>
      <w:r w:rsidR="00CE3932">
        <w:lastRenderedPageBreak/>
        <w:t>Glossary</w:t>
      </w:r>
      <w:bookmarkEnd w:id="4"/>
    </w:p>
    <w:tbl>
      <w:tblPr>
        <w:tblStyle w:val="Glossary"/>
        <w:tblW w:w="8647" w:type="dxa"/>
        <w:tblLayout w:type="fixed"/>
        <w:tblLook w:val="05A0" w:firstRow="1" w:lastRow="0" w:firstColumn="1" w:lastColumn="1" w:noHBand="0" w:noVBand="1"/>
      </w:tblPr>
      <w:tblGrid>
        <w:gridCol w:w="2581"/>
        <w:gridCol w:w="6066"/>
      </w:tblGrid>
      <w:tr w:rsidR="00CE3932" w:rsidRPr="00BD24F3" w14:paraId="1C0E7BA5" w14:textId="77777777" w:rsidTr="00A831C3">
        <w:trPr>
          <w:cnfStyle w:val="100000000000" w:firstRow="1" w:lastRow="0" w:firstColumn="0" w:lastColumn="0" w:oddVBand="0" w:evenVBand="0" w:oddHBand="0" w:evenHBand="0" w:firstRowFirstColumn="0" w:firstRowLastColumn="0" w:lastRowFirstColumn="0" w:lastRowLastColumn="0"/>
          <w:trHeight w:val="408"/>
        </w:trPr>
        <w:tc>
          <w:tcPr>
            <w:tcW w:w="2581" w:type="dxa"/>
            <w:vAlign w:val="center"/>
          </w:tcPr>
          <w:p w14:paraId="1A9E0BDF" w14:textId="77777777" w:rsidR="00CE3932" w:rsidRPr="00D34938" w:rsidRDefault="00CE3932" w:rsidP="00CE268B">
            <w:pPr>
              <w:pStyle w:val="Tableheaderrow"/>
              <w:rPr>
                <w:b/>
              </w:rPr>
            </w:pPr>
            <w:r w:rsidRPr="00D34938">
              <w:rPr>
                <w:b/>
              </w:rPr>
              <w:t xml:space="preserve">Term or abbreviation </w:t>
            </w:r>
          </w:p>
        </w:tc>
        <w:tc>
          <w:tcPr>
            <w:tcW w:w="6066" w:type="dxa"/>
            <w:vAlign w:val="center"/>
          </w:tcPr>
          <w:p w14:paraId="3C3A1A44" w14:textId="77777777" w:rsidR="00CE3932" w:rsidRPr="00D34938" w:rsidRDefault="00CE3932" w:rsidP="00CE268B">
            <w:pPr>
              <w:pStyle w:val="Tableheaderrow"/>
              <w:rPr>
                <w:rFonts w:eastAsia="Arial Narrow"/>
                <w:b/>
              </w:rPr>
            </w:pPr>
            <w:r w:rsidRPr="00D34938">
              <w:rPr>
                <w:b/>
              </w:rPr>
              <w:t xml:space="preserve">Definition </w:t>
            </w:r>
          </w:p>
        </w:tc>
      </w:tr>
      <w:tr w:rsidR="00CE3932" w:rsidRPr="00BD24F3" w14:paraId="0FC77967" w14:textId="77777777" w:rsidTr="00A831C3">
        <w:trPr>
          <w:trHeight w:val="408"/>
        </w:trPr>
        <w:tc>
          <w:tcPr>
            <w:tcW w:w="2581" w:type="dxa"/>
            <w:vAlign w:val="center"/>
          </w:tcPr>
          <w:p w14:paraId="51CD7701" w14:textId="0C98C67A" w:rsidR="00CE3932" w:rsidRPr="00065880" w:rsidRDefault="003E298F" w:rsidP="00CF256F">
            <w:pPr>
              <w:pStyle w:val="Tabletext"/>
            </w:pPr>
            <w:r w:rsidRPr="00065880">
              <w:t>Additional salary</w:t>
            </w:r>
          </w:p>
        </w:tc>
        <w:tc>
          <w:tcPr>
            <w:tcW w:w="6066" w:type="dxa"/>
            <w:vAlign w:val="center"/>
          </w:tcPr>
          <w:p w14:paraId="525B332F" w14:textId="0DA36DD1" w:rsidR="00CE3932" w:rsidRPr="00065880" w:rsidRDefault="003E298F" w:rsidP="00CF256F">
            <w:pPr>
              <w:pStyle w:val="Tabletext"/>
            </w:pPr>
            <w:r w:rsidRPr="00065880">
              <w:t>Salary payable to MPs who are ‘specified parliamentary office holders’ as defined in s3 of the VIRTIPS Act</w:t>
            </w:r>
            <w:r w:rsidR="008458A5" w:rsidRPr="00065880">
              <w:t>.</w:t>
            </w:r>
          </w:p>
        </w:tc>
      </w:tr>
      <w:tr w:rsidR="003E298F" w:rsidRPr="00BD24F3" w14:paraId="1BEE6E4D" w14:textId="77777777" w:rsidTr="00A831C3">
        <w:trPr>
          <w:trHeight w:val="408"/>
        </w:trPr>
        <w:tc>
          <w:tcPr>
            <w:tcW w:w="2581" w:type="dxa"/>
            <w:vAlign w:val="center"/>
          </w:tcPr>
          <w:p w14:paraId="60BAA41D" w14:textId="57A12C6C" w:rsidR="003E298F" w:rsidRPr="00065880" w:rsidRDefault="003E298F" w:rsidP="00CF256F">
            <w:pPr>
              <w:pStyle w:val="Tabletext"/>
            </w:pPr>
            <w:r w:rsidRPr="00065880">
              <w:t>Basic salary</w:t>
            </w:r>
          </w:p>
        </w:tc>
        <w:tc>
          <w:tcPr>
            <w:tcW w:w="6066" w:type="dxa"/>
            <w:vAlign w:val="center"/>
          </w:tcPr>
          <w:p w14:paraId="7336E4A4" w14:textId="51B8A046" w:rsidR="003E298F" w:rsidRPr="00065880" w:rsidRDefault="003E298F" w:rsidP="00CF256F">
            <w:pPr>
              <w:pStyle w:val="Tabletext"/>
            </w:pPr>
            <w:r w:rsidRPr="00065880">
              <w:t>Salary payable to all Victorian MPs</w:t>
            </w:r>
            <w:r w:rsidR="008458A5" w:rsidRPr="00065880">
              <w:t>.</w:t>
            </w:r>
          </w:p>
        </w:tc>
      </w:tr>
      <w:tr w:rsidR="003E298F" w:rsidRPr="00BD24F3" w14:paraId="0EDE2884" w14:textId="77777777" w:rsidTr="00A831C3">
        <w:trPr>
          <w:trHeight w:val="408"/>
        </w:trPr>
        <w:tc>
          <w:tcPr>
            <w:tcW w:w="2581" w:type="dxa"/>
            <w:vAlign w:val="center"/>
          </w:tcPr>
          <w:p w14:paraId="07D8FF75" w14:textId="3B394974" w:rsidR="003E298F" w:rsidRPr="00065880" w:rsidRDefault="003E298F" w:rsidP="00CF256F">
            <w:pPr>
              <w:pStyle w:val="Tabletext"/>
            </w:pPr>
            <w:r w:rsidRPr="00065880">
              <w:t>Basic salary portion</w:t>
            </w:r>
          </w:p>
        </w:tc>
        <w:tc>
          <w:tcPr>
            <w:tcW w:w="6066" w:type="dxa"/>
            <w:vAlign w:val="center"/>
          </w:tcPr>
          <w:p w14:paraId="2ACCD398" w14:textId="32E983DC" w:rsidR="003E298F" w:rsidRPr="00065880" w:rsidRDefault="003E298F" w:rsidP="00CF256F">
            <w:pPr>
              <w:pStyle w:val="Tabletext"/>
            </w:pPr>
            <w:r w:rsidRPr="00065880">
              <w:t>The basic salary portion set under s17(5)(b) of the VIRTIPS Act</w:t>
            </w:r>
            <w:r w:rsidR="00B20A57" w:rsidRPr="00065880">
              <w:t>,</w:t>
            </w:r>
            <w:r w:rsidRPr="00065880">
              <w:t xml:space="preserve"> </w:t>
            </w:r>
            <w:r w:rsidR="00B20A57" w:rsidRPr="00065880">
              <w:t>u</w:t>
            </w:r>
            <w:r w:rsidRPr="00065880">
              <w:t xml:space="preserve">sed to calculate contributions and benefits </w:t>
            </w:r>
            <w:r w:rsidR="00FC4FB1" w:rsidRPr="00065880">
              <w:t>for</w:t>
            </w:r>
            <w:r w:rsidRPr="00065880">
              <w:t xml:space="preserve"> MPs in the Existing and New Benefits Schemes</w:t>
            </w:r>
            <w:r w:rsidR="008458A5" w:rsidRPr="00065880">
              <w:t>.</w:t>
            </w:r>
          </w:p>
        </w:tc>
      </w:tr>
      <w:tr w:rsidR="00FC4FB1" w:rsidRPr="00BD24F3" w14:paraId="1E4A85A2" w14:textId="77777777" w:rsidTr="00A831C3">
        <w:trPr>
          <w:trHeight w:val="408"/>
        </w:trPr>
        <w:tc>
          <w:tcPr>
            <w:tcW w:w="2581" w:type="dxa"/>
            <w:vAlign w:val="center"/>
          </w:tcPr>
          <w:p w14:paraId="469FE2BA" w14:textId="45C338B7" w:rsidR="00FC4FB1" w:rsidRPr="00065880" w:rsidRDefault="00FC4FB1" w:rsidP="00CF256F">
            <w:pPr>
              <w:pStyle w:val="Tabletext"/>
            </w:pPr>
            <w:r w:rsidRPr="00065880">
              <w:t>ESSSuper</w:t>
            </w:r>
          </w:p>
        </w:tc>
        <w:tc>
          <w:tcPr>
            <w:tcW w:w="6066" w:type="dxa"/>
            <w:vAlign w:val="center"/>
          </w:tcPr>
          <w:p w14:paraId="7EC9C9AA" w14:textId="43744E03" w:rsidR="00FC4FB1" w:rsidRPr="00065880" w:rsidRDefault="00FC4FB1" w:rsidP="00CF256F">
            <w:pPr>
              <w:pStyle w:val="Tabletext"/>
            </w:pPr>
            <w:r w:rsidRPr="00065880">
              <w:t>Emergency Services and State Super</w:t>
            </w:r>
            <w:r w:rsidR="00B20A57" w:rsidRPr="00065880">
              <w:t>, which</w:t>
            </w:r>
            <w:r w:rsidRPr="00065880">
              <w:t xml:space="preserve"> </w:t>
            </w:r>
            <w:r w:rsidR="00B20A57" w:rsidRPr="00065880">
              <w:t>a</w:t>
            </w:r>
            <w:r w:rsidRPr="00065880">
              <w:t>dministers the defined benefit schemes under Part 3 of the PSAS Act</w:t>
            </w:r>
            <w:r w:rsidR="008458A5" w:rsidRPr="00065880">
              <w:t>.</w:t>
            </w:r>
          </w:p>
        </w:tc>
      </w:tr>
      <w:tr w:rsidR="003E298F" w:rsidRPr="00BD24F3" w14:paraId="5AFD9F91" w14:textId="77777777" w:rsidTr="00A831C3">
        <w:trPr>
          <w:trHeight w:val="408"/>
        </w:trPr>
        <w:tc>
          <w:tcPr>
            <w:tcW w:w="2581" w:type="dxa"/>
            <w:vAlign w:val="center"/>
          </w:tcPr>
          <w:p w14:paraId="6D6481FC" w14:textId="64A06BFE" w:rsidR="003E298F" w:rsidRPr="00065880" w:rsidRDefault="003E298F" w:rsidP="00CF256F">
            <w:pPr>
              <w:pStyle w:val="Tabletext"/>
            </w:pPr>
            <w:r w:rsidRPr="00065880">
              <w:t>Existing Benefits Scheme</w:t>
            </w:r>
          </w:p>
        </w:tc>
        <w:tc>
          <w:tcPr>
            <w:tcW w:w="6066" w:type="dxa"/>
            <w:vAlign w:val="center"/>
          </w:tcPr>
          <w:p w14:paraId="43DB9C07" w14:textId="5FE1A0AE" w:rsidR="003E298F" w:rsidRPr="00065880" w:rsidRDefault="003E298F" w:rsidP="00CF256F">
            <w:pPr>
              <w:pStyle w:val="Tabletext"/>
              <w:rPr>
                <w:rFonts w:ascii="Calibri-Light" w:hAnsi="Calibri-Light" w:cs="Calibri-Light"/>
              </w:rPr>
            </w:pPr>
            <w:r w:rsidRPr="00065880">
              <w:t>A defined benefit scheme provided to MPs under Part 3, Division 2 of the PSAS Act for MPs elected before 1996</w:t>
            </w:r>
            <w:r w:rsidR="008458A5" w:rsidRPr="00065880">
              <w:t>.</w:t>
            </w:r>
          </w:p>
        </w:tc>
      </w:tr>
      <w:tr w:rsidR="00FC4FB1" w:rsidRPr="00BD24F3" w14:paraId="2A20BEF5" w14:textId="77777777" w:rsidTr="00A831C3">
        <w:trPr>
          <w:trHeight w:val="408"/>
        </w:trPr>
        <w:tc>
          <w:tcPr>
            <w:tcW w:w="2581" w:type="dxa"/>
            <w:vAlign w:val="center"/>
          </w:tcPr>
          <w:p w14:paraId="21FC6915" w14:textId="79D9672F" w:rsidR="00FC4FB1" w:rsidRPr="00065880" w:rsidRDefault="00FC4FB1" w:rsidP="00CF256F">
            <w:pPr>
              <w:pStyle w:val="Tabletext"/>
            </w:pPr>
            <w:r w:rsidRPr="00065880">
              <w:t>Hazell Review</w:t>
            </w:r>
          </w:p>
        </w:tc>
        <w:tc>
          <w:tcPr>
            <w:tcW w:w="6066" w:type="dxa"/>
            <w:vAlign w:val="center"/>
          </w:tcPr>
          <w:p w14:paraId="6B5800BA" w14:textId="6DDE1A03" w:rsidR="00FC4FB1" w:rsidRPr="00065880" w:rsidRDefault="00FC4FB1" w:rsidP="00CF256F">
            <w:pPr>
              <w:pStyle w:val="Tabletext"/>
              <w:rPr>
                <w:rFonts w:ascii="Calibri-LightItalic" w:hAnsi="Calibri-LightItalic" w:cs="Calibri-LightItalic"/>
              </w:rPr>
            </w:pPr>
            <w:r w:rsidRPr="00065880">
              <w:t>Hazell, M. Independent Review of Victorian MPs’ Salary Entitlements, Allowances and Other Arrangements. Report prepared for the Department of Premier and Cabinet. Victoria, 2013</w:t>
            </w:r>
            <w:r w:rsidR="008458A5" w:rsidRPr="00065880">
              <w:t>.</w:t>
            </w:r>
          </w:p>
        </w:tc>
      </w:tr>
      <w:tr w:rsidR="003E298F" w:rsidRPr="00687CA5" w14:paraId="68B951B9" w14:textId="77777777" w:rsidTr="00A831C3">
        <w:trPr>
          <w:trHeight w:val="408"/>
        </w:trPr>
        <w:tc>
          <w:tcPr>
            <w:tcW w:w="2581" w:type="dxa"/>
            <w:vAlign w:val="center"/>
          </w:tcPr>
          <w:p w14:paraId="6D3EEA64" w14:textId="77777777" w:rsidR="003E298F" w:rsidRPr="00065880" w:rsidRDefault="003E298F" w:rsidP="00CF256F">
            <w:pPr>
              <w:pStyle w:val="Tabletext"/>
            </w:pPr>
            <w:r w:rsidRPr="00065880">
              <w:t>MP</w:t>
            </w:r>
          </w:p>
        </w:tc>
        <w:tc>
          <w:tcPr>
            <w:tcW w:w="6066" w:type="dxa"/>
            <w:vAlign w:val="center"/>
          </w:tcPr>
          <w:p w14:paraId="21B2F04C" w14:textId="77777777" w:rsidR="003E298F" w:rsidRPr="00065880" w:rsidRDefault="003E298F" w:rsidP="00CF256F">
            <w:pPr>
              <w:pStyle w:val="Tabletext"/>
            </w:pPr>
            <w:r w:rsidRPr="00065880">
              <w:t>Member of Parliament</w:t>
            </w:r>
          </w:p>
        </w:tc>
      </w:tr>
      <w:tr w:rsidR="003E298F" w:rsidRPr="00BD24F3" w14:paraId="50B2C35F" w14:textId="77777777" w:rsidTr="00A831C3">
        <w:trPr>
          <w:trHeight w:val="408"/>
        </w:trPr>
        <w:tc>
          <w:tcPr>
            <w:tcW w:w="2581" w:type="dxa"/>
            <w:vAlign w:val="center"/>
          </w:tcPr>
          <w:p w14:paraId="6D8F1AF0" w14:textId="4F2ADC6D" w:rsidR="003E298F" w:rsidRPr="00065880" w:rsidRDefault="003E298F" w:rsidP="00CF256F">
            <w:pPr>
              <w:pStyle w:val="Tabletext"/>
            </w:pPr>
            <w:r w:rsidRPr="00065880">
              <w:t>New Benefits Scheme</w:t>
            </w:r>
          </w:p>
        </w:tc>
        <w:tc>
          <w:tcPr>
            <w:tcW w:w="6066" w:type="dxa"/>
            <w:vAlign w:val="center"/>
          </w:tcPr>
          <w:p w14:paraId="26095FF3" w14:textId="7C98C705" w:rsidR="003E298F" w:rsidRPr="00065880" w:rsidRDefault="003E298F" w:rsidP="00CF256F">
            <w:pPr>
              <w:pStyle w:val="Tabletext"/>
              <w:rPr>
                <w:rFonts w:ascii="Calibri-Light" w:hAnsi="Calibri-Light" w:cs="Calibri-Light"/>
              </w:rPr>
            </w:pPr>
            <w:r w:rsidRPr="00065880">
              <w:t>A defined benefit scheme provided to MPs under Part 3, Division 3 of the PSAS Act for MPs elected after 1996</w:t>
            </w:r>
            <w:r w:rsidR="006148CC" w:rsidRPr="00065880">
              <w:t xml:space="preserve"> –</w:t>
            </w:r>
            <w:r w:rsidRPr="00065880">
              <w:t xml:space="preserve"> </w:t>
            </w:r>
            <w:r w:rsidR="006148CC" w:rsidRPr="00065880">
              <w:t>c</w:t>
            </w:r>
            <w:r w:rsidRPr="00065880">
              <w:t>losed to new entrants in 2004</w:t>
            </w:r>
            <w:r w:rsidR="008458A5" w:rsidRPr="00065880">
              <w:t>.</w:t>
            </w:r>
          </w:p>
        </w:tc>
      </w:tr>
      <w:tr w:rsidR="003E298F" w:rsidRPr="00BD24F3" w14:paraId="354E7AA3" w14:textId="77777777" w:rsidTr="00A831C3">
        <w:trPr>
          <w:trHeight w:val="408"/>
        </w:trPr>
        <w:tc>
          <w:tcPr>
            <w:tcW w:w="2581" w:type="dxa"/>
            <w:vAlign w:val="center"/>
          </w:tcPr>
          <w:p w14:paraId="2402C051" w14:textId="020A67C9" w:rsidR="003E298F" w:rsidRPr="00065880" w:rsidDel="00CE268B" w:rsidRDefault="003E298F" w:rsidP="00CF256F">
            <w:pPr>
              <w:pStyle w:val="Tabletext"/>
            </w:pPr>
            <w:r w:rsidRPr="00065880">
              <w:t>Parliament</w:t>
            </w:r>
          </w:p>
        </w:tc>
        <w:tc>
          <w:tcPr>
            <w:tcW w:w="6066" w:type="dxa"/>
            <w:vAlign w:val="center"/>
          </w:tcPr>
          <w:p w14:paraId="1898B46D" w14:textId="2ADA896C" w:rsidR="003E298F" w:rsidRPr="00065880" w:rsidDel="00CE268B" w:rsidRDefault="003E298F" w:rsidP="00CF256F">
            <w:pPr>
              <w:pStyle w:val="Tabletext"/>
            </w:pPr>
            <w:r w:rsidRPr="00065880">
              <w:t>Parliament of Victoria</w:t>
            </w:r>
          </w:p>
        </w:tc>
      </w:tr>
      <w:tr w:rsidR="003E298F" w:rsidRPr="00BD24F3" w14:paraId="5BDDD3A6" w14:textId="77777777" w:rsidTr="00A831C3">
        <w:trPr>
          <w:trHeight w:val="408"/>
        </w:trPr>
        <w:tc>
          <w:tcPr>
            <w:tcW w:w="2581" w:type="dxa"/>
            <w:vAlign w:val="center"/>
          </w:tcPr>
          <w:p w14:paraId="75BD2203" w14:textId="02B6A2C0" w:rsidR="003E298F" w:rsidRPr="00065880" w:rsidRDefault="003E298F" w:rsidP="00CF256F">
            <w:pPr>
              <w:pStyle w:val="Tabletext"/>
            </w:pPr>
            <w:r w:rsidRPr="00065880">
              <w:t>PCSF</w:t>
            </w:r>
          </w:p>
        </w:tc>
        <w:tc>
          <w:tcPr>
            <w:tcW w:w="6066" w:type="dxa"/>
            <w:vAlign w:val="center"/>
          </w:tcPr>
          <w:p w14:paraId="73CEB40A" w14:textId="07501852" w:rsidR="003E298F" w:rsidRPr="00065880" w:rsidRDefault="003E298F" w:rsidP="00CF256F">
            <w:pPr>
              <w:pStyle w:val="Tabletext"/>
            </w:pPr>
            <w:r w:rsidRPr="00065880">
              <w:t>Parliamentary Contributory Superannuation Fund</w:t>
            </w:r>
            <w:r w:rsidR="00B02C48" w:rsidRPr="00065880">
              <w:t xml:space="preserve"> –</w:t>
            </w:r>
            <w:r w:rsidR="00FC4FB1" w:rsidRPr="00065880">
              <w:t xml:space="preserve"> </w:t>
            </w:r>
            <w:r w:rsidR="00B02C48" w:rsidRPr="00065880">
              <w:t>t</w:t>
            </w:r>
            <w:r w:rsidR="00FC4FB1" w:rsidRPr="00065880">
              <w:t>he defined benefit fund which applies to MPs in the Existing and New Benefits schemes</w:t>
            </w:r>
            <w:r w:rsidR="008458A5" w:rsidRPr="00065880">
              <w:t>.</w:t>
            </w:r>
          </w:p>
        </w:tc>
      </w:tr>
      <w:tr w:rsidR="003E298F" w:rsidRPr="00BD24F3" w14:paraId="2CE78BBF" w14:textId="77777777" w:rsidTr="00A831C3">
        <w:trPr>
          <w:trHeight w:val="408"/>
        </w:trPr>
        <w:tc>
          <w:tcPr>
            <w:tcW w:w="2581" w:type="dxa"/>
            <w:vAlign w:val="center"/>
          </w:tcPr>
          <w:p w14:paraId="72892A66" w14:textId="77777777" w:rsidR="003E298F" w:rsidRPr="00065880" w:rsidRDefault="003E298F" w:rsidP="00CF256F">
            <w:pPr>
              <w:pStyle w:val="Tabletext"/>
              <w:rPr>
                <w:rFonts w:eastAsia="Arial Narrow"/>
              </w:rPr>
            </w:pPr>
            <w:r w:rsidRPr="00065880">
              <w:t>PSAS Act</w:t>
            </w:r>
          </w:p>
        </w:tc>
        <w:tc>
          <w:tcPr>
            <w:tcW w:w="6066" w:type="dxa"/>
            <w:vAlign w:val="center"/>
          </w:tcPr>
          <w:p w14:paraId="132C7DEC" w14:textId="42BEC66C" w:rsidR="003E298F" w:rsidRPr="00065880" w:rsidRDefault="003E298F" w:rsidP="00CF256F">
            <w:pPr>
              <w:pStyle w:val="Tabletext"/>
              <w:rPr>
                <w:rFonts w:eastAsia="Arial Narrow"/>
              </w:rPr>
            </w:pPr>
            <w:r w:rsidRPr="000C352B">
              <w:rPr>
                <w:i/>
                <w:iCs/>
              </w:rPr>
              <w:t>Parliamentary Salaries, Allowances and Superannuation Act</w:t>
            </w:r>
            <w:r w:rsidRPr="000C352B">
              <w:rPr>
                <w:i/>
                <w:iCs/>
                <w:spacing w:val="-9"/>
              </w:rPr>
              <w:t xml:space="preserve"> </w:t>
            </w:r>
            <w:r w:rsidRPr="000C352B">
              <w:rPr>
                <w:i/>
                <w:iCs/>
              </w:rPr>
              <w:t>1968</w:t>
            </w:r>
            <w:r w:rsidRPr="00065880">
              <w:t xml:space="preserve"> (Vic)</w:t>
            </w:r>
          </w:p>
        </w:tc>
      </w:tr>
      <w:tr w:rsidR="003E298F" w:rsidRPr="00BD24F3" w14:paraId="39E36D90" w14:textId="77777777" w:rsidTr="00A831C3">
        <w:trPr>
          <w:trHeight w:val="408"/>
        </w:trPr>
        <w:tc>
          <w:tcPr>
            <w:tcW w:w="2581" w:type="dxa"/>
            <w:vAlign w:val="center"/>
          </w:tcPr>
          <w:p w14:paraId="79A80AAA" w14:textId="6751F9C2" w:rsidR="003E298F" w:rsidRPr="00065880" w:rsidRDefault="003E298F" w:rsidP="00CF256F">
            <w:pPr>
              <w:pStyle w:val="Tabletext"/>
            </w:pPr>
            <w:r w:rsidRPr="00065880">
              <w:t>Separation payment</w:t>
            </w:r>
          </w:p>
        </w:tc>
        <w:tc>
          <w:tcPr>
            <w:tcW w:w="6066" w:type="dxa"/>
            <w:vAlign w:val="center"/>
          </w:tcPr>
          <w:p w14:paraId="3EAE258D" w14:textId="26C1A994" w:rsidR="003E298F" w:rsidRPr="00065880" w:rsidRDefault="003E298F" w:rsidP="00CF256F">
            <w:pPr>
              <w:pStyle w:val="Tabletext"/>
            </w:pPr>
            <w:r w:rsidRPr="00065880">
              <w:t>A payment made to a Victorian MP, who is not a member of a defined benefit scheme</w:t>
            </w:r>
            <w:r w:rsidR="008458A5" w:rsidRPr="00065880">
              <w:t>.</w:t>
            </w:r>
          </w:p>
        </w:tc>
      </w:tr>
      <w:tr w:rsidR="003E298F" w:rsidRPr="00BD24F3" w14:paraId="54701E1A" w14:textId="77777777" w:rsidTr="00A831C3">
        <w:trPr>
          <w:trHeight w:val="408"/>
        </w:trPr>
        <w:tc>
          <w:tcPr>
            <w:tcW w:w="2581" w:type="dxa"/>
            <w:vAlign w:val="center"/>
          </w:tcPr>
          <w:p w14:paraId="49E8DD07" w14:textId="0472FC29" w:rsidR="003E298F" w:rsidRPr="00065880" w:rsidRDefault="003E298F" w:rsidP="00CF256F">
            <w:pPr>
              <w:pStyle w:val="Tabletext"/>
            </w:pPr>
            <w:r w:rsidRPr="00065880">
              <w:t xml:space="preserve">Superannuation Guarantee (SG) </w:t>
            </w:r>
          </w:p>
        </w:tc>
        <w:tc>
          <w:tcPr>
            <w:tcW w:w="6066" w:type="dxa"/>
            <w:vAlign w:val="center"/>
          </w:tcPr>
          <w:p w14:paraId="057429B1" w14:textId="6E93578C" w:rsidR="003E298F" w:rsidRPr="00065880" w:rsidRDefault="003E298F" w:rsidP="00CF256F">
            <w:pPr>
              <w:pStyle w:val="Tabletext"/>
            </w:pPr>
            <w:r w:rsidRPr="00065880">
              <w:t xml:space="preserve">The minimum rate of employer contributions, as specified in the </w:t>
            </w:r>
            <w:r w:rsidRPr="00065880">
              <w:rPr>
                <w:i/>
                <w:iCs/>
              </w:rPr>
              <w:t>Superannuation Guarantee (Administration</w:t>
            </w:r>
            <w:r w:rsidR="00B20A57" w:rsidRPr="00065880">
              <w:rPr>
                <w:i/>
                <w:iCs/>
              </w:rPr>
              <w:t>)</w:t>
            </w:r>
            <w:r w:rsidRPr="00065880">
              <w:rPr>
                <w:i/>
                <w:iCs/>
              </w:rPr>
              <w:t xml:space="preserve"> Act 1992</w:t>
            </w:r>
            <w:r w:rsidRPr="00065880">
              <w:t xml:space="preserve"> (Cth)</w:t>
            </w:r>
            <w:r w:rsidR="008458A5" w:rsidRPr="00065880">
              <w:t>.</w:t>
            </w:r>
          </w:p>
        </w:tc>
      </w:tr>
      <w:tr w:rsidR="003E298F" w:rsidRPr="00BD24F3" w14:paraId="2FCBA7F4" w14:textId="77777777" w:rsidTr="00A831C3">
        <w:trPr>
          <w:trHeight w:val="408"/>
        </w:trPr>
        <w:tc>
          <w:tcPr>
            <w:tcW w:w="2581" w:type="dxa"/>
            <w:vAlign w:val="center"/>
          </w:tcPr>
          <w:p w14:paraId="18E69A77" w14:textId="656FC26A" w:rsidR="003E298F" w:rsidRPr="00065880" w:rsidRDefault="003E298F" w:rsidP="00CF256F">
            <w:pPr>
              <w:pStyle w:val="Tabletext"/>
            </w:pPr>
            <w:r w:rsidRPr="00065880">
              <w:t>Tribunal</w:t>
            </w:r>
          </w:p>
        </w:tc>
        <w:tc>
          <w:tcPr>
            <w:tcW w:w="6066" w:type="dxa"/>
            <w:vAlign w:val="center"/>
          </w:tcPr>
          <w:p w14:paraId="61C07815" w14:textId="721C395F" w:rsidR="003E298F" w:rsidRPr="00065880" w:rsidRDefault="003E298F" w:rsidP="00CF256F">
            <w:pPr>
              <w:pStyle w:val="Tabletext"/>
            </w:pPr>
            <w:r w:rsidRPr="00065880">
              <w:t>Victorian Independent Remuneration Tribunal</w:t>
            </w:r>
          </w:p>
        </w:tc>
      </w:tr>
      <w:tr w:rsidR="003E298F" w:rsidRPr="00BD24F3" w14:paraId="416FF84A" w14:textId="77777777" w:rsidTr="00A831C3">
        <w:trPr>
          <w:trHeight w:val="408"/>
        </w:trPr>
        <w:tc>
          <w:tcPr>
            <w:tcW w:w="2581" w:type="dxa"/>
            <w:vAlign w:val="center"/>
          </w:tcPr>
          <w:p w14:paraId="54F7EDD7" w14:textId="77777777" w:rsidR="003E298F" w:rsidRPr="00065880" w:rsidRDefault="003E298F" w:rsidP="00CF256F">
            <w:pPr>
              <w:pStyle w:val="Tabletext"/>
            </w:pPr>
            <w:r w:rsidRPr="00065880">
              <w:t>VIRTIPS Act</w:t>
            </w:r>
          </w:p>
        </w:tc>
        <w:tc>
          <w:tcPr>
            <w:tcW w:w="6066" w:type="dxa"/>
            <w:vAlign w:val="center"/>
          </w:tcPr>
          <w:p w14:paraId="466C3D14" w14:textId="3D092FA9" w:rsidR="003E298F" w:rsidRPr="00065880" w:rsidRDefault="003E298F" w:rsidP="00CF256F">
            <w:pPr>
              <w:pStyle w:val="Tabletext"/>
            </w:pPr>
            <w:r w:rsidRPr="000C352B">
              <w:rPr>
                <w:i/>
                <w:iCs/>
              </w:rPr>
              <w:t>Victorian Independent Remuneration Tribunal and Improving Parliamentary Standards Act 2019</w:t>
            </w:r>
            <w:r w:rsidRPr="00065880">
              <w:t xml:space="preserve"> (Vic) </w:t>
            </w:r>
          </w:p>
        </w:tc>
      </w:tr>
    </w:tbl>
    <w:p w14:paraId="0BE11FFA" w14:textId="77777777" w:rsidR="00CE3932" w:rsidRDefault="00CE3932" w:rsidP="00CE3932"/>
    <w:p w14:paraId="51255741" w14:textId="2D14A3EA" w:rsidR="00786514" w:rsidRDefault="00B62D18" w:rsidP="002026CF">
      <w:pPr>
        <w:pStyle w:val="VIRTHeading2"/>
      </w:pPr>
      <w:r w:rsidRPr="00CE3932">
        <w:br w:type="page"/>
      </w:r>
      <w:bookmarkStart w:id="5" w:name="_Toc40777636"/>
      <w:r w:rsidR="00786514" w:rsidRPr="002026CF">
        <w:lastRenderedPageBreak/>
        <w:t>Introduction</w:t>
      </w:r>
      <w:bookmarkEnd w:id="5"/>
    </w:p>
    <w:p w14:paraId="0F8DFFBA" w14:textId="20951B93" w:rsidR="00BC33D2" w:rsidRDefault="008519E3" w:rsidP="00AC4BD5">
      <w:pPr>
        <w:pStyle w:val="Paragraph"/>
      </w:pPr>
      <w:r>
        <w:t xml:space="preserve">Under section 39(1) of the </w:t>
      </w:r>
      <w:r w:rsidRPr="00425655">
        <w:t xml:space="preserve">Victorian Independent Remuneration Tribunal and Improving </w:t>
      </w:r>
      <w:r w:rsidRPr="00AC4BD5">
        <w:t>Parliamentary</w:t>
      </w:r>
      <w:r w:rsidRPr="00425655">
        <w:t xml:space="preserve"> Standards Act 2019 </w:t>
      </w:r>
      <w:r w:rsidRPr="00FB5A9B">
        <w:rPr>
          <w:iCs/>
        </w:rPr>
        <w:t>(Vic)</w:t>
      </w:r>
      <w:r w:rsidRPr="002D47E1">
        <w:rPr>
          <w:iCs/>
        </w:rPr>
        <w:t xml:space="preserve"> </w:t>
      </w:r>
      <w:r>
        <w:t>(VIRTIPS Act), the</w:t>
      </w:r>
      <w:r w:rsidR="00BC1B19" w:rsidRPr="00BC1B19">
        <w:t xml:space="preserve"> Tribunal is required to</w:t>
      </w:r>
      <w:r w:rsidR="00BC33D2">
        <w:t>:</w:t>
      </w:r>
    </w:p>
    <w:p w14:paraId="4EF332C7" w14:textId="134F895B" w:rsidR="00BC33D2" w:rsidRDefault="00426A2A" w:rsidP="00AC4BD5">
      <w:pPr>
        <w:pStyle w:val="Paragraph"/>
        <w:ind w:left="720"/>
      </w:pPr>
      <w:r w:rsidRPr="009D28E8">
        <w:t xml:space="preserve">review and report on the superannuation arrangements for </w:t>
      </w:r>
      <w:r w:rsidR="003047B6" w:rsidRPr="009D28E8">
        <w:t xml:space="preserve">Victorian </w:t>
      </w:r>
      <w:r w:rsidRPr="009D28E8">
        <w:t>Members of Parliament</w:t>
      </w:r>
      <w:r w:rsidR="00106658" w:rsidRPr="009D28E8">
        <w:t xml:space="preserve"> (MPs)</w:t>
      </w:r>
      <w:r w:rsidRPr="009D28E8">
        <w:t xml:space="preserve"> under Parts 3 and 4 of the </w:t>
      </w:r>
      <w:r w:rsidRPr="009D28E8">
        <w:rPr>
          <w:i/>
        </w:rPr>
        <w:t>Parliamentary Salaries, Allowances and Superannuation Act 1968</w:t>
      </w:r>
      <w:r w:rsidRPr="009D28E8">
        <w:t xml:space="preserve"> </w:t>
      </w:r>
      <w:r w:rsidR="00FD0788" w:rsidRPr="009D28E8">
        <w:t xml:space="preserve">(Vic) </w:t>
      </w:r>
      <w:r w:rsidRPr="009D28E8">
        <w:t>(PSAS</w:t>
      </w:r>
      <w:r w:rsidR="00676670" w:rsidRPr="009D28E8">
        <w:t xml:space="preserve"> Act</w:t>
      </w:r>
      <w:r w:rsidRPr="009D28E8">
        <w:t xml:space="preserve">), including potential inequalities and irregularities between </w:t>
      </w:r>
      <w:r w:rsidR="00676670" w:rsidRPr="009D28E8">
        <w:t xml:space="preserve">the </w:t>
      </w:r>
      <w:r w:rsidRPr="009D28E8">
        <w:t>superannuation arrangements</w:t>
      </w:r>
      <w:r w:rsidR="00BC1B19" w:rsidRPr="009D28E8">
        <w:t>.</w:t>
      </w:r>
      <w:r>
        <w:t xml:space="preserve"> </w:t>
      </w:r>
    </w:p>
    <w:p w14:paraId="6E68060A" w14:textId="55984DF2" w:rsidR="00BC1B19" w:rsidRPr="00BC1B19" w:rsidRDefault="00426A2A" w:rsidP="00AC4BD5">
      <w:pPr>
        <w:pStyle w:val="Paragraph"/>
      </w:pPr>
      <w:r>
        <w:t>The Tribunal’s report must be completed by 20 September 2020.</w:t>
      </w:r>
    </w:p>
    <w:p w14:paraId="5F6C2BEC" w14:textId="3CC12643" w:rsidR="00A93F1F" w:rsidRDefault="00BC1B19" w:rsidP="00AC4BD5">
      <w:pPr>
        <w:pStyle w:val="Paragraph"/>
      </w:pPr>
      <w:r>
        <w:t xml:space="preserve">Under section </w:t>
      </w:r>
      <w:r w:rsidR="00426A2A">
        <w:t xml:space="preserve">39(2) of the </w:t>
      </w:r>
      <w:r w:rsidR="008519E3">
        <w:t>VIRTIPS Act, the</w:t>
      </w:r>
      <w:r>
        <w:t xml:space="preserve"> Tribunal</w:t>
      </w:r>
      <w:r w:rsidR="00A93F1F">
        <w:t>:</w:t>
      </w:r>
    </w:p>
    <w:p w14:paraId="27BC9350" w14:textId="4F72459A" w:rsidR="00BC1B19" w:rsidRDefault="008D12C5" w:rsidP="000C352B">
      <w:pPr>
        <w:pStyle w:val="Paragraphbeforeabulletlist"/>
        <w:ind w:left="720"/>
      </w:pPr>
      <w:r w:rsidRPr="008D12C5">
        <w:t xml:space="preserve">is </w:t>
      </w:r>
      <w:r w:rsidR="00426A2A" w:rsidRPr="008D12C5">
        <w:t>not</w:t>
      </w:r>
      <w:r w:rsidRPr="008D12C5">
        <w:t xml:space="preserve"> to</w:t>
      </w:r>
      <w:r w:rsidR="00426A2A" w:rsidRPr="008D12C5">
        <w:t xml:space="preserve"> consider any option that would result in an existing MP or former MP being in an overall position that is less favourable than before the making of the report.</w:t>
      </w:r>
    </w:p>
    <w:p w14:paraId="086C2A46" w14:textId="07FD630B" w:rsidR="00D932AD" w:rsidRDefault="00D932AD" w:rsidP="00AC4BD5">
      <w:pPr>
        <w:pStyle w:val="Paragraph"/>
      </w:pPr>
      <w:r>
        <w:t>The Tribunal invites affected and interested persons or parties to make a submission</w:t>
      </w:r>
      <w:r w:rsidR="00B73F1B">
        <w:t>. The Tribunal has a preference for written submissions. Requests to make an oral submission will be considered.</w:t>
      </w:r>
    </w:p>
    <w:p w14:paraId="389E7A79" w14:textId="769DF8E0" w:rsidR="00D932AD" w:rsidRDefault="00D932AD" w:rsidP="00AC4BD5">
      <w:pPr>
        <w:pStyle w:val="Paragraph"/>
      </w:pPr>
      <w:r>
        <w:t xml:space="preserve">To support interested parties to make a submission, the Tribunal has summarised </w:t>
      </w:r>
      <w:r w:rsidR="00534842">
        <w:t xml:space="preserve">in this issues paper </w:t>
      </w:r>
      <w:r>
        <w:t xml:space="preserve">the matters it </w:t>
      </w:r>
      <w:r w:rsidR="00534842">
        <w:t xml:space="preserve">will be </w:t>
      </w:r>
      <w:r w:rsidR="00426A2A">
        <w:t>considering</w:t>
      </w:r>
      <w:r w:rsidR="003B01B9">
        <w:t>.</w:t>
      </w:r>
    </w:p>
    <w:p w14:paraId="32CD52E4" w14:textId="6DDD2C86" w:rsidR="00D932AD" w:rsidRDefault="00D932AD" w:rsidP="00AC4BD5">
      <w:pPr>
        <w:pStyle w:val="Paragraph"/>
      </w:pPr>
      <w:r>
        <w:rPr>
          <w:b/>
          <w:bCs/>
        </w:rPr>
        <w:t xml:space="preserve">Written submissions must be made by 5pm on </w:t>
      </w:r>
      <w:r w:rsidR="003E3A11">
        <w:rPr>
          <w:b/>
          <w:bCs/>
        </w:rPr>
        <w:t>Friday, 3 July</w:t>
      </w:r>
      <w:r>
        <w:rPr>
          <w:b/>
          <w:bCs/>
        </w:rPr>
        <w:t xml:space="preserve"> 2020.</w:t>
      </w:r>
      <w:r>
        <w:t xml:space="preserve"> Written submissions may be</w:t>
      </w:r>
      <w:r w:rsidR="00976F1F">
        <w:t xml:space="preserve"> </w:t>
      </w:r>
      <w:r>
        <w:t>emailed to the Tribunal Secretariat</w:t>
      </w:r>
      <w:r w:rsidR="002B1BC8">
        <w:t xml:space="preserve"> </w:t>
      </w:r>
      <w:r>
        <w:t>at</w:t>
      </w:r>
      <w:r w:rsidR="00B20A57">
        <w:t xml:space="preserve"> </w:t>
      </w:r>
      <w:hyperlink r:id="rId14" w:history="1">
        <w:r w:rsidR="00376FEC" w:rsidRPr="00376FEC">
          <w:rPr>
            <w:rStyle w:val="Hyperlink"/>
          </w:rPr>
          <w:t>enquiries@remunerationtribunal.vic.gov.au</w:t>
        </w:r>
      </w:hyperlink>
    </w:p>
    <w:p w14:paraId="09F1D3FE" w14:textId="658D16A7" w:rsidR="00D932AD" w:rsidRDefault="00D932AD" w:rsidP="00AC4BD5">
      <w:pPr>
        <w:pStyle w:val="Paragraph"/>
      </w:pPr>
      <w:r>
        <w:t xml:space="preserve">Those wishing to make an oral submission are to advise the Tribunal by 5pm on </w:t>
      </w:r>
      <w:r w:rsidR="003E3A11">
        <w:t>Friday, 19 June</w:t>
      </w:r>
      <w:r>
        <w:t xml:space="preserve"> 2020 by email to </w:t>
      </w:r>
      <w:hyperlink r:id="rId15" w:history="1">
        <w:r>
          <w:rPr>
            <w:rStyle w:val="Hyperlink"/>
          </w:rPr>
          <w:t>enquiries@remunerationtribunal.vic.gov.au</w:t>
        </w:r>
      </w:hyperlink>
    </w:p>
    <w:p w14:paraId="1D5E5E9D" w14:textId="0C4593BB" w:rsidR="00D932AD" w:rsidRDefault="00D932AD" w:rsidP="00AC4BD5">
      <w:pPr>
        <w:pStyle w:val="Paragraph"/>
      </w:pPr>
      <w:r>
        <w:t>The dates for making an oral submission will be published on the Tribunal’s website.</w:t>
      </w:r>
    </w:p>
    <w:p w14:paraId="48606E5F" w14:textId="77777777" w:rsidR="00D932AD" w:rsidRDefault="00D932AD" w:rsidP="00AC4BD5">
      <w:pPr>
        <w:pStyle w:val="Paragraph"/>
      </w:pPr>
      <w:r>
        <w:t>If you require assistance to make a submission, please contact the Tribunal Secretariat at </w:t>
      </w:r>
      <w:hyperlink r:id="rId16" w:history="1">
        <w:r>
          <w:rPr>
            <w:rStyle w:val="Hyperlink"/>
          </w:rPr>
          <w:t>enquiries@remunerationtribunal.vic.gov.au</w:t>
        </w:r>
      </w:hyperlink>
    </w:p>
    <w:p w14:paraId="36771B56" w14:textId="77777777" w:rsidR="00BC1B19" w:rsidRDefault="00BC1B19" w:rsidP="00AC4BD5">
      <w:pPr>
        <w:pStyle w:val="Paragraph"/>
      </w:pPr>
      <w:r>
        <w:t xml:space="preserve">All submissions will be </w:t>
      </w:r>
      <w:r w:rsidRPr="00BC1B19">
        <w:t>published</w:t>
      </w:r>
      <w:r>
        <w:t xml:space="preserve"> in full or in summary form as appropriate on the Tribunal’s website, unless the person making the submission seeks confidentiality or the submission contains information that is identified as commercially sensitive. In this instance, the submission will be published in a form which protects the confidentiality or commercial sensitivity.</w:t>
      </w:r>
    </w:p>
    <w:p w14:paraId="562739D1" w14:textId="015BD16F" w:rsidR="00BC1B19" w:rsidRDefault="00BC1B19" w:rsidP="00AC4BD5">
      <w:pPr>
        <w:pStyle w:val="Paragraph"/>
      </w:pPr>
      <w:r>
        <w:t xml:space="preserve">Further information on how to make a submission is available on the Tribunal’s website. </w:t>
      </w:r>
    </w:p>
    <w:p w14:paraId="4EFBEB4F" w14:textId="71CD954A" w:rsidR="004D407C" w:rsidRDefault="004D407C" w:rsidP="0009126E">
      <w:pPr>
        <w:pStyle w:val="VIRTHeading3"/>
      </w:pPr>
      <w:bookmarkStart w:id="6" w:name="_Toc40777637"/>
      <w:r>
        <w:t>Schemes under review</w:t>
      </w:r>
      <w:bookmarkEnd w:id="6"/>
    </w:p>
    <w:p w14:paraId="7683D50A" w14:textId="77777777" w:rsidR="0071258E" w:rsidRPr="0071258E" w:rsidRDefault="0071258E" w:rsidP="00AC4BD5">
      <w:pPr>
        <w:pStyle w:val="Paragraphbeforeabulletlist"/>
      </w:pPr>
      <w:r w:rsidRPr="0071258E">
        <w:t>Part 3 of the PSAS Act provides the rules for two defined benefit schemes:</w:t>
      </w:r>
    </w:p>
    <w:p w14:paraId="3A90D599" w14:textId="77777777" w:rsidR="0071258E" w:rsidRPr="0071258E" w:rsidRDefault="0071258E" w:rsidP="00AC4BD5">
      <w:pPr>
        <w:pStyle w:val="VIRTBulletpoints"/>
      </w:pPr>
      <w:r w:rsidRPr="0071258E">
        <w:t xml:space="preserve">an </w:t>
      </w:r>
      <w:r w:rsidRPr="008458A5">
        <w:t>Existing</w:t>
      </w:r>
      <w:r w:rsidRPr="0071258E">
        <w:t xml:space="preserve"> Benefits Scheme, closed to new members on 2 July 1996</w:t>
      </w:r>
    </w:p>
    <w:p w14:paraId="6CAFE583" w14:textId="1E6187A5" w:rsidR="008E5F5B" w:rsidRPr="008E5F5B" w:rsidRDefault="0071258E" w:rsidP="00AC4BD5">
      <w:pPr>
        <w:pStyle w:val="VIRTBulletpoints"/>
      </w:pPr>
      <w:proofErr w:type="gramStart"/>
      <w:r w:rsidRPr="0071258E">
        <w:t>a New Benefits Scheme,</w:t>
      </w:r>
      <w:proofErr w:type="gramEnd"/>
      <w:r w:rsidRPr="0071258E">
        <w:t xml:space="preserve"> closed to new members on 10 November 2004.</w:t>
      </w:r>
    </w:p>
    <w:p w14:paraId="17FDE72C" w14:textId="799BEF1B" w:rsidR="0071258E" w:rsidRDefault="0071258E" w:rsidP="00AC4BD5">
      <w:pPr>
        <w:pStyle w:val="Paragraph"/>
      </w:pPr>
      <w:r w:rsidRPr="0071258E">
        <w:t xml:space="preserve">A defined benefit scheme is a superannuation scheme which guarantees its members a defined (i.e. fixed) benefit upon retirement, such as a pension or lump sum. </w:t>
      </w:r>
      <w:r w:rsidR="00DA732F">
        <w:t>For former MPs, t</w:t>
      </w:r>
      <w:r w:rsidRPr="0071258E">
        <w:t>he value of the benefit is determined by a formula which takes into account several factors, includ</w:t>
      </w:r>
      <w:r w:rsidR="000C5222">
        <w:t>ing</w:t>
      </w:r>
      <w:r w:rsidRPr="0071258E">
        <w:t xml:space="preserve"> the</w:t>
      </w:r>
      <w:r w:rsidR="00DA732F">
        <w:t>ir</w:t>
      </w:r>
      <w:r w:rsidRPr="0071258E">
        <w:t xml:space="preserve"> length of service</w:t>
      </w:r>
      <w:r w:rsidR="00DA732F">
        <w:t xml:space="preserve"> in the Parliament and a value known as the basic salary portion (see </w:t>
      </w:r>
      <w:r w:rsidR="00DA732F" w:rsidRPr="002662D5">
        <w:rPr>
          <w:u w:val="single"/>
        </w:rPr>
        <w:t>Appendix</w:t>
      </w:r>
      <w:r w:rsidR="002662D5" w:rsidRPr="002662D5">
        <w:rPr>
          <w:u w:val="single"/>
        </w:rPr>
        <w:t xml:space="preserve"> A</w:t>
      </w:r>
      <w:r w:rsidR="00DA732F">
        <w:t>)</w:t>
      </w:r>
      <w:r w:rsidRPr="0071258E">
        <w:t xml:space="preserve">. </w:t>
      </w:r>
      <w:r w:rsidR="00347499">
        <w:t>In most cases</w:t>
      </w:r>
      <w:r w:rsidRPr="0071258E">
        <w:t xml:space="preserve"> members </w:t>
      </w:r>
      <w:r w:rsidR="003B0D0D">
        <w:t xml:space="preserve">are required to </w:t>
      </w:r>
      <w:r w:rsidRPr="0071258E">
        <w:t xml:space="preserve">contribute a portion of their salary </w:t>
      </w:r>
      <w:r w:rsidR="003B0D0D">
        <w:t>to the Parliamentary Contributory Superannuation Fund (PCSF)</w:t>
      </w:r>
      <w:r w:rsidR="005D1865">
        <w:t xml:space="preserve">, which is </w:t>
      </w:r>
      <w:r w:rsidR="00DD79A5">
        <w:t>administered</w:t>
      </w:r>
      <w:r w:rsidR="005D1865">
        <w:t xml:space="preserve"> by </w:t>
      </w:r>
      <w:r w:rsidR="001D5843" w:rsidRPr="001D5843">
        <w:t xml:space="preserve">Emergency Services and State Super </w:t>
      </w:r>
      <w:r w:rsidR="001D5843">
        <w:t>(</w:t>
      </w:r>
      <w:r w:rsidR="005D1865">
        <w:t>ESSSuper</w:t>
      </w:r>
      <w:r w:rsidR="001D5843">
        <w:t>)</w:t>
      </w:r>
      <w:r w:rsidR="00D91C22">
        <w:t xml:space="preserve">. </w:t>
      </w:r>
      <w:r w:rsidR="00196AA0">
        <w:t xml:space="preserve">Member contributions </w:t>
      </w:r>
      <w:r w:rsidR="00150142">
        <w:t>are pooled and invested</w:t>
      </w:r>
      <w:r w:rsidR="00B1052C">
        <w:t xml:space="preserve"> by ESSSuper</w:t>
      </w:r>
      <w:r w:rsidR="00D1181E">
        <w:t xml:space="preserve"> and used to pay the superannuation entitlements of members of the</w:t>
      </w:r>
      <w:r w:rsidR="004E4FA6">
        <w:t xml:space="preserve"> schemes</w:t>
      </w:r>
      <w:r w:rsidRPr="0071258E">
        <w:t>.</w:t>
      </w:r>
      <w:r w:rsidR="00D91C22">
        <w:t xml:space="preserve"> </w:t>
      </w:r>
      <w:r w:rsidRPr="0071258E">
        <w:t xml:space="preserve">The </w:t>
      </w:r>
      <w:r w:rsidR="004E4FA6">
        <w:t>State</w:t>
      </w:r>
      <w:r w:rsidR="00461F4C">
        <w:t xml:space="preserve"> of Victoria</w:t>
      </w:r>
      <w:r w:rsidRPr="0071258E">
        <w:t xml:space="preserve"> may </w:t>
      </w:r>
      <w:r w:rsidR="004E4FA6">
        <w:t>contribute additional</w:t>
      </w:r>
      <w:r w:rsidR="00C53660">
        <w:t xml:space="preserve"> </w:t>
      </w:r>
      <w:r w:rsidRPr="0071258E">
        <w:t>fund</w:t>
      </w:r>
      <w:r w:rsidR="00570F57">
        <w:t>s to the PCSF</w:t>
      </w:r>
      <w:r w:rsidRPr="0071258E">
        <w:t xml:space="preserve"> from time to time, to ensure</w:t>
      </w:r>
      <w:r w:rsidR="00461F4C">
        <w:t xml:space="preserve"> that</w:t>
      </w:r>
      <w:r w:rsidRPr="0071258E">
        <w:t xml:space="preserve"> it can continue to meet its liabilities</w:t>
      </w:r>
      <w:r w:rsidR="007950BD">
        <w:t>.</w:t>
      </w:r>
    </w:p>
    <w:p w14:paraId="62D85761" w14:textId="780DF027" w:rsidR="006242B0" w:rsidRDefault="0071258E" w:rsidP="00AC4BD5">
      <w:pPr>
        <w:pStyle w:val="Paragraph"/>
      </w:pPr>
      <w:r w:rsidRPr="0071258E">
        <w:t xml:space="preserve">Part 4 of the PSAS Act provides the rules for an accumulation scheme. Under the accumulation scheme, the State of Victoria makes superannuation contributions to </w:t>
      </w:r>
      <w:r w:rsidR="00347499">
        <w:t>an</w:t>
      </w:r>
      <w:r w:rsidRPr="0071258E">
        <w:t xml:space="preserve"> MP’s nominated fund on </w:t>
      </w:r>
      <w:r w:rsidR="00CC0277">
        <w:t>their</w:t>
      </w:r>
      <w:r w:rsidRPr="0071258E">
        <w:t xml:space="preserve"> behalf.</w:t>
      </w:r>
      <w:r w:rsidR="000661E8">
        <w:t xml:space="preserve"> The</w:t>
      </w:r>
      <w:r w:rsidR="00D12768">
        <w:t xml:space="preserve"> superannuation balance, including investment returns and any additional contributions, are accessible once the </w:t>
      </w:r>
      <w:r w:rsidR="00723ED9">
        <w:t xml:space="preserve">MP </w:t>
      </w:r>
      <w:r w:rsidR="007222D3">
        <w:t>(</w:t>
      </w:r>
      <w:r w:rsidR="00723ED9">
        <w:t xml:space="preserve">or </w:t>
      </w:r>
      <w:r w:rsidR="00E145ED">
        <w:t xml:space="preserve">former </w:t>
      </w:r>
      <w:r w:rsidR="00D12768">
        <w:t>MP</w:t>
      </w:r>
      <w:r w:rsidR="007222D3">
        <w:t>)</w:t>
      </w:r>
      <w:r w:rsidR="00D12768">
        <w:t xml:space="preserve"> reaches their preservation age (</w:t>
      </w:r>
      <w:r w:rsidR="00E145ED">
        <w:t xml:space="preserve">which </w:t>
      </w:r>
      <w:r w:rsidR="00D12768">
        <w:t>ranges from 55-60 depending on date of birth).</w:t>
      </w:r>
      <w:r w:rsidR="00920A39">
        <w:t xml:space="preserve"> </w:t>
      </w:r>
    </w:p>
    <w:p w14:paraId="3DC0D9CA" w14:textId="5E0D3717" w:rsidR="0009126E" w:rsidRDefault="0071258E" w:rsidP="00AC4BD5">
      <w:pPr>
        <w:pStyle w:val="Paragraph"/>
      </w:pPr>
      <w:r w:rsidRPr="74FB5D59">
        <w:t xml:space="preserve">As at </w:t>
      </w:r>
      <w:r w:rsidR="002C2FCE" w:rsidRPr="74FB5D59">
        <w:t>April 2020</w:t>
      </w:r>
      <w:r w:rsidRPr="74FB5D59">
        <w:t>, there were no</w:t>
      </w:r>
      <w:r w:rsidR="00723ED9">
        <w:t xml:space="preserve"> existing</w:t>
      </w:r>
      <w:r w:rsidRPr="74FB5D59">
        <w:t xml:space="preserve"> MPs in the Existing Benefits Scheme and 1</w:t>
      </w:r>
      <w:r w:rsidR="002C2FCE" w:rsidRPr="74FB5D59">
        <w:t>7</w:t>
      </w:r>
      <w:r w:rsidRPr="74FB5D59">
        <w:t xml:space="preserve"> </w:t>
      </w:r>
      <w:r w:rsidR="00C045A8">
        <w:t xml:space="preserve">existing </w:t>
      </w:r>
      <w:r w:rsidRPr="74FB5D59">
        <w:t>MPs in the New Benefits Scheme</w:t>
      </w:r>
      <w:r w:rsidR="00F41A3A" w:rsidRPr="74FB5D59">
        <w:t xml:space="preserve">. </w:t>
      </w:r>
      <w:r w:rsidR="00F41A3A">
        <w:t>The other 11</w:t>
      </w:r>
      <w:r w:rsidR="00160E38">
        <w:t>1</w:t>
      </w:r>
      <w:r w:rsidR="00315536" w:rsidRPr="74FB5D59">
        <w:t xml:space="preserve"> </w:t>
      </w:r>
      <w:r w:rsidR="00723ED9">
        <w:t>existing</w:t>
      </w:r>
      <w:r w:rsidRPr="74FB5D59">
        <w:t xml:space="preserve"> MPs are </w:t>
      </w:r>
      <w:r w:rsidR="00347499" w:rsidRPr="74FB5D59">
        <w:t xml:space="preserve">members of </w:t>
      </w:r>
      <w:r w:rsidR="00E145ED">
        <w:t>the</w:t>
      </w:r>
      <w:r w:rsidRPr="74FB5D59">
        <w:t xml:space="preserve"> accumulation scheme. Approximately 200 individuals (former MPs</w:t>
      </w:r>
      <w:r w:rsidR="00723ED9">
        <w:t xml:space="preserve"> or their partners</w:t>
      </w:r>
      <w:r w:rsidRPr="74FB5D59">
        <w:t xml:space="preserve"> </w:t>
      </w:r>
      <w:r w:rsidR="00723ED9">
        <w:t>or eligible</w:t>
      </w:r>
      <w:r w:rsidRPr="74FB5D59">
        <w:t xml:space="preserve"> children) are </w:t>
      </w:r>
      <w:r w:rsidR="001E1AEC" w:rsidRPr="74FB5D59">
        <w:t xml:space="preserve">currently </w:t>
      </w:r>
      <w:r w:rsidRPr="74FB5D59">
        <w:t xml:space="preserve">receiving a pension under the defined benefit schemes. </w:t>
      </w:r>
      <w:r w:rsidR="001055BC" w:rsidRPr="74FB5D59">
        <w:t xml:space="preserve"> </w:t>
      </w:r>
    </w:p>
    <w:p w14:paraId="65D57191" w14:textId="49DD14D8" w:rsidR="003B72F9" w:rsidRPr="00A62A0A" w:rsidRDefault="003B72F9" w:rsidP="00AC4BD5">
      <w:pPr>
        <w:pStyle w:val="Paragraph"/>
      </w:pPr>
      <w:r>
        <w:t xml:space="preserve">Further information </w:t>
      </w:r>
      <w:r w:rsidR="00D3517D">
        <w:t>on</w:t>
      </w:r>
      <w:r>
        <w:t xml:space="preserve"> the MP superannuation schemes can be found in </w:t>
      </w:r>
      <w:r w:rsidR="00846215">
        <w:t>s</w:t>
      </w:r>
      <w:r>
        <w:t>ection</w:t>
      </w:r>
      <w:r w:rsidR="00376FEC">
        <w:t> </w:t>
      </w:r>
      <w:r>
        <w:t xml:space="preserve">4, </w:t>
      </w:r>
      <w:r w:rsidR="007A54D4">
        <w:t xml:space="preserve">and </w:t>
      </w:r>
      <w:r>
        <w:t xml:space="preserve">a </w:t>
      </w:r>
      <w:r w:rsidR="0070710C">
        <w:t xml:space="preserve">more </w:t>
      </w:r>
      <w:r>
        <w:t xml:space="preserve">detailed explanation of how the </w:t>
      </w:r>
      <w:r w:rsidR="004D56D6">
        <w:t>defined benefit</w:t>
      </w:r>
      <w:r>
        <w:t xml:space="preserve"> schemes operate has been included </w:t>
      </w:r>
      <w:r w:rsidR="002662D5">
        <w:t>at</w:t>
      </w:r>
      <w:r w:rsidR="00AC7C1F">
        <w:t xml:space="preserve"> </w:t>
      </w:r>
      <w:r w:rsidRPr="002662D5">
        <w:rPr>
          <w:u w:val="single"/>
        </w:rPr>
        <w:t>Appendix</w:t>
      </w:r>
      <w:r w:rsidR="002662D5" w:rsidRPr="002662D5">
        <w:rPr>
          <w:u w:val="single"/>
        </w:rPr>
        <w:t xml:space="preserve"> A</w:t>
      </w:r>
      <w:r>
        <w:t>.</w:t>
      </w:r>
    </w:p>
    <w:p w14:paraId="3FB937C4" w14:textId="0129A6B5" w:rsidR="00004909" w:rsidRDefault="00004909">
      <w:pPr>
        <w:pStyle w:val="VIRTHeading3"/>
      </w:pPr>
      <w:bookmarkStart w:id="7" w:name="_Toc40777638"/>
      <w:r>
        <w:t>Particular questions for consideration</w:t>
      </w:r>
      <w:bookmarkEnd w:id="7"/>
    </w:p>
    <w:p w14:paraId="3F9D4128" w14:textId="5C27F288" w:rsidR="00004909" w:rsidRDefault="00B3774E" w:rsidP="00AC4BD5">
      <w:pPr>
        <w:pStyle w:val="Paragraph"/>
      </w:pPr>
      <w:r>
        <w:t>Without limiting the matters on which persons or parties might wish to make submissions, t</w:t>
      </w:r>
      <w:r w:rsidR="00004909" w:rsidRPr="002540FF">
        <w:t>he Tribunal</w:t>
      </w:r>
      <w:r w:rsidR="00004909">
        <w:t xml:space="preserve"> is particularly interested in receiving submissions on the following questions, which are discussed in this issues paper</w:t>
      </w:r>
      <w:r w:rsidR="00004909" w:rsidRPr="002540FF">
        <w:t>:</w:t>
      </w:r>
    </w:p>
    <w:p w14:paraId="0ED9650A" w14:textId="0B26A121" w:rsidR="00004909" w:rsidRDefault="002662D5" w:rsidP="00AC4BD5">
      <w:pPr>
        <w:pStyle w:val="Paragraph"/>
        <w:numPr>
          <w:ilvl w:val="0"/>
          <w:numId w:val="21"/>
        </w:numPr>
      </w:pPr>
      <w:r w:rsidRPr="0074524A">
        <w:rPr>
          <w:b/>
          <w:bCs/>
          <w:i/>
          <w:iCs/>
        </w:rPr>
        <w:t>Analytical framework</w:t>
      </w:r>
      <w:r>
        <w:t xml:space="preserve">: </w:t>
      </w:r>
      <w:r w:rsidR="00004909">
        <w:t xml:space="preserve">Is the Tribunal’s proposed </w:t>
      </w:r>
      <w:r w:rsidR="001E7537">
        <w:t xml:space="preserve">analytical framework </w:t>
      </w:r>
      <w:r w:rsidR="00004909">
        <w:t xml:space="preserve">for identifying potential inequalities and irregularities, and for considering </w:t>
      </w:r>
      <w:r w:rsidR="00887B95">
        <w:t>options to address these</w:t>
      </w:r>
      <w:r w:rsidR="00004909">
        <w:t>, appropriate and complete?  If not, why?</w:t>
      </w:r>
    </w:p>
    <w:p w14:paraId="4505EB60" w14:textId="7DA26FD1" w:rsidR="00004909" w:rsidRDefault="002662D5" w:rsidP="00AC4BD5">
      <w:pPr>
        <w:pStyle w:val="Paragraph"/>
        <w:numPr>
          <w:ilvl w:val="0"/>
          <w:numId w:val="21"/>
        </w:numPr>
      </w:pPr>
      <w:r w:rsidRPr="0074524A">
        <w:rPr>
          <w:b/>
          <w:bCs/>
          <w:i/>
          <w:iCs/>
        </w:rPr>
        <w:t>Comparing schemes</w:t>
      </w:r>
      <w:r>
        <w:t xml:space="preserve">: </w:t>
      </w:r>
      <w:r w:rsidR="00004909" w:rsidRPr="00630FFA">
        <w:t>How (if at all) should the Tribunal compare the</w:t>
      </w:r>
      <w:r w:rsidR="00B00708" w:rsidRPr="00630FFA">
        <w:t xml:space="preserve"> outcomes for MPs </w:t>
      </w:r>
      <w:r w:rsidR="001E1AEC" w:rsidRPr="00630FFA">
        <w:t xml:space="preserve">who are members of </w:t>
      </w:r>
      <w:r w:rsidR="00174F70" w:rsidRPr="00630FFA">
        <w:t>the</w:t>
      </w:r>
      <w:r w:rsidR="00004909" w:rsidRPr="00630FFA">
        <w:t xml:space="preserve"> </w:t>
      </w:r>
      <w:r w:rsidR="00E145ED">
        <w:t>defined</w:t>
      </w:r>
      <w:r w:rsidR="00004909" w:rsidRPr="00630FFA">
        <w:t xml:space="preserve"> </w:t>
      </w:r>
      <w:r w:rsidR="00E145ED">
        <w:t>b</w:t>
      </w:r>
      <w:r w:rsidR="00004909" w:rsidRPr="00630FFA">
        <w:t xml:space="preserve">enefit </w:t>
      </w:r>
      <w:r w:rsidR="00E145ED">
        <w:t>s</w:t>
      </w:r>
      <w:r w:rsidR="00004909" w:rsidRPr="00630FFA">
        <w:t>cheme</w:t>
      </w:r>
      <w:r w:rsidR="00E145ED">
        <w:t xml:space="preserve">s </w:t>
      </w:r>
      <w:r w:rsidR="00004909" w:rsidRPr="00630FFA">
        <w:t>and the accumulation scheme</w:t>
      </w:r>
      <w:r w:rsidR="000C7F5C" w:rsidRPr="00630FFA">
        <w:t xml:space="preserve"> respectively</w:t>
      </w:r>
      <w:r w:rsidR="00004909" w:rsidRPr="00630FFA">
        <w:t>? For example, is the</w:t>
      </w:r>
      <w:r w:rsidR="00174F70" w:rsidRPr="00630FFA">
        <w:t xml:space="preserve"> Tribunal’s proposed </w:t>
      </w:r>
      <w:r w:rsidR="005729C5" w:rsidRPr="00630FFA">
        <w:t xml:space="preserve">actuarial </w:t>
      </w:r>
      <w:r w:rsidR="00174F70" w:rsidRPr="00630FFA">
        <w:t>modelling approach</w:t>
      </w:r>
      <w:r w:rsidR="00EF23F7" w:rsidRPr="00630FFA">
        <w:t xml:space="preserve">, outlined in </w:t>
      </w:r>
      <w:r w:rsidR="00846215">
        <w:t>s</w:t>
      </w:r>
      <w:r w:rsidR="00EF23F7" w:rsidRPr="00630FFA">
        <w:t>ection 5,</w:t>
      </w:r>
      <w:r w:rsidR="00004909" w:rsidRPr="00630FFA">
        <w:t xml:space="preserve"> appropriate?</w:t>
      </w:r>
      <w:r w:rsidR="00F50FF1">
        <w:t xml:space="preserve"> </w:t>
      </w:r>
      <w:r w:rsidR="00DA732F">
        <w:t>Moreover, is the Tribunal’s proposal to focus on a comparison of the accumulation and New Benefits schemes appropriate? If not, why?</w:t>
      </w:r>
    </w:p>
    <w:p w14:paraId="2028D8D1" w14:textId="1FD0813F" w:rsidR="00E145ED" w:rsidRPr="00630FFA" w:rsidRDefault="002662D5" w:rsidP="00AC4BD5">
      <w:pPr>
        <w:pStyle w:val="Paragraph"/>
        <w:numPr>
          <w:ilvl w:val="0"/>
          <w:numId w:val="21"/>
        </w:numPr>
      </w:pPr>
      <w:r w:rsidRPr="0074524A">
        <w:rPr>
          <w:b/>
          <w:bCs/>
          <w:i/>
          <w:iCs/>
        </w:rPr>
        <w:t>Inequalities</w:t>
      </w:r>
      <w:r>
        <w:t xml:space="preserve">: </w:t>
      </w:r>
      <w:r w:rsidR="00E145ED" w:rsidRPr="00630FFA">
        <w:t>What i</w:t>
      </w:r>
      <w:r w:rsidR="00E145ED">
        <w:t>nequalities</w:t>
      </w:r>
      <w:r w:rsidR="00E145ED" w:rsidRPr="00630FFA">
        <w:t xml:space="preserve"> should the Tribunal consider? Has the Tribunal identified the main i</w:t>
      </w:r>
      <w:r w:rsidR="00E145ED">
        <w:t>nequalities</w:t>
      </w:r>
      <w:r w:rsidR="00E145ED" w:rsidRPr="00630FFA">
        <w:t xml:space="preserve"> in this paper? What reforms are needed to address these i</w:t>
      </w:r>
      <w:r w:rsidR="00E145ED">
        <w:t>nequalities</w:t>
      </w:r>
      <w:r w:rsidR="00E145ED" w:rsidRPr="00630FFA">
        <w:t xml:space="preserve">? What factors should the Tribunal take into account when considering potential changes? </w:t>
      </w:r>
    </w:p>
    <w:p w14:paraId="7EA38468" w14:textId="13D6C72A" w:rsidR="00313B43" w:rsidRPr="00630FFA" w:rsidRDefault="002662D5" w:rsidP="00AC4BD5">
      <w:pPr>
        <w:pStyle w:val="Paragraph"/>
        <w:numPr>
          <w:ilvl w:val="0"/>
          <w:numId w:val="21"/>
        </w:numPr>
      </w:pPr>
      <w:r w:rsidRPr="0074524A">
        <w:rPr>
          <w:b/>
          <w:bCs/>
          <w:i/>
          <w:iCs/>
        </w:rPr>
        <w:t>Irregularities</w:t>
      </w:r>
      <w:r>
        <w:t xml:space="preserve">: </w:t>
      </w:r>
      <w:r w:rsidR="00004909" w:rsidRPr="00630FFA">
        <w:t xml:space="preserve">What irregularities </w:t>
      </w:r>
      <w:r w:rsidR="00174F70" w:rsidRPr="00630FFA">
        <w:t>should</w:t>
      </w:r>
      <w:r w:rsidR="00004909" w:rsidRPr="00630FFA">
        <w:t xml:space="preserve"> the Tribunal consider? Has the Tribunal identified the main irregularities in this paper? What reforms are needed to address these irregularities? What factors should the Tribunal take into account </w:t>
      </w:r>
      <w:r w:rsidR="001E1AEC" w:rsidRPr="00630FFA">
        <w:t>when</w:t>
      </w:r>
      <w:r w:rsidR="00004909" w:rsidRPr="00630FFA">
        <w:t xml:space="preserve"> considering potential changes?</w:t>
      </w:r>
      <w:r w:rsidR="00FC48CA" w:rsidRPr="00630FFA">
        <w:t xml:space="preserve"> </w:t>
      </w:r>
    </w:p>
    <w:p w14:paraId="0F23AB4D" w14:textId="72AB8F31" w:rsidR="001C1739" w:rsidRPr="00C73FF8" w:rsidRDefault="002662D5" w:rsidP="00AC4BD5">
      <w:pPr>
        <w:pStyle w:val="Paragraph"/>
        <w:numPr>
          <w:ilvl w:val="0"/>
          <w:numId w:val="21"/>
        </w:numPr>
      </w:pPr>
      <w:r w:rsidRPr="0074524A">
        <w:rPr>
          <w:b/>
          <w:bCs/>
          <w:i/>
          <w:iCs/>
        </w:rPr>
        <w:t>Commonwealth legislation</w:t>
      </w:r>
      <w:r>
        <w:t xml:space="preserve">: </w:t>
      </w:r>
      <w:r w:rsidR="00C16512" w:rsidRPr="00C73FF8">
        <w:t>What is the impact of Commonwealth legislation on Victorian MP superannuation schemes, and what options should the Tribunal consider to address these impacts?</w:t>
      </w:r>
    </w:p>
    <w:p w14:paraId="5B330098" w14:textId="200213C1" w:rsidR="00927C0B" w:rsidRDefault="006E357E" w:rsidP="002026CF">
      <w:pPr>
        <w:pStyle w:val="VIRTHeading2"/>
      </w:pPr>
      <w:bookmarkStart w:id="8" w:name="_Toc40777639"/>
      <w:r>
        <w:t xml:space="preserve">The Tribunal’s proposed </w:t>
      </w:r>
      <w:r w:rsidR="009B625E">
        <w:t>analytical framework</w:t>
      </w:r>
      <w:bookmarkEnd w:id="8"/>
      <w:r w:rsidR="00A62A0A" w:rsidRPr="004E004C">
        <w:t xml:space="preserve"> </w:t>
      </w:r>
    </w:p>
    <w:p w14:paraId="697881F2" w14:textId="3EA4D38E" w:rsidR="0044527F" w:rsidRDefault="006E357E" w:rsidP="00AC4BD5">
      <w:pPr>
        <w:pStyle w:val="Paragraph"/>
      </w:pPr>
      <w:r>
        <w:t>T</w:t>
      </w:r>
      <w:r w:rsidR="004B5060">
        <w:t xml:space="preserve">he Tribunal </w:t>
      </w:r>
      <w:r w:rsidR="00D30550">
        <w:t xml:space="preserve">intends </w:t>
      </w:r>
      <w:r w:rsidR="0044527F">
        <w:t xml:space="preserve">to focus </w:t>
      </w:r>
      <w:r w:rsidR="00E626EF">
        <w:t xml:space="preserve">its </w:t>
      </w:r>
      <w:r w:rsidR="00F45CA0">
        <w:t xml:space="preserve">review </w:t>
      </w:r>
      <w:r w:rsidR="004A5019">
        <w:t xml:space="preserve">on </w:t>
      </w:r>
      <w:r w:rsidR="0044527F">
        <w:t>the New Benefits Scheme and the accumulation scheme, as:</w:t>
      </w:r>
    </w:p>
    <w:p w14:paraId="64B987D8" w14:textId="3C075DD3" w:rsidR="000762FB" w:rsidRDefault="000762FB" w:rsidP="00AC4BD5">
      <w:pPr>
        <w:pStyle w:val="VIRTBulletpoints"/>
      </w:pPr>
      <w:r>
        <w:t xml:space="preserve">all </w:t>
      </w:r>
      <w:r w:rsidR="00723ED9">
        <w:t>existing</w:t>
      </w:r>
      <w:r>
        <w:t xml:space="preserve"> MPs are members of either the New Benefits Scheme or the accumulation scheme</w:t>
      </w:r>
    </w:p>
    <w:p w14:paraId="4F1E1654" w14:textId="5579930C" w:rsidR="0044527F" w:rsidRDefault="00F35100" w:rsidP="00AC4BD5">
      <w:pPr>
        <w:pStyle w:val="VIRTBulletpoints"/>
      </w:pPr>
      <w:r>
        <w:t>a</w:t>
      </w:r>
      <w:r w:rsidR="0044527F">
        <w:t xml:space="preserve"> </w:t>
      </w:r>
      <w:r>
        <w:t xml:space="preserve">2013 </w:t>
      </w:r>
      <w:r w:rsidR="0044527F">
        <w:t xml:space="preserve">review of </w:t>
      </w:r>
      <w:r>
        <w:t>the salary entitlements, allowances and other arrangements for Victorian MPs identified a need to ‘bridge the gap’ between the</w:t>
      </w:r>
      <w:r w:rsidR="00D24D69">
        <w:t xml:space="preserve"> New Benefits Scheme and the accumulat</w:t>
      </w:r>
      <w:r w:rsidR="00AF4110">
        <w:t>ion</w:t>
      </w:r>
      <w:r w:rsidR="00D24D69">
        <w:t xml:space="preserve"> scheme</w:t>
      </w:r>
      <w:r w:rsidR="00376FEC">
        <w:t>.</w:t>
      </w:r>
      <w:r>
        <w:t xml:space="preserve"> </w:t>
      </w:r>
    </w:p>
    <w:p w14:paraId="62EAE25D" w14:textId="3268128F" w:rsidR="00A45A38" w:rsidRDefault="00A5117A" w:rsidP="00AC4BD5">
      <w:pPr>
        <w:pStyle w:val="Paragraph"/>
      </w:pPr>
      <w:r>
        <w:t>However, t</w:t>
      </w:r>
      <w:r w:rsidR="00835FA1">
        <w:t xml:space="preserve">he Tribunal </w:t>
      </w:r>
      <w:r w:rsidR="0094235B">
        <w:t>will</w:t>
      </w:r>
      <w:r w:rsidR="00992B3F">
        <w:t xml:space="preserve"> </w:t>
      </w:r>
      <w:r w:rsidR="009D6CB5">
        <w:t xml:space="preserve">also </w:t>
      </w:r>
      <w:r w:rsidR="00835FA1">
        <w:t>be mindful of potential impacts on the Existing Benefits Scheme</w:t>
      </w:r>
      <w:r w:rsidR="00A45A38">
        <w:t>, p</w:t>
      </w:r>
      <w:r w:rsidR="00AE3140">
        <w:t xml:space="preserve">articularly as these </w:t>
      </w:r>
      <w:r w:rsidR="00E305ED">
        <w:t xml:space="preserve">may </w:t>
      </w:r>
      <w:r w:rsidR="00AE3140">
        <w:t>affect</w:t>
      </w:r>
      <w:r w:rsidR="009E0A33">
        <w:t xml:space="preserve"> </w:t>
      </w:r>
      <w:r w:rsidR="00ED0DAF">
        <w:t xml:space="preserve">former MPs (and </w:t>
      </w:r>
      <w:r w:rsidR="00723ED9">
        <w:t xml:space="preserve">their partners or </w:t>
      </w:r>
      <w:r w:rsidR="00ED0DAF">
        <w:t xml:space="preserve">eligible </w:t>
      </w:r>
      <w:r w:rsidR="00723ED9">
        <w:t>children</w:t>
      </w:r>
      <w:r w:rsidR="00ED0DAF">
        <w:t xml:space="preserve">) who </w:t>
      </w:r>
      <w:r w:rsidR="00A77BE1">
        <w:t xml:space="preserve">continue to </w:t>
      </w:r>
      <w:r w:rsidR="00ED0DAF">
        <w:t xml:space="preserve">receive a pension </w:t>
      </w:r>
      <w:r w:rsidR="00972BFD">
        <w:t>under this scheme.</w:t>
      </w:r>
    </w:p>
    <w:p w14:paraId="33853C42" w14:textId="238507E8" w:rsidR="005D2694" w:rsidRPr="005D2694" w:rsidRDefault="005D2694" w:rsidP="00AC4BD5">
      <w:pPr>
        <w:pStyle w:val="Paragraph"/>
      </w:pPr>
      <w:r w:rsidRPr="005D2694">
        <w:t xml:space="preserve">The VIRTIPS Act requires the Tribunal to consider ‘potential’ inequalities </w:t>
      </w:r>
      <w:r>
        <w:t>and</w:t>
      </w:r>
      <w:r w:rsidRPr="005D2694">
        <w:t xml:space="preserve"> irregularities. The Tribunal understands this </w:t>
      </w:r>
      <w:r>
        <w:t xml:space="preserve">to </w:t>
      </w:r>
      <w:r w:rsidRPr="005D2694">
        <w:t xml:space="preserve">mean inequalities and irregularities </w:t>
      </w:r>
      <w:r>
        <w:t>which may</w:t>
      </w:r>
      <w:r w:rsidRPr="005D2694">
        <w:t xml:space="preserve"> exist at the present time, in addition to those </w:t>
      </w:r>
      <w:r>
        <w:t xml:space="preserve">that </w:t>
      </w:r>
      <w:r w:rsidRPr="005D2694">
        <w:t xml:space="preserve">may </w:t>
      </w:r>
      <w:r>
        <w:t xml:space="preserve">arise </w:t>
      </w:r>
      <w:r w:rsidRPr="005D2694">
        <w:t xml:space="preserve">in the future as a result </w:t>
      </w:r>
      <w:r w:rsidR="005A3445">
        <w:t>of</w:t>
      </w:r>
      <w:r w:rsidRPr="005D2694">
        <w:t xml:space="preserve"> changes in MP circumstances or economic conditions.</w:t>
      </w:r>
    </w:p>
    <w:p w14:paraId="05A7FF26" w14:textId="65F19EFB" w:rsidR="006E357E" w:rsidRPr="00F368CC" w:rsidRDefault="006E357E" w:rsidP="00AC4BD5">
      <w:pPr>
        <w:pStyle w:val="Paragraphbeforeabulletlist"/>
      </w:pPr>
      <w:r w:rsidRPr="00F368CC">
        <w:t xml:space="preserve">To assess potential inequalities between </w:t>
      </w:r>
      <w:r w:rsidR="0079758E" w:rsidRPr="00F368CC">
        <w:t xml:space="preserve">the </w:t>
      </w:r>
      <w:r w:rsidR="0073542F" w:rsidRPr="00F368CC">
        <w:t>superannuation schemes</w:t>
      </w:r>
      <w:r w:rsidRPr="00F368CC">
        <w:t>,</w:t>
      </w:r>
      <w:r w:rsidR="001E7537" w:rsidRPr="00F368CC">
        <w:t xml:space="preserve"> </w:t>
      </w:r>
      <w:r w:rsidR="00AD0F4C" w:rsidRPr="00F368CC">
        <w:t xml:space="preserve">the Tribunal proposes </w:t>
      </w:r>
      <w:r w:rsidR="003D7EDD" w:rsidRPr="00F368CC">
        <w:t xml:space="preserve">to consider whether differences between the superannuation schemes are leading to the inequitable treatment of some </w:t>
      </w:r>
      <w:r w:rsidR="00723ED9">
        <w:t>existing</w:t>
      </w:r>
      <w:r w:rsidR="003D7EDD" w:rsidRPr="00F368CC">
        <w:t xml:space="preserve"> or former MPs. </w:t>
      </w:r>
      <w:r w:rsidR="009F372F" w:rsidRPr="00F368CC">
        <w:t>I</w:t>
      </w:r>
      <w:r w:rsidR="001E7537" w:rsidRPr="00F368CC">
        <w:t>n line with previous Australian superannuation reviews, the</w:t>
      </w:r>
      <w:r w:rsidRPr="00F368CC">
        <w:t xml:space="preserve"> Tribunal proposes to </w:t>
      </w:r>
      <w:r w:rsidR="00D62313" w:rsidRPr="00F368CC">
        <w:t xml:space="preserve">consider </w:t>
      </w:r>
      <w:r w:rsidR="001E7537" w:rsidRPr="00F368CC">
        <w:t>the principle of equity in terms of</w:t>
      </w:r>
      <w:r w:rsidRPr="00F368CC">
        <w:t>:</w:t>
      </w:r>
      <w:r w:rsidRPr="00F368CC">
        <w:rPr>
          <w:rStyle w:val="FootnoteReference"/>
        </w:rPr>
        <w:footnoteReference w:id="2"/>
      </w:r>
    </w:p>
    <w:p w14:paraId="18F3FDDE" w14:textId="31829382" w:rsidR="006E357E" w:rsidRPr="00F368CC" w:rsidRDefault="006E357E" w:rsidP="00AC4BD5">
      <w:pPr>
        <w:pStyle w:val="VIRTBulletpoints"/>
      </w:pPr>
      <w:r w:rsidRPr="00F368CC">
        <w:t>horizontal equity – individuals in similar circumstances should be treated similarly (i.e. receive similar superannuation benefits)</w:t>
      </w:r>
      <w:r w:rsidR="009E153E">
        <w:t>, notwithstanding the limitations of this principle, discussed below</w:t>
      </w:r>
    </w:p>
    <w:p w14:paraId="635EF5CD" w14:textId="77777777" w:rsidR="006E357E" w:rsidRPr="00F368CC" w:rsidRDefault="006E357E" w:rsidP="00AC4BD5">
      <w:pPr>
        <w:pStyle w:val="VIRTBulletpoints"/>
      </w:pPr>
      <w:r w:rsidRPr="00F368CC">
        <w:t>vertical equity – differences in the treatment of individuals should reflect, and be proportionate to, relevant differences in their circumstances.</w:t>
      </w:r>
    </w:p>
    <w:p w14:paraId="0302F102" w14:textId="042FE938" w:rsidR="005E12E4" w:rsidRDefault="006E357E" w:rsidP="00AC4BD5">
      <w:pPr>
        <w:pStyle w:val="Paragraph"/>
      </w:pPr>
      <w:r>
        <w:t xml:space="preserve">The principle of horizontal equity appears to be </w:t>
      </w:r>
      <w:r w:rsidR="00721C47">
        <w:t xml:space="preserve">more </w:t>
      </w:r>
      <w:r>
        <w:t>relevant for th</w:t>
      </w:r>
      <w:r w:rsidR="00C557D9">
        <w:t>is</w:t>
      </w:r>
      <w:r>
        <w:t xml:space="preserve"> review</w:t>
      </w:r>
      <w:r w:rsidR="00191288">
        <w:t>. This is</w:t>
      </w:r>
      <w:r>
        <w:t xml:space="preserve"> because the superannuation scheme that applies to an MP is</w:t>
      </w:r>
      <w:r w:rsidDel="00A1500C">
        <w:t xml:space="preserve"> </w:t>
      </w:r>
      <w:r>
        <w:t>determined by the date on which they first entered the Parliament</w:t>
      </w:r>
      <w:r w:rsidRPr="004D7677">
        <w:t>.</w:t>
      </w:r>
      <w:r w:rsidR="00412CFB" w:rsidRPr="004D7677">
        <w:rPr>
          <w:rStyle w:val="FootnoteReference"/>
        </w:rPr>
        <w:footnoteReference w:id="3"/>
      </w:r>
      <w:r>
        <w:t xml:space="preserve"> For example, an MP in the accumulation scheme may have the same duties and </w:t>
      </w:r>
      <w:r w:rsidR="007D2C90" w:rsidRPr="001C23EA">
        <w:t>characteristics (e.g. age</w:t>
      </w:r>
      <w:r w:rsidR="007D2C90">
        <w:t xml:space="preserve">, </w:t>
      </w:r>
      <w:r w:rsidR="00BB446C">
        <w:t xml:space="preserve">years </w:t>
      </w:r>
      <w:r w:rsidR="004335A6">
        <w:t>of service</w:t>
      </w:r>
      <w:r w:rsidR="008C46E3">
        <w:t>)</w:t>
      </w:r>
      <w:r>
        <w:t xml:space="preserve"> as another MP in the New Benefits Scheme, yet may receive significantly different superannuation benefits because they entered the Parliament at a later date.</w:t>
      </w:r>
    </w:p>
    <w:p w14:paraId="6A52CDA4" w14:textId="3F3B337B" w:rsidR="006E357E" w:rsidRDefault="005C5909" w:rsidP="00AC4BD5">
      <w:pPr>
        <w:pStyle w:val="Paragraph"/>
      </w:pPr>
      <w:r>
        <w:t>When considering these principles, the Tribunal will also be mindful that the Parliament of Victoria retain</w:t>
      </w:r>
      <w:r w:rsidR="001F7367">
        <w:t>s</w:t>
      </w:r>
      <w:r>
        <w:t xml:space="preserve"> the power to change laws when appropriate (e.g. </w:t>
      </w:r>
      <w:r w:rsidR="00DE32EF">
        <w:t xml:space="preserve">to reflect changing </w:t>
      </w:r>
      <w:r w:rsidR="0098204A">
        <w:t>community standards and expectations), even if th</w:t>
      </w:r>
      <w:r w:rsidR="00DE32EF">
        <w:t>at</w:t>
      </w:r>
      <w:r w:rsidR="0098204A">
        <w:t xml:space="preserve"> </w:t>
      </w:r>
      <w:r w:rsidR="00DE32EF">
        <w:t xml:space="preserve">results in the different treatment of </w:t>
      </w:r>
      <w:r w:rsidR="0098204A">
        <w:t xml:space="preserve">individuals in comparison to their predecessors. </w:t>
      </w:r>
      <w:r w:rsidR="00DE32EF">
        <w:t>Further</w:t>
      </w:r>
      <w:r w:rsidR="00074541">
        <w:t>, when</w:t>
      </w:r>
      <w:r w:rsidR="0098204A">
        <w:t xml:space="preserve"> MP</w:t>
      </w:r>
      <w:r w:rsidR="00074541">
        <w:t xml:space="preserve"> superannuation arrangements have been changed in </w:t>
      </w:r>
      <w:r w:rsidR="0098204A">
        <w:t>a disadv</w:t>
      </w:r>
      <w:r w:rsidR="004F1B39">
        <w:t>a</w:t>
      </w:r>
      <w:r w:rsidR="0098204A">
        <w:t>ntag</w:t>
      </w:r>
      <w:r w:rsidR="004F1B39">
        <w:t>e</w:t>
      </w:r>
      <w:r w:rsidR="0098204A">
        <w:t>ous manner</w:t>
      </w:r>
      <w:r w:rsidR="00074541">
        <w:t xml:space="preserve"> </w:t>
      </w:r>
      <w:r w:rsidR="0098204A">
        <w:t xml:space="preserve">in the </w:t>
      </w:r>
      <w:r w:rsidR="00074541">
        <w:t>past, the</w:t>
      </w:r>
      <w:r w:rsidR="0098204A">
        <w:t>se changes</w:t>
      </w:r>
      <w:r w:rsidR="00074541">
        <w:t xml:space="preserve"> have generally been </w:t>
      </w:r>
      <w:r w:rsidR="004F1B39">
        <w:t>subject to grandfathering</w:t>
      </w:r>
      <w:r w:rsidR="00074541">
        <w:t xml:space="preserve"> so </w:t>
      </w:r>
      <w:r w:rsidR="0098204A">
        <w:t>that they do not unfairly impact on individuals that made decisions based on previous arrangements.</w:t>
      </w:r>
    </w:p>
    <w:p w14:paraId="02E1306D" w14:textId="4324B726" w:rsidR="00BC608F" w:rsidRPr="000A5F1D" w:rsidRDefault="00BC608F" w:rsidP="00AC4BD5">
      <w:pPr>
        <w:pStyle w:val="Paragraphbeforeabulletlist"/>
      </w:pPr>
      <w:r>
        <w:t xml:space="preserve">The Tribunal is also required to review and report on potential irregularities between </w:t>
      </w:r>
      <w:r w:rsidR="00217A15">
        <w:t>the</w:t>
      </w:r>
      <w:r>
        <w:t xml:space="preserve"> superannuation arrangements. </w:t>
      </w:r>
      <w:r w:rsidR="00004909">
        <w:t>The term “irregularity” is not defined in the VIRTIPS Act</w:t>
      </w:r>
      <w:r w:rsidR="00DB54ED">
        <w:t>. In assessing irregularities,</w:t>
      </w:r>
      <w:r w:rsidR="00004909">
        <w:t xml:space="preserve"> the Tribunal proposes to consider matters such as</w:t>
      </w:r>
      <w:r w:rsidRPr="000A5F1D">
        <w:t>:</w:t>
      </w:r>
    </w:p>
    <w:p w14:paraId="140B7362" w14:textId="5D32CABA" w:rsidR="00BC608F" w:rsidRPr="007F15C0" w:rsidRDefault="00022A0C" w:rsidP="00AC4BD5">
      <w:pPr>
        <w:pStyle w:val="VIRTBulletpoints"/>
      </w:pPr>
      <w:r>
        <w:t>unforeseen</w:t>
      </w:r>
      <w:r w:rsidR="00FD00B3">
        <w:t xml:space="preserve"> </w:t>
      </w:r>
      <w:r w:rsidR="00BC608F" w:rsidRPr="007F15C0">
        <w:t xml:space="preserve">differences in </w:t>
      </w:r>
      <w:r w:rsidR="001E1AEC">
        <w:t>the application of</w:t>
      </w:r>
      <w:r w:rsidR="00161CDF" w:rsidRPr="007F15C0">
        <w:t xml:space="preserve"> certain </w:t>
      </w:r>
      <w:r w:rsidR="00403298" w:rsidRPr="007F15C0">
        <w:t xml:space="preserve">Commonwealth </w:t>
      </w:r>
      <w:r w:rsidR="006D33BE" w:rsidRPr="007F15C0">
        <w:t xml:space="preserve">tax </w:t>
      </w:r>
      <w:r w:rsidR="00161CDF" w:rsidRPr="007F15C0">
        <w:t>laws</w:t>
      </w:r>
      <w:r w:rsidR="001E1AEC">
        <w:t xml:space="preserve"> to</w:t>
      </w:r>
      <w:r w:rsidR="00FD00B3" w:rsidRPr="007F15C0">
        <w:t xml:space="preserve"> members of</w:t>
      </w:r>
      <w:r w:rsidR="0095004F" w:rsidRPr="007F15C0">
        <w:t xml:space="preserve"> </w:t>
      </w:r>
      <w:r w:rsidR="0053467D" w:rsidRPr="007F15C0">
        <w:t>the</w:t>
      </w:r>
      <w:r w:rsidR="000F6080" w:rsidRPr="007F15C0">
        <w:t xml:space="preserve"> defined benefit and accumulation schemes</w:t>
      </w:r>
      <w:r w:rsidR="00F05459">
        <w:t xml:space="preserve"> and the net benefits of </w:t>
      </w:r>
      <w:r w:rsidR="001E1AEC">
        <w:t>being a member of each</w:t>
      </w:r>
      <w:r w:rsidR="00F05459">
        <w:t xml:space="preserve"> scheme</w:t>
      </w:r>
    </w:p>
    <w:p w14:paraId="44F1F39E" w14:textId="71078E42" w:rsidR="00314068" w:rsidRDefault="00FF1F41" w:rsidP="00AC4BD5">
      <w:pPr>
        <w:pStyle w:val="VIRTBulletpoints"/>
      </w:pPr>
      <w:r w:rsidRPr="007F15C0">
        <w:t xml:space="preserve">circumstances where </w:t>
      </w:r>
      <w:r w:rsidR="00344E1A" w:rsidRPr="007F15C0">
        <w:t xml:space="preserve">the </w:t>
      </w:r>
      <w:r w:rsidR="00E66B19" w:rsidRPr="007F15C0">
        <w:t xml:space="preserve">rules of the </w:t>
      </w:r>
      <w:r w:rsidR="00CF6B6F" w:rsidRPr="007F15C0">
        <w:t xml:space="preserve">schemes are leading to </w:t>
      </w:r>
      <w:r w:rsidR="00A2072D" w:rsidRPr="007F15C0">
        <w:t xml:space="preserve">outcomes that are </w:t>
      </w:r>
      <w:r w:rsidR="00D83F22" w:rsidRPr="007F15C0">
        <w:t>undesirable or unexpected</w:t>
      </w:r>
    </w:p>
    <w:p w14:paraId="577E78BC" w14:textId="4FA0FBF2" w:rsidR="00493F5C" w:rsidRPr="007F15C0" w:rsidRDefault="00693FDE" w:rsidP="00AC4BD5">
      <w:pPr>
        <w:pStyle w:val="VIRTBulletpoints"/>
      </w:pPr>
      <w:r w:rsidRPr="00693FDE">
        <w:t>inconsistencies or ambiguities in the legislation, such as when the intended meaning of a rule relating to the operation of one of the schemes is not readily apparent (i.e. is open to multiple interpretations)</w:t>
      </w:r>
      <w:r w:rsidR="00D220A3" w:rsidRPr="007F15C0">
        <w:t>.</w:t>
      </w:r>
    </w:p>
    <w:p w14:paraId="3DB04129" w14:textId="72AAD7D2" w:rsidR="001659AD" w:rsidRDefault="002A7115" w:rsidP="00AC4BD5">
      <w:pPr>
        <w:pStyle w:val="Paragraph"/>
      </w:pPr>
      <w:r>
        <w:t xml:space="preserve">Unlike </w:t>
      </w:r>
      <w:r w:rsidR="00AC7ED2">
        <w:t xml:space="preserve">its </w:t>
      </w:r>
      <w:r>
        <w:t>Determinations</w:t>
      </w:r>
      <w:r w:rsidR="000C7F5C">
        <w:t xml:space="preserve"> of MP salaries and allowances</w:t>
      </w:r>
      <w:r>
        <w:t xml:space="preserve">, </w:t>
      </w:r>
      <w:r w:rsidR="00BC608F">
        <w:t>the Tribunal</w:t>
      </w:r>
      <w:r w:rsidR="008F02C0">
        <w:t>’s review</w:t>
      </w:r>
      <w:r w:rsidR="005B1AFB">
        <w:t xml:space="preserve"> does not </w:t>
      </w:r>
      <w:r w:rsidR="00991F2B">
        <w:t>have</w:t>
      </w:r>
      <w:r w:rsidR="00691537">
        <w:t xml:space="preserve"> the</w:t>
      </w:r>
      <w:r w:rsidR="00991F2B">
        <w:t xml:space="preserve"> power to</w:t>
      </w:r>
      <w:r>
        <w:t xml:space="preserve"> make changes to </w:t>
      </w:r>
      <w:r w:rsidR="00723ED9">
        <w:t xml:space="preserve">superannuation </w:t>
      </w:r>
      <w:r>
        <w:t xml:space="preserve">arrangements for MPs. </w:t>
      </w:r>
      <w:r w:rsidR="006F36BA">
        <w:t>However, t</w:t>
      </w:r>
      <w:r w:rsidR="00C50A92">
        <w:t xml:space="preserve">he </w:t>
      </w:r>
      <w:r w:rsidR="00BC608F">
        <w:t>Tribunal m</w:t>
      </w:r>
      <w:r w:rsidR="00C50A92">
        <w:t>ay</w:t>
      </w:r>
      <w:r w:rsidR="002E7520">
        <w:t xml:space="preserve"> </w:t>
      </w:r>
      <w:r w:rsidR="00E81B40">
        <w:t xml:space="preserve">choose to </w:t>
      </w:r>
      <w:r w:rsidR="002E7520">
        <w:t xml:space="preserve">recommend </w:t>
      </w:r>
      <w:r w:rsidR="000074FF">
        <w:t>options</w:t>
      </w:r>
      <w:r w:rsidR="002E7520">
        <w:t xml:space="preserve"> to address </w:t>
      </w:r>
      <w:r w:rsidR="00AC7ED2">
        <w:t xml:space="preserve">any </w:t>
      </w:r>
      <w:r w:rsidR="002E7520">
        <w:t>potential inequalities and irregularities</w:t>
      </w:r>
      <w:r w:rsidR="006F36BA">
        <w:t xml:space="preserve"> it identifies</w:t>
      </w:r>
      <w:r w:rsidR="00C50A92">
        <w:t>.</w:t>
      </w:r>
      <w:r w:rsidR="00F45F1E">
        <w:t xml:space="preserve"> </w:t>
      </w:r>
    </w:p>
    <w:p w14:paraId="46561134" w14:textId="067A481E" w:rsidR="00F45F1E" w:rsidRDefault="00F45F1E" w:rsidP="00AC4BD5">
      <w:pPr>
        <w:pStyle w:val="Paragraphbeforeabulletlist"/>
      </w:pPr>
      <w:r>
        <w:t xml:space="preserve">The Tribunal must </w:t>
      </w:r>
      <w:r w:rsidR="00C179E6">
        <w:t xml:space="preserve">not </w:t>
      </w:r>
      <w:r w:rsidR="000074FF">
        <w:t xml:space="preserve">consider </w:t>
      </w:r>
      <w:r w:rsidR="0045771A">
        <w:t xml:space="preserve">any option that would result in an existing or former MP being in a </w:t>
      </w:r>
      <w:r w:rsidR="00C979B1">
        <w:t>less favourable</w:t>
      </w:r>
      <w:r w:rsidR="0045771A">
        <w:t xml:space="preserve"> position</w:t>
      </w:r>
      <w:r w:rsidR="001E1AEC">
        <w:t xml:space="preserve"> overall</w:t>
      </w:r>
      <w:r w:rsidR="0045771A">
        <w:t xml:space="preserve">. </w:t>
      </w:r>
      <w:r w:rsidR="00B6561D">
        <w:t>In addition</w:t>
      </w:r>
      <w:r w:rsidR="00C179E6">
        <w:t>, t</w:t>
      </w:r>
      <w:r w:rsidR="002E7520">
        <w:t xml:space="preserve">he Tribunal proposes that, </w:t>
      </w:r>
      <w:r w:rsidR="00AC7ED2">
        <w:t xml:space="preserve">in </w:t>
      </w:r>
      <w:r w:rsidR="002E7520">
        <w:t>considering</w:t>
      </w:r>
      <w:r w:rsidR="00C179E6">
        <w:t xml:space="preserve"> options</w:t>
      </w:r>
      <w:r w:rsidR="002E7520">
        <w:t xml:space="preserve">, it will take </w:t>
      </w:r>
      <w:r w:rsidR="00A34402">
        <w:t>account of</w:t>
      </w:r>
      <w:r w:rsidR="002E7520">
        <w:t xml:space="preserve"> </w:t>
      </w:r>
      <w:r w:rsidR="00004909">
        <w:t xml:space="preserve">factors </w:t>
      </w:r>
      <w:r w:rsidR="001659AD">
        <w:t>such as</w:t>
      </w:r>
      <w:r w:rsidR="002E7520">
        <w:t>:</w:t>
      </w:r>
    </w:p>
    <w:p w14:paraId="0C2C690D" w14:textId="5D0D8407" w:rsidR="006B446C" w:rsidRDefault="00396FB0" w:rsidP="00AC4BD5">
      <w:pPr>
        <w:pStyle w:val="VIRTBulletpoints"/>
      </w:pPr>
      <w:r>
        <w:t>t</w:t>
      </w:r>
      <w:r w:rsidR="006B446C">
        <w:t xml:space="preserve">he rationale for the closure of defined benefit schemes </w:t>
      </w:r>
    </w:p>
    <w:p w14:paraId="15B42736" w14:textId="77777777" w:rsidR="00FD0EAE" w:rsidRDefault="00FD0EAE" w:rsidP="00AC4BD5">
      <w:pPr>
        <w:pStyle w:val="VIRTBulletpoints"/>
      </w:pPr>
      <w:r>
        <w:t>the costs and benefits of options, for example, the cost to the State of Victoria</w:t>
      </w:r>
    </w:p>
    <w:p w14:paraId="6A5BFDF0" w14:textId="0A2D0934" w:rsidR="00B40EC1" w:rsidRDefault="00B40EC1" w:rsidP="00AC4BD5">
      <w:pPr>
        <w:pStyle w:val="VIRTBulletpoints"/>
      </w:pPr>
      <w:r>
        <w:t xml:space="preserve">superannuation arrangements provided </w:t>
      </w:r>
      <w:r w:rsidR="00A34402">
        <w:t xml:space="preserve">for MPs </w:t>
      </w:r>
      <w:r>
        <w:t xml:space="preserve">in other jurisdictions and </w:t>
      </w:r>
      <w:r w:rsidR="006B446C">
        <w:t>across the public sector</w:t>
      </w:r>
      <w:r w:rsidR="00074541">
        <w:t>, as well as those available in the broader economy (e.g. private sector)</w:t>
      </w:r>
    </w:p>
    <w:p w14:paraId="282D63CB" w14:textId="0D60E366" w:rsidR="007720CB" w:rsidRDefault="007720CB" w:rsidP="00AC4BD5">
      <w:pPr>
        <w:pStyle w:val="VIRTBulletpoints"/>
      </w:pPr>
      <w:r>
        <w:t>economic and financial conditions</w:t>
      </w:r>
    </w:p>
    <w:p w14:paraId="704CA275" w14:textId="18B7599F" w:rsidR="006B446C" w:rsidRPr="00213AEF" w:rsidRDefault="00DB2BB2" w:rsidP="00AC4BD5">
      <w:pPr>
        <w:pStyle w:val="VIRTBulletpoints"/>
      </w:pPr>
      <w:r w:rsidRPr="00213AEF">
        <w:t>views expressed in submissions to the issues paper</w:t>
      </w:r>
    </w:p>
    <w:p w14:paraId="677C5FD2" w14:textId="1916C6CE" w:rsidR="00396FB0" w:rsidRDefault="001F636C" w:rsidP="00AC4BD5">
      <w:pPr>
        <w:pStyle w:val="VIRTBulletpoints"/>
      </w:pPr>
      <w:r>
        <w:t>taxation i</w:t>
      </w:r>
      <w:r w:rsidR="00546297">
        <w:t>mplications</w:t>
      </w:r>
    </w:p>
    <w:p w14:paraId="1F7E0A2E" w14:textId="2D5524F6" w:rsidR="00FA5A17" w:rsidRDefault="00FA5A17" w:rsidP="00AC4BD5">
      <w:pPr>
        <w:pStyle w:val="VIRTBulletpoints"/>
      </w:pPr>
      <w:r w:rsidRPr="00FA5A17">
        <w:t>whether the option would create inequalities or irregularities in the future (e.g. for MPs joining the Parliament of Victoria after the change is made)</w:t>
      </w:r>
      <w:r w:rsidR="001A0AF1">
        <w:t>.</w:t>
      </w:r>
    </w:p>
    <w:p w14:paraId="70DEF187" w14:textId="2C8C026F" w:rsidR="00442F1F" w:rsidRDefault="00EE1263" w:rsidP="00442F1F">
      <w:pPr>
        <w:pStyle w:val="VIRTHeading3"/>
      </w:pPr>
      <w:bookmarkStart w:id="9" w:name="_Toc40777640"/>
      <w:r>
        <w:t>Implications of g</w:t>
      </w:r>
      <w:r w:rsidR="00442F1F">
        <w:t xml:space="preserve">randfathering </w:t>
      </w:r>
      <w:r w:rsidR="00442F1F" w:rsidDel="00906DE0">
        <w:t>arrangements</w:t>
      </w:r>
      <w:bookmarkEnd w:id="9"/>
    </w:p>
    <w:p w14:paraId="372DA6C8" w14:textId="6469D6C8" w:rsidR="00BA5CF2" w:rsidRDefault="00CF0BF6" w:rsidP="00AC4BD5">
      <w:pPr>
        <w:pStyle w:val="Paragraph"/>
      </w:pPr>
      <w:r>
        <w:t xml:space="preserve">Under Commonwealth law, </w:t>
      </w:r>
      <w:r w:rsidR="00711709">
        <w:t xml:space="preserve">superannuation contributions made by </w:t>
      </w:r>
      <w:r w:rsidR="003626D6">
        <w:t xml:space="preserve">employers </w:t>
      </w:r>
      <w:r w:rsidR="001A5AD3">
        <w:t>on behalf of</w:t>
      </w:r>
      <w:r w:rsidR="00474760">
        <w:t xml:space="preserve"> their employees</w:t>
      </w:r>
      <w:r w:rsidR="00CF45D4">
        <w:t xml:space="preserve"> </w:t>
      </w:r>
      <w:r w:rsidR="006D44F8">
        <w:t>are</w:t>
      </w:r>
      <w:r w:rsidR="0048407B">
        <w:t xml:space="preserve"> usually treated as ‘</w:t>
      </w:r>
      <w:r w:rsidR="00C031E2">
        <w:t>concessional contributions</w:t>
      </w:r>
      <w:r w:rsidR="0048407B">
        <w:t>’</w:t>
      </w:r>
      <w:r w:rsidR="007E62A5">
        <w:t xml:space="preserve">. </w:t>
      </w:r>
      <w:r w:rsidR="00AB7CAE">
        <w:t xml:space="preserve">If an </w:t>
      </w:r>
      <w:r w:rsidR="00402723">
        <w:t>employee exceed</w:t>
      </w:r>
      <w:r w:rsidR="00AB7CAE">
        <w:t>s</w:t>
      </w:r>
      <w:r w:rsidR="00402723">
        <w:t xml:space="preserve"> the</w:t>
      </w:r>
      <w:r w:rsidR="00B25082">
        <w:t>ir</w:t>
      </w:r>
      <w:r w:rsidR="00402723">
        <w:t xml:space="preserve"> concessional contributions cap </w:t>
      </w:r>
      <w:r w:rsidR="00B25082">
        <w:t>(</w:t>
      </w:r>
      <w:r w:rsidR="00213A9A">
        <w:t xml:space="preserve">$25,000 for the </w:t>
      </w:r>
      <w:r w:rsidR="00A05C04">
        <w:br/>
      </w:r>
      <w:r w:rsidR="00213A9A">
        <w:t>201</w:t>
      </w:r>
      <w:r w:rsidR="0091552D">
        <w:t>9</w:t>
      </w:r>
      <w:r w:rsidR="00213A9A">
        <w:t>-</w:t>
      </w:r>
      <w:r w:rsidR="0091552D">
        <w:t>20</w:t>
      </w:r>
      <w:r w:rsidR="00213A9A">
        <w:t xml:space="preserve"> financial year)</w:t>
      </w:r>
      <w:r w:rsidR="000B3E97">
        <w:t>,</w:t>
      </w:r>
      <w:r w:rsidR="00507223">
        <w:t xml:space="preserve"> they may be required to pay additional tax. </w:t>
      </w:r>
    </w:p>
    <w:p w14:paraId="33E4BA9C" w14:textId="4C12E2B3" w:rsidR="00442F1F" w:rsidRDefault="00442F1F" w:rsidP="00AC4BD5">
      <w:pPr>
        <w:pStyle w:val="Paragraph"/>
      </w:pPr>
      <w:r>
        <w:t>While an employer may be required to contribute funds to a defined benefit fund to ensure it has sufficient assets to meet its liabilities, these contributions are generally not linked to individual members. Instead, the superannuation fund is required to calculate the notional tax</w:t>
      </w:r>
      <w:r w:rsidR="00CF6E56">
        <w:t>ed</w:t>
      </w:r>
      <w:r>
        <w:t xml:space="preserve"> contributions </w:t>
      </w:r>
      <w:r w:rsidR="00894E7F">
        <w:t xml:space="preserve">(NTCs) </w:t>
      </w:r>
      <w:r>
        <w:t xml:space="preserve">for members of the fund, </w:t>
      </w:r>
      <w:r w:rsidRPr="00A90D43">
        <w:t xml:space="preserve">which are </w:t>
      </w:r>
      <w:r w:rsidR="00367AC8">
        <w:t>treated as</w:t>
      </w:r>
      <w:r w:rsidRPr="00A90D43">
        <w:t xml:space="preserve"> concessional contributions </w:t>
      </w:r>
      <w:r w:rsidR="00367AC8">
        <w:t>for taxation purposes</w:t>
      </w:r>
      <w:r>
        <w:t>.</w:t>
      </w:r>
      <w:r w:rsidR="00B21575">
        <w:rPr>
          <w:rStyle w:val="FootnoteReference"/>
        </w:rPr>
        <w:footnoteReference w:id="4"/>
      </w:r>
    </w:p>
    <w:p w14:paraId="3840E11C" w14:textId="5C631604" w:rsidR="00442F1F" w:rsidRDefault="00F27A3E" w:rsidP="00AC4BD5">
      <w:pPr>
        <w:pStyle w:val="Paragraph"/>
      </w:pPr>
      <w:r>
        <w:t xml:space="preserve">For </w:t>
      </w:r>
      <w:r w:rsidR="001F7A8B">
        <w:t>existing</w:t>
      </w:r>
      <w:r>
        <w:t xml:space="preserve"> members of defined benefit schemes, </w:t>
      </w:r>
      <w:r w:rsidR="00270D47">
        <w:t>g</w:t>
      </w:r>
      <w:r w:rsidR="00442F1F">
        <w:t>randfathering</w:t>
      </w:r>
      <w:r w:rsidR="00E14024">
        <w:t xml:space="preserve"> arrangements</w:t>
      </w:r>
      <w:r w:rsidR="00442F1F">
        <w:t xml:space="preserve"> </w:t>
      </w:r>
      <w:r w:rsidR="009071FB">
        <w:t>are in place</w:t>
      </w:r>
      <w:r w:rsidR="00E14024">
        <w:t xml:space="preserve"> </w:t>
      </w:r>
      <w:r w:rsidR="009071FB">
        <w:t xml:space="preserve">which </w:t>
      </w:r>
      <w:r w:rsidR="00386961">
        <w:t>ensure that</w:t>
      </w:r>
      <w:r w:rsidR="009071FB">
        <w:t>,</w:t>
      </w:r>
      <w:r w:rsidR="00386961">
        <w:t xml:space="preserve"> where members have NTCs that exceed the concessional contributions cap, </w:t>
      </w:r>
      <w:r w:rsidR="00C402B9">
        <w:t>they will be deemed to be at the cap and will not be subject to an</w:t>
      </w:r>
      <w:r w:rsidR="00416BDB">
        <w:t xml:space="preserve">y excess contributions </w:t>
      </w:r>
      <w:r w:rsidR="008B05F8">
        <w:t>tax</w:t>
      </w:r>
      <w:r w:rsidR="00442F1F">
        <w:t xml:space="preserve">. </w:t>
      </w:r>
      <w:r w:rsidR="00EF253C">
        <w:t xml:space="preserve">The Tribunal understands that these arrangements </w:t>
      </w:r>
      <w:r w:rsidR="00011170">
        <w:t xml:space="preserve">typically </w:t>
      </w:r>
      <w:r w:rsidR="00846BD0">
        <w:t xml:space="preserve">only apply </w:t>
      </w:r>
      <w:r w:rsidR="000715FA">
        <w:t xml:space="preserve">where a defined benefit account </w:t>
      </w:r>
      <w:r w:rsidR="0052062F">
        <w:t xml:space="preserve">was opened prior to 12 May 2009. </w:t>
      </w:r>
    </w:p>
    <w:p w14:paraId="20C1C3E6" w14:textId="66B310F6" w:rsidR="009629B9" w:rsidRDefault="0091552D" w:rsidP="00AC4BD5">
      <w:pPr>
        <w:pStyle w:val="Paragraph"/>
      </w:pPr>
      <w:r>
        <w:t>C</w:t>
      </w:r>
      <w:r w:rsidR="00442F1F">
        <w:t>hang</w:t>
      </w:r>
      <w:r w:rsidR="00860666">
        <w:t>es to</w:t>
      </w:r>
      <w:r w:rsidR="00442F1F">
        <w:t xml:space="preserve"> the </w:t>
      </w:r>
      <w:r w:rsidR="00860666">
        <w:t xml:space="preserve">current </w:t>
      </w:r>
      <w:r w:rsidR="002649D1">
        <w:t>defined benefit</w:t>
      </w:r>
      <w:r w:rsidR="00442F1F">
        <w:t xml:space="preserve"> schemes </w:t>
      </w:r>
      <w:r w:rsidR="00860666">
        <w:t>may result in the loss of these</w:t>
      </w:r>
      <w:r w:rsidR="00442F1F">
        <w:t xml:space="preserve"> grandfathering </w:t>
      </w:r>
      <w:r w:rsidR="00325B2C">
        <w:t>arrangements</w:t>
      </w:r>
      <w:r w:rsidR="00442F1F">
        <w:t xml:space="preserve">. The Tribunal </w:t>
      </w:r>
      <w:r w:rsidR="004919FA">
        <w:t xml:space="preserve">may </w:t>
      </w:r>
      <w:r>
        <w:t xml:space="preserve">thus </w:t>
      </w:r>
      <w:r w:rsidR="004919FA">
        <w:t>be</w:t>
      </w:r>
      <w:r w:rsidR="00B5411E">
        <w:t xml:space="preserve"> </w:t>
      </w:r>
      <w:r w:rsidR="00442F1F">
        <w:t xml:space="preserve">unable to consider </w:t>
      </w:r>
      <w:r w:rsidR="00741F23">
        <w:t xml:space="preserve">any </w:t>
      </w:r>
      <w:r w:rsidR="000F1430">
        <w:t>option which would have this effect</w:t>
      </w:r>
      <w:r w:rsidR="00442F1F">
        <w:t xml:space="preserve">, </w:t>
      </w:r>
      <w:r w:rsidR="00427234">
        <w:t xml:space="preserve">due to the requirement that </w:t>
      </w:r>
      <w:r w:rsidR="00C176CA">
        <w:t xml:space="preserve">it not </w:t>
      </w:r>
      <w:r w:rsidR="0081351D">
        <w:t xml:space="preserve">consider any option </w:t>
      </w:r>
      <w:r w:rsidR="00173338">
        <w:t xml:space="preserve">that would result in an </w:t>
      </w:r>
      <w:r w:rsidR="008E6A00">
        <w:t xml:space="preserve">existing or </w:t>
      </w:r>
      <w:r w:rsidR="00427234">
        <w:t xml:space="preserve">former MP </w:t>
      </w:r>
      <w:r w:rsidR="008E6A00">
        <w:t xml:space="preserve">being in </w:t>
      </w:r>
      <w:r w:rsidR="00860666">
        <w:t>a</w:t>
      </w:r>
      <w:r w:rsidR="004E0B40">
        <w:t xml:space="preserve"> less favourable </w:t>
      </w:r>
      <w:r w:rsidR="00860666">
        <w:t xml:space="preserve">position overall </w:t>
      </w:r>
      <w:r w:rsidR="004E0B40">
        <w:t>than</w:t>
      </w:r>
      <w:r w:rsidR="00427234">
        <w:t xml:space="preserve"> before the making of the report</w:t>
      </w:r>
      <w:r w:rsidR="00442F1F">
        <w:t xml:space="preserve"> (s39(2)</w:t>
      </w:r>
      <w:r w:rsidR="00427234">
        <w:t xml:space="preserve"> of the</w:t>
      </w:r>
      <w:r w:rsidR="002E0846">
        <w:t xml:space="preserve"> </w:t>
      </w:r>
      <w:r w:rsidR="00442F1F">
        <w:t>VIRTIPS Act).</w:t>
      </w:r>
    </w:p>
    <w:p w14:paraId="6EDA3646" w14:textId="77777777" w:rsidR="009B5A3B" w:rsidRDefault="00C50A92" w:rsidP="002026CF">
      <w:pPr>
        <w:pStyle w:val="VIRTHeading2"/>
      </w:pPr>
      <w:bookmarkStart w:id="10" w:name="_Toc40777641"/>
      <w:r>
        <w:t>Key historical events</w:t>
      </w:r>
      <w:bookmarkEnd w:id="10"/>
    </w:p>
    <w:p w14:paraId="44611663" w14:textId="146B867D" w:rsidR="009F5894" w:rsidRDefault="009B5A3B" w:rsidP="00AC4BD5">
      <w:pPr>
        <w:pStyle w:val="Paragraph"/>
      </w:pPr>
      <w:r>
        <w:t xml:space="preserve">The State of Victoria first introduced a superannuation scheme for </w:t>
      </w:r>
      <w:r w:rsidR="00CB09EC">
        <w:t xml:space="preserve">its </w:t>
      </w:r>
      <w:r>
        <w:t>MPs in 1946</w:t>
      </w:r>
      <w:r w:rsidR="00972140">
        <w:t>.</w:t>
      </w:r>
      <w:r w:rsidRPr="6B23BBCD">
        <w:rPr>
          <w:rStyle w:val="FootnoteReference"/>
        </w:rPr>
        <w:footnoteReference w:id="5"/>
      </w:r>
      <w:r w:rsidR="58A4C018">
        <w:t xml:space="preserve"> </w:t>
      </w:r>
      <w:r w:rsidR="6B804793">
        <w:t>MP s</w:t>
      </w:r>
      <w:r>
        <w:t>uperannuation arrangements</w:t>
      </w:r>
      <w:r w:rsidR="00284C88">
        <w:t xml:space="preserve"> </w:t>
      </w:r>
      <w:r w:rsidR="00654991">
        <w:t xml:space="preserve">have subsequently been </w:t>
      </w:r>
      <w:r w:rsidR="00365576">
        <w:t>changed</w:t>
      </w:r>
      <w:r w:rsidR="00654991" w:rsidRPr="005457E7">
        <w:t xml:space="preserve"> on several occasions</w:t>
      </w:r>
      <w:r w:rsidR="00284C88">
        <w:t xml:space="preserve"> (table 1</w:t>
      </w:r>
      <w:r w:rsidR="00A05C04">
        <w:t xml:space="preserve"> overleaf</w:t>
      </w:r>
      <w:r w:rsidR="00284C88">
        <w:t>).</w:t>
      </w:r>
    </w:p>
    <w:p w14:paraId="671D6C1C" w14:textId="77777777" w:rsidR="00C103EF" w:rsidRDefault="009C76A4" w:rsidP="00AC4BD5">
      <w:pPr>
        <w:pStyle w:val="Paragraph"/>
      </w:pPr>
      <w:r w:rsidRPr="009C76A4">
        <w:t>Key reforms were made in 1968</w:t>
      </w:r>
      <w:r>
        <w:t>,</w:t>
      </w:r>
      <w:r w:rsidRPr="009C76A4">
        <w:t xml:space="preserve"> when the Government </w:t>
      </w:r>
      <w:r>
        <w:t xml:space="preserve">moved MPs across to a defined benefits scheme, which is now known as the </w:t>
      </w:r>
      <w:r w:rsidRPr="009C76A4">
        <w:t xml:space="preserve">Existing Benefits Scheme. </w:t>
      </w:r>
    </w:p>
    <w:p w14:paraId="0B7E8502" w14:textId="43EE17CC" w:rsidR="002E5916" w:rsidRDefault="009C76A4" w:rsidP="00AC4BD5">
      <w:pPr>
        <w:pStyle w:val="Paragraph"/>
      </w:pPr>
      <w:r>
        <w:t>In 1996, the Government introduced a new defined benefit scheme for MPs (known as the New Benefits Scheme) largely based on the MP superannuation scheme used at the time by the Commonwealth Government.</w:t>
      </w:r>
      <w:r>
        <w:rPr>
          <w:rStyle w:val="FootnoteReference"/>
        </w:rPr>
        <w:footnoteReference w:id="6"/>
      </w:r>
      <w:r>
        <w:t xml:space="preserve"> The Existing Benefits Scheme was closed to new members. </w:t>
      </w:r>
    </w:p>
    <w:p w14:paraId="519FBB34" w14:textId="7F187B36" w:rsidR="00724A74" w:rsidRDefault="009C76A4" w:rsidP="00AC4BD5">
      <w:pPr>
        <w:pStyle w:val="Paragraph"/>
      </w:pPr>
      <w:r>
        <w:t>The New Benefits Scheme was</w:t>
      </w:r>
      <w:r w:rsidR="003410D5">
        <w:t xml:space="preserve"> in turn</w:t>
      </w:r>
      <w:r>
        <w:t xml:space="preserve"> closed to new members </w:t>
      </w:r>
      <w:r w:rsidR="005E07AF">
        <w:t>that were elected as an MP after November</w:t>
      </w:r>
      <w:r>
        <w:t xml:space="preserve"> 2004, following a similar move by the Commonwealth Government. MPs</w:t>
      </w:r>
      <w:r w:rsidR="002E5916">
        <w:t xml:space="preserve"> </w:t>
      </w:r>
      <w:r w:rsidR="005101C0">
        <w:t xml:space="preserve">first </w:t>
      </w:r>
      <w:r w:rsidR="002E5916">
        <w:t>elected after 2004</w:t>
      </w:r>
      <w:r>
        <w:t xml:space="preserve"> are</w:t>
      </w:r>
      <w:r w:rsidR="005457E7">
        <w:t xml:space="preserve"> now</w:t>
      </w:r>
      <w:r>
        <w:t xml:space="preserve"> members of an accumulation scheme. </w:t>
      </w:r>
      <w:r w:rsidR="005457E7">
        <w:t>This change was made to bring Victorian MP superannuation arrangements into line with those available to the broader community.</w:t>
      </w:r>
      <w:r w:rsidR="005457E7">
        <w:rPr>
          <w:rStyle w:val="FootnoteReference"/>
        </w:rPr>
        <w:footnoteReference w:id="7"/>
      </w:r>
      <w:r w:rsidR="005457E7">
        <w:t xml:space="preserve"> </w:t>
      </w:r>
    </w:p>
    <w:p w14:paraId="362A4DE5" w14:textId="77777777" w:rsidR="0091552D" w:rsidRDefault="00480D80" w:rsidP="00AC4BD5">
      <w:pPr>
        <w:pStyle w:val="Paragraph"/>
      </w:pPr>
      <w:r w:rsidRPr="00C73FF8">
        <w:t xml:space="preserve">Generally speaking, </w:t>
      </w:r>
      <w:r w:rsidR="00763765" w:rsidRPr="00C73FF8">
        <w:t>under the rules for the New Benefits Scheme, eligibility for the pension is based on the time that a</w:t>
      </w:r>
      <w:r w:rsidR="00723ED9">
        <w:t xml:space="preserve"> former</w:t>
      </w:r>
      <w:r w:rsidR="00763765" w:rsidRPr="00C73FF8">
        <w:t xml:space="preserve"> MP served in the Parliament and their reason for leaving. </w:t>
      </w:r>
    </w:p>
    <w:p w14:paraId="5BA4B0A6" w14:textId="5FA8FD94" w:rsidR="009F5894" w:rsidRDefault="0091552D" w:rsidP="00AC4BD5">
      <w:pPr>
        <w:pStyle w:val="Paragraph"/>
      </w:pPr>
      <w:r w:rsidRPr="0091552D">
        <w:t>There are complex rules which apply to former MPs who return to Parliament. Former MPs covered by defined benefit schemes that become an MP again after November 2004 join the accumulation scheme, and their pension (if they were eligible to receive one) is suspended. They resume receiving the pension, if previously eligible, once they leave the Parliament again. However, exceptions apply where a person ceases to be an MP as a result of resigning from one House of the Parliament of Victoria and being elected to the other House within the space of 3 months. In that case, their time as an MP is treated as if it was uninterrupted.</w:t>
      </w:r>
      <w:r w:rsidRPr="0091552D">
        <w:rPr>
          <w:rStyle w:val="FootnoteReference"/>
        </w:rPr>
        <w:footnoteReference w:id="8"/>
      </w:r>
    </w:p>
    <w:p w14:paraId="5819C498" w14:textId="77777777" w:rsidR="009F5894" w:rsidRPr="00007C85" w:rsidRDefault="009F5894" w:rsidP="005457E7">
      <w:pPr>
        <w:pStyle w:val="Tableheading"/>
      </w:pPr>
      <w:r w:rsidRPr="00007C85">
        <w:t>Table 1: highlights in the history of Victorian MP superannuation</w:t>
      </w:r>
    </w:p>
    <w:tbl>
      <w:tblPr>
        <w:tblStyle w:val="Table1"/>
        <w:tblW w:w="8500" w:type="dxa"/>
        <w:tblLook w:val="0420" w:firstRow="1" w:lastRow="0" w:firstColumn="0" w:lastColumn="0" w:noHBand="0" w:noVBand="1"/>
      </w:tblPr>
      <w:tblGrid>
        <w:gridCol w:w="997"/>
        <w:gridCol w:w="7503"/>
      </w:tblGrid>
      <w:tr w:rsidR="009F5894" w:rsidRPr="00AD7774" w14:paraId="20540E0D" w14:textId="77777777" w:rsidTr="00A831C3">
        <w:trPr>
          <w:cnfStyle w:val="100000000000" w:firstRow="1" w:lastRow="0" w:firstColumn="0" w:lastColumn="0" w:oddVBand="0" w:evenVBand="0" w:oddHBand="0" w:evenHBand="0" w:firstRowFirstColumn="0" w:firstRowLastColumn="0" w:lastRowFirstColumn="0" w:lastRowLastColumn="0"/>
          <w:trHeight w:val="408"/>
          <w:tblHeader/>
        </w:trPr>
        <w:tc>
          <w:tcPr>
            <w:tcW w:w="997" w:type="dxa"/>
            <w:vAlign w:val="center"/>
          </w:tcPr>
          <w:p w14:paraId="6F97D175" w14:textId="77777777" w:rsidR="009F5894" w:rsidRPr="00007C85" w:rsidRDefault="009F5894" w:rsidP="009C76A4">
            <w:pPr>
              <w:spacing w:line="276" w:lineRule="auto"/>
              <w:jc w:val="both"/>
              <w:rPr>
                <w:rFonts w:asciiTheme="majorHAnsi" w:hAnsiTheme="majorHAnsi" w:cstheme="majorHAnsi"/>
              </w:rPr>
            </w:pPr>
            <w:r w:rsidRPr="00007C85">
              <w:rPr>
                <w:rFonts w:asciiTheme="majorHAnsi" w:hAnsiTheme="majorHAnsi" w:cstheme="majorHAnsi"/>
              </w:rPr>
              <w:t>Year</w:t>
            </w:r>
          </w:p>
        </w:tc>
        <w:tc>
          <w:tcPr>
            <w:tcW w:w="7503" w:type="dxa"/>
          </w:tcPr>
          <w:p w14:paraId="2E4B7855" w14:textId="77777777" w:rsidR="009F5894" w:rsidRPr="00007C85" w:rsidRDefault="009F5894" w:rsidP="009C76A4">
            <w:pPr>
              <w:spacing w:line="276" w:lineRule="auto"/>
              <w:jc w:val="both"/>
              <w:rPr>
                <w:rFonts w:asciiTheme="majorHAnsi" w:hAnsiTheme="majorHAnsi" w:cstheme="majorHAnsi"/>
              </w:rPr>
            </w:pPr>
            <w:r w:rsidRPr="00007C85">
              <w:rPr>
                <w:rFonts w:asciiTheme="majorHAnsi" w:hAnsiTheme="majorHAnsi" w:cstheme="majorHAnsi"/>
              </w:rPr>
              <w:t>Description</w:t>
            </w:r>
          </w:p>
        </w:tc>
      </w:tr>
      <w:tr w:rsidR="009F5894" w:rsidRPr="00AD7774" w14:paraId="40014CCA" w14:textId="77777777" w:rsidTr="00A831C3">
        <w:trPr>
          <w:cantSplit/>
          <w:trHeight w:val="408"/>
        </w:trPr>
        <w:tc>
          <w:tcPr>
            <w:tcW w:w="997" w:type="dxa"/>
            <w:vAlign w:val="center"/>
          </w:tcPr>
          <w:p w14:paraId="53ABD2E7" w14:textId="77777777" w:rsidR="009F5894" w:rsidRPr="00065880" w:rsidRDefault="009F5894" w:rsidP="00F0541C">
            <w:pPr>
              <w:spacing w:line="276" w:lineRule="auto"/>
              <w:contextualSpacing/>
              <w:jc w:val="both"/>
              <w:rPr>
                <w:rFonts w:asciiTheme="majorHAnsi" w:hAnsiTheme="majorHAnsi" w:cstheme="majorHAnsi"/>
                <w:b/>
                <w:bCs/>
                <w:color w:val="595959" w:themeColor="text1" w:themeTint="A6"/>
              </w:rPr>
            </w:pPr>
            <w:r w:rsidRPr="00065880">
              <w:rPr>
                <w:rFonts w:asciiTheme="majorHAnsi" w:hAnsiTheme="majorHAnsi" w:cstheme="majorHAnsi"/>
                <w:b/>
                <w:bCs/>
                <w:color w:val="595959" w:themeColor="text1" w:themeTint="A6"/>
              </w:rPr>
              <w:t>1925</w:t>
            </w:r>
          </w:p>
        </w:tc>
        <w:tc>
          <w:tcPr>
            <w:tcW w:w="7503" w:type="dxa"/>
            <w:vAlign w:val="center"/>
          </w:tcPr>
          <w:p w14:paraId="01C6BB04" w14:textId="77777777" w:rsidR="009F5894" w:rsidRPr="002F03A3" w:rsidRDefault="009F5894" w:rsidP="00CF256F">
            <w:pPr>
              <w:pStyle w:val="Tabletext"/>
            </w:pPr>
            <w:r w:rsidRPr="002F03A3">
              <w:t>First contributory superannuation scheme introduced for Victorian public service employees. Prior to this, schemes were non-contributory and only covered individuals appointed before December 1881.</w:t>
            </w:r>
          </w:p>
        </w:tc>
      </w:tr>
      <w:tr w:rsidR="009F5894" w:rsidRPr="00AD7774" w14:paraId="57686B85" w14:textId="77777777" w:rsidTr="00A831C3">
        <w:trPr>
          <w:cantSplit/>
          <w:trHeight w:val="408"/>
        </w:trPr>
        <w:tc>
          <w:tcPr>
            <w:tcW w:w="997" w:type="dxa"/>
            <w:vAlign w:val="center"/>
          </w:tcPr>
          <w:p w14:paraId="0CEBAE0A" w14:textId="77777777" w:rsidR="009F5894" w:rsidRPr="00065880" w:rsidRDefault="009F5894" w:rsidP="00F0541C">
            <w:pPr>
              <w:spacing w:line="276" w:lineRule="auto"/>
              <w:contextualSpacing/>
              <w:jc w:val="both"/>
              <w:rPr>
                <w:rFonts w:asciiTheme="majorHAnsi" w:hAnsiTheme="majorHAnsi" w:cstheme="majorHAnsi"/>
                <w:b/>
                <w:bCs/>
                <w:color w:val="595959" w:themeColor="text1" w:themeTint="A6"/>
              </w:rPr>
            </w:pPr>
            <w:r w:rsidRPr="00065880">
              <w:rPr>
                <w:rFonts w:asciiTheme="majorHAnsi" w:hAnsiTheme="majorHAnsi" w:cstheme="majorHAnsi"/>
                <w:b/>
                <w:bCs/>
                <w:color w:val="595959" w:themeColor="text1" w:themeTint="A6"/>
              </w:rPr>
              <w:t>1946</w:t>
            </w:r>
          </w:p>
        </w:tc>
        <w:tc>
          <w:tcPr>
            <w:tcW w:w="7503" w:type="dxa"/>
            <w:vAlign w:val="center"/>
          </w:tcPr>
          <w:p w14:paraId="48807925" w14:textId="77777777" w:rsidR="009F5894" w:rsidRPr="00007C85" w:rsidRDefault="009F5894" w:rsidP="00F0541C">
            <w:pPr>
              <w:spacing w:line="276" w:lineRule="auto"/>
              <w:contextualSpacing/>
              <w:jc w:val="both"/>
              <w:rPr>
                <w:rFonts w:asciiTheme="majorHAnsi" w:hAnsiTheme="majorHAnsi" w:cstheme="majorHAnsi"/>
                <w:color w:val="595959" w:themeColor="text1" w:themeTint="A6"/>
              </w:rPr>
            </w:pPr>
            <w:r w:rsidRPr="00007C85">
              <w:rPr>
                <w:rFonts w:asciiTheme="majorHAnsi" w:hAnsiTheme="majorHAnsi" w:cstheme="majorHAnsi"/>
                <w:color w:val="595959" w:themeColor="text1" w:themeTint="A6"/>
              </w:rPr>
              <w:t>Superannuation for Victorian MPs introduced:</w:t>
            </w:r>
          </w:p>
          <w:p w14:paraId="03B44D2C" w14:textId="77777777" w:rsidR="009F5894" w:rsidRPr="00007C85" w:rsidRDefault="009F5894" w:rsidP="000E74D3">
            <w:pPr>
              <w:pStyle w:val="Tablebullets"/>
            </w:pPr>
            <w:r w:rsidRPr="00007C85">
              <w:t xml:space="preserve">£1 </w:t>
            </w:r>
            <w:r w:rsidRPr="00F0541C">
              <w:t>compulsorily</w:t>
            </w:r>
            <w:r w:rsidRPr="00007C85">
              <w:t xml:space="preserve"> deducted from the fortnightly pay of each MP</w:t>
            </w:r>
          </w:p>
          <w:p w14:paraId="37014476" w14:textId="67177232" w:rsidR="009F5894" w:rsidRPr="00007C85" w:rsidRDefault="009F5894" w:rsidP="000E74D3">
            <w:pPr>
              <w:pStyle w:val="Tablebullets"/>
            </w:pPr>
            <w:r w:rsidRPr="00007C85">
              <w:t xml:space="preserve">Eligible </w:t>
            </w:r>
            <w:r w:rsidR="00723ED9">
              <w:t xml:space="preserve">former </w:t>
            </w:r>
            <w:r w:rsidRPr="00007C85">
              <w:t>MPs (or in some cases, their spouses) provided with a pension equal to the “basic wage”</w:t>
            </w:r>
            <w:r w:rsidR="003410D5">
              <w:t xml:space="preserve"> for Melbourne</w:t>
            </w:r>
          </w:p>
          <w:p w14:paraId="46AC348A" w14:textId="6774CB93" w:rsidR="009F5894" w:rsidRPr="00007C85" w:rsidRDefault="00723ED9" w:rsidP="000E74D3">
            <w:pPr>
              <w:pStyle w:val="Tablebullets"/>
              <w:rPr>
                <w:i/>
              </w:rPr>
            </w:pPr>
            <w:r>
              <w:t xml:space="preserve">Former </w:t>
            </w:r>
            <w:r w:rsidR="009F5894" w:rsidRPr="00007C85">
              <w:t>MPs not eligible for a pension provided with a one-off retirement allowance.</w:t>
            </w:r>
          </w:p>
        </w:tc>
      </w:tr>
      <w:tr w:rsidR="009F5894" w:rsidRPr="00AD7774" w14:paraId="3602FE3F" w14:textId="77777777" w:rsidTr="00A831C3">
        <w:trPr>
          <w:cantSplit/>
          <w:trHeight w:val="408"/>
        </w:trPr>
        <w:tc>
          <w:tcPr>
            <w:tcW w:w="997" w:type="dxa"/>
            <w:vAlign w:val="center"/>
          </w:tcPr>
          <w:p w14:paraId="5BF1C1E7" w14:textId="77777777" w:rsidR="009F5894" w:rsidRPr="00065880" w:rsidRDefault="009F5894" w:rsidP="00F0541C">
            <w:pPr>
              <w:spacing w:line="276" w:lineRule="auto"/>
              <w:contextualSpacing/>
              <w:jc w:val="both"/>
              <w:rPr>
                <w:rFonts w:asciiTheme="majorHAnsi" w:hAnsiTheme="majorHAnsi" w:cstheme="majorHAnsi"/>
                <w:b/>
                <w:bCs/>
                <w:color w:val="595959" w:themeColor="text1" w:themeTint="A6"/>
              </w:rPr>
            </w:pPr>
            <w:r w:rsidRPr="00065880">
              <w:rPr>
                <w:rFonts w:asciiTheme="majorHAnsi" w:hAnsiTheme="majorHAnsi" w:cstheme="majorHAnsi"/>
                <w:b/>
                <w:bCs/>
                <w:color w:val="595959" w:themeColor="text1" w:themeTint="A6"/>
              </w:rPr>
              <w:t>1948-1962</w:t>
            </w:r>
          </w:p>
        </w:tc>
        <w:tc>
          <w:tcPr>
            <w:tcW w:w="7503" w:type="dxa"/>
            <w:vAlign w:val="center"/>
          </w:tcPr>
          <w:p w14:paraId="64A8AD08" w14:textId="10E8A974" w:rsidR="009F5894" w:rsidRPr="00F0541C" w:rsidRDefault="009F5894" w:rsidP="00CF256F">
            <w:pPr>
              <w:pStyle w:val="Tabletext"/>
            </w:pPr>
            <w:r w:rsidRPr="00F0541C">
              <w:t xml:space="preserve">Several </w:t>
            </w:r>
            <w:r w:rsidR="000948E3" w:rsidRPr="00F0541C">
              <w:t xml:space="preserve">minor </w:t>
            </w:r>
            <w:r w:rsidRPr="00F0541C">
              <w:t>changes made to the MP superannuation scheme</w:t>
            </w:r>
            <w:r w:rsidR="002B1036" w:rsidRPr="00F0541C">
              <w:t xml:space="preserve"> (e.g.</w:t>
            </w:r>
            <w:r w:rsidR="000D3C78" w:rsidRPr="00F0541C">
              <w:t xml:space="preserve"> increase</w:t>
            </w:r>
            <w:r w:rsidR="001C7644" w:rsidRPr="00F0541C">
              <w:t>s to</w:t>
            </w:r>
            <w:r w:rsidR="000D3C78" w:rsidRPr="00F0541C">
              <w:t xml:space="preserve"> contributions and rate of pension</w:t>
            </w:r>
            <w:r w:rsidR="001C7644" w:rsidRPr="00F0541C">
              <w:t>)</w:t>
            </w:r>
            <w:r w:rsidRPr="00F0541C">
              <w:t>.</w:t>
            </w:r>
            <w:r w:rsidR="00407BE3" w:rsidRPr="00F0541C">
              <w:t xml:space="preserve"> Short-lived successor scheme introduced in 1962.</w:t>
            </w:r>
          </w:p>
        </w:tc>
      </w:tr>
      <w:tr w:rsidR="009F5894" w:rsidRPr="00AD7774" w14:paraId="2EA062A3" w14:textId="77777777" w:rsidTr="00A831C3">
        <w:trPr>
          <w:cantSplit/>
          <w:trHeight w:val="408"/>
        </w:trPr>
        <w:tc>
          <w:tcPr>
            <w:tcW w:w="997" w:type="dxa"/>
            <w:vAlign w:val="center"/>
          </w:tcPr>
          <w:p w14:paraId="2BE097C5" w14:textId="77777777" w:rsidR="009F5894" w:rsidRPr="00065880" w:rsidRDefault="009F5894" w:rsidP="00F0541C">
            <w:pPr>
              <w:spacing w:line="276" w:lineRule="auto"/>
              <w:contextualSpacing/>
              <w:rPr>
                <w:rFonts w:asciiTheme="majorHAnsi" w:hAnsiTheme="majorHAnsi" w:cstheme="majorHAnsi"/>
                <w:b/>
                <w:bCs/>
                <w:color w:val="595959" w:themeColor="text1" w:themeTint="A6"/>
              </w:rPr>
            </w:pPr>
            <w:r w:rsidRPr="00065880">
              <w:rPr>
                <w:rFonts w:asciiTheme="majorHAnsi" w:hAnsiTheme="majorHAnsi" w:cstheme="majorHAnsi"/>
                <w:b/>
                <w:bCs/>
                <w:color w:val="595959" w:themeColor="text1" w:themeTint="A6"/>
              </w:rPr>
              <w:t>1968</w:t>
            </w:r>
          </w:p>
        </w:tc>
        <w:tc>
          <w:tcPr>
            <w:tcW w:w="7503" w:type="dxa"/>
            <w:vAlign w:val="center"/>
          </w:tcPr>
          <w:p w14:paraId="622B3515" w14:textId="3610D84F" w:rsidR="009F5894" w:rsidRPr="00007C85" w:rsidRDefault="009F5894" w:rsidP="00CF256F">
            <w:pPr>
              <w:pStyle w:val="Tabletext"/>
              <w:rPr>
                <w:i/>
              </w:rPr>
            </w:pPr>
            <w:r w:rsidRPr="00007C85">
              <w:t>The Parliamentary Contributory Superannuation Fund (PCSF) is established, and a new superannuation scheme (now known as the Existing Benefits Scheme) is introduced for MPs modelled on arrangements for Victorian public service employees.</w:t>
            </w:r>
            <w:r w:rsidR="00006129">
              <w:t xml:space="preserve"> </w:t>
            </w:r>
            <w:r w:rsidRPr="00007C85">
              <w:t xml:space="preserve">Under the Existing Benefits Scheme, contributions and pension entitlements are tied to current MP salaries. </w:t>
            </w:r>
          </w:p>
        </w:tc>
      </w:tr>
      <w:tr w:rsidR="009F5894" w:rsidRPr="00AD7774" w14:paraId="14831A69" w14:textId="77777777" w:rsidTr="00A831C3">
        <w:trPr>
          <w:cantSplit/>
          <w:trHeight w:val="408"/>
        </w:trPr>
        <w:tc>
          <w:tcPr>
            <w:tcW w:w="997" w:type="dxa"/>
            <w:vAlign w:val="center"/>
          </w:tcPr>
          <w:p w14:paraId="59F4D24B" w14:textId="77777777" w:rsidR="009F5894" w:rsidRPr="00065880" w:rsidRDefault="009F5894" w:rsidP="00F0541C">
            <w:pPr>
              <w:spacing w:line="276" w:lineRule="auto"/>
              <w:contextualSpacing/>
              <w:rPr>
                <w:rFonts w:asciiTheme="majorHAnsi" w:hAnsiTheme="majorHAnsi" w:cstheme="majorHAnsi"/>
                <w:b/>
                <w:bCs/>
                <w:color w:val="595959" w:themeColor="text1" w:themeTint="A6"/>
              </w:rPr>
            </w:pPr>
            <w:r w:rsidRPr="00065880">
              <w:rPr>
                <w:rFonts w:asciiTheme="majorHAnsi" w:hAnsiTheme="majorHAnsi" w:cstheme="majorHAnsi"/>
                <w:b/>
                <w:bCs/>
                <w:color w:val="595959" w:themeColor="text1" w:themeTint="A6"/>
              </w:rPr>
              <w:t>1993</w:t>
            </w:r>
          </w:p>
        </w:tc>
        <w:tc>
          <w:tcPr>
            <w:tcW w:w="7503" w:type="dxa"/>
            <w:vAlign w:val="center"/>
          </w:tcPr>
          <w:p w14:paraId="2034613D" w14:textId="71AD9294" w:rsidR="009F5894" w:rsidRPr="00007C85" w:rsidRDefault="009F5894" w:rsidP="00CF256F">
            <w:pPr>
              <w:pStyle w:val="Tabletext"/>
            </w:pPr>
            <w:r w:rsidRPr="00007C85">
              <w:t>Victoria’s public sector defined benefit schemes are closed to most new employees.</w:t>
            </w:r>
            <w:r w:rsidR="00C645A0">
              <w:t xml:space="preserve"> Changes made to </w:t>
            </w:r>
            <w:r w:rsidR="00860666">
              <w:t>the future accrual of</w:t>
            </w:r>
            <w:r w:rsidR="00C645A0">
              <w:t xml:space="preserve"> </w:t>
            </w:r>
            <w:r w:rsidR="00723ED9">
              <w:t xml:space="preserve">former </w:t>
            </w:r>
            <w:r w:rsidR="00C645A0">
              <w:t xml:space="preserve">MP pension entitlements to achieve cost savings for the State. </w:t>
            </w:r>
            <w:r w:rsidRPr="00007C85">
              <w:t xml:space="preserve"> </w:t>
            </w:r>
          </w:p>
        </w:tc>
      </w:tr>
      <w:tr w:rsidR="009F5894" w:rsidRPr="00AD7774" w14:paraId="49291A66" w14:textId="77777777" w:rsidTr="00A831C3">
        <w:trPr>
          <w:cantSplit/>
          <w:trHeight w:val="408"/>
        </w:trPr>
        <w:tc>
          <w:tcPr>
            <w:tcW w:w="997" w:type="dxa"/>
            <w:vAlign w:val="center"/>
          </w:tcPr>
          <w:p w14:paraId="0498D8EF" w14:textId="77777777" w:rsidR="009F5894" w:rsidRPr="00065880" w:rsidRDefault="009F5894" w:rsidP="00F0541C">
            <w:pPr>
              <w:spacing w:line="276" w:lineRule="auto"/>
              <w:contextualSpacing/>
              <w:rPr>
                <w:rFonts w:asciiTheme="majorHAnsi" w:hAnsiTheme="majorHAnsi" w:cstheme="majorHAnsi"/>
                <w:b/>
                <w:bCs/>
                <w:color w:val="595959" w:themeColor="text1" w:themeTint="A6"/>
              </w:rPr>
            </w:pPr>
            <w:r w:rsidRPr="00065880">
              <w:rPr>
                <w:rFonts w:asciiTheme="majorHAnsi" w:hAnsiTheme="majorHAnsi" w:cstheme="majorHAnsi"/>
                <w:b/>
                <w:bCs/>
                <w:color w:val="595959" w:themeColor="text1" w:themeTint="A6"/>
              </w:rPr>
              <w:t>1996</w:t>
            </w:r>
          </w:p>
        </w:tc>
        <w:tc>
          <w:tcPr>
            <w:tcW w:w="7503" w:type="dxa"/>
            <w:vAlign w:val="center"/>
          </w:tcPr>
          <w:p w14:paraId="76C6F16F" w14:textId="77777777" w:rsidR="009F5894" w:rsidRPr="00007C85" w:rsidRDefault="009F5894" w:rsidP="00CF256F">
            <w:pPr>
              <w:pStyle w:val="Tabletext"/>
              <w:rPr>
                <w:i/>
              </w:rPr>
            </w:pPr>
            <w:r w:rsidRPr="00007C85">
              <w:t>New Benefits Scheme is introduced for Victorian MPs, based on the scheme for Commonwealth MPs. The Existing Benefits Scheme is closed to new members.</w:t>
            </w:r>
          </w:p>
        </w:tc>
      </w:tr>
      <w:tr w:rsidR="009F5894" w:rsidRPr="00AD7774" w14:paraId="3D97B1F3" w14:textId="77777777" w:rsidTr="00A831C3">
        <w:trPr>
          <w:cantSplit/>
          <w:trHeight w:val="408"/>
        </w:trPr>
        <w:tc>
          <w:tcPr>
            <w:tcW w:w="997" w:type="dxa"/>
            <w:vAlign w:val="center"/>
          </w:tcPr>
          <w:p w14:paraId="48E68442" w14:textId="77777777" w:rsidR="009F5894" w:rsidRPr="00065880" w:rsidRDefault="009F5894" w:rsidP="00F0541C">
            <w:pPr>
              <w:spacing w:line="276" w:lineRule="auto"/>
              <w:contextualSpacing/>
              <w:rPr>
                <w:rFonts w:asciiTheme="majorHAnsi" w:hAnsiTheme="majorHAnsi" w:cstheme="majorHAnsi"/>
                <w:b/>
                <w:bCs/>
                <w:color w:val="595959" w:themeColor="text1" w:themeTint="A6"/>
              </w:rPr>
            </w:pPr>
            <w:r w:rsidRPr="00065880">
              <w:rPr>
                <w:rFonts w:asciiTheme="majorHAnsi" w:hAnsiTheme="majorHAnsi" w:cstheme="majorHAnsi"/>
                <w:b/>
                <w:bCs/>
                <w:color w:val="595959" w:themeColor="text1" w:themeTint="A6"/>
              </w:rPr>
              <w:t>2004</w:t>
            </w:r>
          </w:p>
        </w:tc>
        <w:tc>
          <w:tcPr>
            <w:tcW w:w="7503" w:type="dxa"/>
            <w:vAlign w:val="center"/>
          </w:tcPr>
          <w:p w14:paraId="4E6CC393" w14:textId="77777777" w:rsidR="009F5894" w:rsidRPr="00007C85" w:rsidRDefault="009F5894" w:rsidP="00CF256F">
            <w:pPr>
              <w:pStyle w:val="Tabletext"/>
              <w:rPr>
                <w:i/>
              </w:rPr>
            </w:pPr>
            <w:r w:rsidRPr="00007C85">
              <w:t>New Benefits Scheme is closed to new members, following the Commonwealth’s decision to close its MP defined benefit scheme. New MPs are members of an accumulation scheme.</w:t>
            </w:r>
          </w:p>
        </w:tc>
      </w:tr>
      <w:tr w:rsidR="009F5894" w:rsidRPr="00AD7774" w14:paraId="72FB8426" w14:textId="77777777" w:rsidTr="00A831C3">
        <w:trPr>
          <w:cantSplit/>
          <w:trHeight w:val="408"/>
        </w:trPr>
        <w:tc>
          <w:tcPr>
            <w:tcW w:w="997" w:type="dxa"/>
            <w:vAlign w:val="center"/>
          </w:tcPr>
          <w:p w14:paraId="7F927F0E" w14:textId="77777777" w:rsidR="009F5894" w:rsidRPr="00065880" w:rsidRDefault="009F5894" w:rsidP="00F0541C">
            <w:pPr>
              <w:spacing w:line="276" w:lineRule="auto"/>
              <w:contextualSpacing/>
              <w:rPr>
                <w:rFonts w:asciiTheme="majorHAnsi" w:hAnsiTheme="majorHAnsi" w:cstheme="majorHAnsi"/>
                <w:b/>
                <w:bCs/>
                <w:color w:val="595959" w:themeColor="text1" w:themeTint="A6"/>
              </w:rPr>
            </w:pPr>
            <w:r w:rsidRPr="00065880">
              <w:rPr>
                <w:rFonts w:asciiTheme="majorHAnsi" w:hAnsiTheme="majorHAnsi" w:cstheme="majorHAnsi"/>
                <w:b/>
                <w:bCs/>
                <w:color w:val="595959" w:themeColor="text1" w:themeTint="A6"/>
              </w:rPr>
              <w:t>2012- 2013</w:t>
            </w:r>
          </w:p>
        </w:tc>
        <w:tc>
          <w:tcPr>
            <w:tcW w:w="7503" w:type="dxa"/>
            <w:vAlign w:val="center"/>
          </w:tcPr>
          <w:p w14:paraId="32213CBD" w14:textId="1FAF04C3" w:rsidR="009F5894" w:rsidRPr="00007C85" w:rsidRDefault="009F5894" w:rsidP="00CF256F">
            <w:pPr>
              <w:pStyle w:val="Tabletext"/>
            </w:pPr>
            <w:r w:rsidRPr="00007C85">
              <w:t>Changes made to MP superannuation and allowances following the Hazell Review:</w:t>
            </w:r>
            <w:r w:rsidR="00CE0305">
              <w:rPr>
                <w:rStyle w:val="FootnoteReference"/>
                <w:color w:val="595959" w:themeColor="text1" w:themeTint="A6"/>
              </w:rPr>
              <w:footnoteReference w:id="9"/>
            </w:r>
          </w:p>
          <w:p w14:paraId="4023F3DB" w14:textId="6F140864" w:rsidR="009F5894" w:rsidRPr="00007C85" w:rsidRDefault="009F5894" w:rsidP="000E74D3">
            <w:pPr>
              <w:pStyle w:val="Tablebullets"/>
            </w:pPr>
            <w:r w:rsidRPr="00007C85">
              <w:t xml:space="preserve">resettlement allowance is introduced for </w:t>
            </w:r>
            <w:r w:rsidR="00723ED9">
              <w:t xml:space="preserve">former </w:t>
            </w:r>
            <w:r w:rsidRPr="00007C85">
              <w:t xml:space="preserve">MPs that are not in </w:t>
            </w:r>
            <w:r w:rsidR="00C045A8">
              <w:t xml:space="preserve">a </w:t>
            </w:r>
            <w:r w:rsidRPr="00007C85">
              <w:t>defined benefit scheme</w:t>
            </w:r>
          </w:p>
          <w:p w14:paraId="3E4EE031" w14:textId="74BD483E" w:rsidR="009F5894" w:rsidRPr="00007C85" w:rsidRDefault="009F5894" w:rsidP="000E74D3">
            <w:pPr>
              <w:pStyle w:val="Tablebullets"/>
            </w:pPr>
            <w:r w:rsidRPr="00007C85">
              <w:t xml:space="preserve">employer superannuation contributions for MPs in the accumulation scheme are increased </w:t>
            </w:r>
            <w:r w:rsidR="00C56CEF">
              <w:t xml:space="preserve">to the </w:t>
            </w:r>
            <w:r w:rsidR="00C61D79">
              <w:t xml:space="preserve">Commonwealth </w:t>
            </w:r>
            <w:r w:rsidR="000A13A1">
              <w:t>S</w:t>
            </w:r>
            <w:r w:rsidR="00C61D79">
              <w:t xml:space="preserve">uperannuation </w:t>
            </w:r>
            <w:r w:rsidR="000A13A1">
              <w:t>G</w:t>
            </w:r>
            <w:r w:rsidR="00C61D79">
              <w:t>uarantee charge percentage plus 6 per cent</w:t>
            </w:r>
            <w:r w:rsidR="00C56CEF">
              <w:t xml:space="preserve"> (at the time </w:t>
            </w:r>
            <w:r w:rsidR="00CE0305">
              <w:t xml:space="preserve">reflecting </w:t>
            </w:r>
            <w:r w:rsidR="00C56CEF">
              <w:t>an</w:t>
            </w:r>
            <w:r w:rsidR="00F01491">
              <w:t xml:space="preserve"> overall</w:t>
            </w:r>
            <w:r w:rsidR="00C56CEF">
              <w:t xml:space="preserve"> increase from 9 per cent to 15 per cent)</w:t>
            </w:r>
            <w:r w:rsidRPr="00007C85">
              <w:t>.</w:t>
            </w:r>
          </w:p>
        </w:tc>
      </w:tr>
      <w:tr w:rsidR="009F5894" w14:paraId="07688F0D" w14:textId="77777777" w:rsidTr="00A831C3">
        <w:trPr>
          <w:cantSplit/>
          <w:trHeight w:val="408"/>
        </w:trPr>
        <w:tc>
          <w:tcPr>
            <w:tcW w:w="997" w:type="dxa"/>
            <w:vAlign w:val="center"/>
          </w:tcPr>
          <w:p w14:paraId="3609A988" w14:textId="77777777" w:rsidR="009F5894" w:rsidRPr="00065880" w:rsidRDefault="009F5894" w:rsidP="00F0541C">
            <w:pPr>
              <w:spacing w:line="276" w:lineRule="auto"/>
              <w:contextualSpacing/>
              <w:rPr>
                <w:rFonts w:asciiTheme="majorHAnsi" w:hAnsiTheme="majorHAnsi" w:cstheme="majorHAnsi"/>
                <w:b/>
                <w:bCs/>
                <w:color w:val="595959" w:themeColor="text1" w:themeTint="A6"/>
              </w:rPr>
            </w:pPr>
            <w:r w:rsidRPr="00065880">
              <w:rPr>
                <w:rFonts w:asciiTheme="majorHAnsi" w:hAnsiTheme="majorHAnsi" w:cstheme="majorHAnsi"/>
                <w:b/>
                <w:bCs/>
                <w:color w:val="595959" w:themeColor="text1" w:themeTint="A6"/>
              </w:rPr>
              <w:t>2019</w:t>
            </w:r>
          </w:p>
        </w:tc>
        <w:tc>
          <w:tcPr>
            <w:tcW w:w="7503" w:type="dxa"/>
            <w:vAlign w:val="center"/>
          </w:tcPr>
          <w:p w14:paraId="2BB98679" w14:textId="77777777" w:rsidR="009F5894" w:rsidRPr="00425655" w:rsidRDefault="009F5894" w:rsidP="00CF256F">
            <w:pPr>
              <w:pStyle w:val="Tabletext"/>
            </w:pPr>
            <w:r w:rsidRPr="00007C85">
              <w:t>The Tribunal is established. Legislative changes are made to ensure that increases to MP salaries do not ‘flow through’ to contributions and pension entitlements under the defined benefit schemes</w:t>
            </w:r>
            <w:r>
              <w:t>, by instead tying them to the ‘basic salary portion’</w:t>
            </w:r>
            <w:r w:rsidRPr="00007C85">
              <w:t xml:space="preserve">. The Tribunal sets the basic salary portion in the </w:t>
            </w:r>
            <w:r w:rsidRPr="00007C85">
              <w:rPr>
                <w:i/>
                <w:iCs/>
              </w:rPr>
              <w:t>Members of Parliament (Victoria) Determination No. 01/2019</w:t>
            </w:r>
            <w:r w:rsidRPr="00007C85">
              <w:t>, which is used to calculate contributions and pension entitlements for members of the defined benefit schemes going forward.</w:t>
            </w:r>
          </w:p>
        </w:tc>
      </w:tr>
    </w:tbl>
    <w:p w14:paraId="514496F3" w14:textId="77777777" w:rsidR="003F39BF" w:rsidRDefault="009F5894">
      <w:pPr>
        <w:pStyle w:val="VIRTHeading3"/>
      </w:pPr>
      <w:bookmarkStart w:id="11" w:name="_Toc40777642"/>
      <w:r>
        <w:t xml:space="preserve">Reforms following </w:t>
      </w:r>
      <w:r w:rsidR="00AD7774">
        <w:t>Hazell Review</w:t>
      </w:r>
      <w:bookmarkEnd w:id="11"/>
    </w:p>
    <w:p w14:paraId="6B543325" w14:textId="11DFE19A" w:rsidR="00596752" w:rsidRDefault="006B2EEA" w:rsidP="00AC4BD5">
      <w:pPr>
        <w:pStyle w:val="Paragraph"/>
      </w:pPr>
      <w:r>
        <w:t>In 2012, the Victorian Government commissioned Malco</w:t>
      </w:r>
      <w:r w:rsidR="002F1FE8">
        <w:t>l</w:t>
      </w:r>
      <w:r>
        <w:t xml:space="preserve">m Hazell CVO AM to </w:t>
      </w:r>
      <w:r w:rsidR="00B37EB5">
        <w:t xml:space="preserve">conduct </w:t>
      </w:r>
      <w:r>
        <w:t>a review into the salary entitlements, allowances and other</w:t>
      </w:r>
      <w:r w:rsidR="00F01491">
        <w:t xml:space="preserve"> </w:t>
      </w:r>
      <w:r>
        <w:t xml:space="preserve">arrangements for Victorian MPs (Hazell Review). </w:t>
      </w:r>
      <w:r w:rsidRPr="006B2EEA">
        <w:t xml:space="preserve">The Hazell Review identified a need to ‘bridge the gap’ between the superannuation arrangements of </w:t>
      </w:r>
      <w:r w:rsidR="005457E7">
        <w:t>MPs in the pre-2004 defined benefit schemes and those in the post-2004 accumulation scheme.</w:t>
      </w:r>
      <w:r w:rsidR="00C078FC">
        <w:t xml:space="preserve"> </w:t>
      </w:r>
      <w:r w:rsidR="005457E7">
        <w:t>H</w:t>
      </w:r>
      <w:r w:rsidR="00C078FC">
        <w:t>owever</w:t>
      </w:r>
      <w:r w:rsidR="00041C49">
        <w:t>,</w:t>
      </w:r>
      <w:r w:rsidR="00C078FC">
        <w:t xml:space="preserve"> it </w:t>
      </w:r>
      <w:r w:rsidR="002F1FE8">
        <w:t xml:space="preserve">concluded </w:t>
      </w:r>
      <w:r w:rsidRPr="006B2EEA">
        <w:t xml:space="preserve">that a return for all MPs to the pre-2004 scheme would be unjustifiable given prevailing community values and expectations and the likely cost (estimated </w:t>
      </w:r>
      <w:r w:rsidR="002F1FE8">
        <w:t xml:space="preserve">at </w:t>
      </w:r>
      <w:r w:rsidRPr="006B2EEA">
        <w:t>$6-7 million p</w:t>
      </w:r>
      <w:r w:rsidR="00587DB7">
        <w:t>er annum</w:t>
      </w:r>
      <w:r w:rsidRPr="006B2EEA">
        <w:t>)</w:t>
      </w:r>
      <w:r>
        <w:t xml:space="preserve">. </w:t>
      </w:r>
    </w:p>
    <w:p w14:paraId="4F5FCF14" w14:textId="1B6E237D" w:rsidR="006B2EEA" w:rsidRDefault="006B2EEA" w:rsidP="00AC4BD5">
      <w:pPr>
        <w:pStyle w:val="Paragraphbeforeabulletlist"/>
      </w:pPr>
      <w:r>
        <w:t xml:space="preserve">The Hazell Review made three recommendations to the Government to address the discrepancy between the superannuation schemes, each of which </w:t>
      </w:r>
      <w:r w:rsidR="00C078FC">
        <w:t>has been</w:t>
      </w:r>
      <w:r>
        <w:t xml:space="preserve"> implemented:</w:t>
      </w:r>
    </w:p>
    <w:p w14:paraId="29981433" w14:textId="4AAA1277" w:rsidR="00C078FC" w:rsidRDefault="00C078FC" w:rsidP="00AC4BD5">
      <w:pPr>
        <w:pStyle w:val="VIRTBulletpoints"/>
      </w:pPr>
      <w:r>
        <w:t>increasing the employer superannuation contributions for MPs in the accumulation scheme</w:t>
      </w:r>
      <w:r w:rsidR="00CE320C">
        <w:t xml:space="preserve"> from 9 per cent to 15 per cent</w:t>
      </w:r>
      <w:r w:rsidR="00A367EA">
        <w:rPr>
          <w:rStyle w:val="FootnoteReference"/>
        </w:rPr>
        <w:footnoteReference w:id="10"/>
      </w:r>
      <w:r>
        <w:t xml:space="preserve"> (implemented in 2013</w:t>
      </w:r>
      <w:r w:rsidR="00324652">
        <w:t xml:space="preserve">, when the superannuation </w:t>
      </w:r>
      <w:r w:rsidR="00534026">
        <w:t>contribution rate for MPs was increased to the Commonwealth Superannuation Guarantee charge percentage plus 6</w:t>
      </w:r>
      <w:r w:rsidR="00AC4BD5">
        <w:t> </w:t>
      </w:r>
      <w:r w:rsidR="00534026">
        <w:t>per</w:t>
      </w:r>
      <w:r w:rsidR="00AC4BD5">
        <w:t> </w:t>
      </w:r>
      <w:r w:rsidR="00534026">
        <w:t>cent</w:t>
      </w:r>
      <w:r>
        <w:t>)</w:t>
      </w:r>
    </w:p>
    <w:p w14:paraId="4A4BAB83" w14:textId="0C39FB71" w:rsidR="00C078FC" w:rsidRDefault="00C078FC" w:rsidP="00AC4BD5">
      <w:pPr>
        <w:pStyle w:val="VIRTBulletpoints"/>
      </w:pPr>
      <w:r>
        <w:t xml:space="preserve">introducing a resettlement allowance for </w:t>
      </w:r>
      <w:r w:rsidR="00723ED9">
        <w:t xml:space="preserve">former </w:t>
      </w:r>
      <w:r>
        <w:t>MPs that are not members of the defined benefit schemes</w:t>
      </w:r>
      <w:r w:rsidR="00D2468B">
        <w:t xml:space="preserve"> and that lose their seat in the Parliament</w:t>
      </w:r>
      <w:r>
        <w:t xml:space="preserve"> (introduced in 2013, and replaced by the separation payment in 2019</w:t>
      </w:r>
      <w:r w:rsidR="00346271">
        <w:t>)</w:t>
      </w:r>
    </w:p>
    <w:p w14:paraId="53FFA944" w14:textId="7BFEB20F" w:rsidR="00812E18" w:rsidRDefault="00C078FC" w:rsidP="00AC4BD5">
      <w:pPr>
        <w:pStyle w:val="VIRTBulletpoints"/>
      </w:pPr>
      <w:r>
        <w:t>revising the MP basic salary based on an objective and comprehensive work-value assessment (completed by the Tribunal in 2019).</w:t>
      </w:r>
    </w:p>
    <w:p w14:paraId="120D6608" w14:textId="77777777" w:rsidR="00AD7774" w:rsidRDefault="00AD7774" w:rsidP="002026CF">
      <w:pPr>
        <w:pStyle w:val="VIRTHeading2"/>
      </w:pPr>
      <w:bookmarkStart w:id="14" w:name="_Toc40777643"/>
      <w:r>
        <w:t>Current superannuation arrangements for Victorian MPs</w:t>
      </w:r>
      <w:bookmarkEnd w:id="14"/>
    </w:p>
    <w:p w14:paraId="270FE998" w14:textId="6E92C62F" w:rsidR="004C0DE2" w:rsidRDefault="008D682D" w:rsidP="00AC4BD5">
      <w:pPr>
        <w:pStyle w:val="Paragraph"/>
      </w:pPr>
      <w:r>
        <w:t xml:space="preserve">The superannuation arrangements of Victorian MPs are outlined in </w:t>
      </w:r>
      <w:r w:rsidR="00C645A0">
        <w:t>P</w:t>
      </w:r>
      <w:r>
        <w:t xml:space="preserve">arts 3 and 4 of the PSAS Act. </w:t>
      </w:r>
      <w:r w:rsidR="00723ED9">
        <w:t>Existing</w:t>
      </w:r>
      <w:r>
        <w:t xml:space="preserve"> and former MPs are either members of a defined benefit scheme (Part 3), or an accumulation scheme (Part 4).</w:t>
      </w:r>
    </w:p>
    <w:p w14:paraId="288137E6" w14:textId="77777777" w:rsidR="00845733" w:rsidRDefault="00106658">
      <w:pPr>
        <w:pStyle w:val="VIRTHeading3"/>
      </w:pPr>
      <w:bookmarkStart w:id="15" w:name="_Toc40777644"/>
      <w:r>
        <w:t>Defined benefit schemes</w:t>
      </w:r>
      <w:bookmarkEnd w:id="15"/>
    </w:p>
    <w:p w14:paraId="322B60EB" w14:textId="0FC9DB9C" w:rsidR="00F769E4" w:rsidRDefault="00BC0942" w:rsidP="00AC4BD5">
      <w:pPr>
        <w:pStyle w:val="Paragraph"/>
      </w:pPr>
      <w:r w:rsidRPr="002615EC">
        <w:t>There are two defined benefit schemes operating in respect of</w:t>
      </w:r>
      <w:r w:rsidR="006B2948" w:rsidRPr="002615EC">
        <w:t xml:space="preserve"> </w:t>
      </w:r>
      <w:r w:rsidR="00723ED9">
        <w:t>existing</w:t>
      </w:r>
      <w:r w:rsidR="006B2948" w:rsidRPr="002615EC">
        <w:t xml:space="preserve"> and </w:t>
      </w:r>
      <w:r w:rsidR="00532EEB">
        <w:t>former</w:t>
      </w:r>
      <w:r w:rsidRPr="002615EC">
        <w:t xml:space="preserve"> Victorian MPs</w:t>
      </w:r>
      <w:r w:rsidR="00864EBE">
        <w:t xml:space="preserve"> –</w:t>
      </w:r>
      <w:r w:rsidR="006B2948" w:rsidRPr="002615EC">
        <w:t xml:space="preserve"> </w:t>
      </w:r>
      <w:r w:rsidR="00047D53" w:rsidRPr="002615EC">
        <w:t xml:space="preserve">the ‘Existing Benefits Scheme’ and the </w:t>
      </w:r>
      <w:r w:rsidR="00CB167D">
        <w:t>‘</w:t>
      </w:r>
      <w:r w:rsidR="00047D53" w:rsidRPr="002615EC">
        <w:t>New Benefits</w:t>
      </w:r>
      <w:r w:rsidR="0006514C">
        <w:t xml:space="preserve"> Scheme’. Both schemes are now closed to new members.</w:t>
      </w:r>
    </w:p>
    <w:p w14:paraId="1ED2C8DA" w14:textId="679AC749" w:rsidR="007B79DC" w:rsidRDefault="000077F4" w:rsidP="00AC4BD5">
      <w:pPr>
        <w:pStyle w:val="Paragraph"/>
      </w:pPr>
      <w:r>
        <w:t>While the Existing and New Benefits Scheme</w:t>
      </w:r>
      <w:r w:rsidR="009735EF">
        <w:t>s</w:t>
      </w:r>
      <w:r>
        <w:t xml:space="preserve"> have different rules regarding pension eligibility and the rate of pension payable</w:t>
      </w:r>
      <w:r w:rsidR="00E812E9">
        <w:t>, they share some common features</w:t>
      </w:r>
      <w:r w:rsidR="00076E69">
        <w:t xml:space="preserve">. </w:t>
      </w:r>
      <w:r w:rsidR="00EA45D4">
        <w:t xml:space="preserve">For example, </w:t>
      </w:r>
      <w:r w:rsidR="00723ED9" w:rsidRPr="00F0541C">
        <w:rPr>
          <w:color w:val="4D4D4D"/>
        </w:rPr>
        <w:t>existing</w:t>
      </w:r>
      <w:r w:rsidR="00F25903">
        <w:t xml:space="preserve"> MPs </w:t>
      </w:r>
      <w:r w:rsidR="008C170B">
        <w:t xml:space="preserve">in both schemes </w:t>
      </w:r>
      <w:r w:rsidR="00F25903">
        <w:t>are required to</w:t>
      </w:r>
      <w:r w:rsidR="00FB7E78">
        <w:t xml:space="preserve"> contribute a portion of their salary</w:t>
      </w:r>
      <w:r w:rsidR="007C604A">
        <w:t xml:space="preserve"> </w:t>
      </w:r>
      <w:r w:rsidR="00DA4F87">
        <w:t>to the PCSF</w:t>
      </w:r>
      <w:r w:rsidR="00A87574">
        <w:t xml:space="preserve"> in exchange for the provision of a defined benefit upon leaving the Parliament</w:t>
      </w:r>
      <w:r w:rsidR="008F519B">
        <w:t xml:space="preserve">. Eligible </w:t>
      </w:r>
      <w:r w:rsidR="00723ED9">
        <w:t xml:space="preserve">former </w:t>
      </w:r>
      <w:r w:rsidR="008F519B">
        <w:t>MPs receive a pension upon leaving the Parliament</w:t>
      </w:r>
      <w:r w:rsidR="00AE7F55">
        <w:t xml:space="preserve">, </w:t>
      </w:r>
      <w:r w:rsidR="009A1571">
        <w:t>while those who are ineligible</w:t>
      </w:r>
      <w:r w:rsidR="00C83066">
        <w:t xml:space="preserve"> </w:t>
      </w:r>
      <w:r w:rsidR="00176A0C">
        <w:t xml:space="preserve">instead </w:t>
      </w:r>
      <w:r w:rsidR="00C83066">
        <w:t xml:space="preserve">receive a lump sum payment of up to 3⅓ </w:t>
      </w:r>
      <w:r w:rsidR="00E96D37">
        <w:t xml:space="preserve">times </w:t>
      </w:r>
      <w:r w:rsidR="00C83066">
        <w:t>their contributions.</w:t>
      </w:r>
      <w:r w:rsidR="000E19E3">
        <w:t xml:space="preserve"> </w:t>
      </w:r>
      <w:r w:rsidR="0059436C">
        <w:t xml:space="preserve">Upon the death of an MP, a reduced pension is payable to their partner or eligible children. </w:t>
      </w:r>
      <w:r w:rsidR="00E312D3">
        <w:t xml:space="preserve">The </w:t>
      </w:r>
      <w:r w:rsidR="007D68E2">
        <w:t>common</w:t>
      </w:r>
      <w:r w:rsidR="00E312D3">
        <w:t xml:space="preserve"> features of the defined benefit schemes</w:t>
      </w:r>
      <w:r w:rsidR="00065243">
        <w:t xml:space="preserve"> are summarised in table 2</w:t>
      </w:r>
      <w:r w:rsidR="002026CF">
        <w:t xml:space="preserve"> overleaf</w:t>
      </w:r>
      <w:r w:rsidR="00065243">
        <w:t>.</w:t>
      </w:r>
    </w:p>
    <w:p w14:paraId="37DC16C8" w14:textId="77777777" w:rsidR="007B79DC" w:rsidRDefault="007B79DC">
      <w:pPr>
        <w:rPr>
          <w:rFonts w:ascii="Calibri Light" w:eastAsiaTheme="minorEastAsia" w:hAnsi="Calibri Light" w:cs="Arial"/>
          <w:color w:val="4D4D4D" w:themeColor="accent6"/>
          <w:sz w:val="26"/>
          <w:szCs w:val="20"/>
        </w:rPr>
      </w:pPr>
      <w:r>
        <w:br w:type="page"/>
      </w:r>
    </w:p>
    <w:p w14:paraId="0C491318" w14:textId="654D3CEE" w:rsidR="007D68E2" w:rsidRDefault="007D68E2" w:rsidP="007D68E2">
      <w:pPr>
        <w:pStyle w:val="Tableheading"/>
      </w:pPr>
      <w:r>
        <w:t>Table 2: common features of MP defined benefit schemes</w:t>
      </w:r>
    </w:p>
    <w:tbl>
      <w:tblPr>
        <w:tblW w:w="0" w:type="auto"/>
        <w:tblLook w:val="0600" w:firstRow="0" w:lastRow="0" w:firstColumn="0" w:lastColumn="0" w:noHBand="1" w:noVBand="1"/>
      </w:tblPr>
      <w:tblGrid>
        <w:gridCol w:w="8494"/>
      </w:tblGrid>
      <w:tr w:rsidR="00EA24B3" w14:paraId="049E6779" w14:textId="77777777" w:rsidTr="00A831C3">
        <w:trPr>
          <w:trHeight w:val="408"/>
        </w:trPr>
        <w:tc>
          <w:tcPr>
            <w:tcW w:w="8494" w:type="dxa"/>
            <w:tcBorders>
              <w:top w:val="single" w:sz="4" w:space="0" w:color="148A5D"/>
              <w:left w:val="single" w:sz="4" w:space="0" w:color="FFFFFF" w:themeColor="background1"/>
              <w:right w:val="single" w:sz="4" w:space="0" w:color="FFFFFF" w:themeColor="background1"/>
            </w:tcBorders>
            <w:shd w:val="clear" w:color="auto" w:fill="148A5D"/>
            <w:vAlign w:val="center"/>
          </w:tcPr>
          <w:p w14:paraId="653385BC" w14:textId="2659FA62" w:rsidR="00EA24B3" w:rsidRPr="00F0541C" w:rsidRDefault="00EA24B3" w:rsidP="00CF256F">
            <w:pPr>
              <w:pStyle w:val="Tableheaderrow"/>
            </w:pPr>
            <w:r w:rsidRPr="00F0541C">
              <w:t>Features</w:t>
            </w:r>
          </w:p>
        </w:tc>
      </w:tr>
      <w:tr w:rsidR="00EA24B3" w14:paraId="768EFA84" w14:textId="77777777" w:rsidTr="00A831C3">
        <w:trPr>
          <w:trHeight w:val="408"/>
        </w:trPr>
        <w:tc>
          <w:tcPr>
            <w:tcW w:w="8494" w:type="dxa"/>
            <w:tcBorders>
              <w:left w:val="single" w:sz="4" w:space="0" w:color="FFFFFF" w:themeColor="background1"/>
              <w:bottom w:val="single" w:sz="4" w:space="0" w:color="148A5D"/>
              <w:right w:val="single" w:sz="4" w:space="0" w:color="FFFFFF" w:themeColor="background1"/>
            </w:tcBorders>
            <w:vAlign w:val="center"/>
          </w:tcPr>
          <w:p w14:paraId="4BF44F31" w14:textId="4B4615FF" w:rsidR="00EA24B3" w:rsidRPr="002E7BD7" w:rsidRDefault="00723ED9" w:rsidP="00CF256F">
            <w:pPr>
              <w:pStyle w:val="Tabletext"/>
            </w:pPr>
            <w:r w:rsidRPr="002E7BD7">
              <w:t xml:space="preserve">Existing </w:t>
            </w:r>
            <w:r w:rsidR="00F80536" w:rsidRPr="002E7BD7">
              <w:t xml:space="preserve">MPs are required to contribute a </w:t>
            </w:r>
            <w:r w:rsidR="009C757E" w:rsidRPr="002E7BD7">
              <w:t xml:space="preserve">set </w:t>
            </w:r>
            <w:r w:rsidR="00F80536" w:rsidRPr="002E7BD7">
              <w:t>portion of their salary to the PCSF</w:t>
            </w:r>
            <w:r w:rsidR="000C63DD" w:rsidRPr="002E7BD7">
              <w:t>.</w:t>
            </w:r>
          </w:p>
        </w:tc>
      </w:tr>
      <w:tr w:rsidR="000C63DD" w14:paraId="708E211C" w14:textId="77777777" w:rsidTr="00A831C3">
        <w:trPr>
          <w:trHeight w:val="408"/>
        </w:trPr>
        <w:tc>
          <w:tcPr>
            <w:tcW w:w="8494" w:type="dxa"/>
            <w:tcBorders>
              <w:top w:val="single" w:sz="4" w:space="0" w:color="148A5D"/>
              <w:left w:val="single" w:sz="4" w:space="0" w:color="FFFFFF" w:themeColor="background1"/>
              <w:bottom w:val="single" w:sz="4" w:space="0" w:color="148A5D"/>
              <w:right w:val="single" w:sz="4" w:space="0" w:color="FFFFFF" w:themeColor="background1"/>
            </w:tcBorders>
            <w:vAlign w:val="center"/>
          </w:tcPr>
          <w:p w14:paraId="4A1DB3F9" w14:textId="655B644C" w:rsidR="000C63DD" w:rsidRPr="002E7BD7" w:rsidRDefault="000C63DD" w:rsidP="00CF256F">
            <w:pPr>
              <w:pStyle w:val="Tabletext"/>
            </w:pPr>
            <w:r w:rsidRPr="002E7BD7">
              <w:t>All contributions are paid into the PCSF as after-tax deductions.</w:t>
            </w:r>
          </w:p>
        </w:tc>
      </w:tr>
      <w:tr w:rsidR="000C63DD" w14:paraId="0332B2C5" w14:textId="77777777" w:rsidTr="00A831C3">
        <w:trPr>
          <w:trHeight w:val="408"/>
        </w:trPr>
        <w:tc>
          <w:tcPr>
            <w:tcW w:w="8494" w:type="dxa"/>
            <w:tcBorders>
              <w:top w:val="single" w:sz="4" w:space="0" w:color="148A5D"/>
              <w:left w:val="single" w:sz="4" w:space="0" w:color="FFFFFF" w:themeColor="background1"/>
              <w:bottom w:val="single" w:sz="4" w:space="0" w:color="148A5D"/>
              <w:right w:val="single" w:sz="4" w:space="0" w:color="FFFFFF" w:themeColor="background1"/>
            </w:tcBorders>
            <w:vAlign w:val="center"/>
          </w:tcPr>
          <w:p w14:paraId="373EE70D" w14:textId="77AFCB6E" w:rsidR="000C63DD" w:rsidRPr="002E7BD7" w:rsidRDefault="00723ED9" w:rsidP="00CF256F">
            <w:pPr>
              <w:pStyle w:val="Tabletext"/>
            </w:pPr>
            <w:r w:rsidRPr="002E7BD7">
              <w:t xml:space="preserve">Former </w:t>
            </w:r>
            <w:r w:rsidR="000C63DD" w:rsidRPr="002E7BD7">
              <w:t>MPs who meet certain eligibility requirements when they leave the Parliament are eligible to receive an annual pension regardless of their age.</w:t>
            </w:r>
          </w:p>
        </w:tc>
      </w:tr>
      <w:tr w:rsidR="00117954" w14:paraId="5EE5B0DB" w14:textId="77777777" w:rsidTr="00A831C3">
        <w:trPr>
          <w:trHeight w:val="408"/>
        </w:trPr>
        <w:tc>
          <w:tcPr>
            <w:tcW w:w="8494" w:type="dxa"/>
            <w:tcBorders>
              <w:top w:val="single" w:sz="4" w:space="0" w:color="148A5D"/>
              <w:left w:val="single" w:sz="4" w:space="0" w:color="FFFFFF" w:themeColor="background1"/>
              <w:bottom w:val="single" w:sz="4" w:space="0" w:color="148A5D"/>
              <w:right w:val="single" w:sz="4" w:space="0" w:color="FFFFFF" w:themeColor="background1"/>
            </w:tcBorders>
            <w:vAlign w:val="center"/>
          </w:tcPr>
          <w:p w14:paraId="0D9D1971" w14:textId="18EAC78B" w:rsidR="00117954" w:rsidRPr="002E7BD7" w:rsidRDefault="00117954" w:rsidP="00CF256F">
            <w:pPr>
              <w:pStyle w:val="Tabletext"/>
            </w:pPr>
            <w:r w:rsidRPr="002E7BD7">
              <w:t xml:space="preserve">When </w:t>
            </w:r>
            <w:r w:rsidR="00723ED9" w:rsidRPr="002E7BD7">
              <w:t xml:space="preserve">former </w:t>
            </w:r>
            <w:r w:rsidRPr="002E7BD7">
              <w:t>MPs leave the Parliament, they may cash out all or part of their pension for a lump sum payment (subject to Commonwealth preservation laws, which place some restrictions on when superannuation can be accessed)</w:t>
            </w:r>
            <w:r w:rsidR="00CB643C" w:rsidRPr="002E7BD7">
              <w:t>.</w:t>
            </w:r>
          </w:p>
        </w:tc>
      </w:tr>
      <w:tr w:rsidR="00CB643C" w14:paraId="02B5E778" w14:textId="77777777" w:rsidTr="00A831C3">
        <w:trPr>
          <w:trHeight w:val="408"/>
        </w:trPr>
        <w:tc>
          <w:tcPr>
            <w:tcW w:w="8494" w:type="dxa"/>
            <w:tcBorders>
              <w:top w:val="single" w:sz="4" w:space="0" w:color="148A5D"/>
              <w:left w:val="single" w:sz="4" w:space="0" w:color="FFFFFF" w:themeColor="background1"/>
              <w:bottom w:val="single" w:sz="4" w:space="0" w:color="148A5D"/>
              <w:right w:val="single" w:sz="4" w:space="0" w:color="FFFFFF" w:themeColor="background1"/>
            </w:tcBorders>
            <w:vAlign w:val="center"/>
          </w:tcPr>
          <w:p w14:paraId="77DA09C6" w14:textId="3C3ABBB0" w:rsidR="00CB643C" w:rsidRPr="002E7BD7" w:rsidRDefault="00723ED9" w:rsidP="00CF256F">
            <w:pPr>
              <w:pStyle w:val="Tabletext"/>
            </w:pPr>
            <w:r w:rsidRPr="002E7BD7">
              <w:t xml:space="preserve">Former </w:t>
            </w:r>
            <w:r w:rsidR="00CB643C" w:rsidRPr="002E7BD7">
              <w:t>MPs who are not eligible for a pension upon leaving the Parliament receive a lump sum payment of up to 3⅓ times their contributions.</w:t>
            </w:r>
          </w:p>
        </w:tc>
      </w:tr>
      <w:tr w:rsidR="00CB643C" w14:paraId="0CE0A937" w14:textId="77777777" w:rsidTr="00A831C3">
        <w:trPr>
          <w:trHeight w:val="408"/>
        </w:trPr>
        <w:tc>
          <w:tcPr>
            <w:tcW w:w="8494" w:type="dxa"/>
            <w:tcBorders>
              <w:top w:val="single" w:sz="4" w:space="0" w:color="148A5D"/>
              <w:left w:val="single" w:sz="4" w:space="0" w:color="FFFFFF" w:themeColor="background1"/>
              <w:bottom w:val="single" w:sz="4" w:space="0" w:color="148A5D"/>
              <w:right w:val="single" w:sz="4" w:space="0" w:color="FFFFFF" w:themeColor="background1"/>
            </w:tcBorders>
            <w:vAlign w:val="center"/>
          </w:tcPr>
          <w:p w14:paraId="19953A0C" w14:textId="141508FD" w:rsidR="00CB643C" w:rsidRPr="002E7BD7" w:rsidRDefault="00CB643C" w:rsidP="00CF256F">
            <w:pPr>
              <w:pStyle w:val="Tabletext"/>
            </w:pPr>
            <w:r w:rsidRPr="002E7BD7">
              <w:t>Following the death of a</w:t>
            </w:r>
            <w:r w:rsidR="00723ED9" w:rsidRPr="002E7BD7">
              <w:t>n existing</w:t>
            </w:r>
            <w:r w:rsidRPr="002E7BD7">
              <w:t xml:space="preserve"> or former MP, a </w:t>
            </w:r>
            <w:r w:rsidR="0059436C" w:rsidRPr="002E7BD7">
              <w:t xml:space="preserve">reduced </w:t>
            </w:r>
            <w:r w:rsidRPr="002E7BD7">
              <w:t xml:space="preserve">pension may be paid to their partner or </w:t>
            </w:r>
            <w:r w:rsidR="00DD5CAB" w:rsidRPr="002E7BD7">
              <w:t xml:space="preserve">eligible </w:t>
            </w:r>
            <w:r w:rsidRPr="002E7BD7">
              <w:t>children</w:t>
            </w:r>
            <w:r w:rsidR="00876C3A" w:rsidRPr="002E7BD7">
              <w:t>.</w:t>
            </w:r>
          </w:p>
        </w:tc>
      </w:tr>
    </w:tbl>
    <w:p w14:paraId="0509D436" w14:textId="196B1378" w:rsidR="006365BC" w:rsidRDefault="006365BC" w:rsidP="00AC4BD5">
      <w:pPr>
        <w:pStyle w:val="Paragraph"/>
      </w:pPr>
      <w:r>
        <w:t xml:space="preserve">In 2019, legislation was passed which changed the way </w:t>
      </w:r>
      <w:r w:rsidR="00723ED9">
        <w:t xml:space="preserve">contributions and </w:t>
      </w:r>
      <w:r>
        <w:t xml:space="preserve">benefits were calculated for </w:t>
      </w:r>
      <w:r w:rsidR="00723ED9">
        <w:t xml:space="preserve">existing and former </w:t>
      </w:r>
      <w:r>
        <w:t xml:space="preserve">MPs in the defined benefit schemes. The primary outcome of these changes </w:t>
      </w:r>
      <w:r w:rsidR="00BD43B8">
        <w:t xml:space="preserve">is </w:t>
      </w:r>
      <w:r>
        <w:t>that</w:t>
      </w:r>
      <w:r w:rsidR="00BD43B8">
        <w:t xml:space="preserve"> the</w:t>
      </w:r>
      <w:r>
        <w:t xml:space="preserve"> contributions and </w:t>
      </w:r>
      <w:r w:rsidR="00723ED9">
        <w:t>benefits</w:t>
      </w:r>
      <w:r>
        <w:t xml:space="preserve"> </w:t>
      </w:r>
      <w:r w:rsidR="00723ED9">
        <w:t>for</w:t>
      </w:r>
      <w:r w:rsidR="00BD43B8">
        <w:t xml:space="preserve"> </w:t>
      </w:r>
      <w:r w:rsidR="00723ED9">
        <w:t xml:space="preserve">existing and former </w:t>
      </w:r>
      <w:r w:rsidR="00BD43B8">
        <w:t xml:space="preserve">MPs who are in the </w:t>
      </w:r>
      <w:r w:rsidR="00AD7774">
        <w:t>defined benefit schemes</w:t>
      </w:r>
      <w:r w:rsidR="00BD43B8">
        <w:t xml:space="preserve"> are</w:t>
      </w:r>
      <w:r>
        <w:t xml:space="preserve"> no longer tied to the </w:t>
      </w:r>
      <w:r w:rsidR="00723ED9">
        <w:t xml:space="preserve">current </w:t>
      </w:r>
      <w:r>
        <w:t xml:space="preserve">basic salary of MPs and the additional salaries of office holders. </w:t>
      </w:r>
      <w:r w:rsidR="00AD7774">
        <w:t xml:space="preserve">Instead, </w:t>
      </w:r>
      <w:r w:rsidR="00723ED9">
        <w:t xml:space="preserve">the </w:t>
      </w:r>
      <w:r w:rsidR="002C11EC">
        <w:t>contributions and</w:t>
      </w:r>
      <w:r w:rsidR="00723ED9">
        <w:t xml:space="preserve"> benefits</w:t>
      </w:r>
      <w:r w:rsidR="002C11EC">
        <w:t xml:space="preserve"> are tied to a value set </w:t>
      </w:r>
      <w:r w:rsidR="00965614">
        <w:t xml:space="preserve">by the Tribunal </w:t>
      </w:r>
      <w:r w:rsidR="002C11EC">
        <w:t xml:space="preserve">in the </w:t>
      </w:r>
      <w:r w:rsidR="002C11EC" w:rsidRPr="005306CA">
        <w:rPr>
          <w:rFonts w:asciiTheme="majorHAnsi" w:hAnsiTheme="majorHAnsi" w:cstheme="majorHAnsi"/>
          <w:i/>
          <w:iCs/>
          <w:color w:val="595959" w:themeColor="text1" w:themeTint="A6"/>
        </w:rPr>
        <w:t>Members of Parliament (Victoria) Determination No. 01/2019</w:t>
      </w:r>
      <w:r w:rsidR="002C11EC">
        <w:rPr>
          <w:rFonts w:asciiTheme="majorHAnsi" w:hAnsiTheme="majorHAnsi" w:cstheme="majorHAnsi"/>
          <w:i/>
          <w:iCs/>
          <w:color w:val="595959" w:themeColor="text1" w:themeTint="A6"/>
        </w:rPr>
        <w:t xml:space="preserve">, </w:t>
      </w:r>
      <w:r w:rsidR="002C11EC">
        <w:t>referred to as the basic salary portion.</w:t>
      </w:r>
      <w:r w:rsidR="00965614">
        <w:t xml:space="preserve"> The basic salary portion will be automatically indexed each financial year in accordance with a formula set out in s10 of the PSAS Act</w:t>
      </w:r>
      <w:r w:rsidR="007B120C">
        <w:t xml:space="preserve"> </w:t>
      </w:r>
      <w:r w:rsidR="00965614">
        <w:t xml:space="preserve">and cannot be </w:t>
      </w:r>
      <w:r w:rsidR="007B120C">
        <w:t>changed</w:t>
      </w:r>
      <w:r w:rsidR="00965614">
        <w:t xml:space="preserve"> by the Tribunal. </w:t>
      </w:r>
      <w:r w:rsidR="00333783">
        <w:t>Further information about the</w:t>
      </w:r>
      <w:r>
        <w:t xml:space="preserve">se changes and the </w:t>
      </w:r>
      <w:r w:rsidR="00333783">
        <w:t xml:space="preserve">operation of each scheme </w:t>
      </w:r>
      <w:r w:rsidR="0088188F">
        <w:t>is</w:t>
      </w:r>
      <w:r w:rsidR="006B2948">
        <w:t xml:space="preserve"> provided in</w:t>
      </w:r>
      <w:r w:rsidR="00333783">
        <w:t xml:space="preserve"> </w:t>
      </w:r>
      <w:r w:rsidR="00333783" w:rsidRPr="002662D5">
        <w:rPr>
          <w:u w:val="single"/>
        </w:rPr>
        <w:t>Appendix</w:t>
      </w:r>
      <w:r w:rsidR="002662D5">
        <w:rPr>
          <w:u w:val="single"/>
        </w:rPr>
        <w:t> </w:t>
      </w:r>
      <w:r w:rsidR="002662D5" w:rsidRPr="002662D5">
        <w:rPr>
          <w:u w:val="single"/>
        </w:rPr>
        <w:t>A</w:t>
      </w:r>
      <w:r w:rsidR="00A36BC3">
        <w:t>.</w:t>
      </w:r>
    </w:p>
    <w:p w14:paraId="651ED9F5" w14:textId="77777777" w:rsidR="00106658" w:rsidRDefault="00106658">
      <w:pPr>
        <w:pStyle w:val="VIRTHeading3"/>
      </w:pPr>
      <w:bookmarkStart w:id="16" w:name="_Toc40777645"/>
      <w:r>
        <w:t xml:space="preserve">Accumulation </w:t>
      </w:r>
      <w:r w:rsidR="004E460E">
        <w:t>s</w:t>
      </w:r>
      <w:r>
        <w:t>cheme</w:t>
      </w:r>
      <w:bookmarkEnd w:id="16"/>
    </w:p>
    <w:p w14:paraId="0F4ECBD2" w14:textId="77777777" w:rsidR="002B38E3" w:rsidRDefault="00807242" w:rsidP="00AC4BD5">
      <w:pPr>
        <w:pStyle w:val="Paragraph"/>
      </w:pPr>
      <w:r>
        <w:t xml:space="preserve">MPs elected after 9 November 2004 are members of the accumulation scheme. MPs are required to nominate a complying fund for their contributions to be paid into, otherwise contributions are paid into the default fund. </w:t>
      </w:r>
    </w:p>
    <w:p w14:paraId="6B9C6AA3" w14:textId="0D44466F" w:rsidR="001D1FBC" w:rsidRDefault="00807242" w:rsidP="00AC4BD5">
      <w:pPr>
        <w:pStyle w:val="Paragraphbeforeabulletlist"/>
      </w:pPr>
      <w:r>
        <w:t>Section 31 of the PSAS Act requires the State to make superannuation contributions that are equal to the greater of:</w:t>
      </w:r>
    </w:p>
    <w:p w14:paraId="6AB3D8DD" w14:textId="77777777" w:rsidR="00807242" w:rsidRDefault="00B9296A" w:rsidP="00AC4BD5">
      <w:pPr>
        <w:pStyle w:val="VIRTBulletpoints"/>
      </w:pPr>
      <w:r>
        <w:t>t</w:t>
      </w:r>
      <w:r w:rsidR="00807242">
        <w:t>he</w:t>
      </w:r>
      <w:r w:rsidR="001D1FBC">
        <w:t xml:space="preserve"> </w:t>
      </w:r>
      <w:r w:rsidR="00807242">
        <w:t>‘prescribed percentage’ (currently 15.5</w:t>
      </w:r>
      <w:r w:rsidR="00502773">
        <w:t xml:space="preserve"> per cent</w:t>
      </w:r>
      <w:r w:rsidR="00807242">
        <w:t>) of the basic salary and additional salary (if any)</w:t>
      </w:r>
    </w:p>
    <w:p w14:paraId="109374A0" w14:textId="2BCA3AE5" w:rsidR="00807242" w:rsidRDefault="00807242" w:rsidP="00AC4BD5">
      <w:pPr>
        <w:pStyle w:val="VIRTBulletpoints"/>
      </w:pPr>
      <w:r>
        <w:t xml:space="preserve">the minimum amount necessary to avoid a </w:t>
      </w:r>
      <w:r w:rsidR="00616CD3">
        <w:t>S</w:t>
      </w:r>
      <w:r>
        <w:t xml:space="preserve">uperannuation </w:t>
      </w:r>
      <w:r w:rsidR="00616CD3">
        <w:t>G</w:t>
      </w:r>
      <w:r>
        <w:t>uarantee shortfall under Commonwealth law</w:t>
      </w:r>
      <w:r w:rsidR="00845733">
        <w:t xml:space="preserve"> (s</w:t>
      </w:r>
      <w:r w:rsidR="00845733" w:rsidRPr="00845733">
        <w:t xml:space="preserve">ince the ‘prescribed percentage’ method will typically produce the higher </w:t>
      </w:r>
      <w:proofErr w:type="gramStart"/>
      <w:r w:rsidR="00845733" w:rsidRPr="00845733">
        <w:t>figure,</w:t>
      </w:r>
      <w:proofErr w:type="gramEnd"/>
      <w:r w:rsidR="00845733" w:rsidRPr="00845733">
        <w:t xml:space="preserve"> </w:t>
      </w:r>
      <w:r w:rsidR="00845733">
        <w:t>this method will not ordinarily apply).</w:t>
      </w:r>
    </w:p>
    <w:p w14:paraId="14F1C27A" w14:textId="08422BCD" w:rsidR="00F30823" w:rsidRDefault="00845733" w:rsidP="00AC4BD5">
      <w:pPr>
        <w:pStyle w:val="Paragraph"/>
      </w:pPr>
      <w:r>
        <w:t xml:space="preserve">The ‘prescribed percentage’ is equal to the minimum percentage required under Commonwealth law (referred to in Commonwealth </w:t>
      </w:r>
      <w:r w:rsidR="00386852">
        <w:t xml:space="preserve">legislation </w:t>
      </w:r>
      <w:r>
        <w:t>as the ‘charge percentage’, currently 9.5</w:t>
      </w:r>
      <w:r w:rsidR="00502773">
        <w:t xml:space="preserve"> per cent</w:t>
      </w:r>
      <w:r>
        <w:t xml:space="preserve">) plus </w:t>
      </w:r>
      <w:r w:rsidR="0079602E">
        <w:t xml:space="preserve">6 </w:t>
      </w:r>
      <w:r w:rsidR="00502773">
        <w:t>per cent</w:t>
      </w:r>
      <w:r>
        <w:t>. Th</w:t>
      </w:r>
      <w:r w:rsidR="009A7B91">
        <w:t xml:space="preserve">e </w:t>
      </w:r>
      <w:r w:rsidR="00C65D39">
        <w:t>charge</w:t>
      </w:r>
      <w:r w:rsidR="00450A47">
        <w:t xml:space="preserve"> </w:t>
      </w:r>
      <w:r>
        <w:t xml:space="preserve">percentage is set to increase to </w:t>
      </w:r>
      <w:r w:rsidR="00502773">
        <w:t>10 per cent</w:t>
      </w:r>
      <w:r>
        <w:t xml:space="preserve"> in </w:t>
      </w:r>
      <w:r w:rsidR="00616CD3">
        <w:t xml:space="preserve">the </w:t>
      </w:r>
      <w:r w:rsidR="009C7B59">
        <w:t>2021-22</w:t>
      </w:r>
      <w:r w:rsidR="00616CD3">
        <w:t xml:space="preserve"> financial year</w:t>
      </w:r>
      <w:r>
        <w:t>, meaning that Victorian MPs will receive contributions of 16</w:t>
      </w:r>
      <w:r w:rsidR="00502773">
        <w:t xml:space="preserve"> per cent</w:t>
      </w:r>
      <w:r w:rsidR="00450A47">
        <w:t xml:space="preserve"> of their basic and any additional salary</w:t>
      </w:r>
      <w:r>
        <w:t>.</w:t>
      </w:r>
    </w:p>
    <w:p w14:paraId="03EDC58B" w14:textId="58E82F21" w:rsidR="007D7488" w:rsidRPr="00F30823" w:rsidRDefault="0059436C" w:rsidP="00AC4BD5">
      <w:pPr>
        <w:pStyle w:val="Paragraph"/>
      </w:pPr>
      <w:r>
        <w:t>From 16 September 2019, the employer contributions received by MPs in the accumulation scheme will ordinarily exceed the concessional contrib</w:t>
      </w:r>
      <w:r w:rsidR="00873C8C">
        <w:t>u</w:t>
      </w:r>
      <w:r>
        <w:t>tions cap (currently $25,000), thereby resulting in an additional tax liability. Under the PSAS Act, MPs can request in writing that the State limit their employer contributions so as to avoid exceeding the cap.</w:t>
      </w:r>
      <w:r w:rsidR="000C6052">
        <w:t xml:space="preserve"> </w:t>
      </w:r>
    </w:p>
    <w:p w14:paraId="53C00770" w14:textId="41962E4A" w:rsidR="00A57799" w:rsidRDefault="009E5A59" w:rsidP="00AC4BD5">
      <w:pPr>
        <w:pStyle w:val="Paragraph"/>
      </w:pPr>
      <w:r>
        <w:t xml:space="preserve">MPs </w:t>
      </w:r>
      <w:r w:rsidR="00AE18D3">
        <w:t xml:space="preserve">in the accumulation scheme </w:t>
      </w:r>
      <w:r>
        <w:t>may</w:t>
      </w:r>
      <w:r w:rsidR="0059436C">
        <w:t xml:space="preserve"> also</w:t>
      </w:r>
      <w:r>
        <w:t xml:space="preserve"> elect to enter into a salary sacrifice arrangement</w:t>
      </w:r>
      <w:r w:rsidR="002668BD">
        <w:t xml:space="preserve"> to increase the contributions made to their </w:t>
      </w:r>
      <w:r w:rsidR="004A21CE">
        <w:t xml:space="preserve">nominated </w:t>
      </w:r>
      <w:r w:rsidR="002668BD">
        <w:t>superannuation fund</w:t>
      </w:r>
      <w:r>
        <w:t>.</w:t>
      </w:r>
    </w:p>
    <w:p w14:paraId="08EA3865" w14:textId="77777777" w:rsidR="00106658" w:rsidRDefault="00106658" w:rsidP="00CD0D28">
      <w:pPr>
        <w:pStyle w:val="VIRTheading4"/>
      </w:pPr>
      <w:r>
        <w:t>Separation payment</w:t>
      </w:r>
    </w:p>
    <w:p w14:paraId="1C8232F7" w14:textId="2EA06F66" w:rsidR="0088188F" w:rsidRDefault="00723ED9" w:rsidP="00AC4BD5">
      <w:pPr>
        <w:pStyle w:val="Paragraph"/>
      </w:pPr>
      <w:r>
        <w:t xml:space="preserve">Former </w:t>
      </w:r>
      <w:r w:rsidR="0088188F">
        <w:t>MPs in the defined benefit scheme</w:t>
      </w:r>
      <w:r w:rsidR="002F1FE8">
        <w:t>s</w:t>
      </w:r>
      <w:r w:rsidR="0088188F">
        <w:t xml:space="preserve"> </w:t>
      </w:r>
      <w:r w:rsidR="0071572D">
        <w:t xml:space="preserve">who </w:t>
      </w:r>
      <w:r w:rsidR="00450A47">
        <w:t xml:space="preserve">have met the eligibility requirements will receive </w:t>
      </w:r>
      <w:r w:rsidR="00B14EAD">
        <w:t>a</w:t>
      </w:r>
      <w:r w:rsidR="008D1D1D">
        <w:t xml:space="preserve"> pension </w:t>
      </w:r>
      <w:r w:rsidR="0088188F">
        <w:t xml:space="preserve">when they leave the Parliament, </w:t>
      </w:r>
      <w:r w:rsidR="00DC3270">
        <w:t xml:space="preserve">regardless of </w:t>
      </w:r>
      <w:r w:rsidR="00DB193F">
        <w:t xml:space="preserve">their </w:t>
      </w:r>
      <w:r w:rsidR="00DC3270">
        <w:t>age</w:t>
      </w:r>
      <w:r w:rsidR="0088188F">
        <w:t xml:space="preserve">. </w:t>
      </w:r>
    </w:p>
    <w:p w14:paraId="49E9F104" w14:textId="2D6017F8" w:rsidR="00142B9E" w:rsidRDefault="0088188F" w:rsidP="00AC4BD5">
      <w:pPr>
        <w:pStyle w:val="Paragraph"/>
      </w:pPr>
      <w:r>
        <w:t>In contrast,</w:t>
      </w:r>
      <w:r w:rsidR="00142B9E">
        <w:t xml:space="preserve"> </w:t>
      </w:r>
      <w:r w:rsidR="00BC72B8">
        <w:t>Commonwealth law</w:t>
      </w:r>
      <w:r w:rsidR="00307483">
        <w:t xml:space="preserve"> ordinarily precludes </w:t>
      </w:r>
      <w:r w:rsidR="00AA689E">
        <w:t xml:space="preserve">individuals, including </w:t>
      </w:r>
      <w:r w:rsidR="00307483">
        <w:t>MPs in the accumulation scheme</w:t>
      </w:r>
      <w:r w:rsidR="00AA689E">
        <w:t>,</w:t>
      </w:r>
      <w:r w:rsidR="00BC72B8">
        <w:t xml:space="preserve"> </w:t>
      </w:r>
      <w:r>
        <w:t>f</w:t>
      </w:r>
      <w:r w:rsidR="00B9296A">
        <w:t>rom</w:t>
      </w:r>
      <w:r>
        <w:t xml:space="preserve"> accessing their superannuation benefit until </w:t>
      </w:r>
      <w:r w:rsidR="00307483">
        <w:t xml:space="preserve">they </w:t>
      </w:r>
      <w:r w:rsidR="00BC72B8">
        <w:t>reach a certain age</w:t>
      </w:r>
      <w:r w:rsidR="00307483">
        <w:t xml:space="preserve">, known as their ‘preservation age’ (see </w:t>
      </w:r>
      <w:r w:rsidR="00307483" w:rsidRPr="002662D5">
        <w:rPr>
          <w:u w:val="single"/>
        </w:rPr>
        <w:t>Appendix</w:t>
      </w:r>
      <w:r w:rsidR="002662D5" w:rsidRPr="002662D5">
        <w:rPr>
          <w:u w:val="single"/>
        </w:rPr>
        <w:t xml:space="preserve"> A</w:t>
      </w:r>
      <w:r w:rsidR="00307483">
        <w:t>)</w:t>
      </w:r>
      <w:r>
        <w:t xml:space="preserve">. </w:t>
      </w:r>
    </w:p>
    <w:p w14:paraId="2ED004A4" w14:textId="65122877" w:rsidR="00650847" w:rsidRDefault="00142B9E" w:rsidP="00AC4BD5">
      <w:pPr>
        <w:pStyle w:val="Paragraph"/>
      </w:pPr>
      <w:r>
        <w:t xml:space="preserve">However, </w:t>
      </w:r>
      <w:r w:rsidR="00723ED9">
        <w:t xml:space="preserve">former </w:t>
      </w:r>
      <w:r>
        <w:t>MPs that</w:t>
      </w:r>
      <w:r w:rsidR="00650847">
        <w:t xml:space="preserve"> are </w:t>
      </w:r>
      <w:r w:rsidR="00650847" w:rsidRPr="00EA2903">
        <w:t xml:space="preserve">not </w:t>
      </w:r>
      <w:r w:rsidR="00450A47">
        <w:t xml:space="preserve">members of the </w:t>
      </w:r>
      <w:r w:rsidR="00650847">
        <w:t>defined benefit scheme</w:t>
      </w:r>
      <w:r w:rsidR="00923621">
        <w:t>s</w:t>
      </w:r>
      <w:r w:rsidR="00650847">
        <w:t xml:space="preserve"> are eligible to receive </w:t>
      </w:r>
      <w:r>
        <w:t>a</w:t>
      </w:r>
      <w:r w:rsidR="00650847">
        <w:t xml:space="preserve"> separation payment upon leaving the Parliament, </w:t>
      </w:r>
      <w:r w:rsidR="00307483">
        <w:t xml:space="preserve">provided </w:t>
      </w:r>
      <w:r w:rsidR="00650847">
        <w:t xml:space="preserve">they have </w:t>
      </w:r>
      <w:r w:rsidR="00307483">
        <w:t xml:space="preserve">not </w:t>
      </w:r>
      <w:r w:rsidR="00650847">
        <w:t xml:space="preserve">been found guilty of corrupt conduct or a wilful breach of their duties. </w:t>
      </w:r>
    </w:p>
    <w:p w14:paraId="7D4EC76A" w14:textId="5FB38A46" w:rsidR="0088188F" w:rsidRDefault="00450A47" w:rsidP="00AC4BD5">
      <w:pPr>
        <w:pStyle w:val="Paragraph"/>
      </w:pPr>
      <w:r>
        <w:t xml:space="preserve">This separation payment is equal to </w:t>
      </w:r>
      <w:r w:rsidR="00D45AAB">
        <w:t xml:space="preserve">up to </w:t>
      </w:r>
      <w:r w:rsidR="00502773">
        <w:t>six</w:t>
      </w:r>
      <w:r w:rsidR="00D45AAB">
        <w:t xml:space="preserve"> months’ basic salary. In the event that an MP dies while serving in the Parliament, the </w:t>
      </w:r>
      <w:r>
        <w:t xml:space="preserve">separation </w:t>
      </w:r>
      <w:r w:rsidR="00D45AAB">
        <w:t>payment is made to a beneficiary.</w:t>
      </w:r>
    </w:p>
    <w:p w14:paraId="5245246B" w14:textId="55223E23" w:rsidR="00106658" w:rsidRDefault="00D45AAB" w:rsidP="00AC4BD5">
      <w:pPr>
        <w:pStyle w:val="Paragraph"/>
      </w:pPr>
      <w:r>
        <w:t>The separation payment</w:t>
      </w:r>
      <w:r w:rsidR="00142B9E">
        <w:t xml:space="preserve"> was introduced in 2019 </w:t>
      </w:r>
      <w:r w:rsidR="00CD0D28">
        <w:t xml:space="preserve">to </w:t>
      </w:r>
      <w:r>
        <w:t xml:space="preserve">replace the former ‘resettlement </w:t>
      </w:r>
      <w:r w:rsidR="009E5A59">
        <w:t>allowance</w:t>
      </w:r>
      <w:r>
        <w:t xml:space="preserve">’, which was only provided to </w:t>
      </w:r>
      <w:r w:rsidR="00723ED9">
        <w:t xml:space="preserve">former </w:t>
      </w:r>
      <w:r>
        <w:t>MPs who lost their seat at a general election or did not seek re-election due to not being endorsed by their party.</w:t>
      </w:r>
    </w:p>
    <w:p w14:paraId="419300E7" w14:textId="66444637" w:rsidR="0088188F" w:rsidRDefault="00142B9E" w:rsidP="00AC4BD5">
      <w:pPr>
        <w:pStyle w:val="Paragraphbeforeabulletlist"/>
      </w:pPr>
      <w:r>
        <w:t xml:space="preserve">The separation payment is </w:t>
      </w:r>
      <w:r w:rsidR="003976D0">
        <w:t xml:space="preserve">considered </w:t>
      </w:r>
      <w:r>
        <w:t>relevant for the review, as</w:t>
      </w:r>
      <w:r w:rsidR="00BD23CC">
        <w:t xml:space="preserve"> it</w:t>
      </w:r>
      <w:r>
        <w:t>:</w:t>
      </w:r>
      <w:r w:rsidR="0019426B" w:rsidRPr="0019426B">
        <w:rPr>
          <w:rStyle w:val="FootnoteReference"/>
        </w:rPr>
        <w:t xml:space="preserve"> </w:t>
      </w:r>
      <w:r w:rsidR="0019426B">
        <w:rPr>
          <w:rStyle w:val="FootnoteReference"/>
        </w:rPr>
        <w:footnoteReference w:id="11"/>
      </w:r>
    </w:p>
    <w:p w14:paraId="3F966433" w14:textId="161C0DEB" w:rsidR="00142B9E" w:rsidRDefault="00142B9E" w:rsidP="00AC4BD5">
      <w:pPr>
        <w:pStyle w:val="VIRTBulletpoints"/>
      </w:pPr>
      <w:r>
        <w:t>was introduced to address a discrepancy between how the superannuation schemes operate</w:t>
      </w:r>
    </w:p>
    <w:p w14:paraId="078EE0E8" w14:textId="037B9E3C" w:rsidR="00142B9E" w:rsidRDefault="00142B9E" w:rsidP="00AC4BD5">
      <w:pPr>
        <w:pStyle w:val="VIRTBulletpoints"/>
      </w:pPr>
      <w:r w:rsidRPr="00150CE4">
        <w:t xml:space="preserve">is provided to </w:t>
      </w:r>
      <w:r w:rsidR="00723ED9">
        <w:t xml:space="preserve">former </w:t>
      </w:r>
      <w:r w:rsidRPr="00150CE4">
        <w:t>MPs when they leave the Parliament, to</w:t>
      </w:r>
      <w:r w:rsidR="00964E60" w:rsidRPr="00150CE4">
        <w:t xml:space="preserve"> facilitate the completion of their parliamentary and electorate business</w:t>
      </w:r>
      <w:r w:rsidR="00CE1D95" w:rsidRPr="00150CE4">
        <w:t xml:space="preserve"> and</w:t>
      </w:r>
      <w:r w:rsidR="00150CE4">
        <w:t xml:space="preserve"> to</w:t>
      </w:r>
      <w:r w:rsidRPr="00150CE4">
        <w:t xml:space="preserve"> support the</w:t>
      </w:r>
      <w:r w:rsidR="00B153CD">
        <w:t xml:space="preserve">m as they transition from working as </w:t>
      </w:r>
      <w:r w:rsidR="00530BCB">
        <w:t xml:space="preserve">an </w:t>
      </w:r>
      <w:r w:rsidR="00B153CD">
        <w:t>MP</w:t>
      </w:r>
      <w:r w:rsidRPr="00150CE4">
        <w:t>.</w:t>
      </w:r>
    </w:p>
    <w:p w14:paraId="58D8049D" w14:textId="6BAFF8C9" w:rsidR="00241947" w:rsidRDefault="00EA2570" w:rsidP="00AC4BD5">
      <w:pPr>
        <w:pStyle w:val="Paragraph"/>
      </w:pPr>
      <w:r>
        <w:t xml:space="preserve">Table </w:t>
      </w:r>
      <w:r w:rsidR="00616CD3">
        <w:t>3</w:t>
      </w:r>
      <w:r w:rsidR="00AC7C1F">
        <w:t>, overleaf,</w:t>
      </w:r>
      <w:r>
        <w:t xml:space="preserve"> summarises the</w:t>
      </w:r>
      <w:r w:rsidR="0082566B">
        <w:t xml:space="preserve"> key</w:t>
      </w:r>
      <w:r>
        <w:t xml:space="preserve"> features of the </w:t>
      </w:r>
      <w:r w:rsidR="00FD3910">
        <w:t>defined benefit and accumulation schemes.</w:t>
      </w:r>
      <w:r w:rsidR="00241947">
        <w:br w:type="page"/>
      </w:r>
    </w:p>
    <w:p w14:paraId="515DDD7B" w14:textId="0CC8BE29" w:rsidR="00FD3910" w:rsidRPr="00AD08FF" w:rsidRDefault="00FD3910" w:rsidP="00FD3910">
      <w:pPr>
        <w:pStyle w:val="Tableheading"/>
      </w:pPr>
      <w:r w:rsidRPr="0053733B">
        <w:t xml:space="preserve">Table </w:t>
      </w:r>
      <w:r w:rsidR="00616CD3">
        <w:t>3</w:t>
      </w:r>
      <w:r w:rsidRPr="0053733B">
        <w:t xml:space="preserve">: </w:t>
      </w:r>
      <w:r>
        <w:t>features</w:t>
      </w:r>
      <w:r w:rsidRPr="00AD08FF">
        <w:t xml:space="preserve"> of the MP superannuation schemes</w:t>
      </w:r>
    </w:p>
    <w:tbl>
      <w:tblPr>
        <w:tblStyle w:val="ListTable3-Accent21"/>
        <w:tblW w:w="0" w:type="auto"/>
        <w:tblLook w:val="04A0" w:firstRow="1" w:lastRow="0" w:firstColumn="1" w:lastColumn="0" w:noHBand="0" w:noVBand="1"/>
      </w:tblPr>
      <w:tblGrid>
        <w:gridCol w:w="4207"/>
        <w:gridCol w:w="4513"/>
      </w:tblGrid>
      <w:tr w:rsidR="000C6052" w14:paraId="6331CB14" w14:textId="77777777" w:rsidTr="00A831C3">
        <w:trPr>
          <w:cnfStyle w:val="100000000000" w:firstRow="1" w:lastRow="0" w:firstColumn="0" w:lastColumn="0" w:oddVBand="0" w:evenVBand="0" w:oddHBand="0" w:evenHBand="0" w:firstRowFirstColumn="0" w:firstRowLastColumn="0" w:lastRowFirstColumn="0" w:lastRowLastColumn="0"/>
          <w:cantSplit/>
          <w:trHeight w:val="408"/>
        </w:trPr>
        <w:tc>
          <w:tcPr>
            <w:cnfStyle w:val="001000000100" w:firstRow="0" w:lastRow="0" w:firstColumn="1" w:lastColumn="0" w:oddVBand="0" w:evenVBand="0" w:oddHBand="0" w:evenHBand="0" w:firstRowFirstColumn="1" w:firstRowLastColumn="0" w:lastRowFirstColumn="0" w:lastRowLastColumn="0"/>
            <w:tcW w:w="0" w:type="auto"/>
            <w:tcBorders>
              <w:left w:val="single" w:sz="4" w:space="0" w:color="FFFFFF" w:themeColor="background1"/>
            </w:tcBorders>
            <w:vAlign w:val="center"/>
          </w:tcPr>
          <w:p w14:paraId="190687EF" w14:textId="6EC6EDC5" w:rsidR="00FD3910" w:rsidRPr="00FE2D80" w:rsidRDefault="00FD3910" w:rsidP="00A06274">
            <w:r w:rsidRPr="00FE2D80">
              <w:t>Defined benefit schemes</w:t>
            </w:r>
          </w:p>
        </w:tc>
        <w:tc>
          <w:tcPr>
            <w:tcW w:w="0" w:type="auto"/>
            <w:tcBorders>
              <w:right w:val="single" w:sz="4" w:space="0" w:color="FFFFFF" w:themeColor="background1"/>
            </w:tcBorders>
            <w:vAlign w:val="center"/>
          </w:tcPr>
          <w:p w14:paraId="2A99A3E8" w14:textId="77777777" w:rsidR="00FD3910" w:rsidRPr="00FE2D80" w:rsidRDefault="00FD3910" w:rsidP="00A06274">
            <w:pPr>
              <w:cnfStyle w:val="100000000000" w:firstRow="1" w:lastRow="0" w:firstColumn="0" w:lastColumn="0" w:oddVBand="0" w:evenVBand="0" w:oddHBand="0" w:evenHBand="0" w:firstRowFirstColumn="0" w:firstRowLastColumn="0" w:lastRowFirstColumn="0" w:lastRowLastColumn="0"/>
            </w:pPr>
            <w:r w:rsidRPr="00FE2D80">
              <w:t>Accumulation scheme</w:t>
            </w:r>
          </w:p>
        </w:tc>
      </w:tr>
      <w:tr w:rsidR="00FD3910" w14:paraId="1F8C013E" w14:textId="77777777" w:rsidTr="00A831C3">
        <w:trPr>
          <w:cnfStyle w:val="000000100000" w:firstRow="0" w:lastRow="0" w:firstColumn="0" w:lastColumn="0" w:oddVBand="0" w:evenVBand="0" w:oddHBand="1" w:evenHBand="0" w:firstRowFirstColumn="0" w:firstRowLastColumn="0" w:lastRowFirstColumn="0" w:lastRowLastColumn="0"/>
          <w:cantSplit/>
          <w:trHeight w:val="408"/>
        </w:trPr>
        <w:tc>
          <w:tcPr>
            <w:cnfStyle w:val="001000000000" w:firstRow="0" w:lastRow="0" w:firstColumn="1" w:lastColumn="0" w:oddVBand="0" w:evenVBand="0" w:oddHBand="0" w:evenHBand="0" w:firstRowFirstColumn="0" w:firstRowLastColumn="0" w:lastRowFirstColumn="0" w:lastRowLastColumn="0"/>
            <w:tcW w:w="0" w:type="auto"/>
            <w:gridSpan w:val="2"/>
            <w:tcBorders>
              <w:left w:val="single" w:sz="4" w:space="0" w:color="FFFFFF" w:themeColor="background1"/>
              <w:right w:val="single" w:sz="4" w:space="0" w:color="FFFFFF" w:themeColor="background1"/>
            </w:tcBorders>
            <w:shd w:val="clear" w:color="auto" w:fill="E2F1E6" w:themeFill="accent3" w:themeFillTint="33"/>
            <w:vAlign w:val="center"/>
          </w:tcPr>
          <w:p w14:paraId="4BF20A90" w14:textId="77777777" w:rsidR="00FD3910" w:rsidRPr="00761084" w:rsidRDefault="00FD3910" w:rsidP="00761084">
            <w:pPr>
              <w:pStyle w:val="Bulletsinatable"/>
              <w:rPr>
                <w:bCs/>
                <w:highlight w:val="yellow"/>
              </w:rPr>
            </w:pPr>
            <w:r w:rsidRPr="00761084">
              <w:rPr>
                <w:bCs/>
              </w:rPr>
              <w:t>Employer contributions</w:t>
            </w:r>
          </w:p>
        </w:tc>
      </w:tr>
      <w:tr w:rsidR="000C6052" w14:paraId="5585C51B" w14:textId="77777777" w:rsidTr="00CF256F">
        <w:trPr>
          <w:cantSplit/>
          <w:trHeight w:val="408"/>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FFFFFF" w:themeColor="background1"/>
            </w:tcBorders>
          </w:tcPr>
          <w:p w14:paraId="59187393" w14:textId="55BCE5C1" w:rsidR="00FD3910" w:rsidRPr="00065880" w:rsidRDefault="00FD3910" w:rsidP="000E74D3">
            <w:pPr>
              <w:pStyle w:val="Tablebullets"/>
            </w:pPr>
            <w:r w:rsidRPr="00065880">
              <w:t xml:space="preserve">The State is not required to make </w:t>
            </w:r>
            <w:r w:rsidRPr="00761084">
              <w:t>contributions</w:t>
            </w:r>
            <w:r w:rsidRPr="00065880">
              <w:t xml:space="preserve"> in respect of particular MPs.</w:t>
            </w:r>
            <w:r w:rsidR="00096619" w:rsidRPr="00065880">
              <w:t xml:space="preserve"> </w:t>
            </w:r>
            <w:r w:rsidR="001D3622" w:rsidRPr="00065880">
              <w:t xml:space="preserve">Instead, </w:t>
            </w:r>
            <w:r w:rsidR="00F962EB" w:rsidRPr="00065880">
              <w:t xml:space="preserve">contributions are </w:t>
            </w:r>
            <w:r w:rsidR="00386DAE" w:rsidRPr="00065880">
              <w:t xml:space="preserve">automatically </w:t>
            </w:r>
            <w:r w:rsidR="00F962EB" w:rsidRPr="00065880">
              <w:t xml:space="preserve">taken from </w:t>
            </w:r>
            <w:r w:rsidR="000D4ED2" w:rsidRPr="00065880">
              <w:t>the MP’s</w:t>
            </w:r>
            <w:r w:rsidR="00CD24BA" w:rsidRPr="00065880">
              <w:t xml:space="preserve"> post-tax</w:t>
            </w:r>
            <w:r w:rsidR="000D4ED2" w:rsidRPr="00065880">
              <w:t xml:space="preserve"> salary</w:t>
            </w:r>
            <w:r w:rsidR="00386DAE" w:rsidRPr="00065880">
              <w:t xml:space="preserve"> and paid into the PCSF</w:t>
            </w:r>
            <w:r w:rsidR="000D4ED2" w:rsidRPr="00065880">
              <w:t>.</w:t>
            </w:r>
          </w:p>
          <w:p w14:paraId="1A16B641" w14:textId="782CCFB2" w:rsidR="00FD3910" w:rsidRPr="00065880" w:rsidRDefault="00484791" w:rsidP="000E74D3">
            <w:pPr>
              <w:pStyle w:val="Tablebullets"/>
            </w:pPr>
            <w:r w:rsidRPr="00065880">
              <w:t>T</w:t>
            </w:r>
            <w:r w:rsidR="00FD3910" w:rsidRPr="00065880">
              <w:t xml:space="preserve">he State </w:t>
            </w:r>
            <w:r w:rsidRPr="00065880">
              <w:t>has</w:t>
            </w:r>
            <w:r w:rsidR="00FD3910" w:rsidRPr="00065880">
              <w:t xml:space="preserve"> be</w:t>
            </w:r>
            <w:r w:rsidRPr="00065880">
              <w:t>en</w:t>
            </w:r>
            <w:r w:rsidR="00FD3910" w:rsidRPr="00065880">
              <w:t xml:space="preserve"> required to contribute to the PCSF to ensure sufficient funds are provided for entitlements to be paid.</w:t>
            </w:r>
          </w:p>
        </w:tc>
        <w:tc>
          <w:tcPr>
            <w:tcW w:w="0" w:type="auto"/>
            <w:tcBorders>
              <w:right w:val="single" w:sz="4" w:space="0" w:color="FFFFFF" w:themeColor="background1"/>
            </w:tcBorders>
          </w:tcPr>
          <w:p w14:paraId="745AAC02" w14:textId="6E7BDC75" w:rsidR="00FD3910" w:rsidRPr="007961FB" w:rsidRDefault="00FD3910" w:rsidP="000E74D3">
            <w:pPr>
              <w:pStyle w:val="Tablebullets"/>
              <w:cnfStyle w:val="000000000000" w:firstRow="0" w:lastRow="0" w:firstColumn="0" w:lastColumn="0" w:oddVBand="0" w:evenVBand="0" w:oddHBand="0" w:evenHBand="0" w:firstRowFirstColumn="0" w:firstRowLastColumn="0" w:lastRowFirstColumn="0" w:lastRowLastColumn="0"/>
            </w:pPr>
            <w:r w:rsidRPr="00C73FF8">
              <w:t xml:space="preserve">The State is required to contribute 15.5% of the MP’s basic salary </w:t>
            </w:r>
            <w:r w:rsidR="009B0060" w:rsidRPr="00C73FF8">
              <w:t xml:space="preserve">(currently </w:t>
            </w:r>
            <w:r w:rsidR="00EF6CA1" w:rsidRPr="00C73FF8">
              <w:t>$</w:t>
            </w:r>
            <w:r w:rsidR="009B0060" w:rsidRPr="00C73FF8">
              <w:t>182</w:t>
            </w:r>
            <w:r w:rsidR="00EF6CA1" w:rsidRPr="00C73FF8">
              <w:t>,413 per annum)</w:t>
            </w:r>
            <w:r w:rsidRPr="00C73FF8">
              <w:t xml:space="preserve"> and additional salary (if any) to their nominated fund, unless the MP elects to receive a reduced contribution.</w:t>
            </w:r>
            <w:r w:rsidRPr="007961FB">
              <w:rPr>
                <w:b/>
              </w:rPr>
              <w:t xml:space="preserve"> </w:t>
            </w:r>
          </w:p>
        </w:tc>
      </w:tr>
      <w:tr w:rsidR="00FD3910" w14:paraId="58C1ED51" w14:textId="77777777" w:rsidTr="00A831C3">
        <w:trPr>
          <w:cnfStyle w:val="000000100000" w:firstRow="0" w:lastRow="0" w:firstColumn="0" w:lastColumn="0" w:oddVBand="0" w:evenVBand="0" w:oddHBand="1" w:evenHBand="0" w:firstRowFirstColumn="0" w:firstRowLastColumn="0" w:lastRowFirstColumn="0" w:lastRowLastColumn="0"/>
          <w:cantSplit/>
          <w:trHeight w:val="408"/>
        </w:trPr>
        <w:tc>
          <w:tcPr>
            <w:cnfStyle w:val="001000000000" w:firstRow="0" w:lastRow="0" w:firstColumn="1" w:lastColumn="0" w:oddVBand="0" w:evenVBand="0" w:oddHBand="0" w:evenHBand="0" w:firstRowFirstColumn="0" w:firstRowLastColumn="0" w:lastRowFirstColumn="0" w:lastRowLastColumn="0"/>
            <w:tcW w:w="0" w:type="auto"/>
            <w:gridSpan w:val="2"/>
            <w:tcBorders>
              <w:left w:val="single" w:sz="4" w:space="0" w:color="FFFFFF" w:themeColor="background1"/>
              <w:right w:val="single" w:sz="4" w:space="0" w:color="FFFFFF" w:themeColor="background1"/>
            </w:tcBorders>
            <w:shd w:val="clear" w:color="auto" w:fill="E2F1E6" w:themeFill="accent3" w:themeFillTint="33"/>
            <w:vAlign w:val="center"/>
          </w:tcPr>
          <w:p w14:paraId="07E78ABB" w14:textId="77777777" w:rsidR="00FD3910" w:rsidRPr="00761084" w:rsidRDefault="00FD3910" w:rsidP="00761084">
            <w:pPr>
              <w:pStyle w:val="Bulletsinatable"/>
              <w:rPr>
                <w:bCs/>
              </w:rPr>
            </w:pPr>
            <w:r w:rsidRPr="00761084">
              <w:rPr>
                <w:bCs/>
              </w:rPr>
              <w:t>Employee contributions</w:t>
            </w:r>
          </w:p>
        </w:tc>
      </w:tr>
      <w:tr w:rsidR="000C6052" w14:paraId="3FA8BF9C" w14:textId="77777777" w:rsidTr="00CF256F">
        <w:trPr>
          <w:cantSplit/>
          <w:trHeight w:val="408"/>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FFFFFF" w:themeColor="background1"/>
            </w:tcBorders>
          </w:tcPr>
          <w:p w14:paraId="1C5A57AB" w14:textId="77777777" w:rsidR="00951F84" w:rsidRPr="00065880" w:rsidRDefault="00FD3910" w:rsidP="000E74D3">
            <w:pPr>
              <w:pStyle w:val="Tablebullets"/>
            </w:pPr>
            <w:r w:rsidRPr="00065880">
              <w:t xml:space="preserve">MPs are required to contribute </w:t>
            </w:r>
            <w:r w:rsidR="000C2715" w:rsidRPr="00065880">
              <w:t xml:space="preserve">11.5% </w:t>
            </w:r>
            <w:r w:rsidRPr="00065880">
              <w:t xml:space="preserve">of the basic salary </w:t>
            </w:r>
            <w:r w:rsidR="00B166EB" w:rsidRPr="00065880">
              <w:t xml:space="preserve">portion </w:t>
            </w:r>
            <w:r w:rsidR="00502009" w:rsidRPr="00065880">
              <w:t>(currently $168,901 per annum)</w:t>
            </w:r>
            <w:r w:rsidR="00B166EB" w:rsidRPr="00065880">
              <w:t xml:space="preserve"> </w:t>
            </w:r>
            <w:r w:rsidRPr="00065880">
              <w:t>to the PCSF for the first 20.5 years of service.</w:t>
            </w:r>
            <w:r w:rsidR="000C6052" w:rsidRPr="00065880">
              <w:t xml:space="preserve"> </w:t>
            </w:r>
          </w:p>
          <w:p w14:paraId="591A332F" w14:textId="3598AED2" w:rsidR="00FD3910" w:rsidRPr="00041C49" w:rsidRDefault="00FD3910" w:rsidP="000E74D3">
            <w:pPr>
              <w:pStyle w:val="Tablebullets"/>
            </w:pPr>
            <w:r w:rsidRPr="00065880">
              <w:t xml:space="preserve">Parliamentary office holders are also required to contribute </w:t>
            </w:r>
            <w:r w:rsidR="00AE0664" w:rsidRPr="00065880">
              <w:t>a set percentage</w:t>
            </w:r>
            <w:r w:rsidR="000C2715" w:rsidRPr="00065880">
              <w:t xml:space="preserve"> </w:t>
            </w:r>
            <w:r w:rsidR="00753BDD" w:rsidRPr="00065880">
              <w:t xml:space="preserve">of </w:t>
            </w:r>
            <w:r w:rsidRPr="00065880">
              <w:t>their additional salary during all years of service.</w:t>
            </w:r>
            <w:r w:rsidR="00C7770A" w:rsidRPr="00C7770A">
              <w:rPr>
                <w:vertAlign w:val="superscript"/>
              </w:rPr>
              <w:t>(</w:t>
            </w:r>
            <w:r w:rsidR="00122652" w:rsidRPr="00065880">
              <w:rPr>
                <w:vertAlign w:val="superscript"/>
              </w:rPr>
              <w:t>a</w:t>
            </w:r>
            <w:r w:rsidR="00C7770A">
              <w:rPr>
                <w:vertAlign w:val="superscript"/>
              </w:rPr>
              <w:t>)</w:t>
            </w:r>
            <w:r w:rsidR="000C6052">
              <w:t xml:space="preserve"> </w:t>
            </w:r>
          </w:p>
        </w:tc>
        <w:tc>
          <w:tcPr>
            <w:tcW w:w="0" w:type="auto"/>
            <w:tcBorders>
              <w:right w:val="single" w:sz="4" w:space="0" w:color="FFFFFF" w:themeColor="background1"/>
            </w:tcBorders>
          </w:tcPr>
          <w:p w14:paraId="5D2A6D1C" w14:textId="49F0FCEE" w:rsidR="00FD3910" w:rsidRPr="007961FB" w:rsidRDefault="00FD3910" w:rsidP="000E74D3">
            <w:pPr>
              <w:pStyle w:val="Tablebullets"/>
              <w:cnfStyle w:val="000000000000" w:firstRow="0" w:lastRow="0" w:firstColumn="0" w:lastColumn="0" w:oddVBand="0" w:evenVBand="0" w:oddHBand="0" w:evenHBand="0" w:firstRowFirstColumn="0" w:firstRowLastColumn="0" w:lastRowFirstColumn="0" w:lastRowLastColumn="0"/>
            </w:pPr>
            <w:r w:rsidRPr="007961FB">
              <w:t>MPs are not required to make contributions, although they may choose to</w:t>
            </w:r>
            <w:r>
              <w:t xml:space="preserve"> do so</w:t>
            </w:r>
            <w:r w:rsidR="002E7BD7">
              <w:t>, subject to Commonwealth law</w:t>
            </w:r>
            <w:r w:rsidRPr="007961FB">
              <w:t>.</w:t>
            </w:r>
          </w:p>
        </w:tc>
      </w:tr>
      <w:tr w:rsidR="00FD3910" w14:paraId="6AF32A6A" w14:textId="77777777" w:rsidTr="00A831C3">
        <w:trPr>
          <w:cnfStyle w:val="000000100000" w:firstRow="0" w:lastRow="0" w:firstColumn="0" w:lastColumn="0" w:oddVBand="0" w:evenVBand="0" w:oddHBand="1" w:evenHBand="0" w:firstRowFirstColumn="0" w:firstRowLastColumn="0" w:lastRowFirstColumn="0" w:lastRowLastColumn="0"/>
          <w:cantSplit/>
          <w:trHeight w:val="408"/>
        </w:trPr>
        <w:tc>
          <w:tcPr>
            <w:cnfStyle w:val="001000000000" w:firstRow="0" w:lastRow="0" w:firstColumn="1" w:lastColumn="0" w:oddVBand="0" w:evenVBand="0" w:oddHBand="0" w:evenHBand="0" w:firstRowFirstColumn="0" w:firstRowLastColumn="0" w:lastRowFirstColumn="0" w:lastRowLastColumn="0"/>
            <w:tcW w:w="0" w:type="auto"/>
            <w:gridSpan w:val="2"/>
            <w:tcBorders>
              <w:left w:val="single" w:sz="4" w:space="0" w:color="FFFFFF" w:themeColor="background1"/>
              <w:right w:val="single" w:sz="4" w:space="0" w:color="FFFFFF" w:themeColor="background1"/>
            </w:tcBorders>
            <w:shd w:val="clear" w:color="auto" w:fill="E2F1E6" w:themeFill="accent3" w:themeFillTint="33"/>
            <w:vAlign w:val="center"/>
          </w:tcPr>
          <w:p w14:paraId="47CBA7DA" w14:textId="77777777" w:rsidR="00FD3910" w:rsidRPr="00041C49" w:rsidRDefault="00FD3910" w:rsidP="00761084">
            <w:pPr>
              <w:pStyle w:val="Bulletsinatable"/>
            </w:pPr>
            <w:r>
              <w:t>Risk and control over investments</w:t>
            </w:r>
          </w:p>
        </w:tc>
      </w:tr>
      <w:tr w:rsidR="000C6052" w14:paraId="5A4AE8B5" w14:textId="77777777" w:rsidTr="00CF256F">
        <w:trPr>
          <w:cantSplit/>
          <w:trHeight w:val="408"/>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FFFFFF" w:themeColor="background1"/>
            </w:tcBorders>
          </w:tcPr>
          <w:p w14:paraId="0DAF04A5" w14:textId="334C613F" w:rsidR="00FD3910" w:rsidRPr="00065880" w:rsidRDefault="00FD3910" w:rsidP="000E74D3">
            <w:pPr>
              <w:pStyle w:val="Tablebullets"/>
            </w:pPr>
            <w:r w:rsidRPr="00065880">
              <w:t>MPs</w:t>
            </w:r>
            <w:r w:rsidR="008614C4" w:rsidRPr="00065880">
              <w:t>’</w:t>
            </w:r>
            <w:r w:rsidRPr="00065880">
              <w:t xml:space="preserve"> </w:t>
            </w:r>
            <w:r w:rsidR="00887ACC" w:rsidRPr="00065880">
              <w:t xml:space="preserve">contributions are </w:t>
            </w:r>
            <w:r w:rsidR="00B17083" w:rsidRPr="00065880">
              <w:t>paid</w:t>
            </w:r>
            <w:r w:rsidR="00887ACC" w:rsidRPr="00065880">
              <w:t xml:space="preserve"> in</w:t>
            </w:r>
            <w:r w:rsidR="00B17083" w:rsidRPr="00065880">
              <w:t>to</w:t>
            </w:r>
            <w:r w:rsidR="00887ACC" w:rsidRPr="00065880">
              <w:t xml:space="preserve"> the PCSF and invested on their behalf by </w:t>
            </w:r>
            <w:r w:rsidR="00343263" w:rsidRPr="00065880">
              <w:t>ESSSuper</w:t>
            </w:r>
            <w:r w:rsidRPr="00065880">
              <w:t>.</w:t>
            </w:r>
          </w:p>
          <w:p w14:paraId="0E51E338" w14:textId="459FD9D9" w:rsidR="00FD3910" w:rsidRPr="00065880" w:rsidRDefault="00FD3910" w:rsidP="000E74D3">
            <w:pPr>
              <w:pStyle w:val="Tablebullets"/>
            </w:pPr>
            <w:r w:rsidRPr="00065880">
              <w:t xml:space="preserve">The superannuation benefit provided following the </w:t>
            </w:r>
            <w:r w:rsidR="00723ED9" w:rsidRPr="00065880">
              <w:t xml:space="preserve">former </w:t>
            </w:r>
            <w:r w:rsidRPr="00065880">
              <w:t>MP leaving the Parliament is not affected by the performance of investment markets.</w:t>
            </w:r>
          </w:p>
          <w:p w14:paraId="76869470" w14:textId="4702A13E" w:rsidR="00FD3910" w:rsidRPr="007961FB" w:rsidRDefault="00FD3910" w:rsidP="000E74D3">
            <w:pPr>
              <w:pStyle w:val="Tablebullets"/>
            </w:pPr>
            <w:r w:rsidRPr="00065880">
              <w:t xml:space="preserve">Pension provides eligible </w:t>
            </w:r>
            <w:r w:rsidR="00723ED9" w:rsidRPr="00065880">
              <w:t xml:space="preserve">former </w:t>
            </w:r>
            <w:r w:rsidRPr="00065880">
              <w:t xml:space="preserve">MPs with financial certainty in retirement (i.e. payment will continue for the duration of the </w:t>
            </w:r>
            <w:r w:rsidR="00723ED9" w:rsidRPr="00065880">
              <w:t xml:space="preserve">former </w:t>
            </w:r>
            <w:r w:rsidRPr="00065880">
              <w:t>MP’s life).</w:t>
            </w:r>
          </w:p>
        </w:tc>
        <w:tc>
          <w:tcPr>
            <w:tcW w:w="0" w:type="auto"/>
            <w:tcBorders>
              <w:right w:val="single" w:sz="4" w:space="0" w:color="FFFFFF" w:themeColor="background1"/>
            </w:tcBorders>
          </w:tcPr>
          <w:p w14:paraId="23F97643" w14:textId="77777777" w:rsidR="00FD3910" w:rsidRPr="005850BB" w:rsidRDefault="00FD3910" w:rsidP="000E74D3">
            <w:pPr>
              <w:pStyle w:val="Tablebullets"/>
              <w:cnfStyle w:val="000000000000" w:firstRow="0" w:lastRow="0" w:firstColumn="0" w:lastColumn="0" w:oddVBand="0" w:evenVBand="0" w:oddHBand="0" w:evenHBand="0" w:firstRowFirstColumn="0" w:firstRowLastColumn="0" w:lastRowFirstColumn="0" w:lastRowLastColumn="0"/>
            </w:pPr>
            <w:r w:rsidRPr="007961FB">
              <w:t>Depending</w:t>
            </w:r>
            <w:r w:rsidRPr="005850BB">
              <w:t xml:space="preserve"> on their chosen fund, MPs may have a significant degree of control over how their superannuation is invested, and the risk it is exposed to. </w:t>
            </w:r>
          </w:p>
          <w:p w14:paraId="343ABFA2" w14:textId="505D7C53" w:rsidR="00FD3910" w:rsidRDefault="00FD3910" w:rsidP="000E74D3">
            <w:pPr>
              <w:pStyle w:val="Tablebullets"/>
              <w:cnfStyle w:val="000000000000" w:firstRow="0" w:lastRow="0" w:firstColumn="0" w:lastColumn="0" w:oddVBand="0" w:evenVBand="0" w:oddHBand="0" w:evenHBand="0" w:firstRowFirstColumn="0" w:firstRowLastColumn="0" w:lastRowFirstColumn="0" w:lastRowLastColumn="0"/>
            </w:pPr>
            <w:r w:rsidRPr="005850BB">
              <w:t xml:space="preserve">The superannuation benefit provided to </w:t>
            </w:r>
            <w:r w:rsidR="00723ED9">
              <w:t xml:space="preserve">existing and former </w:t>
            </w:r>
            <w:r w:rsidRPr="005850BB">
              <w:t>MPs reflects contributions made</w:t>
            </w:r>
            <w:r>
              <w:t xml:space="preserve"> by them and the State,</w:t>
            </w:r>
            <w:r w:rsidRPr="005850BB">
              <w:t xml:space="preserve"> and the performance of the MP’s chosen investment options. </w:t>
            </w:r>
          </w:p>
          <w:p w14:paraId="4CD674C8" w14:textId="03DC610E" w:rsidR="00FD3910" w:rsidRPr="007961FB" w:rsidRDefault="00FD3910" w:rsidP="000E74D3">
            <w:pPr>
              <w:pStyle w:val="Tablebullets"/>
              <w:cnfStyle w:val="000000000000" w:firstRow="0" w:lastRow="0" w:firstColumn="0" w:lastColumn="0" w:oddVBand="0" w:evenVBand="0" w:oddHBand="0" w:evenHBand="0" w:firstRowFirstColumn="0" w:firstRowLastColumn="0" w:lastRowFirstColumn="0" w:lastRowLastColumn="0"/>
            </w:pPr>
            <w:r>
              <w:t>No guarantee the accumulated benefit will last for the duration of a</w:t>
            </w:r>
            <w:r w:rsidR="00723ED9">
              <w:t xml:space="preserve">n existing or former </w:t>
            </w:r>
            <w:r>
              <w:t xml:space="preserve">MP’s life, whether taken in instalments or as a lump sum. </w:t>
            </w:r>
          </w:p>
        </w:tc>
      </w:tr>
      <w:tr w:rsidR="00FD3910" w14:paraId="33D0BDB5" w14:textId="77777777" w:rsidTr="00A831C3">
        <w:trPr>
          <w:cnfStyle w:val="000000100000" w:firstRow="0" w:lastRow="0" w:firstColumn="0" w:lastColumn="0" w:oddVBand="0" w:evenVBand="0" w:oddHBand="1" w:evenHBand="0" w:firstRowFirstColumn="0" w:firstRowLastColumn="0" w:lastRowFirstColumn="0" w:lastRowLastColumn="0"/>
          <w:cantSplit/>
          <w:trHeight w:val="408"/>
        </w:trPr>
        <w:tc>
          <w:tcPr>
            <w:cnfStyle w:val="001000000000" w:firstRow="0" w:lastRow="0" w:firstColumn="1" w:lastColumn="0" w:oddVBand="0" w:evenVBand="0" w:oddHBand="0" w:evenHBand="0" w:firstRowFirstColumn="0" w:firstRowLastColumn="0" w:lastRowFirstColumn="0" w:lastRowLastColumn="0"/>
            <w:tcW w:w="0" w:type="auto"/>
            <w:gridSpan w:val="2"/>
            <w:tcBorders>
              <w:left w:val="single" w:sz="4" w:space="0" w:color="FFFFFF" w:themeColor="background1"/>
              <w:right w:val="single" w:sz="4" w:space="0" w:color="FFFFFF" w:themeColor="background1"/>
            </w:tcBorders>
            <w:shd w:val="clear" w:color="auto" w:fill="E2F1E6" w:themeFill="accent3" w:themeFillTint="33"/>
            <w:vAlign w:val="center"/>
          </w:tcPr>
          <w:p w14:paraId="06CE4F9C" w14:textId="77777777" w:rsidR="00FD3910" w:rsidRPr="005850BB" w:rsidRDefault="00FD3910" w:rsidP="00761084">
            <w:pPr>
              <w:pStyle w:val="Bulletsinatable"/>
            </w:pPr>
            <w:r>
              <w:t>Eligibility for separation payment</w:t>
            </w:r>
          </w:p>
        </w:tc>
      </w:tr>
      <w:tr w:rsidR="000C6052" w14:paraId="419955CB" w14:textId="77777777" w:rsidTr="00CF256F">
        <w:trPr>
          <w:cantSplit/>
          <w:trHeight w:val="408"/>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FFFFFF" w:themeColor="background1"/>
            </w:tcBorders>
          </w:tcPr>
          <w:p w14:paraId="6A0A9EC5" w14:textId="3F724BE5" w:rsidR="00FD3910" w:rsidRPr="00065880" w:rsidRDefault="00723ED9" w:rsidP="000E74D3">
            <w:pPr>
              <w:pStyle w:val="Tablebullets"/>
            </w:pPr>
            <w:r w:rsidRPr="00065880">
              <w:t xml:space="preserve">Former </w:t>
            </w:r>
            <w:r w:rsidR="00FD3910" w:rsidRPr="00065880">
              <w:t>MPs are not eligible for the separation payment</w:t>
            </w:r>
            <w:r w:rsidR="0048697F" w:rsidRPr="00065880">
              <w:t>.</w:t>
            </w:r>
          </w:p>
        </w:tc>
        <w:tc>
          <w:tcPr>
            <w:tcW w:w="0" w:type="auto"/>
            <w:tcBorders>
              <w:right w:val="single" w:sz="4" w:space="0" w:color="FFFFFF" w:themeColor="background1"/>
            </w:tcBorders>
          </w:tcPr>
          <w:p w14:paraId="3479D97D" w14:textId="7DA1E5B3" w:rsidR="00FD3910" w:rsidRPr="00690EA2" w:rsidRDefault="00723ED9" w:rsidP="000E74D3">
            <w:pPr>
              <w:pStyle w:val="Tablebullets"/>
              <w:cnfStyle w:val="000000000000" w:firstRow="0" w:lastRow="0" w:firstColumn="0" w:lastColumn="0" w:oddVBand="0" w:evenVBand="0" w:oddHBand="0" w:evenHBand="0" w:firstRowFirstColumn="0" w:firstRowLastColumn="0" w:lastRowFirstColumn="0" w:lastRowLastColumn="0"/>
            </w:pPr>
            <w:r>
              <w:t xml:space="preserve">Former </w:t>
            </w:r>
            <w:r w:rsidR="00FD3910">
              <w:t>MPs are eligible for the separation payment, as long as they are not also a member of one of the defined benefit schemes.</w:t>
            </w:r>
          </w:p>
        </w:tc>
      </w:tr>
    </w:tbl>
    <w:p w14:paraId="5C514F2B" w14:textId="0E2B231C" w:rsidR="000C56A8" w:rsidRDefault="00122652" w:rsidP="000C56A8">
      <w:pPr>
        <w:pStyle w:val="Notesfortablesfigures"/>
      </w:pPr>
      <w:r>
        <w:t>Note:</w:t>
      </w:r>
      <w:r w:rsidR="000C56A8">
        <w:t xml:space="preserve"> </w:t>
      </w:r>
      <w:r w:rsidR="00C7770A" w:rsidRPr="00C7770A">
        <w:t>(</w:t>
      </w:r>
      <w:r w:rsidRPr="00C7770A">
        <w:t>a</w:t>
      </w:r>
      <w:r w:rsidR="00C7770A" w:rsidRPr="00C7770A">
        <w:t>)</w:t>
      </w:r>
      <w:r>
        <w:t xml:space="preserve"> </w:t>
      </w:r>
      <w:r w:rsidRPr="00AE0664">
        <w:t xml:space="preserve">The contribution payable by an MP on their additional salary is calculated as 11.5 per cent of the basic salary portion multiplied by the relevant additional salary percentage (as specified in the PSAS Act). </w:t>
      </w:r>
      <w:r w:rsidR="002E7BD7">
        <w:t xml:space="preserve">Further information is at </w:t>
      </w:r>
      <w:r w:rsidRPr="002662D5">
        <w:rPr>
          <w:u w:val="single"/>
        </w:rPr>
        <w:t>Appendix</w:t>
      </w:r>
      <w:r w:rsidR="002662D5" w:rsidRPr="002662D5">
        <w:rPr>
          <w:u w:val="single"/>
        </w:rPr>
        <w:t xml:space="preserve"> A</w:t>
      </w:r>
      <w:r w:rsidRPr="00AE0664">
        <w:t>.</w:t>
      </w:r>
    </w:p>
    <w:p w14:paraId="0F56D8BC" w14:textId="78A490BB" w:rsidR="00710521" w:rsidRDefault="00E93286" w:rsidP="002026CF">
      <w:pPr>
        <w:pStyle w:val="VIRTHeading2"/>
      </w:pPr>
      <w:bookmarkStart w:id="17" w:name="_Toc40777646"/>
      <w:r>
        <w:t xml:space="preserve">Comparing </w:t>
      </w:r>
      <w:r w:rsidR="00D561E0">
        <w:t>the</w:t>
      </w:r>
      <w:r>
        <w:t xml:space="preserve"> schemes</w:t>
      </w:r>
      <w:bookmarkEnd w:id="17"/>
    </w:p>
    <w:p w14:paraId="12CB84E2" w14:textId="255BAAEB" w:rsidR="008F441D" w:rsidRDefault="008F441D" w:rsidP="00AC4BD5">
      <w:pPr>
        <w:pStyle w:val="Paragraphbeforeabulletlist"/>
      </w:pPr>
      <w:r>
        <w:t xml:space="preserve">Generally speaking, the factors </w:t>
      </w:r>
      <w:r w:rsidR="004001AF">
        <w:t xml:space="preserve">determining the value of the </w:t>
      </w:r>
      <w:r>
        <w:t xml:space="preserve">superannuation </w:t>
      </w:r>
      <w:r w:rsidR="004001AF">
        <w:t xml:space="preserve">benefit </w:t>
      </w:r>
      <w:r w:rsidR="00DD1504">
        <w:t xml:space="preserve">received by </w:t>
      </w:r>
      <w:r>
        <w:t>members of the defined benefit schemes</w:t>
      </w:r>
      <w:r w:rsidR="00DD1504">
        <w:t xml:space="preserve"> </w:t>
      </w:r>
      <w:r w:rsidR="004B2F57">
        <w:t>(</w:t>
      </w:r>
      <w:r w:rsidR="00DD1504">
        <w:t xml:space="preserve">and their </w:t>
      </w:r>
      <w:r w:rsidR="005D5BCF">
        <w:t>partners or eligible children</w:t>
      </w:r>
      <w:r w:rsidR="004B2F57">
        <w:t>)</w:t>
      </w:r>
      <w:r w:rsidR="005D5BCF">
        <w:t xml:space="preserve"> </w:t>
      </w:r>
      <w:r>
        <w:t>include:</w:t>
      </w:r>
    </w:p>
    <w:p w14:paraId="24B58162" w14:textId="77777777" w:rsidR="008F441D" w:rsidRDefault="008F441D" w:rsidP="00AC4BD5">
      <w:pPr>
        <w:pStyle w:val="VIRTBulletpoints"/>
        <w:numPr>
          <w:ilvl w:val="0"/>
          <w:numId w:val="6"/>
        </w:numPr>
      </w:pPr>
      <w:r>
        <w:t>years served as an MP, and any additional parliamentary offices held</w:t>
      </w:r>
    </w:p>
    <w:p w14:paraId="623157AE" w14:textId="77777777" w:rsidR="008F441D" w:rsidRDefault="008F441D" w:rsidP="00AC4BD5">
      <w:pPr>
        <w:pStyle w:val="VIRTBulletpoints"/>
        <w:numPr>
          <w:ilvl w:val="0"/>
          <w:numId w:val="6"/>
        </w:numPr>
      </w:pPr>
      <w:r>
        <w:t>the basic salary portion during the years that a pension is paid</w:t>
      </w:r>
    </w:p>
    <w:p w14:paraId="19FD8834" w14:textId="729B76C4" w:rsidR="008F441D" w:rsidRDefault="008F441D" w:rsidP="00AC4BD5">
      <w:pPr>
        <w:pStyle w:val="VIRTBulletpoints"/>
        <w:numPr>
          <w:ilvl w:val="0"/>
          <w:numId w:val="6"/>
        </w:numPr>
      </w:pPr>
      <w:r>
        <w:t xml:space="preserve">how long the </w:t>
      </w:r>
      <w:r w:rsidR="005D5BCF">
        <w:t xml:space="preserve">former </w:t>
      </w:r>
      <w:r>
        <w:t xml:space="preserve">MP (and </w:t>
      </w:r>
      <w:r w:rsidR="005D5BCF">
        <w:t>their</w:t>
      </w:r>
      <w:r>
        <w:t xml:space="preserve"> partner) live</w:t>
      </w:r>
      <w:r w:rsidR="000C6052">
        <w:t>s</w:t>
      </w:r>
      <w:r>
        <w:t xml:space="preserve"> after the</w:t>
      </w:r>
      <w:r w:rsidR="00DD1504">
        <w:t xml:space="preserve"> </w:t>
      </w:r>
      <w:r w:rsidR="005D5BCF">
        <w:t xml:space="preserve">former </w:t>
      </w:r>
      <w:r w:rsidR="00DD1504">
        <w:t>MP</w:t>
      </w:r>
      <w:r>
        <w:t xml:space="preserve"> leave</w:t>
      </w:r>
      <w:r w:rsidR="00DD1504">
        <w:t>s</w:t>
      </w:r>
      <w:r>
        <w:t xml:space="preserve"> the Parliament</w:t>
      </w:r>
    </w:p>
    <w:p w14:paraId="2E5EEC23" w14:textId="452EFC7A" w:rsidR="008F441D" w:rsidRDefault="008F441D" w:rsidP="00AC4BD5">
      <w:pPr>
        <w:pStyle w:val="VIRTBulletpoints"/>
        <w:numPr>
          <w:ilvl w:val="0"/>
          <w:numId w:val="6"/>
        </w:numPr>
      </w:pPr>
      <w:r>
        <w:t xml:space="preserve">the age of the </w:t>
      </w:r>
      <w:r w:rsidR="005D5BCF">
        <w:t xml:space="preserve">former </w:t>
      </w:r>
      <w:r>
        <w:t xml:space="preserve">MP’s children (if any) at the time that the </w:t>
      </w:r>
      <w:r w:rsidR="005D5BCF">
        <w:t xml:space="preserve">former </w:t>
      </w:r>
      <w:r>
        <w:t>MP and</w:t>
      </w:r>
      <w:r w:rsidR="002E1E56">
        <w:t>/or</w:t>
      </w:r>
      <w:r>
        <w:t xml:space="preserve"> their partner dies.</w:t>
      </w:r>
      <w:r w:rsidR="0041783C">
        <w:rPr>
          <w:rStyle w:val="FootnoteReference"/>
        </w:rPr>
        <w:footnoteReference w:id="12"/>
      </w:r>
      <w:r w:rsidR="000C6052">
        <w:t xml:space="preserve"> </w:t>
      </w:r>
    </w:p>
    <w:p w14:paraId="0A95CBDE" w14:textId="77777777" w:rsidR="008F441D" w:rsidRDefault="008F441D" w:rsidP="00AC4BD5">
      <w:pPr>
        <w:pStyle w:val="Paragraphbeforeabulletlist"/>
      </w:pPr>
      <w:r>
        <w:t xml:space="preserve">In comparison, the factors </w:t>
      </w:r>
      <w:r w:rsidR="004001AF">
        <w:t xml:space="preserve">which determine the </w:t>
      </w:r>
      <w:r>
        <w:t xml:space="preserve">superannuation </w:t>
      </w:r>
      <w:r w:rsidR="004001AF">
        <w:t xml:space="preserve">benefit </w:t>
      </w:r>
      <w:r w:rsidR="00DD1504">
        <w:t xml:space="preserve">received by </w:t>
      </w:r>
      <w:r>
        <w:t>members of the accumulation scheme include:</w:t>
      </w:r>
    </w:p>
    <w:p w14:paraId="2FBAAC43" w14:textId="77777777" w:rsidR="008F441D" w:rsidRDefault="008F441D" w:rsidP="00AC4BD5">
      <w:pPr>
        <w:pStyle w:val="VIRTBulletpoints"/>
        <w:numPr>
          <w:ilvl w:val="0"/>
          <w:numId w:val="6"/>
        </w:numPr>
      </w:pPr>
      <w:r>
        <w:t>years served as an MP, and any additional parliamentary offices held</w:t>
      </w:r>
    </w:p>
    <w:p w14:paraId="276F4B0D" w14:textId="3BF6DF10" w:rsidR="008F441D" w:rsidRDefault="008F441D" w:rsidP="00AC4BD5">
      <w:pPr>
        <w:pStyle w:val="VIRTBulletpoints"/>
        <w:numPr>
          <w:ilvl w:val="0"/>
          <w:numId w:val="6"/>
        </w:numPr>
      </w:pPr>
      <w:r>
        <w:t xml:space="preserve">the </w:t>
      </w:r>
      <w:r w:rsidR="005D5BCF">
        <w:t xml:space="preserve">former </w:t>
      </w:r>
      <w:r>
        <w:t>MP</w:t>
      </w:r>
      <w:r w:rsidR="002E1E56">
        <w:t>’s</w:t>
      </w:r>
      <w:r>
        <w:t xml:space="preserve"> basic salary and </w:t>
      </w:r>
      <w:r w:rsidR="00CA1189">
        <w:t xml:space="preserve">any </w:t>
      </w:r>
      <w:r>
        <w:t>additional salaries they received while serving in the Parliament</w:t>
      </w:r>
    </w:p>
    <w:p w14:paraId="739EFADA" w14:textId="1AA50CF2" w:rsidR="008F441D" w:rsidRDefault="008F441D" w:rsidP="00AC4BD5">
      <w:pPr>
        <w:pStyle w:val="VIRTBulletpoints"/>
        <w:numPr>
          <w:ilvl w:val="0"/>
          <w:numId w:val="6"/>
        </w:numPr>
      </w:pPr>
      <w:r>
        <w:t xml:space="preserve">any voluntary superannuation contributions made by the </w:t>
      </w:r>
      <w:r w:rsidR="005D5BCF">
        <w:t xml:space="preserve">former </w:t>
      </w:r>
      <w:r>
        <w:t>MP</w:t>
      </w:r>
      <w:r w:rsidR="004001AF">
        <w:t xml:space="preserve"> </w:t>
      </w:r>
      <w:r w:rsidR="005D5BCF">
        <w:t xml:space="preserve">while serving in the Parliament </w:t>
      </w:r>
      <w:r w:rsidR="004001AF">
        <w:t>(e.g. under a salary sacrifice arrangement)</w:t>
      </w:r>
    </w:p>
    <w:p w14:paraId="350A61D3" w14:textId="302A11FB" w:rsidR="008F441D" w:rsidRDefault="008F441D" w:rsidP="00AC4BD5">
      <w:pPr>
        <w:pStyle w:val="VIRTBulletpoints"/>
        <w:numPr>
          <w:ilvl w:val="0"/>
          <w:numId w:val="6"/>
        </w:numPr>
      </w:pPr>
      <w:r>
        <w:t>how the superannuation balance is invested, the performance of that investment option</w:t>
      </w:r>
      <w:r w:rsidR="00381862">
        <w:t xml:space="preserve"> and any applicable </w:t>
      </w:r>
      <w:r w:rsidR="00734C5A">
        <w:t>superannuation fees or insurance premiums</w:t>
      </w:r>
      <w:r>
        <w:t>.</w:t>
      </w:r>
    </w:p>
    <w:p w14:paraId="017A9A60" w14:textId="3EC315F5" w:rsidR="00AC4BD5" w:rsidRDefault="008F441D" w:rsidP="00AC4BD5">
      <w:pPr>
        <w:pStyle w:val="Paragraph"/>
      </w:pPr>
      <w:r w:rsidRPr="00403FD4">
        <w:t xml:space="preserve">These factors </w:t>
      </w:r>
      <w:r w:rsidR="00A27DDE" w:rsidRPr="00403FD4">
        <w:t xml:space="preserve">all </w:t>
      </w:r>
      <w:r w:rsidRPr="00403FD4">
        <w:t xml:space="preserve">influence which superannuation scheme </w:t>
      </w:r>
      <w:r w:rsidR="00DD1504" w:rsidRPr="00403FD4">
        <w:t>would provide</w:t>
      </w:r>
      <w:r w:rsidRPr="00403FD4">
        <w:t xml:space="preserve"> an </w:t>
      </w:r>
      <w:r w:rsidR="005D5BCF">
        <w:t xml:space="preserve">existing or former </w:t>
      </w:r>
      <w:r w:rsidRPr="00403FD4">
        <w:t>MP with the greatest superannuation benefit in their particular circumstances</w:t>
      </w:r>
      <w:r w:rsidR="002669F4">
        <w:t>.</w:t>
      </w:r>
    </w:p>
    <w:p w14:paraId="5D2E1AC3" w14:textId="77777777" w:rsidR="00AC4BD5" w:rsidRDefault="00AC4BD5">
      <w:pPr>
        <w:rPr>
          <w:rFonts w:ascii="Calibri Light" w:eastAsiaTheme="minorEastAsia" w:hAnsi="Calibri Light" w:cs="Arial"/>
          <w:color w:val="4D4D4D" w:themeColor="accent6"/>
          <w:sz w:val="26"/>
          <w:szCs w:val="20"/>
        </w:rPr>
      </w:pPr>
      <w:r>
        <w:br w:type="page"/>
      </w:r>
    </w:p>
    <w:p w14:paraId="67746FEF" w14:textId="77777777" w:rsidR="0080675A" w:rsidRDefault="0080675A" w:rsidP="0080675A">
      <w:pPr>
        <w:pStyle w:val="VIRTHeading3"/>
      </w:pPr>
      <w:bookmarkStart w:id="18" w:name="_Toc40777647"/>
      <w:r>
        <w:t>Proposed actuarial modelling</w:t>
      </w:r>
      <w:bookmarkEnd w:id="18"/>
    </w:p>
    <w:p w14:paraId="78F702E8" w14:textId="4F12305F" w:rsidR="0080675A" w:rsidRDefault="0080675A" w:rsidP="00AC4BD5">
      <w:pPr>
        <w:pStyle w:val="Paragraphbeforeabulletlist"/>
      </w:pPr>
      <w:r>
        <w:t>The Tribunal intends to undertake actuarial modelling of different scenarios in order to compare the schemes</w:t>
      </w:r>
      <w:r w:rsidR="00EA2570">
        <w:t>, incorporating</w:t>
      </w:r>
      <w:r>
        <w:t>:</w:t>
      </w:r>
    </w:p>
    <w:p w14:paraId="158D834E" w14:textId="7141DC2D" w:rsidR="0002008E" w:rsidRPr="00486900" w:rsidRDefault="0002008E" w:rsidP="00AC4BD5">
      <w:pPr>
        <w:pStyle w:val="VIRTBulletpoints"/>
      </w:pPr>
      <w:r w:rsidRPr="00B40976">
        <w:rPr>
          <w:i/>
          <w:iCs/>
        </w:rPr>
        <w:t>a backward-looking approach</w:t>
      </w:r>
      <w:r>
        <w:t xml:space="preserve">: estimating the accrued superannuation benefit of an MP that joined the accumulation scheme in 2004, compared to </w:t>
      </w:r>
      <w:r w:rsidR="00E256AC">
        <w:t xml:space="preserve">the benefit they </w:t>
      </w:r>
      <w:r>
        <w:t xml:space="preserve">would have </w:t>
      </w:r>
      <w:r w:rsidR="00E256AC">
        <w:t>received as</w:t>
      </w:r>
      <w:r>
        <w:t xml:space="preserve"> a member of the New Benefits Scheme for th</w:t>
      </w:r>
      <w:r w:rsidR="00E256AC">
        <w:t>e same period</w:t>
      </w:r>
    </w:p>
    <w:p w14:paraId="7CBAC352" w14:textId="540CE8CA" w:rsidR="00595195" w:rsidRDefault="0080675A" w:rsidP="00AC4BD5">
      <w:pPr>
        <w:pStyle w:val="VIRTBulletpoints"/>
      </w:pPr>
      <w:r w:rsidRPr="00376840">
        <w:rPr>
          <w:i/>
          <w:iCs/>
        </w:rPr>
        <w:t xml:space="preserve">a </w:t>
      </w:r>
      <w:r w:rsidR="00876FE1" w:rsidRPr="00376840">
        <w:rPr>
          <w:i/>
          <w:iCs/>
        </w:rPr>
        <w:t>forward-looking</w:t>
      </w:r>
      <w:r w:rsidRPr="00376840">
        <w:rPr>
          <w:i/>
          <w:iCs/>
        </w:rPr>
        <w:t xml:space="preserve"> approach</w:t>
      </w:r>
      <w:r>
        <w:t xml:space="preserve">: </w:t>
      </w:r>
      <w:r w:rsidR="00F666CA">
        <w:t xml:space="preserve">forecasting </w:t>
      </w:r>
      <w:r>
        <w:t>the total superannuation benefit provided to an MP joining the accumulation scheme in 2020 and serving a given number of years, compared to the superannuation they would have received had they instead been a member of the New Benefits Scheme for those years.</w:t>
      </w:r>
    </w:p>
    <w:p w14:paraId="5241C189" w14:textId="62DE6B3D" w:rsidR="008B1F32" w:rsidRPr="00C73FF8" w:rsidRDefault="00595195" w:rsidP="00AC4BD5">
      <w:pPr>
        <w:pStyle w:val="Paragraphbeforeabulletlist"/>
      </w:pPr>
      <w:r w:rsidRPr="00C73FF8">
        <w:t xml:space="preserve">In conducting modelling, </w:t>
      </w:r>
      <w:r w:rsidR="002C3A46" w:rsidRPr="00C73FF8">
        <w:t xml:space="preserve">the Tribunal </w:t>
      </w:r>
      <w:r w:rsidRPr="00C73FF8">
        <w:t xml:space="preserve">will look at </w:t>
      </w:r>
      <w:r w:rsidR="004B2F57">
        <w:t xml:space="preserve">a </w:t>
      </w:r>
      <w:r w:rsidRPr="00C73FF8">
        <w:t xml:space="preserve">range </w:t>
      </w:r>
      <w:r w:rsidR="24BB6AAA" w:rsidRPr="00C73FF8">
        <w:t xml:space="preserve">of </w:t>
      </w:r>
      <w:r w:rsidR="008A7963" w:rsidRPr="00C73FF8">
        <w:t xml:space="preserve">scenarios based on </w:t>
      </w:r>
      <w:r w:rsidR="008B1F32" w:rsidRPr="00C73FF8">
        <w:t xml:space="preserve">available </w:t>
      </w:r>
      <w:r w:rsidR="008A7963" w:rsidRPr="00C73FF8">
        <w:t>data</w:t>
      </w:r>
      <w:r w:rsidR="008B1F32" w:rsidRPr="00C73FF8">
        <w:t xml:space="preserve">, for example: </w:t>
      </w:r>
    </w:p>
    <w:p w14:paraId="3F2AD40A" w14:textId="5298FD7F" w:rsidR="002B5F5E" w:rsidRPr="00C73FF8" w:rsidRDefault="00AF4B98" w:rsidP="00AC4BD5">
      <w:pPr>
        <w:pStyle w:val="VIRTBulletpoints"/>
      </w:pPr>
      <w:r w:rsidRPr="00C73FF8">
        <w:t xml:space="preserve">the </w:t>
      </w:r>
      <w:r w:rsidR="002B5F5E" w:rsidRPr="00C73FF8">
        <w:t>average age at which MPs first join the Parliament</w:t>
      </w:r>
    </w:p>
    <w:p w14:paraId="1E8114A8" w14:textId="68383A25" w:rsidR="00595195" w:rsidRPr="00C73FF8" w:rsidRDefault="00AF4B98" w:rsidP="00AC4BD5">
      <w:pPr>
        <w:pStyle w:val="VIRTBulletpoints"/>
      </w:pPr>
      <w:r w:rsidRPr="00C73FF8">
        <w:t xml:space="preserve">the </w:t>
      </w:r>
      <w:r w:rsidR="000304CE" w:rsidRPr="00C73FF8">
        <w:t>average length of time served by MP</w:t>
      </w:r>
      <w:r w:rsidRPr="00C73FF8">
        <w:t>s</w:t>
      </w:r>
      <w:r w:rsidR="000304CE" w:rsidRPr="00C73FF8">
        <w:t xml:space="preserve"> in the Parliament.</w:t>
      </w:r>
    </w:p>
    <w:p w14:paraId="476F4517" w14:textId="47458AD6" w:rsidR="004A4B9E" w:rsidRPr="00031DE1" w:rsidRDefault="004A4B9E" w:rsidP="002026CF">
      <w:pPr>
        <w:pStyle w:val="VIRTHeading2"/>
      </w:pPr>
      <w:bookmarkStart w:id="19" w:name="_Toc40777648"/>
      <w:r w:rsidRPr="00031DE1">
        <w:t>O</w:t>
      </w:r>
      <w:r w:rsidR="00873D39" w:rsidRPr="00031DE1">
        <w:t>ther jurisdictions and Victorian public sector roles</w:t>
      </w:r>
      <w:bookmarkEnd w:id="19"/>
      <w:r w:rsidR="00BC1B19" w:rsidRPr="00031DE1">
        <w:t xml:space="preserve"> </w:t>
      </w:r>
    </w:p>
    <w:p w14:paraId="5E89EAB0" w14:textId="060D5E99" w:rsidR="00996628" w:rsidRPr="00031DE1" w:rsidRDefault="009C2EA2" w:rsidP="00AC4BD5">
      <w:pPr>
        <w:pStyle w:val="Paragraph"/>
      </w:pPr>
      <w:r w:rsidRPr="00031DE1">
        <w:t xml:space="preserve">In conducting the review, the Tribunal </w:t>
      </w:r>
      <w:r w:rsidR="009E4068" w:rsidRPr="00031DE1">
        <w:t xml:space="preserve">also </w:t>
      </w:r>
      <w:r w:rsidR="007F6C3D" w:rsidRPr="00031DE1">
        <w:t xml:space="preserve">intends to </w:t>
      </w:r>
      <w:r w:rsidRPr="00031DE1">
        <w:t>consider the superannuation arrangements of MPs in other</w:t>
      </w:r>
      <w:r w:rsidR="00764AFB" w:rsidRPr="00031DE1">
        <w:t xml:space="preserve"> Australian</w:t>
      </w:r>
      <w:r w:rsidRPr="00031DE1">
        <w:t xml:space="preserve"> jurisdictions</w:t>
      </w:r>
      <w:r w:rsidR="00764AFB" w:rsidRPr="00031DE1">
        <w:t>, as well as</w:t>
      </w:r>
      <w:r w:rsidR="00073524" w:rsidRPr="00031DE1">
        <w:t xml:space="preserve"> those provided to Victorian public sector employees.</w:t>
      </w:r>
    </w:p>
    <w:p w14:paraId="6EE3B7FC" w14:textId="367390A3" w:rsidR="00106658" w:rsidRPr="00031DE1" w:rsidRDefault="00D914E5">
      <w:pPr>
        <w:pStyle w:val="VIRTHeading3"/>
      </w:pPr>
      <w:bookmarkStart w:id="20" w:name="_Toc40777649"/>
      <w:r>
        <w:t>Members of Parliament</w:t>
      </w:r>
      <w:r w:rsidR="00031DE1">
        <w:t xml:space="preserve"> in other Australian jurisdictions</w:t>
      </w:r>
      <w:bookmarkEnd w:id="20"/>
    </w:p>
    <w:p w14:paraId="3B38F71B" w14:textId="37640E90" w:rsidR="00A117EC" w:rsidRPr="00031DE1" w:rsidRDefault="00A66638" w:rsidP="00AC4BD5">
      <w:pPr>
        <w:pStyle w:val="Paragraph"/>
      </w:pPr>
      <w:r w:rsidRPr="00031DE1">
        <w:t>Accumulation schemes currently operat</w:t>
      </w:r>
      <w:r w:rsidR="0099713D" w:rsidRPr="00031DE1">
        <w:t>e</w:t>
      </w:r>
      <w:r w:rsidRPr="00031DE1">
        <w:t xml:space="preserve"> in </w:t>
      </w:r>
      <w:r w:rsidR="00031DE1">
        <w:t xml:space="preserve">the Commonwealth and </w:t>
      </w:r>
      <w:r w:rsidR="00712431">
        <w:t xml:space="preserve">in </w:t>
      </w:r>
      <w:r w:rsidRPr="00031DE1">
        <w:t xml:space="preserve">every state and territory and are </w:t>
      </w:r>
      <w:r w:rsidR="001C67B6" w:rsidRPr="00031DE1">
        <w:t>mandatory</w:t>
      </w:r>
      <w:r w:rsidRPr="00031DE1">
        <w:t xml:space="preserve"> for all new MPs</w:t>
      </w:r>
      <w:r w:rsidR="00A22D19" w:rsidRPr="00031DE1">
        <w:t xml:space="preserve">. </w:t>
      </w:r>
      <w:r w:rsidR="00031DE1">
        <w:t>Like Victoria, a</w:t>
      </w:r>
      <w:r w:rsidR="004D58BA" w:rsidRPr="00031DE1">
        <w:t>ll</w:t>
      </w:r>
      <w:r w:rsidR="00A22D19" w:rsidRPr="00031DE1">
        <w:t xml:space="preserve"> other </w:t>
      </w:r>
      <w:r w:rsidR="00031DE1">
        <w:t>juri</w:t>
      </w:r>
      <w:r w:rsidR="00712431">
        <w:t>s</w:t>
      </w:r>
      <w:r w:rsidR="00031DE1">
        <w:t xml:space="preserve">dictions </w:t>
      </w:r>
      <w:r w:rsidR="00E256AC" w:rsidRPr="00031DE1">
        <w:t>previously</w:t>
      </w:r>
      <w:r w:rsidR="00A22D19" w:rsidRPr="00031DE1">
        <w:t xml:space="preserve"> provide</w:t>
      </w:r>
      <w:r w:rsidR="00E256AC" w:rsidRPr="00031DE1">
        <w:t>d</w:t>
      </w:r>
      <w:r w:rsidR="00A22D19" w:rsidRPr="00031DE1">
        <w:t xml:space="preserve"> defined benefit scheme</w:t>
      </w:r>
      <w:r w:rsidR="00710521" w:rsidRPr="00031DE1">
        <w:t>s</w:t>
      </w:r>
      <w:r w:rsidR="00A22D19" w:rsidRPr="00031DE1">
        <w:t xml:space="preserve"> for </w:t>
      </w:r>
      <w:r w:rsidR="00710521" w:rsidRPr="00031DE1">
        <w:t>their</w:t>
      </w:r>
      <w:r w:rsidR="00A22D19" w:rsidRPr="00031DE1">
        <w:t xml:space="preserve"> MPs</w:t>
      </w:r>
      <w:r w:rsidR="00B60B07" w:rsidRPr="00031DE1">
        <w:t>,</w:t>
      </w:r>
      <w:r w:rsidR="00E256AC" w:rsidRPr="00031DE1">
        <w:t xml:space="preserve"> but these </w:t>
      </w:r>
      <w:r w:rsidR="00A22D19" w:rsidRPr="00031DE1">
        <w:t>ha</w:t>
      </w:r>
      <w:r w:rsidR="00710521" w:rsidRPr="00031DE1">
        <w:t>ve</w:t>
      </w:r>
      <w:r w:rsidR="00A22D19" w:rsidRPr="00031DE1">
        <w:t xml:space="preserve"> since been closed to new entrants </w:t>
      </w:r>
      <w:r w:rsidR="00712431">
        <w:t>(t</w:t>
      </w:r>
      <w:r w:rsidR="0099713D" w:rsidRPr="00031DE1">
        <w:t xml:space="preserve">he last </w:t>
      </w:r>
      <w:r w:rsidR="00D45AAB" w:rsidRPr="00031DE1">
        <w:t xml:space="preserve">jurisdiction </w:t>
      </w:r>
      <w:r w:rsidR="0099713D" w:rsidRPr="00031DE1">
        <w:t>to close its</w:t>
      </w:r>
      <w:r w:rsidR="00710521" w:rsidRPr="00031DE1">
        <w:t xml:space="preserve"> MP</w:t>
      </w:r>
      <w:r w:rsidR="00E256AC" w:rsidRPr="00031DE1">
        <w:t>s’</w:t>
      </w:r>
      <w:r w:rsidR="0099713D" w:rsidRPr="00031DE1">
        <w:t xml:space="preserve"> defined benefit scheme, Queensland, did so in 2008</w:t>
      </w:r>
      <w:r w:rsidR="00712431">
        <w:t>)</w:t>
      </w:r>
      <w:r w:rsidRPr="00031DE1">
        <w:t>.</w:t>
      </w:r>
      <w:r w:rsidR="00D914E5">
        <w:t xml:space="preserve"> </w:t>
      </w:r>
      <w:r w:rsidR="00A22D19" w:rsidRPr="00031DE1">
        <w:t xml:space="preserve">Out of all Australian jurisdictions, </w:t>
      </w:r>
      <w:r w:rsidRPr="00031DE1">
        <w:t>Victoria</w:t>
      </w:r>
      <w:r w:rsidR="00A22D19" w:rsidRPr="00031DE1">
        <w:t>’s accumulation scheme provides</w:t>
      </w:r>
      <w:r w:rsidRPr="00031DE1">
        <w:t xml:space="preserve"> MPs</w:t>
      </w:r>
      <w:r w:rsidR="00A22D19" w:rsidRPr="00031DE1">
        <w:t xml:space="preserve"> with the</w:t>
      </w:r>
      <w:r w:rsidRPr="00031DE1">
        <w:t xml:space="preserve"> highest </w:t>
      </w:r>
      <w:r w:rsidR="0099713D" w:rsidRPr="00031DE1">
        <w:t xml:space="preserve">employer </w:t>
      </w:r>
      <w:r w:rsidRPr="00031DE1">
        <w:t>contribution</w:t>
      </w:r>
      <w:r w:rsidR="00A22D19" w:rsidRPr="00031DE1">
        <w:t xml:space="preserve"> in percentage terms (</w:t>
      </w:r>
      <w:r w:rsidR="00D46F4A" w:rsidRPr="00031DE1">
        <w:t xml:space="preserve">currently </w:t>
      </w:r>
      <w:r w:rsidR="00A22D19" w:rsidRPr="00031DE1">
        <w:t>15.5</w:t>
      </w:r>
      <w:r w:rsidR="00502773" w:rsidRPr="00031DE1">
        <w:t xml:space="preserve"> per cent</w:t>
      </w:r>
      <w:r w:rsidR="00A22D19" w:rsidRPr="00031DE1">
        <w:t xml:space="preserve"> of salary). </w:t>
      </w:r>
      <w:r w:rsidR="002E7BD7">
        <w:t>S</w:t>
      </w:r>
      <w:r w:rsidR="00C42330" w:rsidRPr="00031DE1">
        <w:t xml:space="preserve">uperannuation arrangements for new MPs in all Australian jurisdictions are summarised in </w:t>
      </w:r>
      <w:r w:rsidR="00710521" w:rsidRPr="00031DE1">
        <w:t>t</w:t>
      </w:r>
      <w:r w:rsidR="00C42330" w:rsidRPr="00031DE1">
        <w:t xml:space="preserve">able </w:t>
      </w:r>
      <w:r w:rsidR="00616CD3">
        <w:t>4</w:t>
      </w:r>
      <w:r w:rsidR="00C42330" w:rsidRPr="00031DE1">
        <w:t>.</w:t>
      </w:r>
    </w:p>
    <w:p w14:paraId="4622D718" w14:textId="638649B3" w:rsidR="00A22D19" w:rsidRPr="00031DE1" w:rsidRDefault="00A22D19" w:rsidP="00962F7E">
      <w:pPr>
        <w:pStyle w:val="Tableheading"/>
      </w:pPr>
      <w:r w:rsidRPr="00031DE1">
        <w:t xml:space="preserve">Table </w:t>
      </w:r>
      <w:r w:rsidR="00616CD3">
        <w:t>4</w:t>
      </w:r>
      <w:r w:rsidRPr="00031DE1">
        <w:t xml:space="preserve">: </w:t>
      </w:r>
      <w:r w:rsidR="000A76F2" w:rsidRPr="00031DE1">
        <w:t>s</w:t>
      </w:r>
      <w:r w:rsidRPr="00031DE1">
        <w:t>ummary of superannuation arrangements for new MPs in Australian jurisdictions</w:t>
      </w:r>
    </w:p>
    <w:tbl>
      <w:tblPr>
        <w:tblW w:w="5000" w:type="pct"/>
        <w:tblLook w:val="04A0" w:firstRow="1" w:lastRow="0" w:firstColumn="1" w:lastColumn="0" w:noHBand="0" w:noVBand="1"/>
      </w:tblPr>
      <w:tblGrid>
        <w:gridCol w:w="2676"/>
        <w:gridCol w:w="2558"/>
        <w:gridCol w:w="3486"/>
      </w:tblGrid>
      <w:tr w:rsidR="004D58BA" w:rsidRPr="005B175A" w14:paraId="4B159489" w14:textId="77777777" w:rsidTr="00761084">
        <w:trPr>
          <w:trHeight w:val="408"/>
        </w:trPr>
        <w:tc>
          <w:tcPr>
            <w:tcW w:w="1534" w:type="pct"/>
            <w:shd w:val="clear" w:color="auto" w:fill="148A5D"/>
          </w:tcPr>
          <w:p w14:paraId="41A28697" w14:textId="77777777" w:rsidR="004D58BA" w:rsidRPr="00761084" w:rsidRDefault="004D58BA" w:rsidP="00E019D4">
            <w:pPr>
              <w:rPr>
                <w:b/>
                <w:bCs/>
                <w:color w:val="FFFFFF" w:themeColor="background2"/>
              </w:rPr>
            </w:pPr>
            <w:r w:rsidRPr="00761084">
              <w:rPr>
                <w:b/>
                <w:bCs/>
                <w:color w:val="FFFFFF" w:themeColor="background2"/>
              </w:rPr>
              <w:t>Jurisdiction</w:t>
            </w:r>
          </w:p>
        </w:tc>
        <w:tc>
          <w:tcPr>
            <w:tcW w:w="3466" w:type="pct"/>
            <w:gridSpan w:val="2"/>
            <w:shd w:val="clear" w:color="auto" w:fill="148A5D"/>
          </w:tcPr>
          <w:p w14:paraId="131224A7" w14:textId="77777777" w:rsidR="004D58BA" w:rsidRPr="00761084" w:rsidRDefault="004D58BA" w:rsidP="004D58BA">
            <w:pPr>
              <w:jc w:val="center"/>
              <w:rPr>
                <w:b/>
                <w:bCs/>
                <w:color w:val="FFFFFF" w:themeColor="background2"/>
              </w:rPr>
            </w:pPr>
            <w:r w:rsidRPr="00761084">
              <w:rPr>
                <w:b/>
                <w:bCs/>
                <w:color w:val="FFFFFF" w:themeColor="background2"/>
              </w:rPr>
              <w:t>Required contribution</w:t>
            </w:r>
          </w:p>
          <w:p w14:paraId="3A14CD52" w14:textId="77777777" w:rsidR="004D58BA" w:rsidRPr="00761084" w:rsidRDefault="004D58BA" w:rsidP="004D58BA">
            <w:pPr>
              <w:jc w:val="center"/>
              <w:rPr>
                <w:b/>
                <w:bCs/>
                <w:color w:val="FFFFFF" w:themeColor="background2"/>
              </w:rPr>
            </w:pPr>
            <w:r w:rsidRPr="00761084">
              <w:rPr>
                <w:b/>
                <w:bCs/>
                <w:color w:val="FFFFFF" w:themeColor="background2"/>
              </w:rPr>
              <w:t>% of salary (or equivalent)</w:t>
            </w:r>
          </w:p>
        </w:tc>
      </w:tr>
      <w:tr w:rsidR="004D58BA" w:rsidRPr="005B175A" w14:paraId="11DE7BB8" w14:textId="77777777" w:rsidTr="00761084">
        <w:trPr>
          <w:trHeight w:val="408"/>
        </w:trPr>
        <w:tc>
          <w:tcPr>
            <w:tcW w:w="1534" w:type="pct"/>
            <w:shd w:val="clear" w:color="auto" w:fill="148A5D"/>
          </w:tcPr>
          <w:p w14:paraId="15F02C21" w14:textId="77777777" w:rsidR="004D58BA" w:rsidRPr="00761084" w:rsidRDefault="004D58BA" w:rsidP="00E019D4">
            <w:pPr>
              <w:rPr>
                <w:b/>
                <w:bCs/>
                <w:color w:val="FFFFFF" w:themeColor="background2"/>
              </w:rPr>
            </w:pPr>
          </w:p>
        </w:tc>
        <w:tc>
          <w:tcPr>
            <w:tcW w:w="1467" w:type="pct"/>
            <w:shd w:val="clear" w:color="auto" w:fill="148A5D"/>
          </w:tcPr>
          <w:p w14:paraId="4FC31949" w14:textId="7253A85F" w:rsidR="004D58BA" w:rsidRPr="00761084" w:rsidRDefault="004D58BA" w:rsidP="00ED6734">
            <w:pPr>
              <w:jc w:val="center"/>
              <w:rPr>
                <w:b/>
                <w:bCs/>
                <w:color w:val="FFFFFF" w:themeColor="background2"/>
              </w:rPr>
            </w:pPr>
            <w:r w:rsidRPr="00761084">
              <w:rPr>
                <w:b/>
                <w:bCs/>
                <w:color w:val="FFFFFF" w:themeColor="background2"/>
              </w:rPr>
              <w:t>Employer contribution</w:t>
            </w:r>
          </w:p>
        </w:tc>
        <w:tc>
          <w:tcPr>
            <w:tcW w:w="1999" w:type="pct"/>
            <w:shd w:val="clear" w:color="auto" w:fill="148A5D"/>
          </w:tcPr>
          <w:p w14:paraId="0B352BD0" w14:textId="0E6F3F2C" w:rsidR="004D58BA" w:rsidRPr="00761084" w:rsidRDefault="004D58BA" w:rsidP="00ED6734">
            <w:pPr>
              <w:jc w:val="center"/>
              <w:rPr>
                <w:b/>
                <w:bCs/>
                <w:color w:val="FFFFFF" w:themeColor="background2"/>
              </w:rPr>
            </w:pPr>
            <w:r w:rsidRPr="00761084">
              <w:rPr>
                <w:b/>
                <w:bCs/>
                <w:color w:val="FFFFFF" w:themeColor="background2"/>
              </w:rPr>
              <w:t>Employee contribution</w:t>
            </w:r>
          </w:p>
        </w:tc>
      </w:tr>
      <w:tr w:rsidR="004D58BA" w:rsidRPr="005B175A" w14:paraId="3D4FEDB4" w14:textId="77777777" w:rsidTr="00761084">
        <w:trPr>
          <w:trHeight w:val="408"/>
        </w:trPr>
        <w:tc>
          <w:tcPr>
            <w:tcW w:w="1534" w:type="pct"/>
            <w:tcBorders>
              <w:bottom w:val="single" w:sz="4" w:space="0" w:color="148A5D"/>
            </w:tcBorders>
          </w:tcPr>
          <w:p w14:paraId="0182121E" w14:textId="31C633BE" w:rsidR="00B845A0" w:rsidRPr="00761084" w:rsidRDefault="004D58BA" w:rsidP="00ED6734">
            <w:pPr>
              <w:pStyle w:val="Textinthetable"/>
              <w:rPr>
                <w:b w:val="0"/>
                <w:bCs w:val="0"/>
              </w:rPr>
            </w:pPr>
            <w:r w:rsidRPr="00761084">
              <w:rPr>
                <w:b w:val="0"/>
                <w:bCs w:val="0"/>
              </w:rPr>
              <w:t>Victoria</w:t>
            </w:r>
          </w:p>
        </w:tc>
        <w:tc>
          <w:tcPr>
            <w:tcW w:w="1467" w:type="pct"/>
            <w:tcBorders>
              <w:bottom w:val="single" w:sz="4" w:space="0" w:color="148A5D"/>
            </w:tcBorders>
          </w:tcPr>
          <w:p w14:paraId="75FDCB82" w14:textId="59D7E192" w:rsidR="004D58BA" w:rsidRPr="00E65591" w:rsidRDefault="004D58BA" w:rsidP="00ED6734">
            <w:pPr>
              <w:pStyle w:val="Textinthetable"/>
              <w:jc w:val="right"/>
              <w:rPr>
                <w:b w:val="0"/>
                <w:bCs w:val="0"/>
              </w:rPr>
            </w:pPr>
            <w:r w:rsidRPr="00E65591">
              <w:rPr>
                <w:b w:val="0"/>
                <w:bCs w:val="0"/>
              </w:rPr>
              <w:t>15.5</w:t>
            </w:r>
            <w:r w:rsidR="00C7770A" w:rsidRPr="00C7770A">
              <w:rPr>
                <w:b w:val="0"/>
                <w:bCs w:val="0"/>
                <w:vertAlign w:val="superscript"/>
              </w:rPr>
              <w:t>(</w:t>
            </w:r>
            <w:r w:rsidR="00ED6734" w:rsidRPr="00ED6734">
              <w:rPr>
                <w:b w:val="0"/>
                <w:bCs w:val="0"/>
                <w:vertAlign w:val="superscript"/>
              </w:rPr>
              <w:t>a</w:t>
            </w:r>
            <w:r w:rsidR="00C7770A">
              <w:rPr>
                <w:b w:val="0"/>
                <w:bCs w:val="0"/>
                <w:vertAlign w:val="superscript"/>
              </w:rPr>
              <w:t>)</w:t>
            </w:r>
          </w:p>
        </w:tc>
        <w:tc>
          <w:tcPr>
            <w:tcW w:w="1999" w:type="pct"/>
            <w:tcBorders>
              <w:bottom w:val="single" w:sz="4" w:space="0" w:color="148A5D"/>
            </w:tcBorders>
          </w:tcPr>
          <w:p w14:paraId="2475266D" w14:textId="77777777" w:rsidR="004D58BA" w:rsidRPr="00E65591" w:rsidRDefault="004D58BA" w:rsidP="00ED6734">
            <w:pPr>
              <w:pStyle w:val="Textinthetable"/>
              <w:jc w:val="right"/>
              <w:rPr>
                <w:b w:val="0"/>
                <w:bCs w:val="0"/>
              </w:rPr>
            </w:pPr>
            <w:r w:rsidRPr="00E65591">
              <w:rPr>
                <w:b w:val="0"/>
                <w:bCs w:val="0"/>
              </w:rPr>
              <w:t>N/A</w:t>
            </w:r>
          </w:p>
        </w:tc>
      </w:tr>
      <w:tr w:rsidR="004D58BA" w:rsidRPr="005B175A" w14:paraId="2CC4F36A" w14:textId="77777777" w:rsidTr="00761084">
        <w:trPr>
          <w:trHeight w:val="408"/>
        </w:trPr>
        <w:tc>
          <w:tcPr>
            <w:tcW w:w="1534" w:type="pct"/>
            <w:tcBorders>
              <w:top w:val="single" w:sz="4" w:space="0" w:color="148A5D"/>
              <w:bottom w:val="single" w:sz="4" w:space="0" w:color="148A5D"/>
            </w:tcBorders>
          </w:tcPr>
          <w:p w14:paraId="588B5CC5" w14:textId="1BBBC017" w:rsidR="00B845A0" w:rsidRPr="00761084" w:rsidRDefault="004D58BA" w:rsidP="00ED6734">
            <w:pPr>
              <w:pStyle w:val="Textinthetable"/>
              <w:rPr>
                <w:b w:val="0"/>
                <w:bCs w:val="0"/>
              </w:rPr>
            </w:pPr>
            <w:r w:rsidRPr="00761084">
              <w:rPr>
                <w:b w:val="0"/>
                <w:bCs w:val="0"/>
              </w:rPr>
              <w:t>Commonwealth</w:t>
            </w:r>
          </w:p>
        </w:tc>
        <w:tc>
          <w:tcPr>
            <w:tcW w:w="1467" w:type="pct"/>
            <w:tcBorders>
              <w:top w:val="single" w:sz="4" w:space="0" w:color="148A5D"/>
              <w:bottom w:val="single" w:sz="4" w:space="0" w:color="148A5D"/>
            </w:tcBorders>
          </w:tcPr>
          <w:p w14:paraId="7572E434" w14:textId="5CD73BCC" w:rsidR="004D58BA" w:rsidRPr="00E65591" w:rsidRDefault="004D58BA" w:rsidP="00ED6734">
            <w:pPr>
              <w:pStyle w:val="Textinthetable"/>
              <w:jc w:val="right"/>
              <w:rPr>
                <w:b w:val="0"/>
                <w:bCs w:val="0"/>
              </w:rPr>
            </w:pPr>
            <w:r w:rsidRPr="00E65591">
              <w:rPr>
                <w:b w:val="0"/>
                <w:bCs w:val="0"/>
              </w:rPr>
              <w:t>15.4</w:t>
            </w:r>
          </w:p>
        </w:tc>
        <w:tc>
          <w:tcPr>
            <w:tcW w:w="1999" w:type="pct"/>
            <w:tcBorders>
              <w:top w:val="single" w:sz="4" w:space="0" w:color="148A5D"/>
              <w:bottom w:val="single" w:sz="4" w:space="0" w:color="148A5D"/>
            </w:tcBorders>
          </w:tcPr>
          <w:p w14:paraId="53A99BA5" w14:textId="77777777" w:rsidR="004D58BA" w:rsidRPr="00E65591" w:rsidRDefault="004D58BA" w:rsidP="00ED6734">
            <w:pPr>
              <w:pStyle w:val="Textinthetable"/>
              <w:jc w:val="right"/>
              <w:rPr>
                <w:b w:val="0"/>
                <w:bCs w:val="0"/>
              </w:rPr>
            </w:pPr>
            <w:r w:rsidRPr="00E65591">
              <w:rPr>
                <w:b w:val="0"/>
                <w:bCs w:val="0"/>
              </w:rPr>
              <w:t>N/A</w:t>
            </w:r>
          </w:p>
        </w:tc>
      </w:tr>
      <w:tr w:rsidR="004D58BA" w:rsidRPr="005B175A" w14:paraId="1ACACD65" w14:textId="77777777" w:rsidTr="00761084">
        <w:trPr>
          <w:trHeight w:val="408"/>
        </w:trPr>
        <w:tc>
          <w:tcPr>
            <w:tcW w:w="1534" w:type="pct"/>
            <w:tcBorders>
              <w:top w:val="single" w:sz="4" w:space="0" w:color="148A5D"/>
              <w:bottom w:val="single" w:sz="4" w:space="0" w:color="148A5D"/>
            </w:tcBorders>
          </w:tcPr>
          <w:p w14:paraId="142017A3" w14:textId="0CC4F173" w:rsidR="00B845A0" w:rsidRPr="00761084" w:rsidRDefault="004D58BA" w:rsidP="00ED6734">
            <w:pPr>
              <w:pStyle w:val="Textinthetable"/>
              <w:rPr>
                <w:b w:val="0"/>
                <w:bCs w:val="0"/>
              </w:rPr>
            </w:pPr>
            <w:r w:rsidRPr="00761084">
              <w:rPr>
                <w:b w:val="0"/>
                <w:bCs w:val="0"/>
              </w:rPr>
              <w:t>New South Wales</w:t>
            </w:r>
          </w:p>
        </w:tc>
        <w:tc>
          <w:tcPr>
            <w:tcW w:w="1467" w:type="pct"/>
            <w:tcBorders>
              <w:top w:val="single" w:sz="4" w:space="0" w:color="148A5D"/>
              <w:bottom w:val="single" w:sz="4" w:space="0" w:color="148A5D"/>
            </w:tcBorders>
          </w:tcPr>
          <w:p w14:paraId="2E377686" w14:textId="6A4F5589" w:rsidR="004D58BA" w:rsidRPr="00E65591" w:rsidRDefault="004D58BA" w:rsidP="00ED6734">
            <w:pPr>
              <w:pStyle w:val="Textinthetable"/>
              <w:jc w:val="right"/>
              <w:rPr>
                <w:b w:val="0"/>
                <w:bCs w:val="0"/>
              </w:rPr>
            </w:pPr>
            <w:r w:rsidRPr="00E65591">
              <w:rPr>
                <w:b w:val="0"/>
                <w:bCs w:val="0"/>
              </w:rPr>
              <w:t>9</w:t>
            </w:r>
            <w:r w:rsidR="00C7770A" w:rsidRPr="00C7770A">
              <w:rPr>
                <w:b w:val="0"/>
                <w:bCs w:val="0"/>
                <w:vertAlign w:val="superscript"/>
              </w:rPr>
              <w:t>(</w:t>
            </w:r>
            <w:r w:rsidR="00ED6734">
              <w:rPr>
                <w:b w:val="0"/>
                <w:bCs w:val="0"/>
                <w:vertAlign w:val="superscript"/>
              </w:rPr>
              <w:t>b</w:t>
            </w:r>
            <w:r w:rsidR="00C7770A">
              <w:rPr>
                <w:b w:val="0"/>
                <w:bCs w:val="0"/>
                <w:vertAlign w:val="superscript"/>
              </w:rPr>
              <w:t>)</w:t>
            </w:r>
          </w:p>
        </w:tc>
        <w:tc>
          <w:tcPr>
            <w:tcW w:w="1999" w:type="pct"/>
            <w:tcBorders>
              <w:top w:val="single" w:sz="4" w:space="0" w:color="148A5D"/>
              <w:bottom w:val="single" w:sz="4" w:space="0" w:color="148A5D"/>
            </w:tcBorders>
          </w:tcPr>
          <w:p w14:paraId="20CAAFE6" w14:textId="77777777" w:rsidR="004D58BA" w:rsidRPr="00E65591" w:rsidRDefault="004D58BA" w:rsidP="00ED6734">
            <w:pPr>
              <w:pStyle w:val="Textinthetable"/>
              <w:jc w:val="right"/>
              <w:rPr>
                <w:b w:val="0"/>
                <w:bCs w:val="0"/>
              </w:rPr>
            </w:pPr>
            <w:r w:rsidRPr="00E65591">
              <w:rPr>
                <w:b w:val="0"/>
                <w:bCs w:val="0"/>
              </w:rPr>
              <w:t>N/A</w:t>
            </w:r>
          </w:p>
        </w:tc>
      </w:tr>
      <w:tr w:rsidR="004D58BA" w:rsidRPr="005B175A" w14:paraId="167C2A04" w14:textId="77777777" w:rsidTr="00761084">
        <w:trPr>
          <w:trHeight w:val="408"/>
        </w:trPr>
        <w:tc>
          <w:tcPr>
            <w:tcW w:w="1534" w:type="pct"/>
            <w:tcBorders>
              <w:top w:val="single" w:sz="4" w:space="0" w:color="148A5D"/>
              <w:bottom w:val="single" w:sz="4" w:space="0" w:color="148A5D"/>
            </w:tcBorders>
          </w:tcPr>
          <w:p w14:paraId="4BAA74BE" w14:textId="7A6F7A01" w:rsidR="00B845A0" w:rsidRPr="00761084" w:rsidRDefault="004D58BA" w:rsidP="00ED6734">
            <w:pPr>
              <w:pStyle w:val="Textinthetable"/>
              <w:rPr>
                <w:b w:val="0"/>
                <w:bCs w:val="0"/>
              </w:rPr>
            </w:pPr>
            <w:r w:rsidRPr="00761084">
              <w:rPr>
                <w:b w:val="0"/>
                <w:bCs w:val="0"/>
              </w:rPr>
              <w:t>Queensland</w:t>
            </w:r>
          </w:p>
        </w:tc>
        <w:tc>
          <w:tcPr>
            <w:tcW w:w="1467" w:type="pct"/>
            <w:tcBorders>
              <w:top w:val="single" w:sz="4" w:space="0" w:color="148A5D"/>
              <w:bottom w:val="single" w:sz="4" w:space="0" w:color="148A5D"/>
            </w:tcBorders>
          </w:tcPr>
          <w:p w14:paraId="654D6B79" w14:textId="77777777" w:rsidR="004D58BA" w:rsidRPr="00E65591" w:rsidRDefault="004D58BA" w:rsidP="00ED6734">
            <w:pPr>
              <w:pStyle w:val="Textinthetable"/>
              <w:jc w:val="right"/>
              <w:rPr>
                <w:b w:val="0"/>
                <w:bCs w:val="0"/>
              </w:rPr>
            </w:pPr>
            <w:r w:rsidRPr="00E65591">
              <w:rPr>
                <w:b w:val="0"/>
                <w:bCs w:val="0"/>
              </w:rPr>
              <w:t>12.75</w:t>
            </w:r>
          </w:p>
        </w:tc>
        <w:tc>
          <w:tcPr>
            <w:tcW w:w="1999" w:type="pct"/>
            <w:tcBorders>
              <w:top w:val="single" w:sz="4" w:space="0" w:color="148A5D"/>
              <w:bottom w:val="single" w:sz="4" w:space="0" w:color="148A5D"/>
            </w:tcBorders>
          </w:tcPr>
          <w:p w14:paraId="6620E19D" w14:textId="77777777" w:rsidR="004D58BA" w:rsidRPr="00E65591" w:rsidRDefault="004D58BA" w:rsidP="00ED6734">
            <w:pPr>
              <w:pStyle w:val="Textinthetable"/>
              <w:jc w:val="right"/>
              <w:rPr>
                <w:b w:val="0"/>
                <w:bCs w:val="0"/>
              </w:rPr>
            </w:pPr>
            <w:r w:rsidRPr="00E65591">
              <w:rPr>
                <w:b w:val="0"/>
                <w:bCs w:val="0"/>
              </w:rPr>
              <w:t>5</w:t>
            </w:r>
          </w:p>
        </w:tc>
      </w:tr>
      <w:tr w:rsidR="004D58BA" w:rsidRPr="005B175A" w14:paraId="532A744C" w14:textId="77777777" w:rsidTr="00761084">
        <w:trPr>
          <w:trHeight w:val="408"/>
        </w:trPr>
        <w:tc>
          <w:tcPr>
            <w:tcW w:w="1534" w:type="pct"/>
            <w:tcBorders>
              <w:top w:val="single" w:sz="4" w:space="0" w:color="148A5D"/>
              <w:bottom w:val="single" w:sz="4" w:space="0" w:color="148A5D"/>
            </w:tcBorders>
          </w:tcPr>
          <w:p w14:paraId="1205640A" w14:textId="21A85F2B" w:rsidR="00B845A0" w:rsidRPr="00761084" w:rsidRDefault="004D58BA" w:rsidP="00ED6734">
            <w:pPr>
              <w:pStyle w:val="Textinthetable"/>
              <w:rPr>
                <w:b w:val="0"/>
                <w:bCs w:val="0"/>
              </w:rPr>
            </w:pPr>
            <w:r w:rsidRPr="00761084">
              <w:rPr>
                <w:b w:val="0"/>
                <w:bCs w:val="0"/>
              </w:rPr>
              <w:t>South Australia</w:t>
            </w:r>
          </w:p>
        </w:tc>
        <w:tc>
          <w:tcPr>
            <w:tcW w:w="1467" w:type="pct"/>
            <w:tcBorders>
              <w:top w:val="single" w:sz="4" w:space="0" w:color="148A5D"/>
              <w:bottom w:val="single" w:sz="4" w:space="0" w:color="148A5D"/>
            </w:tcBorders>
          </w:tcPr>
          <w:p w14:paraId="73DB91D2" w14:textId="635B6250" w:rsidR="00EC4707" w:rsidRPr="00E65591" w:rsidRDefault="004D58BA" w:rsidP="00ED6734">
            <w:pPr>
              <w:pStyle w:val="Textinthetable"/>
              <w:jc w:val="right"/>
              <w:rPr>
                <w:b w:val="0"/>
                <w:bCs w:val="0"/>
              </w:rPr>
            </w:pPr>
            <w:r w:rsidRPr="00E65591">
              <w:rPr>
                <w:b w:val="0"/>
                <w:bCs w:val="0"/>
              </w:rPr>
              <w:t>15.4</w:t>
            </w:r>
            <w:r w:rsidR="00C7770A" w:rsidRPr="00C7770A">
              <w:rPr>
                <w:b w:val="0"/>
                <w:bCs w:val="0"/>
                <w:vertAlign w:val="superscript"/>
              </w:rPr>
              <w:t>(</w:t>
            </w:r>
            <w:r w:rsidR="00ED6734">
              <w:rPr>
                <w:b w:val="0"/>
                <w:bCs w:val="0"/>
                <w:vertAlign w:val="superscript"/>
              </w:rPr>
              <w:t>c</w:t>
            </w:r>
            <w:r w:rsidR="00C7770A">
              <w:rPr>
                <w:b w:val="0"/>
                <w:bCs w:val="0"/>
                <w:vertAlign w:val="superscript"/>
              </w:rPr>
              <w:t>)</w:t>
            </w:r>
          </w:p>
        </w:tc>
        <w:tc>
          <w:tcPr>
            <w:tcW w:w="1999" w:type="pct"/>
            <w:tcBorders>
              <w:top w:val="single" w:sz="4" w:space="0" w:color="148A5D"/>
              <w:bottom w:val="single" w:sz="4" w:space="0" w:color="148A5D"/>
            </w:tcBorders>
          </w:tcPr>
          <w:p w14:paraId="49761C5A" w14:textId="77777777" w:rsidR="00EC4707" w:rsidRPr="00E65591" w:rsidRDefault="004D58BA" w:rsidP="00ED6734">
            <w:pPr>
              <w:pStyle w:val="Textinthetable"/>
              <w:jc w:val="right"/>
              <w:rPr>
                <w:b w:val="0"/>
                <w:bCs w:val="0"/>
              </w:rPr>
            </w:pPr>
            <w:r w:rsidRPr="00E65591">
              <w:rPr>
                <w:b w:val="0"/>
                <w:bCs w:val="0"/>
              </w:rPr>
              <w:t>N/A</w:t>
            </w:r>
          </w:p>
        </w:tc>
      </w:tr>
      <w:tr w:rsidR="004D58BA" w:rsidRPr="005B175A" w14:paraId="59CBC19D" w14:textId="77777777" w:rsidTr="00761084">
        <w:trPr>
          <w:trHeight w:val="408"/>
        </w:trPr>
        <w:tc>
          <w:tcPr>
            <w:tcW w:w="1534" w:type="pct"/>
            <w:tcBorders>
              <w:top w:val="single" w:sz="4" w:space="0" w:color="148A5D"/>
              <w:bottom w:val="single" w:sz="4" w:space="0" w:color="148A5D"/>
            </w:tcBorders>
          </w:tcPr>
          <w:p w14:paraId="3D889837" w14:textId="5357B030" w:rsidR="00B845A0" w:rsidRPr="00761084" w:rsidRDefault="004D58BA" w:rsidP="00ED6734">
            <w:pPr>
              <w:pStyle w:val="Textinthetable"/>
              <w:rPr>
                <w:b w:val="0"/>
                <w:bCs w:val="0"/>
              </w:rPr>
            </w:pPr>
            <w:r w:rsidRPr="00761084">
              <w:rPr>
                <w:b w:val="0"/>
                <w:bCs w:val="0"/>
              </w:rPr>
              <w:t>Western Australia</w:t>
            </w:r>
          </w:p>
        </w:tc>
        <w:tc>
          <w:tcPr>
            <w:tcW w:w="1467" w:type="pct"/>
            <w:tcBorders>
              <w:top w:val="single" w:sz="4" w:space="0" w:color="148A5D"/>
              <w:bottom w:val="single" w:sz="4" w:space="0" w:color="148A5D"/>
            </w:tcBorders>
          </w:tcPr>
          <w:p w14:paraId="3C4449C0" w14:textId="77777777" w:rsidR="004D58BA" w:rsidRPr="00E65591" w:rsidRDefault="004D58BA" w:rsidP="00ED6734">
            <w:pPr>
              <w:pStyle w:val="Textinthetable"/>
              <w:jc w:val="right"/>
              <w:rPr>
                <w:b w:val="0"/>
                <w:bCs w:val="0"/>
              </w:rPr>
            </w:pPr>
            <w:r w:rsidRPr="00E65591">
              <w:rPr>
                <w:b w:val="0"/>
                <w:bCs w:val="0"/>
              </w:rPr>
              <w:t>15.4</w:t>
            </w:r>
          </w:p>
        </w:tc>
        <w:tc>
          <w:tcPr>
            <w:tcW w:w="1999" w:type="pct"/>
            <w:tcBorders>
              <w:top w:val="single" w:sz="4" w:space="0" w:color="148A5D"/>
              <w:bottom w:val="single" w:sz="4" w:space="0" w:color="148A5D"/>
            </w:tcBorders>
          </w:tcPr>
          <w:p w14:paraId="22CE2770" w14:textId="77777777" w:rsidR="004D58BA" w:rsidRPr="00E65591" w:rsidRDefault="004D58BA" w:rsidP="00ED6734">
            <w:pPr>
              <w:pStyle w:val="Textinthetable"/>
              <w:jc w:val="right"/>
              <w:rPr>
                <w:b w:val="0"/>
                <w:bCs w:val="0"/>
              </w:rPr>
            </w:pPr>
            <w:r w:rsidRPr="00E65591">
              <w:rPr>
                <w:b w:val="0"/>
                <w:bCs w:val="0"/>
              </w:rPr>
              <w:t>N/A</w:t>
            </w:r>
          </w:p>
        </w:tc>
      </w:tr>
      <w:tr w:rsidR="004D58BA" w:rsidRPr="005B175A" w14:paraId="07C3A4CC" w14:textId="77777777" w:rsidTr="00761084">
        <w:trPr>
          <w:trHeight w:val="408"/>
        </w:trPr>
        <w:tc>
          <w:tcPr>
            <w:tcW w:w="1534" w:type="pct"/>
            <w:tcBorders>
              <w:top w:val="single" w:sz="4" w:space="0" w:color="148A5D"/>
              <w:bottom w:val="single" w:sz="4" w:space="0" w:color="148A5D"/>
            </w:tcBorders>
          </w:tcPr>
          <w:p w14:paraId="4A92D241" w14:textId="660F0AC9" w:rsidR="00B845A0" w:rsidRPr="00761084" w:rsidRDefault="004D58BA" w:rsidP="00ED6734">
            <w:pPr>
              <w:pStyle w:val="Textinthetable"/>
              <w:rPr>
                <w:b w:val="0"/>
                <w:bCs w:val="0"/>
              </w:rPr>
            </w:pPr>
            <w:r w:rsidRPr="00761084">
              <w:rPr>
                <w:b w:val="0"/>
                <w:bCs w:val="0"/>
              </w:rPr>
              <w:t>Tasmania</w:t>
            </w:r>
          </w:p>
        </w:tc>
        <w:tc>
          <w:tcPr>
            <w:tcW w:w="1467" w:type="pct"/>
            <w:tcBorders>
              <w:top w:val="single" w:sz="4" w:space="0" w:color="148A5D"/>
              <w:bottom w:val="single" w:sz="4" w:space="0" w:color="148A5D"/>
            </w:tcBorders>
          </w:tcPr>
          <w:p w14:paraId="7D98E725" w14:textId="77777777" w:rsidR="004D58BA" w:rsidRPr="00E65591" w:rsidRDefault="00F23C25" w:rsidP="00ED6734">
            <w:pPr>
              <w:pStyle w:val="Textinthetable"/>
              <w:jc w:val="right"/>
              <w:rPr>
                <w:b w:val="0"/>
                <w:bCs w:val="0"/>
              </w:rPr>
            </w:pPr>
            <w:r w:rsidRPr="00E65591">
              <w:rPr>
                <w:b w:val="0"/>
                <w:bCs w:val="0"/>
              </w:rPr>
              <w:t>9.5</w:t>
            </w:r>
          </w:p>
        </w:tc>
        <w:tc>
          <w:tcPr>
            <w:tcW w:w="1999" w:type="pct"/>
            <w:tcBorders>
              <w:top w:val="single" w:sz="4" w:space="0" w:color="148A5D"/>
              <w:bottom w:val="single" w:sz="4" w:space="0" w:color="148A5D"/>
            </w:tcBorders>
          </w:tcPr>
          <w:p w14:paraId="6DE866FB" w14:textId="77777777" w:rsidR="004D58BA" w:rsidRPr="00E65591" w:rsidRDefault="004D58BA" w:rsidP="00ED6734">
            <w:pPr>
              <w:pStyle w:val="Textinthetable"/>
              <w:jc w:val="right"/>
              <w:rPr>
                <w:b w:val="0"/>
                <w:bCs w:val="0"/>
              </w:rPr>
            </w:pPr>
            <w:r w:rsidRPr="00E65591">
              <w:rPr>
                <w:b w:val="0"/>
                <w:bCs w:val="0"/>
              </w:rPr>
              <w:t>N/A</w:t>
            </w:r>
          </w:p>
        </w:tc>
      </w:tr>
      <w:tr w:rsidR="004D58BA" w:rsidRPr="005B175A" w14:paraId="2653C730" w14:textId="77777777" w:rsidTr="00761084">
        <w:trPr>
          <w:trHeight w:val="408"/>
        </w:trPr>
        <w:tc>
          <w:tcPr>
            <w:tcW w:w="1534" w:type="pct"/>
            <w:tcBorders>
              <w:top w:val="single" w:sz="4" w:space="0" w:color="148A5D"/>
              <w:bottom w:val="single" w:sz="4" w:space="0" w:color="148A5D"/>
            </w:tcBorders>
          </w:tcPr>
          <w:p w14:paraId="49A9AE19" w14:textId="6A1DA9B1" w:rsidR="00B845A0" w:rsidRPr="00761084" w:rsidRDefault="004D58BA" w:rsidP="00ED6734">
            <w:pPr>
              <w:pStyle w:val="Textinthetable"/>
              <w:rPr>
                <w:b w:val="0"/>
                <w:bCs w:val="0"/>
              </w:rPr>
            </w:pPr>
            <w:r w:rsidRPr="00761084">
              <w:rPr>
                <w:b w:val="0"/>
                <w:bCs w:val="0"/>
              </w:rPr>
              <w:t>Northern Territory</w:t>
            </w:r>
          </w:p>
        </w:tc>
        <w:tc>
          <w:tcPr>
            <w:tcW w:w="1467" w:type="pct"/>
            <w:tcBorders>
              <w:top w:val="single" w:sz="4" w:space="0" w:color="148A5D"/>
              <w:bottom w:val="single" w:sz="4" w:space="0" w:color="148A5D"/>
            </w:tcBorders>
          </w:tcPr>
          <w:p w14:paraId="5FAEFF0A" w14:textId="7456FE33" w:rsidR="004D58BA" w:rsidRPr="00E65591" w:rsidRDefault="004D58BA" w:rsidP="000E74D3">
            <w:pPr>
              <w:pStyle w:val="Textinthetable"/>
              <w:jc w:val="right"/>
            </w:pPr>
            <w:r w:rsidRPr="000E74D3">
              <w:rPr>
                <w:b w:val="0"/>
                <w:bCs w:val="0"/>
              </w:rPr>
              <w:t>9</w:t>
            </w:r>
            <w:r w:rsidR="00AC4BD5" w:rsidRPr="000C352B">
              <w:rPr>
                <w:b w:val="0"/>
                <w:bCs w:val="0"/>
                <w:vertAlign w:val="superscript"/>
              </w:rPr>
              <w:t>(d)</w:t>
            </w:r>
          </w:p>
        </w:tc>
        <w:tc>
          <w:tcPr>
            <w:tcW w:w="1999" w:type="pct"/>
            <w:tcBorders>
              <w:top w:val="single" w:sz="4" w:space="0" w:color="148A5D"/>
              <w:bottom w:val="single" w:sz="4" w:space="0" w:color="148A5D"/>
            </w:tcBorders>
          </w:tcPr>
          <w:p w14:paraId="577B0AA2" w14:textId="77777777" w:rsidR="004D58BA" w:rsidRPr="00E65591" w:rsidRDefault="004D58BA" w:rsidP="00ED6734">
            <w:pPr>
              <w:pStyle w:val="Textinthetable"/>
              <w:jc w:val="right"/>
              <w:rPr>
                <w:b w:val="0"/>
                <w:bCs w:val="0"/>
              </w:rPr>
            </w:pPr>
            <w:r w:rsidRPr="00E65591">
              <w:rPr>
                <w:b w:val="0"/>
                <w:bCs w:val="0"/>
              </w:rPr>
              <w:t>N/A</w:t>
            </w:r>
          </w:p>
        </w:tc>
      </w:tr>
      <w:tr w:rsidR="004D58BA" w:rsidRPr="005B175A" w14:paraId="7260D236" w14:textId="77777777" w:rsidTr="00761084">
        <w:trPr>
          <w:trHeight w:val="408"/>
        </w:trPr>
        <w:tc>
          <w:tcPr>
            <w:tcW w:w="1534" w:type="pct"/>
            <w:tcBorders>
              <w:top w:val="single" w:sz="4" w:space="0" w:color="148A5D"/>
              <w:bottom w:val="single" w:sz="4" w:space="0" w:color="148A5D"/>
            </w:tcBorders>
          </w:tcPr>
          <w:p w14:paraId="770D4A36" w14:textId="77777777" w:rsidR="004D58BA" w:rsidRPr="00761084" w:rsidRDefault="004D58BA" w:rsidP="00ED6734">
            <w:pPr>
              <w:pStyle w:val="Textinthetable"/>
              <w:rPr>
                <w:b w:val="0"/>
                <w:bCs w:val="0"/>
              </w:rPr>
            </w:pPr>
            <w:r w:rsidRPr="00761084">
              <w:rPr>
                <w:b w:val="0"/>
                <w:bCs w:val="0"/>
              </w:rPr>
              <w:t>Australian Capital Territory</w:t>
            </w:r>
          </w:p>
        </w:tc>
        <w:tc>
          <w:tcPr>
            <w:tcW w:w="1467" w:type="pct"/>
            <w:tcBorders>
              <w:top w:val="single" w:sz="4" w:space="0" w:color="148A5D"/>
              <w:bottom w:val="single" w:sz="4" w:space="0" w:color="148A5D"/>
            </w:tcBorders>
          </w:tcPr>
          <w:p w14:paraId="53E4E849" w14:textId="77777777" w:rsidR="004D58BA" w:rsidRPr="00E65591" w:rsidRDefault="004D58BA" w:rsidP="00ED6734">
            <w:pPr>
              <w:pStyle w:val="Textinthetable"/>
              <w:jc w:val="right"/>
              <w:rPr>
                <w:b w:val="0"/>
                <w:bCs w:val="0"/>
              </w:rPr>
            </w:pPr>
            <w:r w:rsidRPr="00E65591">
              <w:rPr>
                <w:b w:val="0"/>
                <w:bCs w:val="0"/>
              </w:rPr>
              <w:t>14</w:t>
            </w:r>
          </w:p>
        </w:tc>
        <w:tc>
          <w:tcPr>
            <w:tcW w:w="1999" w:type="pct"/>
            <w:tcBorders>
              <w:top w:val="single" w:sz="4" w:space="0" w:color="148A5D"/>
              <w:bottom w:val="single" w:sz="4" w:space="0" w:color="148A5D"/>
            </w:tcBorders>
          </w:tcPr>
          <w:p w14:paraId="0FB01D4D" w14:textId="647B3D4E" w:rsidR="004D58BA" w:rsidRPr="00E65591" w:rsidRDefault="00B845A0" w:rsidP="00ED6734">
            <w:pPr>
              <w:pStyle w:val="Textinthetable"/>
              <w:jc w:val="right"/>
              <w:rPr>
                <w:b w:val="0"/>
                <w:bCs w:val="0"/>
              </w:rPr>
            </w:pPr>
            <w:r w:rsidRPr="00E65591">
              <w:rPr>
                <w:b w:val="0"/>
                <w:bCs w:val="0"/>
              </w:rPr>
              <w:t>N/A</w:t>
            </w:r>
            <w:r w:rsidR="00C7770A" w:rsidRPr="00C7770A">
              <w:rPr>
                <w:b w:val="0"/>
                <w:bCs w:val="0"/>
                <w:vertAlign w:val="superscript"/>
              </w:rPr>
              <w:t>(</w:t>
            </w:r>
            <w:r w:rsidR="0038636E">
              <w:rPr>
                <w:b w:val="0"/>
                <w:bCs w:val="0"/>
                <w:vertAlign w:val="superscript"/>
              </w:rPr>
              <w:t>e</w:t>
            </w:r>
            <w:r w:rsidR="00C7770A">
              <w:rPr>
                <w:b w:val="0"/>
                <w:bCs w:val="0"/>
                <w:vertAlign w:val="superscript"/>
              </w:rPr>
              <w:t>)</w:t>
            </w:r>
          </w:p>
        </w:tc>
      </w:tr>
    </w:tbl>
    <w:p w14:paraId="19CF96AE" w14:textId="5E386327" w:rsidR="00746E58" w:rsidRPr="00C7770A" w:rsidRDefault="009D7727" w:rsidP="00085375">
      <w:pPr>
        <w:pStyle w:val="Notesfortablesfigures"/>
        <w:rPr>
          <w:vertAlign w:val="superscript"/>
        </w:rPr>
      </w:pPr>
      <w:r w:rsidRPr="00E65591">
        <w:t>Notes:</w:t>
      </w:r>
      <w:r w:rsidR="00C7770A">
        <w:t xml:space="preserve"> (a) </w:t>
      </w:r>
      <w:r w:rsidR="00ED6734">
        <w:t>Equal to the Superannuation Guarantee charge rate plus 6 per cent</w:t>
      </w:r>
      <w:r w:rsidR="00C7770A">
        <w:t xml:space="preserve">; (b) </w:t>
      </w:r>
      <w:r w:rsidR="00CA3BF8" w:rsidRPr="00E65591">
        <w:t xml:space="preserve">While this figure is below the Commonwealth Superannuation Guarantee charge rate, </w:t>
      </w:r>
      <w:r w:rsidR="009A0ECE" w:rsidRPr="00E65591">
        <w:t xml:space="preserve">the salary used </w:t>
      </w:r>
      <w:r w:rsidR="00DD7D7B" w:rsidRPr="00E65591">
        <w:t>to calculate</w:t>
      </w:r>
      <w:r w:rsidR="009C13F1" w:rsidRPr="00E65591">
        <w:t xml:space="preserve"> superannuation contributions for NSW MPs is t</w:t>
      </w:r>
      <w:r w:rsidR="00746E58" w:rsidRPr="00E65591">
        <w:t>aken to be the greater of:</w:t>
      </w:r>
    </w:p>
    <w:p w14:paraId="4AED057F" w14:textId="4A09E44E" w:rsidR="001B7584" w:rsidRPr="00E65591" w:rsidRDefault="00746E58" w:rsidP="00425ADA">
      <w:pPr>
        <w:pStyle w:val="Notesfortablesfigures"/>
        <w:numPr>
          <w:ilvl w:val="0"/>
          <w:numId w:val="31"/>
        </w:numPr>
      </w:pPr>
      <w:r w:rsidRPr="00E65591">
        <w:t>the ‘maximum contribution base’ under Commonwealth law</w:t>
      </w:r>
      <w:r w:rsidR="001B7584" w:rsidRPr="00E65591">
        <w:t>; or</w:t>
      </w:r>
    </w:p>
    <w:p w14:paraId="5777E3D6" w14:textId="48E79AD7" w:rsidR="001B7584" w:rsidRPr="00E65591" w:rsidRDefault="001B7584" w:rsidP="00425ADA">
      <w:pPr>
        <w:pStyle w:val="Notesfortablesfigures"/>
        <w:numPr>
          <w:ilvl w:val="0"/>
          <w:numId w:val="31"/>
        </w:numPr>
      </w:pPr>
      <w:r w:rsidRPr="00E65591">
        <w:t>the total of the following amounts:</w:t>
      </w:r>
    </w:p>
    <w:p w14:paraId="7F0E4FE3" w14:textId="61743C03" w:rsidR="00FB7C08" w:rsidRPr="00E65591" w:rsidRDefault="001B7584" w:rsidP="00ED6734">
      <w:pPr>
        <w:pStyle w:val="Notesfortablesfigures"/>
        <w:numPr>
          <w:ilvl w:val="1"/>
          <w:numId w:val="31"/>
        </w:numPr>
        <w:ind w:left="714" w:hanging="357"/>
      </w:pPr>
      <w:r w:rsidRPr="00E65591">
        <w:t>the remuneration payable to the MP by wa</w:t>
      </w:r>
      <w:r w:rsidR="00C20B6C" w:rsidRPr="00E65591">
        <w:t>y</w:t>
      </w:r>
      <w:r w:rsidRPr="00E65591">
        <w:t xml:space="preserve"> of basic and additional salary</w:t>
      </w:r>
    </w:p>
    <w:p w14:paraId="554ADBAE" w14:textId="4B77C320" w:rsidR="001B7584" w:rsidRPr="00E65591" w:rsidRDefault="004B643F" w:rsidP="00ED6734">
      <w:pPr>
        <w:pStyle w:val="Notesfortablesfigures"/>
        <w:numPr>
          <w:ilvl w:val="1"/>
          <w:numId w:val="31"/>
        </w:numPr>
        <w:ind w:left="714" w:hanging="357"/>
      </w:pPr>
      <w:r w:rsidRPr="00E65591">
        <w:t>the cost of any employment benefits provided</w:t>
      </w:r>
    </w:p>
    <w:p w14:paraId="032267EF" w14:textId="1B790B47" w:rsidR="004B643F" w:rsidRPr="00E65591" w:rsidRDefault="004B643F" w:rsidP="00ED6734">
      <w:pPr>
        <w:pStyle w:val="Notesfortablesfigures"/>
        <w:numPr>
          <w:ilvl w:val="1"/>
          <w:numId w:val="31"/>
        </w:numPr>
        <w:ind w:left="714" w:hanging="357"/>
      </w:pPr>
      <w:r w:rsidRPr="00E65591">
        <w:t>the amount of any additional superannuation contributions made by way of salary sacrifice</w:t>
      </w:r>
      <w:r w:rsidR="00346271">
        <w:t>.</w:t>
      </w:r>
    </w:p>
    <w:p w14:paraId="3F0E5499" w14:textId="3078AF66" w:rsidR="00C40F2C" w:rsidRPr="00E65591" w:rsidRDefault="00C7770A" w:rsidP="00085375">
      <w:pPr>
        <w:pStyle w:val="Notesfortablesfigures"/>
      </w:pPr>
      <w:r w:rsidRPr="00C7770A">
        <w:t>(c)</w:t>
      </w:r>
      <w:r w:rsidR="00FB7C08" w:rsidRPr="00E65591">
        <w:t xml:space="preserve"> </w:t>
      </w:r>
      <w:r w:rsidR="009D7727" w:rsidRPr="00E65591">
        <w:t xml:space="preserve">South Australian MPs only receive 15.4 per cent if they remain in the default fund – MPs who transfer to a different fund receive contributions according to the </w:t>
      </w:r>
      <w:r w:rsidR="00C40F2C">
        <w:t xml:space="preserve">Commonwealth </w:t>
      </w:r>
      <w:r w:rsidR="009D7727" w:rsidRPr="00E65591">
        <w:t>Superannuation Guarantee</w:t>
      </w:r>
      <w:r>
        <w:t>;</w:t>
      </w:r>
      <w:r w:rsidR="00AC4BD5">
        <w:t xml:space="preserve"> (d) or the minimum required under Commonwealth law, whichever is greate</w:t>
      </w:r>
      <w:r w:rsidR="0038636E">
        <w:t xml:space="preserve">r; </w:t>
      </w:r>
      <w:r>
        <w:t>(</w:t>
      </w:r>
      <w:r w:rsidR="0038636E">
        <w:t>e</w:t>
      </w:r>
      <w:r>
        <w:t>)</w:t>
      </w:r>
      <w:r w:rsidR="00C40F2C">
        <w:t xml:space="preserve"> </w:t>
      </w:r>
      <w:r w:rsidR="00C40F2C" w:rsidRPr="00E65591">
        <w:t>If an MP chooses to contribute 3% or more of their salary, the Territory will contribute an additional 1%.</w:t>
      </w:r>
    </w:p>
    <w:p w14:paraId="27B4038E" w14:textId="77777777" w:rsidR="00D61434" w:rsidRPr="00E65591" w:rsidRDefault="00D61434" w:rsidP="00085375">
      <w:pPr>
        <w:pStyle w:val="Notesfortablesfigures"/>
      </w:pPr>
      <w:r w:rsidRPr="00E65591">
        <w:t xml:space="preserve">Sources: </w:t>
      </w:r>
      <w:r w:rsidRPr="00E65591">
        <w:rPr>
          <w:i/>
          <w:iCs/>
        </w:rPr>
        <w:t>Parliamentary Salaries, Allowances and Superannuation Act 1968</w:t>
      </w:r>
      <w:r w:rsidRPr="00E65591">
        <w:t xml:space="preserve"> (Vic); </w:t>
      </w:r>
      <w:bookmarkStart w:id="21" w:name="_Hlk38378006"/>
      <w:r w:rsidRPr="00E65591">
        <w:rPr>
          <w:i/>
          <w:iCs/>
        </w:rPr>
        <w:t>Parliamentary Superannuation Act 2004</w:t>
      </w:r>
      <w:r w:rsidRPr="00E65591">
        <w:t xml:space="preserve"> (Cth); </w:t>
      </w:r>
      <w:r w:rsidRPr="00E65591">
        <w:rPr>
          <w:i/>
          <w:iCs/>
        </w:rPr>
        <w:t>Parliamentary Remuneration Act 1989</w:t>
      </w:r>
      <w:r w:rsidRPr="00E65591">
        <w:t xml:space="preserve"> (NSW); </w:t>
      </w:r>
      <w:r w:rsidR="005E5F6D" w:rsidRPr="00E65591">
        <w:rPr>
          <w:i/>
          <w:iCs/>
        </w:rPr>
        <w:t>Members’ Remuneration Handbook</w:t>
      </w:r>
      <w:r w:rsidR="005E5F6D" w:rsidRPr="00E65591">
        <w:t xml:space="preserve"> (Qld); </w:t>
      </w:r>
      <w:r w:rsidR="005E5F6D" w:rsidRPr="00E65591">
        <w:rPr>
          <w:i/>
          <w:iCs/>
        </w:rPr>
        <w:t>Parliamentary Superannuation Act 1974</w:t>
      </w:r>
      <w:r w:rsidR="005E5F6D" w:rsidRPr="00E65591">
        <w:t xml:space="preserve"> (SA); </w:t>
      </w:r>
      <w:r w:rsidR="005E5F6D" w:rsidRPr="00E65591">
        <w:rPr>
          <w:i/>
          <w:iCs/>
        </w:rPr>
        <w:t>Parliamentary Superannuation Act 1970</w:t>
      </w:r>
      <w:r w:rsidR="005E5F6D" w:rsidRPr="00E65591">
        <w:t xml:space="preserve"> (WA); </w:t>
      </w:r>
      <w:r w:rsidR="00F23C25" w:rsidRPr="00E65591">
        <w:rPr>
          <w:i/>
          <w:iCs/>
        </w:rPr>
        <w:t>Parliamentary Salaries, Allowances and Superannuation Act 2012</w:t>
      </w:r>
      <w:r w:rsidR="00F23C25" w:rsidRPr="00E65591">
        <w:t xml:space="preserve"> (Tas); </w:t>
      </w:r>
      <w:r w:rsidR="00F23C25" w:rsidRPr="00E65591">
        <w:rPr>
          <w:i/>
          <w:iCs/>
        </w:rPr>
        <w:t>Legislative Assembly Members’ Superannuation Contributions Act 2004</w:t>
      </w:r>
      <w:r w:rsidR="00F23C25" w:rsidRPr="00E65591">
        <w:t xml:space="preserve"> (NT); </w:t>
      </w:r>
      <w:r w:rsidR="00F23C25" w:rsidRPr="00E65591">
        <w:rPr>
          <w:i/>
          <w:iCs/>
        </w:rPr>
        <w:t>Legislative Assembly (Members’ Superannuation) Act 1991</w:t>
      </w:r>
      <w:r w:rsidR="00F23C25" w:rsidRPr="00E65591">
        <w:t xml:space="preserve"> (ACT).</w:t>
      </w:r>
      <w:bookmarkEnd w:id="21"/>
    </w:p>
    <w:p w14:paraId="51DD79FC" w14:textId="20220EA0" w:rsidR="00CA7868" w:rsidRPr="00E65591" w:rsidDel="00F76AF8" w:rsidRDefault="009D4562" w:rsidP="00AC4BD5">
      <w:pPr>
        <w:pStyle w:val="Paragraph"/>
        <w:rPr>
          <w:highlight w:val="yellow"/>
        </w:rPr>
      </w:pPr>
      <w:r w:rsidRPr="00E65591">
        <w:t>With the exception of New South Wales and Tasmania, all states and territories provide a resettlement allowance</w:t>
      </w:r>
      <w:r w:rsidR="00710521" w:rsidRPr="00E65591">
        <w:t xml:space="preserve"> (or equivalent)</w:t>
      </w:r>
      <w:r w:rsidRPr="00E65591">
        <w:t xml:space="preserve"> to </w:t>
      </w:r>
      <w:r w:rsidR="005D5BCF" w:rsidRPr="00E65591">
        <w:t xml:space="preserve">former </w:t>
      </w:r>
      <w:r w:rsidRPr="00E65591">
        <w:t>MPs</w:t>
      </w:r>
      <w:r w:rsidR="00885B6E" w:rsidRPr="00E65591">
        <w:t xml:space="preserve"> that leave the Parliament </w:t>
      </w:r>
      <w:r w:rsidR="00CA7868" w:rsidRPr="00E65591">
        <w:t>under</w:t>
      </w:r>
      <w:r w:rsidR="00885B6E" w:rsidRPr="00E65591">
        <w:t xml:space="preserve"> particular circumstances</w:t>
      </w:r>
      <w:r w:rsidR="00FF669C" w:rsidRPr="00E65591">
        <w:t>.</w:t>
      </w:r>
      <w:r w:rsidR="0099713D" w:rsidRPr="00C86F9E">
        <w:t xml:space="preserve"> </w:t>
      </w:r>
    </w:p>
    <w:p w14:paraId="41C3C5CA" w14:textId="7EB3B8D2" w:rsidR="00F53CAA" w:rsidRDefault="00ED6734">
      <w:pPr>
        <w:pStyle w:val="VIRTHeading3"/>
      </w:pPr>
      <w:bookmarkStart w:id="22" w:name="_Toc40777650"/>
      <w:r>
        <w:t>S</w:t>
      </w:r>
      <w:r w:rsidR="006B0561" w:rsidRPr="00E65591">
        <w:t xml:space="preserve">uperannuation arrangements for </w:t>
      </w:r>
      <w:r w:rsidR="00106658" w:rsidRPr="00E65591">
        <w:t xml:space="preserve">Victorian </w:t>
      </w:r>
      <w:r>
        <w:t>public sector employees</w:t>
      </w:r>
      <w:bookmarkEnd w:id="22"/>
    </w:p>
    <w:p w14:paraId="014234F4" w14:textId="77777777" w:rsidR="002026CF" w:rsidRDefault="009E1D38" w:rsidP="00AC4BD5">
      <w:pPr>
        <w:pStyle w:val="Paragraph"/>
      </w:pPr>
      <w:r w:rsidRPr="00E65591">
        <w:t xml:space="preserve">Most </w:t>
      </w:r>
      <w:r w:rsidR="002C033A">
        <w:t xml:space="preserve">Victorian </w:t>
      </w:r>
      <w:r w:rsidRPr="00E65591">
        <w:t xml:space="preserve">public sector employees employed from 1994 are </w:t>
      </w:r>
      <w:r w:rsidR="00E256AC" w:rsidRPr="00E65591">
        <w:t>members of accumulation superannuation schemes</w:t>
      </w:r>
      <w:r w:rsidRPr="00E65591">
        <w:t xml:space="preserve">. </w:t>
      </w:r>
      <w:r w:rsidR="00C86F9E">
        <w:t>These individuals receive superannuation contributions in accordance with the Superannuation Guarantee (currently 9.5 per cent)</w:t>
      </w:r>
      <w:r w:rsidR="002C033A">
        <w:t xml:space="preserve">, but may elect to make additional contributions as part of a salary sacrifice arrangement. </w:t>
      </w:r>
    </w:p>
    <w:p w14:paraId="03B1ACB7" w14:textId="720E698D" w:rsidR="00514646" w:rsidRPr="00E65591" w:rsidRDefault="002026CF" w:rsidP="00AC4BD5">
      <w:pPr>
        <w:pStyle w:val="Paragraph"/>
      </w:pPr>
      <w:r>
        <w:t>D</w:t>
      </w:r>
      <w:r w:rsidR="00514646" w:rsidRPr="00E65591">
        <w:t xml:space="preserve">efined benefit schemes and pensions </w:t>
      </w:r>
      <w:r w:rsidR="00EF6B38" w:rsidRPr="00E65591">
        <w:t>remain</w:t>
      </w:r>
      <w:r w:rsidR="00514646" w:rsidRPr="00E65591">
        <w:t xml:space="preserve"> open </w:t>
      </w:r>
      <w:r w:rsidR="002C033A">
        <w:t xml:space="preserve">only </w:t>
      </w:r>
      <w:r w:rsidR="00514646" w:rsidRPr="00E65591">
        <w:t xml:space="preserve">to a limited number of public sector roles. In particular, the </w:t>
      </w:r>
      <w:r w:rsidR="00710521" w:rsidRPr="00E65591">
        <w:t xml:space="preserve">Emergency Services Superannuation Scheme </w:t>
      </w:r>
      <w:r w:rsidR="00514646" w:rsidRPr="00E65591">
        <w:t xml:space="preserve">defined benefit fund remains open to operational employees </w:t>
      </w:r>
      <w:r w:rsidR="002C033A">
        <w:t xml:space="preserve">in a small number of </w:t>
      </w:r>
      <w:r w:rsidR="00514646" w:rsidRPr="00E65591">
        <w:t>entities.</w:t>
      </w:r>
      <w:r w:rsidR="002C033A">
        <w:rPr>
          <w:rStyle w:val="FootnoteReference"/>
        </w:rPr>
        <w:footnoteReference w:id="13"/>
      </w:r>
      <w:r w:rsidR="002C033A">
        <w:t xml:space="preserve"> </w:t>
      </w:r>
      <w:r w:rsidR="00514646" w:rsidRPr="00E65591">
        <w:t xml:space="preserve">Former judges of the Supreme Court and County Court of Victoria, and the Chief Magistrate of the Magistrates’ Court of Victoria, may </w:t>
      </w:r>
      <w:r w:rsidR="00C86F9E">
        <w:t xml:space="preserve">also </w:t>
      </w:r>
      <w:r w:rsidR="00514646" w:rsidRPr="00E65591">
        <w:t>be eligible for a judicial pension.</w:t>
      </w:r>
      <w:r w:rsidR="00D914E5">
        <w:rPr>
          <w:rStyle w:val="FootnoteReference"/>
        </w:rPr>
        <w:footnoteReference w:id="14"/>
      </w:r>
      <w:r w:rsidR="00514646" w:rsidRPr="00E65591">
        <w:t xml:space="preserve"> </w:t>
      </w:r>
    </w:p>
    <w:p w14:paraId="66FE9F3B" w14:textId="4905B6FB" w:rsidR="00873D39" w:rsidRDefault="005C1825" w:rsidP="002026CF">
      <w:pPr>
        <w:pStyle w:val="VIRTHeading2"/>
      </w:pPr>
      <w:bookmarkStart w:id="23" w:name="_Toc40777651"/>
      <w:r>
        <w:t xml:space="preserve">Impact of </w:t>
      </w:r>
      <w:r w:rsidR="00873D39">
        <w:t>Commonwealth legislation</w:t>
      </w:r>
      <w:bookmarkEnd w:id="23"/>
    </w:p>
    <w:p w14:paraId="512F80DC" w14:textId="42A8A56D" w:rsidR="004C1B9C" w:rsidRDefault="004C1B9C" w:rsidP="00AC4BD5">
      <w:pPr>
        <w:pStyle w:val="Paragraph"/>
      </w:pPr>
      <w:r>
        <w:t xml:space="preserve">The operation of Victoria’s </w:t>
      </w:r>
      <w:r w:rsidR="00EB6B52">
        <w:t xml:space="preserve">MP </w:t>
      </w:r>
      <w:r>
        <w:t xml:space="preserve">superannuation schemes is affected by Commonwealth legislation, including several Commonwealth taxes that apply to contributions </w:t>
      </w:r>
      <w:r w:rsidR="00EB6B52">
        <w:t xml:space="preserve">and </w:t>
      </w:r>
      <w:r>
        <w:t>benefits.</w:t>
      </w:r>
    </w:p>
    <w:p w14:paraId="3EA6E672" w14:textId="77777777" w:rsidR="0013503D" w:rsidRDefault="0013503D" w:rsidP="00AC4BD5">
      <w:pPr>
        <w:pStyle w:val="Paragraph"/>
      </w:pPr>
      <w:r>
        <w:t>The Commonwealth laws that impact MP superannuation schemes are:</w:t>
      </w:r>
    </w:p>
    <w:p w14:paraId="23E367FA" w14:textId="77777777" w:rsidR="0013503D" w:rsidRDefault="0013503D" w:rsidP="00AC4BD5">
      <w:pPr>
        <w:pStyle w:val="VIRTBulletpoints"/>
      </w:pPr>
      <w:r>
        <w:t>t</w:t>
      </w:r>
      <w:r w:rsidRPr="00A955DC">
        <w:t>ax</w:t>
      </w:r>
      <w:r>
        <w:t>es</w:t>
      </w:r>
      <w:r w:rsidRPr="00A955DC">
        <w:t xml:space="preserve"> on concessional</w:t>
      </w:r>
      <w:r>
        <w:t xml:space="preserve"> and non-concessional</w:t>
      </w:r>
      <w:r w:rsidRPr="00A955DC">
        <w:t xml:space="preserve"> contributions</w:t>
      </w:r>
    </w:p>
    <w:p w14:paraId="66189D03" w14:textId="77777777" w:rsidR="0013503D" w:rsidRDefault="0013503D" w:rsidP="00AC4BD5">
      <w:pPr>
        <w:pStyle w:val="VIRTBulletpoints"/>
      </w:pPr>
      <w:r>
        <w:t>taxes on benefits</w:t>
      </w:r>
    </w:p>
    <w:p w14:paraId="5ADF2BF9" w14:textId="6E059EB1" w:rsidR="0013503D" w:rsidRDefault="0013503D" w:rsidP="00AC4BD5">
      <w:pPr>
        <w:pStyle w:val="VIRTBulletpoints"/>
      </w:pPr>
      <w:r>
        <w:t>superannuation preservation rules.</w:t>
      </w:r>
    </w:p>
    <w:p w14:paraId="01BAD695" w14:textId="2266E385" w:rsidR="00AB0FA9" w:rsidRDefault="00C9287B" w:rsidP="00AC4BD5">
      <w:pPr>
        <w:pStyle w:val="Paragraph"/>
      </w:pPr>
      <w:r>
        <w:t>Some of t</w:t>
      </w:r>
      <w:r w:rsidR="0013503D">
        <w:t>hese laws</w:t>
      </w:r>
      <w:r w:rsidR="004C1B9C">
        <w:t xml:space="preserve"> apply differently to </w:t>
      </w:r>
      <w:r w:rsidR="00F928FE">
        <w:t>defined benefit and accumulation schemes</w:t>
      </w:r>
      <w:r w:rsidR="00C40F2C">
        <w:t>,</w:t>
      </w:r>
      <w:r>
        <w:t xml:space="preserve"> which can impact </w:t>
      </w:r>
      <w:r w:rsidR="00F928FE">
        <w:t xml:space="preserve">the </w:t>
      </w:r>
      <w:r w:rsidR="00B31884">
        <w:t>net benefits</w:t>
      </w:r>
      <w:r w:rsidR="00F928FE">
        <w:t xml:space="preserve"> of being a member of a particular superannuation scheme. </w:t>
      </w:r>
      <w:r w:rsidR="00A422F8">
        <w:t>Several differences that m</w:t>
      </w:r>
      <w:r w:rsidR="00273587">
        <w:t xml:space="preserve">ay </w:t>
      </w:r>
      <w:r w:rsidR="005D76BD">
        <w:t xml:space="preserve">contribute to </w:t>
      </w:r>
      <w:r w:rsidR="00273587">
        <w:t xml:space="preserve">irregularities between the MP superannuation schemes are outlined below. </w:t>
      </w:r>
    </w:p>
    <w:p w14:paraId="77C6D0C4" w14:textId="7F5F2879" w:rsidR="00AB0FA9" w:rsidRDefault="00A57D73">
      <w:pPr>
        <w:pStyle w:val="VIRTHeading3"/>
      </w:pPr>
      <w:bookmarkStart w:id="24" w:name="_Toc40777652"/>
      <w:r>
        <w:t xml:space="preserve">Impact </w:t>
      </w:r>
      <w:r w:rsidR="00AB0FA9">
        <w:t>of the concessional contributions cap on MPs in the accumulation scheme</w:t>
      </w:r>
      <w:bookmarkEnd w:id="24"/>
    </w:p>
    <w:p w14:paraId="2143E9B7" w14:textId="77777777" w:rsidR="00AB0FA9" w:rsidRPr="00A955DC" w:rsidRDefault="00AB0FA9" w:rsidP="00AC4BD5">
      <w:pPr>
        <w:pStyle w:val="Paragraph"/>
      </w:pPr>
      <w:r w:rsidRPr="00A955DC">
        <w:t>Under Commonwealth law, superannuation contributions are treated as being either concessional (pre-tax) or non-concessional (post-tax).</w:t>
      </w:r>
    </w:p>
    <w:p w14:paraId="4569DB49" w14:textId="77777777" w:rsidR="00AB0FA9" w:rsidRPr="00A955DC" w:rsidRDefault="00AB0FA9" w:rsidP="00AC4BD5">
      <w:pPr>
        <w:pStyle w:val="Paragraphbeforeabulletlist"/>
      </w:pPr>
      <w:r w:rsidRPr="00A955DC">
        <w:t>Concessional contributions include:</w:t>
      </w:r>
    </w:p>
    <w:p w14:paraId="090E5624" w14:textId="69F793FB" w:rsidR="00AB0FA9" w:rsidRPr="00A955DC" w:rsidRDefault="00AB0FA9" w:rsidP="00AC4BD5">
      <w:pPr>
        <w:pStyle w:val="VIRTBulletpoints"/>
      </w:pPr>
      <w:r w:rsidRPr="00A955DC">
        <w:t>employer contributions (including contributions made under a salary sacrifice arrangement)</w:t>
      </w:r>
    </w:p>
    <w:p w14:paraId="060B55A9" w14:textId="77777777" w:rsidR="00AB0FA9" w:rsidRDefault="00AB0FA9" w:rsidP="00AC4BD5">
      <w:pPr>
        <w:pStyle w:val="VIRTBulletpoints"/>
      </w:pPr>
      <w:r w:rsidRPr="00A955DC">
        <w:t>personal contributions claimed as a tax deduction.</w:t>
      </w:r>
    </w:p>
    <w:p w14:paraId="7BE1D8CE" w14:textId="160E53F7" w:rsidR="00504FEC" w:rsidRDefault="00815151" w:rsidP="00AC4BD5">
      <w:pPr>
        <w:pStyle w:val="Paragraph"/>
      </w:pPr>
      <w:r>
        <w:t>C</w:t>
      </w:r>
      <w:r w:rsidR="00AB0FA9">
        <w:t xml:space="preserve">oncessional contributions are </w:t>
      </w:r>
      <w:r>
        <w:t xml:space="preserve">ordinarily </w:t>
      </w:r>
      <w:r w:rsidR="00AB0FA9">
        <w:t xml:space="preserve">taxed at a rate of </w:t>
      </w:r>
      <w:r>
        <w:t>15</w:t>
      </w:r>
      <w:r w:rsidR="00AB0FA9">
        <w:t xml:space="preserve"> per cent.</w:t>
      </w:r>
      <w:r w:rsidR="00E24516">
        <w:t xml:space="preserve"> An additional 15 per cent tax (referred to as Division 293 tax) may appl</w:t>
      </w:r>
      <w:r w:rsidR="00B90688">
        <w:t xml:space="preserve">y to the contributions of some high-income earners. </w:t>
      </w:r>
    </w:p>
    <w:p w14:paraId="224761AE" w14:textId="552BD715" w:rsidR="00AB0FA9" w:rsidRDefault="00AB0FA9" w:rsidP="00AC4BD5">
      <w:pPr>
        <w:pStyle w:val="Paragraph"/>
      </w:pPr>
      <w:r>
        <w:t>The Commonwealth has introduced a cap on the concessional contributions that can be made in respect of each person ($25,000 for the 201</w:t>
      </w:r>
      <w:r w:rsidR="002026CF">
        <w:t>9</w:t>
      </w:r>
      <w:r w:rsidR="00C40F2C">
        <w:t>-</w:t>
      </w:r>
      <w:r w:rsidR="002026CF">
        <w:t>20</w:t>
      </w:r>
      <w:r>
        <w:t xml:space="preserve"> financial year). From 1 July 2018, some individuals are able to carry forward unused portions of the cap for up to 5 years.</w:t>
      </w:r>
      <w:r w:rsidR="00504FEC">
        <w:t xml:space="preserve"> </w:t>
      </w:r>
      <w:r>
        <w:t>If the concessional contribution cap is exceeded, the excess is included in the individual’s taxable income (i.e. it is taxed at their marginal tax rate) and an excess concessional contributions charge applies. Individuals may choose to withdraw part of their excess concessional contributions from their superannuation fund to meet this additional tax liability.</w:t>
      </w:r>
    </w:p>
    <w:p w14:paraId="277B1A04" w14:textId="6C7D4338" w:rsidR="00AB0FA9" w:rsidRDefault="00316A39" w:rsidP="00AC4BD5">
      <w:pPr>
        <w:pStyle w:val="Paragraph"/>
      </w:pPr>
      <w:r>
        <w:t>I</w:t>
      </w:r>
      <w:r w:rsidR="00526AD5">
        <w:t>f</w:t>
      </w:r>
      <w:r>
        <w:t xml:space="preserve"> an MP is in the accumulation scheme</w:t>
      </w:r>
      <w:r w:rsidR="00815151">
        <w:t>,</w:t>
      </w:r>
      <w:r>
        <w:t xml:space="preserve"> t</w:t>
      </w:r>
      <w:r w:rsidR="00AB0FA9">
        <w:t>he State is required to make concessional superannuation contributions to their nominated fund. By default, the State’s contributions are equal to ‘the prescribed percentage’ (15.5 per cent for the 201</w:t>
      </w:r>
      <w:r w:rsidR="002026CF">
        <w:t>9</w:t>
      </w:r>
      <w:r w:rsidR="0018467C">
        <w:t>-</w:t>
      </w:r>
      <w:r w:rsidR="002026CF">
        <w:t>20</w:t>
      </w:r>
      <w:r w:rsidR="00AB0FA9">
        <w:t xml:space="preserve"> financial year) multiplied by the MP</w:t>
      </w:r>
      <w:r w:rsidR="00504FEC">
        <w:t>’</w:t>
      </w:r>
      <w:r w:rsidR="00AB0FA9">
        <w:t xml:space="preserve">s salary. </w:t>
      </w:r>
      <w:r w:rsidR="00193297">
        <w:t>Given current salary levels</w:t>
      </w:r>
      <w:r w:rsidR="00073740">
        <w:t xml:space="preserve"> for MPs</w:t>
      </w:r>
      <w:r w:rsidR="00AB0FA9">
        <w:t>, the concessional contributions paid</w:t>
      </w:r>
      <w:r w:rsidR="00193297">
        <w:t xml:space="preserve"> to an accumulation scheme on an MP’s behalf will typically </w:t>
      </w:r>
      <w:r w:rsidR="00AB0FA9">
        <w:t xml:space="preserve">exceed the concessional contributions cap. </w:t>
      </w:r>
    </w:p>
    <w:p w14:paraId="38A1E212" w14:textId="7496E42C" w:rsidR="00AB0FA9" w:rsidRDefault="00504FEC" w:rsidP="00AC4BD5">
      <w:pPr>
        <w:pStyle w:val="Paragraphbeforeabulletlist"/>
      </w:pPr>
      <w:r>
        <w:t>Following amendments to the PSAS Act in 2019</w:t>
      </w:r>
      <w:r w:rsidR="00AB0FA9">
        <w:t xml:space="preserve">, MPs </w:t>
      </w:r>
      <w:r w:rsidR="00193297">
        <w:t>who are members of</w:t>
      </w:r>
      <w:r w:rsidR="00AB0FA9">
        <w:t xml:space="preserve"> the accumulation scheme </w:t>
      </w:r>
      <w:r>
        <w:t xml:space="preserve">may </w:t>
      </w:r>
      <w:r w:rsidDel="00193297">
        <w:t xml:space="preserve">be </w:t>
      </w:r>
      <w:r w:rsidR="00AB0FA9" w:rsidDel="00193297">
        <w:t xml:space="preserve">required to </w:t>
      </w:r>
      <w:r w:rsidR="00AB0FA9">
        <w:t xml:space="preserve">choose between </w:t>
      </w:r>
      <w:r w:rsidR="00AB0FA9" w:rsidDel="00193297">
        <w:t>either</w:t>
      </w:r>
      <w:r w:rsidR="00AB0FA9">
        <w:t>:</w:t>
      </w:r>
    </w:p>
    <w:p w14:paraId="356AA57B" w14:textId="7328209A" w:rsidR="00AB0FA9" w:rsidRDefault="00AB0FA9" w:rsidP="00AC4BD5">
      <w:pPr>
        <w:pStyle w:val="VIRTBulletpoints"/>
      </w:pPr>
      <w:r>
        <w:t xml:space="preserve">the State paying the full superannuation contribution to their nominated fund, </w:t>
      </w:r>
      <w:r w:rsidR="00193297">
        <w:t xml:space="preserve">such that </w:t>
      </w:r>
      <w:r>
        <w:t xml:space="preserve">the MP </w:t>
      </w:r>
      <w:r w:rsidR="00193297">
        <w:t xml:space="preserve">is </w:t>
      </w:r>
      <w:r>
        <w:t>liable for additional tax; or</w:t>
      </w:r>
    </w:p>
    <w:p w14:paraId="575B2A76" w14:textId="5D54458A" w:rsidR="00504FEC" w:rsidRPr="00C73FF8" w:rsidRDefault="00AB0FA9" w:rsidP="00AC4BD5">
      <w:pPr>
        <w:pStyle w:val="VIRTBulletpoints"/>
      </w:pPr>
      <w:r w:rsidRPr="00C73FF8">
        <w:t>the State paying a reduced superannuation contribution to the</w:t>
      </w:r>
      <w:r w:rsidR="00193297" w:rsidRPr="00C73FF8">
        <w:t xml:space="preserve"> MP’s</w:t>
      </w:r>
      <w:r w:rsidRPr="00C73FF8">
        <w:t xml:space="preserve"> nominated fund</w:t>
      </w:r>
      <w:r w:rsidR="00193297" w:rsidRPr="00C73FF8">
        <w:t xml:space="preserve"> (which is at a level that avoids additional tax being payable)</w:t>
      </w:r>
      <w:r w:rsidR="00434E9B" w:rsidRPr="00C73FF8">
        <w:t xml:space="preserve"> and the MP forfeiting their entitlement to </w:t>
      </w:r>
      <w:r w:rsidR="00CA5F7E" w:rsidRPr="00C73FF8">
        <w:t>th</w:t>
      </w:r>
      <w:r w:rsidR="00E93FE0" w:rsidRPr="00C73FF8">
        <w:t>at contribution</w:t>
      </w:r>
      <w:r w:rsidRPr="00C73FF8">
        <w:t>.</w:t>
      </w:r>
    </w:p>
    <w:p w14:paraId="59CBA75C" w14:textId="42BE108F" w:rsidR="00B92014" w:rsidRDefault="00630CC0" w:rsidP="00AC4BD5">
      <w:pPr>
        <w:pStyle w:val="Paragraph"/>
      </w:pPr>
      <w:r>
        <w:t>T</w:t>
      </w:r>
      <w:r w:rsidR="00316A39">
        <w:t>he Tribunal understands that</w:t>
      </w:r>
      <w:r w:rsidR="002A0CA6">
        <w:t xml:space="preserve"> employers in the broader</w:t>
      </w:r>
      <w:r w:rsidR="00316A39">
        <w:t xml:space="preserve"> Victorian</w:t>
      </w:r>
      <w:r w:rsidR="002A0CA6">
        <w:t xml:space="preserve"> private and public sector may provide employees with </w:t>
      </w:r>
      <w:r w:rsidR="00B92014">
        <w:t>other</w:t>
      </w:r>
      <w:r w:rsidR="002A0CA6">
        <w:t xml:space="preserve"> options for structuring their total remuneration package (e.g. </w:t>
      </w:r>
      <w:r w:rsidR="00B92014">
        <w:t xml:space="preserve">superannuation contributions </w:t>
      </w:r>
      <w:r w:rsidR="00316A39">
        <w:t xml:space="preserve">that would exceed the concessional contributions cap are </w:t>
      </w:r>
      <w:r w:rsidR="00B92014">
        <w:t xml:space="preserve">instead paid to the employee as salary). </w:t>
      </w:r>
    </w:p>
    <w:p w14:paraId="74E059B9" w14:textId="069DF0C7" w:rsidR="00EA49DB" w:rsidRDefault="002A0CA6">
      <w:pPr>
        <w:pStyle w:val="VIRTHeading3"/>
      </w:pPr>
      <w:bookmarkStart w:id="25" w:name="_Toc40777653"/>
      <w:r>
        <w:t xml:space="preserve">Effect of </w:t>
      </w:r>
      <w:r w:rsidR="00E336B4" w:rsidRPr="0039354E">
        <w:t>superannuation balance limits</w:t>
      </w:r>
      <w:r>
        <w:t xml:space="preserve"> on members of the defined benefit schemes</w:t>
      </w:r>
      <w:bookmarkEnd w:id="25"/>
    </w:p>
    <w:p w14:paraId="5DDF153A" w14:textId="2BAB61C7" w:rsidR="005B243C" w:rsidRDefault="005B243C" w:rsidP="00AC4BD5">
      <w:pPr>
        <w:pStyle w:val="Paragraph"/>
      </w:pPr>
      <w:r>
        <w:t>Under the PSAS Act, MPs in the defined benefit schemes are required to make non-concessional contributions to the PCSF (although MPs who have served more than 20.5 years are only required to make contributions if they receive an additional salary). MPs do not have the option of reducing their contribution rate or making contributions on a concessional (i.e. before</w:t>
      </w:r>
      <w:r w:rsidR="00BC6ABB">
        <w:t>-</w:t>
      </w:r>
      <w:r>
        <w:t>tax) basis.</w:t>
      </w:r>
    </w:p>
    <w:p w14:paraId="523E3832" w14:textId="6B9A93F8" w:rsidR="002A0CA6" w:rsidRDefault="002A0CA6" w:rsidP="00AC4BD5">
      <w:pPr>
        <w:pStyle w:val="Paragraph"/>
      </w:pPr>
      <w:r>
        <w:t>The Commonwealth has introduced a cap on the non-concessional contributions that can be made each year. The non-concessional contributions cap for the 201</w:t>
      </w:r>
      <w:r w:rsidR="002026CF">
        <w:t>9</w:t>
      </w:r>
      <w:r w:rsidR="0079602E">
        <w:t>-</w:t>
      </w:r>
      <w:r w:rsidR="002026CF">
        <w:t>20</w:t>
      </w:r>
      <w:r>
        <w:t xml:space="preserve"> financial year is $100,000. ‘Bring forward’ arrangements may apply to some individuals, which allow them to have a combined cap for up to a </w:t>
      </w:r>
      <w:r w:rsidR="0018467C">
        <w:br/>
        <w:t>3</w:t>
      </w:r>
      <w:r>
        <w:t>-year period.</w:t>
      </w:r>
    </w:p>
    <w:p w14:paraId="37FEC61C" w14:textId="78BFF051" w:rsidR="002A0CA6" w:rsidRDefault="002A0CA6" w:rsidP="00AC4BD5">
      <w:pPr>
        <w:pStyle w:val="Paragraph"/>
      </w:pPr>
      <w:r>
        <w:t>If a person exceeds the non-concessional contributions cap, they are required to pay 47 per cent tax on their excess contributions.</w:t>
      </w:r>
      <w:r w:rsidR="00BC6ABB">
        <w:t xml:space="preserve"> Some</w:t>
      </w:r>
      <w:r>
        <w:t xml:space="preserve"> </w:t>
      </w:r>
      <w:r w:rsidR="00BC6ABB">
        <w:t>i</w:t>
      </w:r>
      <w:r>
        <w:t>ndividuals may be able to instead withdraw the excess contributions and any associated earnings. However, some defined benefit schemes may not allow members to make these withdrawals.</w:t>
      </w:r>
    </w:p>
    <w:p w14:paraId="4402E1E2" w14:textId="539D0418" w:rsidR="002A0CA6" w:rsidRDefault="00E23E77" w:rsidP="00AC4BD5">
      <w:pPr>
        <w:pStyle w:val="Paragraph"/>
      </w:pPr>
      <w:r>
        <w:t xml:space="preserve">In addition, if an individual’s total superannuation balance is equal to or greater than </w:t>
      </w:r>
      <w:r w:rsidR="0018467C">
        <w:t xml:space="preserve">the </w:t>
      </w:r>
      <w:r>
        <w:t>‘</w:t>
      </w:r>
      <w:r w:rsidR="0001101E">
        <w:t xml:space="preserve">general </w:t>
      </w:r>
      <w:r>
        <w:t xml:space="preserve">transfer balance cap’ set by the Commonwealth </w:t>
      </w:r>
      <w:r w:rsidR="002A0CA6">
        <w:t>($1.6 million for the 201</w:t>
      </w:r>
      <w:r w:rsidR="00463B6A">
        <w:t>9</w:t>
      </w:r>
      <w:r w:rsidR="0018467C">
        <w:t>-</w:t>
      </w:r>
      <w:r w:rsidR="00463B6A">
        <w:t>20</w:t>
      </w:r>
      <w:r w:rsidR="002A0CA6">
        <w:t xml:space="preserve"> financial year)</w:t>
      </w:r>
      <w:r w:rsidR="004578F7">
        <w:t>,</w:t>
      </w:r>
      <w:r>
        <w:t xml:space="preserve"> </w:t>
      </w:r>
      <w:r w:rsidR="002A0CA6">
        <w:t>their non-concessional contributions cap is reduced to zero.</w:t>
      </w:r>
    </w:p>
    <w:p w14:paraId="516ADF6F" w14:textId="01A78D09" w:rsidR="00E23E77" w:rsidRDefault="004578F7" w:rsidP="00AC4BD5">
      <w:pPr>
        <w:pStyle w:val="Paragraph"/>
      </w:pPr>
      <w:r>
        <w:t>As a result</w:t>
      </w:r>
      <w:r w:rsidR="00316A39">
        <w:t xml:space="preserve"> of these rules</w:t>
      </w:r>
      <w:r>
        <w:t xml:space="preserve">, </w:t>
      </w:r>
      <w:r w:rsidR="00E23E77">
        <w:t>MP</w:t>
      </w:r>
      <w:r>
        <w:t xml:space="preserve">s in the defined benefit schemes that have a </w:t>
      </w:r>
      <w:r w:rsidR="00E23E77">
        <w:t>total superannuation balance equal to or greater than the transfer balance cap may be required to pay additional tax equal to 47 per cent of the</w:t>
      </w:r>
      <w:r w:rsidR="00BC6ABB">
        <w:t>ir</w:t>
      </w:r>
      <w:r w:rsidR="00E23E77">
        <w:t xml:space="preserve"> contribution to the PCSF.</w:t>
      </w:r>
    </w:p>
    <w:p w14:paraId="71C8291F" w14:textId="41AA7527" w:rsidR="00712431" w:rsidRDefault="00150D44" w:rsidP="00AC4BD5">
      <w:pPr>
        <w:pStyle w:val="Paragraph"/>
      </w:pPr>
      <w:r>
        <w:t xml:space="preserve">The Tribunal </w:t>
      </w:r>
      <w:r w:rsidR="0009753D">
        <w:t>invites feedback on whether this is an issue that should</w:t>
      </w:r>
      <w:r w:rsidR="00FB3FA8">
        <w:t xml:space="preserve"> be </w:t>
      </w:r>
      <w:r w:rsidR="002026CF">
        <w:t>considered by the review</w:t>
      </w:r>
      <w:r w:rsidR="00FB3FA8">
        <w:t xml:space="preserve">. </w:t>
      </w:r>
      <w:r w:rsidR="000D2D92">
        <w:t>For example</w:t>
      </w:r>
      <w:r w:rsidR="00FB3FA8">
        <w:t xml:space="preserve">, the </w:t>
      </w:r>
      <w:r w:rsidR="00F039EF">
        <w:t xml:space="preserve">Tribunal seeks feedback on whether </w:t>
      </w:r>
      <w:r w:rsidR="008E0BC7">
        <w:t xml:space="preserve">the defined benefit schemes should be amended to </w:t>
      </w:r>
      <w:r w:rsidR="004C639F">
        <w:t xml:space="preserve">change how MPs </w:t>
      </w:r>
      <w:r w:rsidR="00C758D6">
        <w:t>who</w:t>
      </w:r>
      <w:r w:rsidR="00E30AAD">
        <w:t xml:space="preserve">se total superannuation balance is equal to </w:t>
      </w:r>
      <w:r w:rsidR="0001101E">
        <w:t xml:space="preserve">or greater than </w:t>
      </w:r>
      <w:r w:rsidR="00C758D6">
        <w:t>the</w:t>
      </w:r>
      <w:r w:rsidR="005C5768">
        <w:t xml:space="preserve"> general</w:t>
      </w:r>
      <w:r w:rsidR="00C758D6">
        <w:t xml:space="preserve"> </w:t>
      </w:r>
      <w:r w:rsidR="005A1126">
        <w:t xml:space="preserve">transfer balance </w:t>
      </w:r>
      <w:r w:rsidR="00C758D6">
        <w:t xml:space="preserve">cap </w:t>
      </w:r>
      <w:r w:rsidR="004C639F">
        <w:t xml:space="preserve">make contributions </w:t>
      </w:r>
      <w:r w:rsidR="00024E85">
        <w:t>to the PCSF</w:t>
      </w:r>
      <w:r w:rsidR="009D3E50">
        <w:t>.</w:t>
      </w:r>
    </w:p>
    <w:p w14:paraId="3E784927" w14:textId="77777777" w:rsidR="00712431" w:rsidRDefault="00712431">
      <w:pPr>
        <w:rPr>
          <w:rFonts w:ascii="Calibri Light" w:eastAsiaTheme="minorEastAsia" w:hAnsi="Calibri Light" w:cs="Arial"/>
          <w:color w:val="4D4D4D" w:themeColor="accent6"/>
          <w:sz w:val="26"/>
          <w:szCs w:val="20"/>
        </w:rPr>
      </w:pPr>
      <w:r>
        <w:br w:type="page"/>
      </w:r>
    </w:p>
    <w:p w14:paraId="55D66FAB" w14:textId="50AE5A75" w:rsidR="00B46A8B" w:rsidRDefault="00B46A8B" w:rsidP="002026CF">
      <w:pPr>
        <w:pStyle w:val="VIRTHeading2"/>
        <w:numPr>
          <w:ilvl w:val="0"/>
          <w:numId w:val="0"/>
        </w:numPr>
      </w:pPr>
      <w:bookmarkStart w:id="26" w:name="_Toc40777654"/>
      <w:r>
        <w:t>References</w:t>
      </w:r>
      <w:bookmarkEnd w:id="26"/>
    </w:p>
    <w:p w14:paraId="27F6FB8F" w14:textId="4903861D" w:rsidR="00B055EA" w:rsidRDefault="00563D3F" w:rsidP="00563D3F">
      <w:pPr>
        <w:pStyle w:val="VIRTHeading3"/>
      </w:pPr>
      <w:bookmarkStart w:id="27" w:name="_Toc40451948"/>
      <w:bookmarkStart w:id="28" w:name="_Toc40777655"/>
      <w:r>
        <w:t>Legislation</w:t>
      </w:r>
      <w:bookmarkEnd w:id="27"/>
      <w:bookmarkEnd w:id="28"/>
    </w:p>
    <w:p w14:paraId="650AA0F1" w14:textId="77777777" w:rsidR="00563D3F" w:rsidRDefault="00563D3F" w:rsidP="00AC4BD5">
      <w:pPr>
        <w:pStyle w:val="Paragraph"/>
      </w:pPr>
      <w:r w:rsidRPr="007C609A">
        <w:rPr>
          <w:i/>
          <w:iCs/>
        </w:rPr>
        <w:t>Constitution Act 1975</w:t>
      </w:r>
      <w:r>
        <w:t xml:space="preserve"> (Vic).</w:t>
      </w:r>
    </w:p>
    <w:p w14:paraId="1F7FED39" w14:textId="63CD21E1" w:rsidR="00563D3F" w:rsidRPr="00563D3F" w:rsidRDefault="00563D3F" w:rsidP="00AC4BD5">
      <w:pPr>
        <w:pStyle w:val="Paragraph"/>
      </w:pPr>
      <w:r w:rsidRPr="007C609A">
        <w:rPr>
          <w:i/>
          <w:iCs/>
        </w:rPr>
        <w:t>County Court Act 1958</w:t>
      </w:r>
      <w:r w:rsidRPr="00563D3F">
        <w:t xml:space="preserve"> (Vic).</w:t>
      </w:r>
    </w:p>
    <w:p w14:paraId="59C63DBC" w14:textId="77777777" w:rsidR="00E76BF8" w:rsidRDefault="00E76BF8" w:rsidP="00AC4BD5">
      <w:pPr>
        <w:pStyle w:val="Paragraph"/>
      </w:pPr>
      <w:r w:rsidRPr="007C609A">
        <w:rPr>
          <w:i/>
          <w:iCs/>
        </w:rPr>
        <w:t>Legislative Assembly (Members’ Superannuation) Act 1991</w:t>
      </w:r>
      <w:r w:rsidRPr="00AF540F">
        <w:t xml:space="preserve"> (ACT).</w:t>
      </w:r>
    </w:p>
    <w:p w14:paraId="253B313C" w14:textId="77777777" w:rsidR="00E76BF8" w:rsidRPr="00B20E7B" w:rsidRDefault="00E76BF8" w:rsidP="00AC4BD5">
      <w:pPr>
        <w:pStyle w:val="Paragraph"/>
      </w:pPr>
      <w:r w:rsidRPr="007C609A">
        <w:rPr>
          <w:i/>
          <w:iCs/>
        </w:rPr>
        <w:t>Legislative Assembly Members’ Superannuation Contributions Act 2004</w:t>
      </w:r>
      <w:r w:rsidRPr="00AF540F">
        <w:t xml:space="preserve"> (NT)</w:t>
      </w:r>
      <w:r>
        <w:t>.</w:t>
      </w:r>
    </w:p>
    <w:p w14:paraId="6ADC9FC3" w14:textId="77777777" w:rsidR="00E76BF8" w:rsidRPr="004375E4" w:rsidRDefault="00E76BF8" w:rsidP="00AC4BD5">
      <w:pPr>
        <w:pStyle w:val="Paragraph"/>
      </w:pPr>
      <w:r w:rsidRPr="007C609A">
        <w:rPr>
          <w:i/>
          <w:iCs/>
        </w:rPr>
        <w:t>Magistrates’ Court Act 1989</w:t>
      </w:r>
      <w:r>
        <w:t xml:space="preserve"> (Vic).</w:t>
      </w:r>
    </w:p>
    <w:p w14:paraId="2CE9FB4B" w14:textId="77777777" w:rsidR="00E76BF8" w:rsidRPr="006A20DC" w:rsidRDefault="00E76BF8" w:rsidP="00AC4BD5">
      <w:pPr>
        <w:pStyle w:val="Paragraph"/>
      </w:pPr>
      <w:r w:rsidRPr="007C609A">
        <w:rPr>
          <w:i/>
          <w:iCs/>
        </w:rPr>
        <w:t>Miscellaneous Acts (Omnibus Amendments) Act 1996</w:t>
      </w:r>
      <w:r>
        <w:t xml:space="preserve"> (Vic).</w:t>
      </w:r>
    </w:p>
    <w:p w14:paraId="275A450A" w14:textId="7151D0FC" w:rsidR="00E76BF8" w:rsidRDefault="00E76BF8" w:rsidP="00AC4BD5">
      <w:pPr>
        <w:pStyle w:val="Paragraph"/>
      </w:pPr>
      <w:r w:rsidRPr="007C609A">
        <w:rPr>
          <w:i/>
          <w:iCs/>
        </w:rPr>
        <w:t>Parliamentary Contributory Retirement Fund Act 194</w:t>
      </w:r>
      <w:r w:rsidR="0018467C" w:rsidRPr="007C609A">
        <w:rPr>
          <w:i/>
          <w:iCs/>
        </w:rPr>
        <w:t>6</w:t>
      </w:r>
      <w:r>
        <w:t xml:space="preserve"> (Vic).</w:t>
      </w:r>
    </w:p>
    <w:p w14:paraId="14E877AE" w14:textId="77777777" w:rsidR="0083403E" w:rsidRPr="00AF540F" w:rsidRDefault="0083403E" w:rsidP="00AC4BD5">
      <w:pPr>
        <w:pStyle w:val="Paragraph"/>
      </w:pPr>
      <w:r w:rsidRPr="007C609A">
        <w:rPr>
          <w:i/>
          <w:iCs/>
        </w:rPr>
        <w:t>Parliamentary Remuneration Act 1989</w:t>
      </w:r>
      <w:r w:rsidRPr="00AF540F">
        <w:t xml:space="preserve"> (NSW)</w:t>
      </w:r>
      <w:r>
        <w:t>.</w:t>
      </w:r>
    </w:p>
    <w:p w14:paraId="35440BE1" w14:textId="77777777" w:rsidR="0083403E" w:rsidRDefault="0083403E" w:rsidP="00AC4BD5">
      <w:pPr>
        <w:pStyle w:val="Paragraph"/>
      </w:pPr>
      <w:r w:rsidRPr="007C609A">
        <w:rPr>
          <w:i/>
          <w:iCs/>
        </w:rPr>
        <w:t>Parliamentary Salaries, Allowances and Superannuation Act 1968</w:t>
      </w:r>
      <w:r>
        <w:t xml:space="preserve"> (Vic).</w:t>
      </w:r>
    </w:p>
    <w:p w14:paraId="0E887D06" w14:textId="77777777" w:rsidR="0083403E" w:rsidRDefault="0083403E" w:rsidP="00AC4BD5">
      <w:pPr>
        <w:pStyle w:val="Paragraph"/>
      </w:pPr>
      <w:r w:rsidRPr="007C609A">
        <w:rPr>
          <w:i/>
          <w:iCs/>
        </w:rPr>
        <w:t>Parliamentary Salaries, Allowances and Superannuation Act 2012</w:t>
      </w:r>
      <w:r w:rsidRPr="00AF540F">
        <w:t xml:space="preserve"> (Tas</w:t>
      </w:r>
      <w:r>
        <w:t>).</w:t>
      </w:r>
    </w:p>
    <w:p w14:paraId="25311132" w14:textId="77777777" w:rsidR="0083403E" w:rsidRDefault="0083403E" w:rsidP="00AC4BD5">
      <w:pPr>
        <w:pStyle w:val="Paragraph"/>
      </w:pPr>
      <w:r w:rsidRPr="007C609A">
        <w:rPr>
          <w:i/>
          <w:iCs/>
        </w:rPr>
        <w:t>Parliamentary Superannuation Act 1970</w:t>
      </w:r>
      <w:r w:rsidRPr="00AF540F">
        <w:t xml:space="preserve"> (WA)</w:t>
      </w:r>
      <w:r>
        <w:t>.</w:t>
      </w:r>
    </w:p>
    <w:p w14:paraId="666D5F9D" w14:textId="77777777" w:rsidR="0083403E" w:rsidRDefault="0083403E" w:rsidP="00AC4BD5">
      <w:pPr>
        <w:pStyle w:val="Paragraph"/>
      </w:pPr>
      <w:r w:rsidRPr="007C609A">
        <w:rPr>
          <w:i/>
          <w:iCs/>
        </w:rPr>
        <w:t>Parliamentary Superannuation Act 1974</w:t>
      </w:r>
      <w:r w:rsidRPr="00AF540F">
        <w:t xml:space="preserve"> (SA)</w:t>
      </w:r>
      <w:r>
        <w:t>.</w:t>
      </w:r>
    </w:p>
    <w:p w14:paraId="6DC11B12" w14:textId="0CF9E992" w:rsidR="0083403E" w:rsidRDefault="0083403E" w:rsidP="00AC4BD5">
      <w:pPr>
        <w:pStyle w:val="Paragraph"/>
      </w:pPr>
      <w:r w:rsidRPr="007C609A">
        <w:rPr>
          <w:i/>
          <w:iCs/>
        </w:rPr>
        <w:t>Parliamentary Superannuation Act 2004</w:t>
      </w:r>
      <w:r w:rsidRPr="00AF540F">
        <w:t xml:space="preserve"> (Cth)</w:t>
      </w:r>
      <w:r>
        <w:t>.</w:t>
      </w:r>
    </w:p>
    <w:p w14:paraId="122847B7" w14:textId="77777777" w:rsidR="00471605" w:rsidRDefault="00471605" w:rsidP="00471605">
      <w:pPr>
        <w:pStyle w:val="VIRTHeading3"/>
      </w:pPr>
      <w:bookmarkStart w:id="29" w:name="_Toc40451949"/>
      <w:bookmarkStart w:id="30" w:name="_Toc40777656"/>
      <w:r>
        <w:t>Other references</w:t>
      </w:r>
      <w:bookmarkEnd w:id="29"/>
      <w:bookmarkEnd w:id="30"/>
    </w:p>
    <w:p w14:paraId="5035EA6C" w14:textId="205FEFC2" w:rsidR="00CB20B1" w:rsidRDefault="00CB20B1" w:rsidP="0038636E">
      <w:pPr>
        <w:pStyle w:val="Paragraph"/>
        <w:ind w:left="720" w:hanging="720"/>
      </w:pPr>
      <w:r w:rsidRPr="00823FD5">
        <w:t>Asher,</w:t>
      </w:r>
      <w:r>
        <w:t xml:space="preserve"> A.</w:t>
      </w:r>
      <w:r w:rsidRPr="00823FD5">
        <w:t xml:space="preserve"> ‘Equity in Retirement: Are All Australians Getting a Fair Deal?’</w:t>
      </w:r>
      <w:r>
        <w:t>.</w:t>
      </w:r>
      <w:r w:rsidRPr="00823FD5">
        <w:t xml:space="preserve"> </w:t>
      </w:r>
      <w:r w:rsidRPr="00823FD5">
        <w:rPr>
          <w:i/>
          <w:iCs/>
        </w:rPr>
        <w:t>The Economic and Labour Relations Review</w:t>
      </w:r>
      <w:r w:rsidRPr="00823FD5">
        <w:t xml:space="preserve"> 22, no. 3 (2011): 65-84</w:t>
      </w:r>
      <w:r w:rsidR="00873C8C">
        <w:t>.</w:t>
      </w:r>
    </w:p>
    <w:p w14:paraId="44D641CD" w14:textId="4792AC9F" w:rsidR="00CB20B1" w:rsidRDefault="00CB20B1" w:rsidP="0038636E">
      <w:pPr>
        <w:pStyle w:val="Paragraph"/>
        <w:ind w:left="720" w:hanging="720"/>
      </w:pPr>
      <w:r w:rsidRPr="00823FD5">
        <w:t>Clare,</w:t>
      </w:r>
      <w:r>
        <w:t xml:space="preserve"> R.</w:t>
      </w:r>
      <w:r w:rsidRPr="00823FD5">
        <w:t xml:space="preserve"> </w:t>
      </w:r>
      <w:r w:rsidRPr="00823FD5">
        <w:rPr>
          <w:i/>
          <w:iCs/>
        </w:rPr>
        <w:t>Equity and Retirement Income Provision in Australia</w:t>
      </w:r>
      <w:r>
        <w:t>.</w:t>
      </w:r>
      <w:r w:rsidRPr="00823FD5">
        <w:t xml:space="preserve"> Association of Superannuation Funds Australia</w:t>
      </w:r>
      <w:r w:rsidR="00843010">
        <w:t>:</w:t>
      </w:r>
      <w:r w:rsidR="00381D2B">
        <w:t xml:space="preserve"> </w:t>
      </w:r>
      <w:r w:rsidR="00AF7D1D">
        <w:t>Sydney</w:t>
      </w:r>
      <w:r w:rsidR="00843010">
        <w:t>,</w:t>
      </w:r>
      <w:r w:rsidRPr="00823FD5">
        <w:t xml:space="preserve"> 2001</w:t>
      </w:r>
      <w:r w:rsidR="00843010">
        <w:t>.</w:t>
      </w:r>
    </w:p>
    <w:p w14:paraId="05E6DFC3" w14:textId="44664B88" w:rsidR="00A05C04" w:rsidRDefault="00A05C04" w:rsidP="0038636E">
      <w:pPr>
        <w:pStyle w:val="Paragraph"/>
        <w:ind w:left="720" w:hanging="720"/>
      </w:pPr>
      <w:r w:rsidRPr="00AA1FDA">
        <w:t>Emergency Services and State Superannuation Board</w:t>
      </w:r>
      <w:r w:rsidR="0018467C">
        <w:t xml:space="preserve"> (ESSSuper).</w:t>
      </w:r>
      <w:r w:rsidRPr="00AA1FDA">
        <w:t xml:space="preserve"> </w:t>
      </w:r>
      <w:r w:rsidRPr="0038636E">
        <w:rPr>
          <w:i/>
          <w:iCs/>
        </w:rPr>
        <w:t>Parliamentary Contributory Superannuation Fund Member Handbook - New Benefits Scheme (Division 3)</w:t>
      </w:r>
      <w:r w:rsidR="0018467C">
        <w:t>. ESSSuper: Melbourne,</w:t>
      </w:r>
      <w:r w:rsidRPr="00AA1FDA">
        <w:t xml:space="preserve"> 2017</w:t>
      </w:r>
      <w:r>
        <w:t>.</w:t>
      </w:r>
    </w:p>
    <w:p w14:paraId="753F866E" w14:textId="4642A5FE" w:rsidR="00823FD5" w:rsidRDefault="00823FD5" w:rsidP="0038636E">
      <w:pPr>
        <w:pStyle w:val="Paragraph"/>
        <w:ind w:left="720" w:hanging="720"/>
      </w:pPr>
      <w:r w:rsidRPr="00823FD5">
        <w:t>Harrison,</w:t>
      </w:r>
      <w:r w:rsidR="00CB20B1">
        <w:t xml:space="preserve"> J.</w:t>
      </w:r>
      <w:r w:rsidRPr="00823FD5">
        <w:t xml:space="preserve"> ‘Assessing the Taxation of Superannuation in Terms of Horizontal and Vertical Equity’</w:t>
      </w:r>
      <w:r w:rsidR="00CB20B1">
        <w:t>.</w:t>
      </w:r>
      <w:r w:rsidRPr="00823FD5">
        <w:t xml:space="preserve"> </w:t>
      </w:r>
      <w:r w:rsidRPr="00823FD5">
        <w:rPr>
          <w:i/>
          <w:iCs/>
        </w:rPr>
        <w:t>Journal of the Australasian Tax Teachers Association</w:t>
      </w:r>
      <w:r w:rsidRPr="00823FD5">
        <w:t xml:space="preserve"> 13, no. 1 (2018): 114-151</w:t>
      </w:r>
      <w:r w:rsidR="00CB20B1">
        <w:t>.</w:t>
      </w:r>
      <w:r w:rsidRPr="00823FD5">
        <w:t xml:space="preserve"> </w:t>
      </w:r>
    </w:p>
    <w:p w14:paraId="4BD12161" w14:textId="236C8317" w:rsidR="008963D3" w:rsidRDefault="00CA4886" w:rsidP="0038636E">
      <w:pPr>
        <w:pStyle w:val="Paragraph"/>
        <w:ind w:left="720" w:hanging="720"/>
      </w:pPr>
      <w:r>
        <w:t>Hazell, M</w:t>
      </w:r>
      <w:r w:rsidR="00974705">
        <w:t xml:space="preserve">. </w:t>
      </w:r>
      <w:r w:rsidR="00974705" w:rsidRPr="0038636E">
        <w:rPr>
          <w:i/>
          <w:iCs/>
        </w:rPr>
        <w:t>Independent Review of Victorian MPs’ Salary Entitlements, Allowance and Other Arrangements</w:t>
      </w:r>
      <w:r w:rsidR="00311858" w:rsidRPr="00311858">
        <w:t xml:space="preserve">. </w:t>
      </w:r>
      <w:r w:rsidR="00D6701A">
        <w:t>Report prepared for the Department of Premier and Cabinet. Victoria</w:t>
      </w:r>
      <w:r w:rsidR="00974705" w:rsidRPr="00311858">
        <w:t>, 2013</w:t>
      </w:r>
      <w:r w:rsidR="00E33685">
        <w:t>.</w:t>
      </w:r>
    </w:p>
    <w:p w14:paraId="74706D75" w14:textId="1A9D7B61" w:rsidR="00147BB4" w:rsidRDefault="00147BB4" w:rsidP="0038636E">
      <w:pPr>
        <w:pStyle w:val="Paragraph"/>
        <w:ind w:left="720" w:hanging="720"/>
      </w:pPr>
      <w:r w:rsidRPr="00147BB4">
        <w:t xml:space="preserve">Parliament of Queensland. </w:t>
      </w:r>
      <w:r w:rsidRPr="00147BB4">
        <w:rPr>
          <w:i/>
          <w:iCs/>
        </w:rPr>
        <w:t>Members</w:t>
      </w:r>
      <w:r w:rsidR="00F46F8D" w:rsidRPr="00C52BBA">
        <w:rPr>
          <w:i/>
          <w:iCs/>
        </w:rPr>
        <w:t>’</w:t>
      </w:r>
      <w:r w:rsidRPr="00147BB4">
        <w:rPr>
          <w:i/>
          <w:iCs/>
        </w:rPr>
        <w:t xml:space="preserve"> Remuneration Handbook</w:t>
      </w:r>
      <w:r w:rsidRPr="00147BB4">
        <w:t>. Parliament of</w:t>
      </w:r>
      <w:r w:rsidR="002C61D8">
        <w:t xml:space="preserve"> </w:t>
      </w:r>
      <w:r w:rsidRPr="00147BB4">
        <w:t xml:space="preserve">Queensland: Brisbane, </w:t>
      </w:r>
      <w:r w:rsidR="00C52BBA">
        <w:t>November</w:t>
      </w:r>
      <w:r w:rsidRPr="00147BB4">
        <w:t xml:space="preserve"> 201</w:t>
      </w:r>
      <w:r w:rsidR="00C52BBA">
        <w:t>9</w:t>
      </w:r>
      <w:r w:rsidRPr="00147BB4">
        <w:t xml:space="preserve">. Accessed </w:t>
      </w:r>
      <w:r w:rsidR="00C52BBA">
        <w:t>April 2020</w:t>
      </w:r>
      <w:r w:rsidRPr="00147BB4">
        <w:t>.</w:t>
      </w:r>
    </w:p>
    <w:p w14:paraId="7BD20DA5" w14:textId="67E189FC" w:rsidR="008E1457" w:rsidRDefault="008E1457" w:rsidP="0038636E">
      <w:pPr>
        <w:pStyle w:val="Paragraph"/>
        <w:ind w:left="720" w:hanging="720"/>
      </w:pPr>
      <w:r>
        <w:t xml:space="preserve">Victoria. </w:t>
      </w:r>
      <w:r w:rsidRPr="008E1457">
        <w:rPr>
          <w:i/>
          <w:iCs/>
        </w:rPr>
        <w:t>Parliamentary Debates</w:t>
      </w:r>
      <w:r>
        <w:t>. Legislative Council.</w:t>
      </w:r>
      <w:r w:rsidR="00D51B89">
        <w:t xml:space="preserve"> 3 November 2004.</w:t>
      </w:r>
    </w:p>
    <w:p w14:paraId="72C22670" w14:textId="414BF54D" w:rsidR="00D321F2" w:rsidRPr="00316A39" w:rsidRDefault="00D321F2" w:rsidP="00AC4BD5">
      <w:pPr>
        <w:pStyle w:val="Paragraph"/>
      </w:pPr>
    </w:p>
    <w:sectPr w:rsidR="00D321F2" w:rsidRPr="00316A39" w:rsidSect="003216B5">
      <w:headerReference w:type="even" r:id="rId17"/>
      <w:headerReference w:type="default" r:id="rId18"/>
      <w:footerReference w:type="even" r:id="rId19"/>
      <w:footerReference w:type="default" r:id="rId20"/>
      <w:headerReference w:type="first" r:id="rId21"/>
      <w:footerReference w:type="first" r:id="rId22"/>
      <w:type w:val="continuous"/>
      <w:pgSz w:w="11906" w:h="16838"/>
      <w:pgMar w:top="2127" w:right="1701" w:bottom="1559"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95A7E" w16cex:dateUtc="2020-05-03T04:58:00Z"/>
  <w16cex:commentExtensible w16cex:durableId="22596DCF" w16cex:dateUtc="2020-05-03T06:20:00Z"/>
  <w16cex:commentExtensible w16cex:durableId="22596E98" w16cex:dateUtc="2020-05-03T06:23:00Z"/>
  <w16cex:commentExtensible w16cex:durableId="22596EE4" w16cex:dateUtc="2020-05-03T06:25:00Z"/>
  <w16cex:commentExtensible w16cex:durableId="22596F99" w16cex:dateUtc="2020-05-03T06: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0FE8D" w14:textId="77777777" w:rsidR="00E2396D" w:rsidRDefault="00E2396D" w:rsidP="00B5328A">
      <w:pPr>
        <w:spacing w:after="0" w:line="240" w:lineRule="auto"/>
      </w:pPr>
      <w:r>
        <w:separator/>
      </w:r>
    </w:p>
    <w:p w14:paraId="7A124362" w14:textId="77777777" w:rsidR="00E2396D" w:rsidRDefault="00E2396D"/>
  </w:endnote>
  <w:endnote w:type="continuationSeparator" w:id="0">
    <w:p w14:paraId="5DA9451F" w14:textId="77777777" w:rsidR="00E2396D" w:rsidRDefault="00E2396D" w:rsidP="00B5328A">
      <w:pPr>
        <w:spacing w:after="0" w:line="240" w:lineRule="auto"/>
      </w:pPr>
      <w:r>
        <w:continuationSeparator/>
      </w:r>
    </w:p>
    <w:p w14:paraId="41CD9712" w14:textId="77777777" w:rsidR="00E2396D" w:rsidRDefault="00E2396D"/>
  </w:endnote>
  <w:endnote w:type="continuationNotice" w:id="1">
    <w:p w14:paraId="58985B1E" w14:textId="77777777" w:rsidR="00E2396D" w:rsidRDefault="00E2396D">
      <w:pPr>
        <w:spacing w:after="0" w:line="240" w:lineRule="auto"/>
      </w:pPr>
    </w:p>
    <w:p w14:paraId="67EC7EF7" w14:textId="77777777" w:rsidR="00E2396D" w:rsidRDefault="00E239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Rockwell">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Light">
    <w:altName w:val="Calibri Light"/>
    <w:panose1 w:val="00000000000000000000"/>
    <w:charset w:val="00"/>
    <w:family w:val="swiss"/>
    <w:notTrueType/>
    <w:pitch w:val="default"/>
    <w:sig w:usb0="00000003" w:usb1="00000000" w:usb2="00000000" w:usb3="00000000" w:csb0="00000001" w:csb1="00000000"/>
  </w:font>
  <w:font w:name="Calibri-Light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1FA41" w14:textId="77777777" w:rsidR="00567082" w:rsidRDefault="00567082">
    <w:pPr>
      <w:spacing w:after="0" w:line="240" w:lineRule="auto"/>
    </w:pPr>
  </w:p>
  <w:p w14:paraId="48B98DA7" w14:textId="77777777" w:rsidR="00567082" w:rsidRDefault="0056708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BE5F" w14:textId="2103A854" w:rsidR="00567082" w:rsidRDefault="00567082" w:rsidP="00B5328A">
    <w:pPr>
      <w:pStyle w:val="Footer"/>
      <w:jc w:val="center"/>
    </w:pPr>
    <w:r>
      <w:rPr>
        <w:noProof/>
        <w:lang w:val="en-US"/>
      </w:rPr>
      <mc:AlternateContent>
        <mc:Choice Requires="wps">
          <w:drawing>
            <wp:anchor distT="0" distB="0" distL="114300" distR="114300" simplePos="0" relativeHeight="251655168" behindDoc="0" locked="0" layoutInCell="0" allowOverlap="1" wp14:anchorId="28BDCDD9" wp14:editId="04CD05DE">
              <wp:simplePos x="0" y="0"/>
              <wp:positionH relativeFrom="page">
                <wp:posOffset>0</wp:posOffset>
              </wp:positionH>
              <wp:positionV relativeFrom="page">
                <wp:posOffset>10234930</wp:posOffset>
              </wp:positionV>
              <wp:extent cx="7560310" cy="266700"/>
              <wp:effectExtent l="0" t="0" r="0" b="0"/>
              <wp:wrapNone/>
              <wp:docPr id="1" name="MSIPCMcaf343a19528f7fb38603526"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3429EB8E" w14:textId="77777777" w:rsidR="00567082" w:rsidRPr="00B5328A" w:rsidRDefault="00567082" w:rsidP="00B5328A">
                          <w:pPr>
                            <w:spacing w:after="0"/>
                            <w:rPr>
                              <w:rFonts w:ascii="Calibri" w:hAnsi="Calibri" w:cs="Calibri"/>
                              <w:color w:val="000000"/>
                            </w:rPr>
                          </w:pPr>
                          <w:r w:rsidRPr="00B5328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8BDCDD9" id="_x0000_t202" coordsize="21600,21600" o:spt="202" path="m,l,21600r21600,l21600,xe">
              <v:stroke joinstyle="miter"/>
              <v:path gradientshapeok="t" o:connecttype="rect"/>
            </v:shapetype>
            <v:shape id="MSIPCMcaf343a19528f7fb38603526" o:spid="_x0000_s1026"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" o:allowincell="f" filled="f" stroked="f" strokeweight=".5pt">
              <v:textbox inset="20pt,0,,0">
                <w:txbxContent>
                  <w:p w14:paraId="3429EB8E" w14:textId="77777777" w:rsidR="00567082" w:rsidRPr="00B5328A" w:rsidRDefault="00567082" w:rsidP="00B5328A">
                    <w:pPr>
                      <w:spacing w:after="0"/>
                      <w:rPr>
                        <w:rFonts w:ascii="Calibri" w:hAnsi="Calibri" w:cs="Calibri"/>
                        <w:color w:val="000000"/>
                      </w:rPr>
                    </w:pPr>
                    <w:r w:rsidRPr="00B5328A">
                      <w:rPr>
                        <w:rFonts w:ascii="Calibri" w:hAnsi="Calibri" w:cs="Calibri"/>
                        <w:color w:val="000000"/>
                      </w:rPr>
                      <w:t>OFFICIAL</w:t>
                    </w:r>
                  </w:p>
                </w:txbxContent>
              </v:textbox>
              <w10:wrap anchorx="page" anchory="page"/>
            </v:shape>
          </w:pict>
        </mc:Fallback>
      </mc:AlternateContent>
    </w:r>
    <w:sdt>
      <w:sdtPr>
        <w:id w:val="-8306842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684A" w14:textId="77777777" w:rsidR="00567082" w:rsidRPr="00B5328A" w:rsidRDefault="00567082" w:rsidP="00B5328A">
    <w:pPr>
      <w:pStyle w:val="Footer"/>
      <w:jc w:val="center"/>
    </w:pPr>
    <w:r>
      <w:rPr>
        <w:noProof/>
        <w:lang w:val="en-US"/>
      </w:rPr>
      <mc:AlternateContent>
        <mc:Choice Requires="wps">
          <w:drawing>
            <wp:anchor distT="0" distB="0" distL="114300" distR="114300" simplePos="0" relativeHeight="251657216" behindDoc="0" locked="0" layoutInCell="0" allowOverlap="1" wp14:anchorId="4DCF1819" wp14:editId="2B32F74E">
              <wp:simplePos x="0" y="0"/>
              <wp:positionH relativeFrom="page">
                <wp:posOffset>0</wp:posOffset>
              </wp:positionH>
              <wp:positionV relativeFrom="page">
                <wp:posOffset>10234930</wp:posOffset>
              </wp:positionV>
              <wp:extent cx="7560310" cy="266700"/>
              <wp:effectExtent l="0" t="0" r="0" b="0"/>
              <wp:wrapNone/>
              <wp:docPr id="2" name="MSIPCMdd564fd694441b8d59bd572a" descr="{&quot;HashCode&quot;:-126760350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4178E24D" w14:textId="77777777" w:rsidR="00567082" w:rsidRPr="00B5328A" w:rsidRDefault="00567082" w:rsidP="00B5328A">
                          <w:pPr>
                            <w:spacing w:after="0"/>
                            <w:rPr>
                              <w:rFonts w:ascii="Calibri" w:hAnsi="Calibri" w:cs="Calibri"/>
                              <w:color w:val="000000"/>
                            </w:rPr>
                          </w:pPr>
                          <w:r w:rsidRPr="00B5328A">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CF1819" id="_x0000_t202" coordsize="21600,21600" o:spt="202" path="m,l,21600r21600,l21600,xe">
              <v:stroke joinstyle="miter"/>
              <v:path gradientshapeok="t" o:connecttype="rect"/>
            </v:shapetype>
            <v:shape id="MSIPCMdd564fd694441b8d59bd572a" o:spid="_x0000_s1027" type="#_x0000_t202" alt="{&quot;HashCode&quot;:-1267603503,&quot;Height&quot;:841.0,&quot;Width&quot;:595.0,&quot;Placement&quot;:&quot;Footer&quot;,&quot;Index&quot;:&quot;FirstPage&quot;,&quot;Section&quot;:1,&quot;Top&quot;:0.0,&quot;Left&quot;:0.0}" style="position:absolute;left:0;text-align:left;margin-left:0;margin-top:805.9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" o:allowincell="f" filled="f" stroked="f" strokeweight=".5pt">
              <v:textbox inset="20pt,0,,0">
                <w:txbxContent>
                  <w:p w14:paraId="4178E24D" w14:textId="77777777" w:rsidR="00567082" w:rsidRPr="00B5328A" w:rsidRDefault="00567082" w:rsidP="00B5328A">
                    <w:pPr>
                      <w:spacing w:after="0"/>
                      <w:rPr>
                        <w:rFonts w:ascii="Calibri" w:hAnsi="Calibri" w:cs="Calibri"/>
                        <w:color w:val="000000"/>
                      </w:rPr>
                    </w:pPr>
                    <w:r w:rsidRPr="00B5328A">
                      <w:rPr>
                        <w:rFonts w:ascii="Calibri" w:hAnsi="Calibri" w:cs="Calibri"/>
                        <w:color w:val="000000"/>
                      </w:rPr>
                      <w:t>OFFICIAL</w:t>
                    </w:r>
                  </w:p>
                </w:txbxContent>
              </v:textbox>
              <w10:wrap anchorx="page" anchory="page"/>
            </v:shape>
          </w:pict>
        </mc:Fallback>
      </mc:AlternateContent>
    </w:r>
    <w:sdt>
      <w:sdtPr>
        <w:id w:val="983277041"/>
        <w:docPartObj>
          <w:docPartGallery w:val="Page Numbers (Bottom of Page)"/>
          <w:docPartUnique/>
        </w:docPartObj>
      </w:sdtPr>
      <w:sdtEndPr>
        <w:rPr>
          <w:noProof/>
        </w:rPr>
      </w:sdtEndPr>
      <w:sdtContent>
        <w:r>
          <w:rPr>
            <w:rFonts w:cs="Times New Roman (Body CS)"/>
            <w:noProof/>
            <w:sz w:val="16"/>
            <w:lang w:val="en-US"/>
          </w:rPr>
          <w:drawing>
            <wp:anchor distT="0" distB="0" distL="114300" distR="114300" simplePos="0" relativeHeight="251653120" behindDoc="1" locked="0" layoutInCell="1" allowOverlap="1" wp14:anchorId="4A6CC72A" wp14:editId="5D463FB4">
              <wp:simplePos x="0" y="0"/>
              <wp:positionH relativeFrom="column">
                <wp:posOffset>5916706</wp:posOffset>
              </wp:positionH>
              <wp:positionV relativeFrom="paragraph">
                <wp:posOffset>-1667574</wp:posOffset>
              </wp:positionV>
              <wp:extent cx="548640" cy="2286000"/>
              <wp:effectExtent l="0" t="0" r="3810" b="0"/>
              <wp:wrapTight wrapText="bothSides">
                <wp:wrapPolygon edited="0">
                  <wp:start x="0" y="0"/>
                  <wp:lineTo x="0" y="21420"/>
                  <wp:lineTo x="21000" y="21420"/>
                  <wp:lineTo x="2100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2286000"/>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1</w:t>
        </w:r>
        <w:r>
          <w:rPr>
            <w:noProof/>
          </w:rPr>
          <w:fldChar w:fldCharType="end"/>
        </w:r>
      </w:sdtContent>
    </w:sdt>
  </w:p>
  <w:p w14:paraId="2DDDDFE7" w14:textId="77777777" w:rsidR="00567082" w:rsidRDefault="005670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3CD69" w14:textId="77777777" w:rsidR="00E2396D" w:rsidRDefault="00E2396D" w:rsidP="00B5328A">
      <w:pPr>
        <w:spacing w:after="0" w:line="240" w:lineRule="auto"/>
      </w:pPr>
      <w:r>
        <w:separator/>
      </w:r>
    </w:p>
  </w:footnote>
  <w:footnote w:type="continuationSeparator" w:id="0">
    <w:p w14:paraId="4E30C736" w14:textId="77777777" w:rsidR="00E2396D" w:rsidRDefault="00E2396D" w:rsidP="00B5328A">
      <w:pPr>
        <w:spacing w:after="0" w:line="240" w:lineRule="auto"/>
      </w:pPr>
      <w:r>
        <w:continuationSeparator/>
      </w:r>
    </w:p>
  </w:footnote>
  <w:footnote w:type="continuationNotice" w:id="1">
    <w:p w14:paraId="6BC01CCE" w14:textId="77777777" w:rsidR="00E2396D" w:rsidRPr="00761084" w:rsidRDefault="00E2396D" w:rsidP="00761084">
      <w:pPr>
        <w:pStyle w:val="Footer"/>
      </w:pPr>
    </w:p>
  </w:footnote>
  <w:footnote w:id="2">
    <w:p w14:paraId="625218D2" w14:textId="478447CA" w:rsidR="00567082" w:rsidRPr="00CF256F" w:rsidRDefault="00567082" w:rsidP="006E357E">
      <w:pPr>
        <w:pStyle w:val="FootnoteText"/>
        <w:rPr>
          <w:rFonts w:asciiTheme="majorHAnsi" w:hAnsiTheme="majorHAnsi" w:cstheme="majorHAnsi"/>
          <w:sz w:val="18"/>
          <w:szCs w:val="18"/>
        </w:rPr>
      </w:pPr>
      <w:r w:rsidRPr="00CF256F">
        <w:rPr>
          <w:rStyle w:val="FootnoteReference"/>
          <w:rFonts w:asciiTheme="majorHAnsi" w:hAnsiTheme="majorHAnsi" w:cstheme="majorHAnsi"/>
          <w:sz w:val="18"/>
          <w:szCs w:val="18"/>
        </w:rPr>
        <w:footnoteRef/>
      </w:r>
      <w:r w:rsidRPr="00CF256F">
        <w:rPr>
          <w:rFonts w:asciiTheme="majorHAnsi" w:hAnsiTheme="majorHAnsi" w:cstheme="majorHAnsi"/>
          <w:color w:val="4D4D4D"/>
          <w:sz w:val="18"/>
          <w:szCs w:val="18"/>
        </w:rPr>
        <w:t xml:space="preserve"> John Harrison, ‘Assessing the Taxation of Superannuation in Terms of Horizontal and Vertical Equity’, </w:t>
      </w:r>
      <w:r w:rsidRPr="00CF256F">
        <w:rPr>
          <w:rFonts w:asciiTheme="majorHAnsi" w:hAnsiTheme="majorHAnsi" w:cstheme="majorHAnsi"/>
          <w:i/>
          <w:iCs/>
          <w:color w:val="4D4D4D"/>
          <w:sz w:val="18"/>
          <w:szCs w:val="18"/>
        </w:rPr>
        <w:t>Journal of the Australasian Tax Teachers Association</w:t>
      </w:r>
      <w:r w:rsidRPr="00CF256F">
        <w:rPr>
          <w:rFonts w:asciiTheme="majorHAnsi" w:hAnsiTheme="majorHAnsi" w:cstheme="majorHAnsi"/>
          <w:color w:val="4D4D4D"/>
          <w:sz w:val="18"/>
          <w:szCs w:val="18"/>
        </w:rPr>
        <w:t xml:space="preserve"> 13, no. 1 (2018): 114-151; Anthony Asher, ‘Equity in Retirement: Are All Australians Getting a Fair Deal?’, </w:t>
      </w:r>
      <w:r w:rsidRPr="00CF256F">
        <w:rPr>
          <w:rFonts w:asciiTheme="majorHAnsi" w:hAnsiTheme="majorHAnsi" w:cstheme="majorHAnsi"/>
          <w:i/>
          <w:iCs/>
          <w:color w:val="4D4D4D"/>
          <w:sz w:val="18"/>
          <w:szCs w:val="18"/>
        </w:rPr>
        <w:t>The Economic and Labour Relations Review</w:t>
      </w:r>
      <w:r w:rsidRPr="00CF256F">
        <w:rPr>
          <w:rFonts w:asciiTheme="majorHAnsi" w:hAnsiTheme="majorHAnsi" w:cstheme="majorHAnsi"/>
          <w:color w:val="4D4D4D"/>
          <w:sz w:val="18"/>
          <w:szCs w:val="18"/>
        </w:rPr>
        <w:t xml:space="preserve"> 22, no. 3 (2011): 65-84; Ross Clare, </w:t>
      </w:r>
      <w:r w:rsidRPr="00CF256F">
        <w:rPr>
          <w:rFonts w:asciiTheme="majorHAnsi" w:hAnsiTheme="majorHAnsi" w:cstheme="majorHAnsi"/>
          <w:i/>
          <w:iCs/>
          <w:color w:val="4D4D4D"/>
          <w:sz w:val="18"/>
          <w:szCs w:val="18"/>
        </w:rPr>
        <w:t>Equity and Retirement Income Provision in Australia</w:t>
      </w:r>
      <w:r w:rsidRPr="00CF256F">
        <w:rPr>
          <w:rFonts w:asciiTheme="majorHAnsi" w:hAnsiTheme="majorHAnsi" w:cstheme="majorHAnsi"/>
          <w:color w:val="4D4D4D"/>
          <w:sz w:val="18"/>
          <w:szCs w:val="18"/>
        </w:rPr>
        <w:t xml:space="preserve"> (Association of Superannuation Funds Australia: Sydney, February 2001).</w:t>
      </w:r>
    </w:p>
  </w:footnote>
  <w:footnote w:id="3">
    <w:p w14:paraId="3F3424D5" w14:textId="7B608EF1" w:rsidR="00567082" w:rsidRPr="00CF256F" w:rsidRDefault="00567082">
      <w:pPr>
        <w:pStyle w:val="FootnoteText"/>
        <w:rPr>
          <w:rFonts w:asciiTheme="majorHAnsi" w:hAnsiTheme="majorHAnsi" w:cstheme="majorHAnsi"/>
          <w:sz w:val="18"/>
          <w:szCs w:val="18"/>
        </w:rPr>
      </w:pPr>
      <w:r w:rsidRPr="00CF256F">
        <w:rPr>
          <w:rStyle w:val="FootnoteReference"/>
          <w:rFonts w:asciiTheme="majorHAnsi" w:hAnsiTheme="majorHAnsi" w:cstheme="majorHAnsi"/>
          <w:sz w:val="18"/>
          <w:szCs w:val="18"/>
        </w:rPr>
        <w:footnoteRef/>
      </w:r>
      <w:r w:rsidRPr="00CF256F">
        <w:rPr>
          <w:rFonts w:asciiTheme="majorHAnsi" w:hAnsiTheme="majorHAnsi" w:cstheme="majorHAnsi"/>
          <w:color w:val="4D4D4D" w:themeColor="accent6"/>
          <w:sz w:val="18"/>
          <w:szCs w:val="18"/>
        </w:rPr>
        <w:t xml:space="preserve"> Exceptions are: (a) MPs who were in the Parliament in 1996 and elected to transfer into the New Benefits Scheme, and (b) MPs in defined benefit schemes who leave the Parliament and, upon returning, join the accumulation scheme.</w:t>
      </w:r>
    </w:p>
  </w:footnote>
  <w:footnote w:id="4">
    <w:p w14:paraId="6EB68B6E" w14:textId="13F164F3" w:rsidR="00567082" w:rsidRPr="00CF256F" w:rsidRDefault="00567082">
      <w:pPr>
        <w:pStyle w:val="FootnoteText"/>
        <w:rPr>
          <w:rFonts w:asciiTheme="majorHAnsi" w:hAnsiTheme="majorHAnsi" w:cstheme="majorHAnsi"/>
          <w:sz w:val="18"/>
          <w:szCs w:val="18"/>
        </w:rPr>
      </w:pPr>
      <w:r w:rsidRPr="00CF256F">
        <w:rPr>
          <w:rStyle w:val="FootnoteReference"/>
          <w:rFonts w:asciiTheme="majorHAnsi" w:hAnsiTheme="majorHAnsi" w:cstheme="majorHAnsi"/>
          <w:sz w:val="18"/>
          <w:szCs w:val="18"/>
        </w:rPr>
        <w:footnoteRef/>
      </w:r>
      <w:r w:rsidRPr="00CF256F">
        <w:rPr>
          <w:rFonts w:asciiTheme="majorHAnsi" w:hAnsiTheme="majorHAnsi" w:cstheme="majorHAnsi"/>
          <w:sz w:val="18"/>
          <w:szCs w:val="18"/>
        </w:rPr>
        <w:t xml:space="preserve"> </w:t>
      </w:r>
      <w:r w:rsidRPr="00CF256F">
        <w:rPr>
          <w:rFonts w:asciiTheme="majorHAnsi" w:hAnsiTheme="majorHAnsi" w:cstheme="majorHAnsi"/>
          <w:color w:val="4D4D4D" w:themeColor="accent6"/>
          <w:sz w:val="18"/>
          <w:szCs w:val="18"/>
        </w:rPr>
        <w:fldChar w:fldCharType="begin"/>
      </w:r>
      <w:r w:rsidRPr="00CF256F">
        <w:rPr>
          <w:rFonts w:asciiTheme="majorHAnsi" w:hAnsiTheme="majorHAnsi" w:cstheme="majorHAnsi"/>
          <w:color w:val="4D4D4D" w:themeColor="accent6"/>
          <w:sz w:val="18"/>
          <w:szCs w:val="18"/>
        </w:rPr>
        <w:instrText xml:space="preserve"> ADDIN ZOTERO_ITEM CSL_CITATION {"citationID":"KY94Hajs","properties":{"formattedCitation":"Emergency Services Superannuation Board, \\uc0\\u8216{}Parliamentary Contributory Superannuation Fund Member Handbook - New Benefits Scheme (Division 3)\\uc0\\u8217{}, 2017, 9.","plainCitation":"Emergency Services Superannuation Board, ‘Parliamentary Contributory Superannuation Fund Member Handbook - New Benefits Scheme (Division 3)’, 2017, 9.","noteIndex":3},"citationItems":[{"id":425,"uris":["http://zotero.org/groups/2355244/items/YBRVPYGW"],"uri":["http://zotero.org/groups/2355244/items/YBRVPYGW"],"itemData":{"id":425,"type":"article","title":"Parliamentary Contributory Superannuation Fund Member Handbook - New Benefits Scheme (Division 3)","author":[{"family":"Emergency Services Superannuation Board","given":""}],"issued":{"date-parts":[["2017"]]}},"locator":"9"}],"schema":"https://github.com/citation-style-language/schema/raw/master/csl-citation.json"} </w:instrText>
      </w:r>
      <w:r w:rsidRPr="00CF256F">
        <w:rPr>
          <w:rFonts w:asciiTheme="majorHAnsi" w:hAnsiTheme="majorHAnsi" w:cstheme="majorHAnsi"/>
          <w:color w:val="4D4D4D" w:themeColor="accent6"/>
          <w:sz w:val="18"/>
          <w:szCs w:val="18"/>
        </w:rPr>
        <w:fldChar w:fldCharType="separate"/>
      </w:r>
      <w:r w:rsidRPr="00CF256F">
        <w:rPr>
          <w:rFonts w:asciiTheme="majorHAnsi" w:hAnsiTheme="majorHAnsi" w:cstheme="majorHAnsi"/>
          <w:color w:val="4D4D4D" w:themeColor="accent6"/>
          <w:sz w:val="18"/>
          <w:szCs w:val="18"/>
        </w:rPr>
        <w:t xml:space="preserve">Emergency Services and State Superannuation Board, </w:t>
      </w:r>
      <w:r w:rsidRPr="00CF256F">
        <w:rPr>
          <w:rFonts w:asciiTheme="majorHAnsi" w:hAnsiTheme="majorHAnsi" w:cstheme="majorHAnsi"/>
          <w:i/>
          <w:iCs/>
          <w:color w:val="4D4D4D" w:themeColor="accent6"/>
          <w:sz w:val="18"/>
          <w:szCs w:val="18"/>
        </w:rPr>
        <w:t>Parliamentary Contributory Superannuation Fund Member Handbook - New Benefits Scheme (Division 3)</w:t>
      </w:r>
      <w:r w:rsidRPr="00CF256F">
        <w:rPr>
          <w:rFonts w:asciiTheme="majorHAnsi" w:hAnsiTheme="majorHAnsi" w:cstheme="majorHAnsi"/>
          <w:color w:val="4D4D4D" w:themeColor="accent6"/>
          <w:sz w:val="18"/>
          <w:szCs w:val="18"/>
        </w:rPr>
        <w:t xml:space="preserve"> (ESSSuper: Melbourne, 2017), 9.</w:t>
      </w:r>
      <w:r w:rsidRPr="00CF256F">
        <w:rPr>
          <w:rFonts w:asciiTheme="majorHAnsi" w:hAnsiTheme="majorHAnsi" w:cstheme="majorHAnsi"/>
          <w:color w:val="4D4D4D" w:themeColor="accent6"/>
          <w:sz w:val="18"/>
          <w:szCs w:val="18"/>
        </w:rPr>
        <w:fldChar w:fldCharType="end"/>
      </w:r>
    </w:p>
  </w:footnote>
  <w:footnote w:id="5">
    <w:p w14:paraId="3DCE718D" w14:textId="60F7C78D" w:rsidR="00567082" w:rsidRPr="00CF256F" w:rsidRDefault="00567082" w:rsidP="00B04B2F">
      <w:pPr>
        <w:pStyle w:val="FootnoteText"/>
        <w:rPr>
          <w:rFonts w:asciiTheme="majorHAnsi" w:hAnsiTheme="majorHAnsi" w:cstheme="majorHAnsi"/>
          <w:sz w:val="18"/>
          <w:szCs w:val="18"/>
        </w:rPr>
      </w:pPr>
      <w:r w:rsidRPr="00CF256F">
        <w:rPr>
          <w:rStyle w:val="FootnoteReference"/>
          <w:rFonts w:asciiTheme="majorHAnsi" w:hAnsiTheme="majorHAnsi" w:cstheme="majorHAnsi"/>
          <w:sz w:val="18"/>
          <w:szCs w:val="18"/>
        </w:rPr>
        <w:footnoteRef/>
      </w:r>
      <w:r w:rsidRPr="00CF256F">
        <w:rPr>
          <w:rFonts w:asciiTheme="majorHAnsi" w:hAnsiTheme="majorHAnsi" w:cstheme="majorHAnsi"/>
          <w:sz w:val="18"/>
          <w:szCs w:val="18"/>
        </w:rPr>
        <w:t xml:space="preserve"> </w:t>
      </w:r>
      <w:r w:rsidRPr="00CF256F">
        <w:rPr>
          <w:rFonts w:asciiTheme="majorHAnsi" w:hAnsiTheme="majorHAnsi" w:cstheme="majorHAnsi"/>
          <w:i/>
          <w:iCs/>
          <w:color w:val="4D4D4D" w:themeColor="accent6"/>
          <w:sz w:val="18"/>
          <w:szCs w:val="18"/>
        </w:rPr>
        <w:t>Parliamentary Contributory Retirement Fund Act 1946</w:t>
      </w:r>
      <w:r w:rsidRPr="00CF256F">
        <w:rPr>
          <w:rFonts w:asciiTheme="majorHAnsi" w:hAnsiTheme="majorHAnsi" w:cstheme="majorHAnsi"/>
          <w:color w:val="4D4D4D" w:themeColor="accent6"/>
          <w:sz w:val="18"/>
          <w:szCs w:val="18"/>
        </w:rPr>
        <w:t xml:space="preserve"> (Vic). For context, this was in the same year as New South Wales, but several years after Western Australia became the first state to do so in 1941. The Commonwealth did not introduce a superannuation scheme for its MPs until 1948.</w:t>
      </w:r>
    </w:p>
  </w:footnote>
  <w:footnote w:id="6">
    <w:p w14:paraId="5530811B" w14:textId="77777777" w:rsidR="00567082" w:rsidRPr="00FB5A9B" w:rsidRDefault="00567082" w:rsidP="009C76A4">
      <w:pPr>
        <w:pStyle w:val="FootnoteText"/>
        <w:rPr>
          <w:color w:val="4D4D4D" w:themeColor="accent6"/>
        </w:rPr>
      </w:pPr>
      <w:r w:rsidRPr="00CF256F">
        <w:rPr>
          <w:rStyle w:val="FootnoteReference"/>
          <w:rFonts w:asciiTheme="majorHAnsi" w:hAnsiTheme="majorHAnsi" w:cstheme="majorHAnsi"/>
          <w:sz w:val="18"/>
          <w:szCs w:val="18"/>
        </w:rPr>
        <w:footnoteRef/>
      </w:r>
      <w:r w:rsidRPr="00CF256F">
        <w:rPr>
          <w:rFonts w:asciiTheme="majorHAnsi" w:hAnsiTheme="majorHAnsi" w:cstheme="majorHAnsi"/>
          <w:sz w:val="18"/>
          <w:szCs w:val="18"/>
        </w:rPr>
        <w:t xml:space="preserve"> </w:t>
      </w:r>
      <w:r w:rsidRPr="00CF256F">
        <w:rPr>
          <w:rFonts w:asciiTheme="majorHAnsi" w:hAnsiTheme="majorHAnsi" w:cstheme="majorHAnsi"/>
          <w:i/>
          <w:iCs/>
          <w:color w:val="4D4D4D" w:themeColor="accent6"/>
          <w:sz w:val="18"/>
          <w:szCs w:val="18"/>
        </w:rPr>
        <w:t>Miscellaneous Acts (Omnibus Amendments) Act 1996</w:t>
      </w:r>
      <w:r w:rsidRPr="00CF256F">
        <w:rPr>
          <w:rFonts w:asciiTheme="majorHAnsi" w:hAnsiTheme="majorHAnsi" w:cstheme="majorHAnsi"/>
          <w:color w:val="4D4D4D" w:themeColor="accent6"/>
          <w:sz w:val="18"/>
          <w:szCs w:val="18"/>
        </w:rPr>
        <w:t xml:space="preserve"> (Vic), s28.</w:t>
      </w:r>
    </w:p>
  </w:footnote>
  <w:footnote w:id="7">
    <w:p w14:paraId="40D5BD1A" w14:textId="77777777" w:rsidR="00567082" w:rsidRPr="00CF256F" w:rsidRDefault="00567082" w:rsidP="005457E7">
      <w:pPr>
        <w:pStyle w:val="FootnoteText"/>
        <w:rPr>
          <w:rFonts w:asciiTheme="majorHAnsi" w:hAnsiTheme="majorHAnsi" w:cstheme="majorHAnsi"/>
          <w:sz w:val="18"/>
          <w:szCs w:val="18"/>
        </w:rPr>
      </w:pPr>
      <w:r w:rsidRPr="00CF256F">
        <w:rPr>
          <w:rStyle w:val="FootnoteReference"/>
          <w:rFonts w:asciiTheme="majorHAnsi" w:hAnsiTheme="majorHAnsi" w:cstheme="majorHAnsi"/>
          <w:sz w:val="18"/>
          <w:szCs w:val="18"/>
        </w:rPr>
        <w:footnoteRef/>
      </w:r>
      <w:r w:rsidRPr="00CF256F">
        <w:rPr>
          <w:rFonts w:asciiTheme="majorHAnsi" w:hAnsiTheme="majorHAnsi" w:cstheme="majorHAnsi"/>
          <w:color w:val="4D4D4D" w:themeColor="accent6"/>
          <w:sz w:val="18"/>
          <w:szCs w:val="18"/>
        </w:rPr>
        <w:t xml:space="preserve"> Victoria, </w:t>
      </w:r>
      <w:r w:rsidRPr="00CF256F">
        <w:rPr>
          <w:rFonts w:asciiTheme="majorHAnsi" w:hAnsiTheme="majorHAnsi" w:cstheme="majorHAnsi"/>
          <w:i/>
          <w:color w:val="4D4D4D" w:themeColor="accent6"/>
          <w:sz w:val="18"/>
          <w:szCs w:val="18"/>
        </w:rPr>
        <w:t>Parliamentary Debates</w:t>
      </w:r>
      <w:r w:rsidRPr="00CF256F">
        <w:rPr>
          <w:rFonts w:asciiTheme="majorHAnsi" w:hAnsiTheme="majorHAnsi" w:cstheme="majorHAnsi"/>
          <w:color w:val="4D4D4D" w:themeColor="accent6"/>
          <w:sz w:val="18"/>
          <w:szCs w:val="18"/>
        </w:rPr>
        <w:t>, Legislative Council, 3 November 2004, 1007 (John Lenders, Minister for Finance).</w:t>
      </w:r>
    </w:p>
  </w:footnote>
  <w:footnote w:id="8">
    <w:p w14:paraId="787C1E94" w14:textId="77777777" w:rsidR="00567082" w:rsidRPr="009D49E7" w:rsidRDefault="00567082" w:rsidP="0091552D">
      <w:pPr>
        <w:pStyle w:val="FootnoteText"/>
        <w:rPr>
          <w:color w:val="4D4D4D" w:themeColor="accent6"/>
        </w:rPr>
      </w:pPr>
      <w:r w:rsidRPr="00CF256F">
        <w:rPr>
          <w:rStyle w:val="FootnoteReference"/>
          <w:rFonts w:asciiTheme="majorHAnsi" w:hAnsiTheme="majorHAnsi" w:cstheme="majorHAnsi"/>
          <w:sz w:val="18"/>
          <w:szCs w:val="18"/>
        </w:rPr>
        <w:footnoteRef/>
      </w:r>
      <w:r w:rsidRPr="00CF256F">
        <w:rPr>
          <w:rFonts w:asciiTheme="majorHAnsi" w:hAnsiTheme="majorHAnsi" w:cstheme="majorHAnsi"/>
          <w:color w:val="4D4D4D" w:themeColor="accent6"/>
          <w:sz w:val="18"/>
          <w:szCs w:val="18"/>
        </w:rPr>
        <w:t xml:space="preserve"> PSAS Act, ss14A and 21A.</w:t>
      </w:r>
    </w:p>
  </w:footnote>
  <w:footnote w:id="9">
    <w:p w14:paraId="18567320" w14:textId="1BBE15E2" w:rsidR="00567082" w:rsidRPr="00CF256F" w:rsidRDefault="00567082">
      <w:pPr>
        <w:pStyle w:val="FootnoteText"/>
        <w:rPr>
          <w:rFonts w:asciiTheme="majorHAnsi" w:hAnsiTheme="majorHAnsi" w:cstheme="majorHAnsi"/>
          <w:sz w:val="18"/>
          <w:szCs w:val="18"/>
        </w:rPr>
      </w:pPr>
      <w:r w:rsidRPr="00CF256F">
        <w:rPr>
          <w:rStyle w:val="FootnoteReference"/>
          <w:rFonts w:asciiTheme="majorHAnsi" w:hAnsiTheme="majorHAnsi" w:cstheme="majorHAnsi"/>
          <w:sz w:val="18"/>
          <w:szCs w:val="18"/>
        </w:rPr>
        <w:footnoteRef/>
      </w:r>
      <w:r w:rsidRPr="00CF256F">
        <w:rPr>
          <w:rFonts w:asciiTheme="majorHAnsi" w:hAnsiTheme="majorHAnsi" w:cstheme="majorHAnsi"/>
          <w:sz w:val="18"/>
          <w:szCs w:val="18"/>
        </w:rPr>
        <w:t xml:space="preserve"> </w:t>
      </w:r>
      <w:r w:rsidRPr="00CF256F">
        <w:rPr>
          <w:rFonts w:asciiTheme="majorHAnsi" w:hAnsiTheme="majorHAnsi" w:cstheme="majorHAnsi"/>
          <w:color w:val="4D4D4D" w:themeColor="accent6"/>
          <w:sz w:val="18"/>
          <w:szCs w:val="18"/>
        </w:rPr>
        <w:t xml:space="preserve">Malcolm Hazell, </w:t>
      </w:r>
      <w:r w:rsidRPr="00CF256F">
        <w:rPr>
          <w:rFonts w:asciiTheme="majorHAnsi" w:hAnsiTheme="majorHAnsi" w:cstheme="majorHAnsi"/>
          <w:i/>
          <w:iCs/>
          <w:color w:val="4D4D4D" w:themeColor="accent6"/>
          <w:sz w:val="18"/>
          <w:szCs w:val="18"/>
        </w:rPr>
        <w:t>Independent Review of Victorian MPs’ Salary Entitlements, Allowance and Other Arrangements</w:t>
      </w:r>
      <w:r w:rsidRPr="00CF256F">
        <w:rPr>
          <w:rFonts w:asciiTheme="majorHAnsi" w:hAnsiTheme="majorHAnsi" w:cstheme="majorHAnsi"/>
          <w:color w:val="4D4D4D" w:themeColor="accent6"/>
          <w:sz w:val="18"/>
          <w:szCs w:val="18"/>
        </w:rPr>
        <w:t xml:space="preserve"> (Government of Victoria: Melbourne, 2013).</w:t>
      </w:r>
    </w:p>
  </w:footnote>
  <w:footnote w:id="10">
    <w:p w14:paraId="3AC126F1" w14:textId="4106F228" w:rsidR="00567082" w:rsidRPr="00CF256F" w:rsidRDefault="00567082" w:rsidP="002218E7">
      <w:pPr>
        <w:pStyle w:val="FootnoteText"/>
        <w:contextualSpacing/>
        <w:rPr>
          <w:rFonts w:asciiTheme="majorHAnsi" w:hAnsiTheme="majorHAnsi" w:cstheme="majorHAnsi"/>
          <w:sz w:val="18"/>
          <w:szCs w:val="18"/>
        </w:rPr>
      </w:pPr>
      <w:r w:rsidRPr="00CF256F">
        <w:rPr>
          <w:rStyle w:val="FootnoteReference"/>
          <w:rFonts w:asciiTheme="majorHAnsi" w:hAnsiTheme="majorHAnsi" w:cstheme="majorHAnsi"/>
          <w:color w:val="4D4D4D"/>
          <w:sz w:val="18"/>
          <w:szCs w:val="18"/>
        </w:rPr>
        <w:footnoteRef/>
      </w:r>
      <w:r w:rsidRPr="00CF256F">
        <w:rPr>
          <w:rFonts w:asciiTheme="majorHAnsi" w:hAnsiTheme="majorHAnsi" w:cstheme="majorHAnsi"/>
          <w:color w:val="4D4D4D"/>
          <w:sz w:val="18"/>
          <w:szCs w:val="18"/>
        </w:rPr>
        <w:t xml:space="preserve"> The proposed increase was justified on the basis that MPs do not accrue recreation or long-service leave. Malcolm Hazell noted that, for an MP in the accumulation scheme who has served for two terms, the increase in employer contributions would “provide a benefit roughly equivalent to the long-service and annual leave entitlements that other public officials may expect to accrue over the same period”. </w:t>
      </w:r>
      <w:bookmarkStart w:id="12" w:name="_Hlk40279395"/>
      <w:r w:rsidRPr="00CF256F">
        <w:rPr>
          <w:rFonts w:asciiTheme="majorHAnsi" w:hAnsiTheme="majorHAnsi" w:cstheme="majorHAnsi"/>
          <w:color w:val="4D4D4D"/>
          <w:sz w:val="18"/>
          <w:szCs w:val="18"/>
        </w:rPr>
        <w:t xml:space="preserve">Malcolm Hazell, </w:t>
      </w:r>
      <w:bookmarkStart w:id="13" w:name="_Hlk38376515"/>
      <w:r w:rsidRPr="00CF256F">
        <w:rPr>
          <w:rFonts w:asciiTheme="majorHAnsi" w:hAnsiTheme="majorHAnsi" w:cstheme="majorHAnsi"/>
          <w:i/>
          <w:iCs/>
          <w:color w:val="4D4D4D"/>
          <w:sz w:val="18"/>
          <w:szCs w:val="18"/>
        </w:rPr>
        <w:t>Independent Review of Victorian MPs’ Salary Entitlements, Allowance and Other Arrangements</w:t>
      </w:r>
      <w:r w:rsidRPr="00CF256F">
        <w:rPr>
          <w:rFonts w:asciiTheme="majorHAnsi" w:hAnsiTheme="majorHAnsi" w:cstheme="majorHAnsi"/>
          <w:color w:val="4D4D4D"/>
          <w:sz w:val="18"/>
          <w:szCs w:val="18"/>
        </w:rPr>
        <w:t xml:space="preserve">, </w:t>
      </w:r>
      <w:bookmarkEnd w:id="13"/>
      <w:r w:rsidRPr="00CF256F">
        <w:rPr>
          <w:rFonts w:asciiTheme="majorHAnsi" w:hAnsiTheme="majorHAnsi" w:cstheme="majorHAnsi"/>
          <w:color w:val="4D4D4D"/>
          <w:sz w:val="18"/>
          <w:szCs w:val="18"/>
        </w:rPr>
        <w:t>32.</w:t>
      </w:r>
      <w:bookmarkEnd w:id="12"/>
    </w:p>
  </w:footnote>
  <w:footnote w:id="11">
    <w:p w14:paraId="5B9D5CC3" w14:textId="7AC560CF" w:rsidR="00567082" w:rsidRPr="00CF256F" w:rsidRDefault="00567082" w:rsidP="0019426B">
      <w:pPr>
        <w:pStyle w:val="FootnoteText"/>
        <w:rPr>
          <w:rFonts w:asciiTheme="majorHAnsi" w:hAnsiTheme="majorHAnsi" w:cstheme="majorHAnsi"/>
          <w:sz w:val="18"/>
          <w:szCs w:val="18"/>
        </w:rPr>
      </w:pPr>
      <w:r w:rsidRPr="00CF256F">
        <w:rPr>
          <w:rStyle w:val="FootnoteReference"/>
          <w:rFonts w:asciiTheme="majorHAnsi" w:hAnsiTheme="majorHAnsi" w:cstheme="majorHAnsi"/>
          <w:color w:val="4D4D4D"/>
          <w:sz w:val="18"/>
          <w:szCs w:val="18"/>
        </w:rPr>
        <w:footnoteRef/>
      </w:r>
      <w:r w:rsidRPr="00CF256F">
        <w:rPr>
          <w:rFonts w:asciiTheme="majorHAnsi" w:hAnsiTheme="majorHAnsi" w:cstheme="majorHAnsi"/>
          <w:color w:val="4D4D4D"/>
          <w:sz w:val="18"/>
          <w:szCs w:val="18"/>
        </w:rPr>
        <w:t xml:space="preserve"> Malcolm Hazell, </w:t>
      </w:r>
      <w:r w:rsidRPr="00CF256F">
        <w:rPr>
          <w:rFonts w:asciiTheme="majorHAnsi" w:hAnsiTheme="majorHAnsi" w:cstheme="majorHAnsi"/>
          <w:i/>
          <w:iCs/>
          <w:color w:val="4D4D4D"/>
          <w:sz w:val="18"/>
          <w:szCs w:val="18"/>
        </w:rPr>
        <w:t>Independent Review of Victorian MPs’ Salary Entitlements, Allowance and Other Arrangements</w:t>
      </w:r>
      <w:r w:rsidRPr="00CF256F">
        <w:rPr>
          <w:rFonts w:asciiTheme="majorHAnsi" w:hAnsiTheme="majorHAnsi" w:cstheme="majorHAnsi"/>
          <w:color w:val="4D4D4D"/>
          <w:sz w:val="18"/>
          <w:szCs w:val="18"/>
        </w:rPr>
        <w:t>.</w:t>
      </w:r>
    </w:p>
  </w:footnote>
  <w:footnote w:id="12">
    <w:p w14:paraId="48511E50" w14:textId="3EEA1B2A" w:rsidR="00567082" w:rsidRPr="00CF256F" w:rsidRDefault="00567082">
      <w:pPr>
        <w:pStyle w:val="FootnoteText"/>
        <w:rPr>
          <w:rFonts w:asciiTheme="majorHAnsi" w:hAnsiTheme="majorHAnsi" w:cstheme="majorHAnsi"/>
          <w:sz w:val="18"/>
          <w:szCs w:val="18"/>
        </w:rPr>
      </w:pPr>
      <w:r w:rsidRPr="00CF256F">
        <w:rPr>
          <w:rStyle w:val="FootnoteReference"/>
          <w:rFonts w:asciiTheme="majorHAnsi" w:hAnsiTheme="majorHAnsi" w:cstheme="majorHAnsi"/>
          <w:color w:val="4D4D4D"/>
          <w:sz w:val="18"/>
          <w:szCs w:val="18"/>
        </w:rPr>
        <w:footnoteRef/>
      </w:r>
      <w:r w:rsidRPr="00CF256F">
        <w:rPr>
          <w:rFonts w:asciiTheme="majorHAnsi" w:hAnsiTheme="majorHAnsi" w:cstheme="majorHAnsi"/>
          <w:color w:val="4D4D4D"/>
          <w:sz w:val="18"/>
          <w:szCs w:val="18"/>
        </w:rPr>
        <w:t xml:space="preserve"> Children under the age of 18 (under the age of 25 in the case of a full-time student) are eligible for a pension upon the MP’s death. Children aged 18 or over who are not studying full time, but who have a disability as defined in the </w:t>
      </w:r>
      <w:r w:rsidRPr="00CF256F">
        <w:rPr>
          <w:rFonts w:asciiTheme="majorHAnsi" w:hAnsiTheme="majorHAnsi" w:cstheme="majorHAnsi"/>
          <w:i/>
          <w:iCs/>
          <w:color w:val="4D4D4D"/>
          <w:sz w:val="18"/>
          <w:szCs w:val="18"/>
        </w:rPr>
        <w:t>Disability Services Act 1986</w:t>
      </w:r>
      <w:r w:rsidRPr="00CF256F">
        <w:rPr>
          <w:rFonts w:asciiTheme="majorHAnsi" w:hAnsiTheme="majorHAnsi" w:cstheme="majorHAnsi"/>
          <w:color w:val="4D4D4D"/>
          <w:sz w:val="18"/>
          <w:szCs w:val="18"/>
        </w:rPr>
        <w:t xml:space="preserve"> (Cth) and who are wholly or partially dependent on the MP for financial support, are also eligible. </w:t>
      </w:r>
    </w:p>
  </w:footnote>
  <w:footnote w:id="13">
    <w:p w14:paraId="1E4DA17F" w14:textId="6D792998" w:rsidR="00567082" w:rsidRPr="00CF256F" w:rsidRDefault="00567082">
      <w:pPr>
        <w:pStyle w:val="FootnoteText"/>
        <w:rPr>
          <w:rFonts w:asciiTheme="majorHAnsi" w:hAnsiTheme="majorHAnsi" w:cstheme="majorHAnsi"/>
          <w:sz w:val="18"/>
          <w:szCs w:val="18"/>
        </w:rPr>
      </w:pPr>
      <w:r w:rsidRPr="00CF256F">
        <w:rPr>
          <w:rStyle w:val="FootnoteReference"/>
          <w:rFonts w:asciiTheme="majorHAnsi" w:hAnsiTheme="majorHAnsi" w:cstheme="majorHAnsi"/>
          <w:sz w:val="18"/>
          <w:szCs w:val="18"/>
        </w:rPr>
        <w:footnoteRef/>
      </w:r>
      <w:r w:rsidRPr="00CF256F">
        <w:rPr>
          <w:rFonts w:asciiTheme="majorHAnsi" w:hAnsiTheme="majorHAnsi" w:cstheme="majorHAnsi"/>
          <w:sz w:val="18"/>
          <w:szCs w:val="18"/>
        </w:rPr>
        <w:t xml:space="preserve"> </w:t>
      </w:r>
      <w:r w:rsidRPr="00CF256F">
        <w:rPr>
          <w:rFonts w:asciiTheme="majorHAnsi" w:hAnsiTheme="majorHAnsi" w:cstheme="majorHAnsi"/>
          <w:color w:val="4D4D4D" w:themeColor="accent6"/>
          <w:sz w:val="18"/>
          <w:szCs w:val="18"/>
        </w:rPr>
        <w:t>Victoria Police, Metropolitan Fire and Emergency Services, Ambulance Victoria, Country Fire Authority, Department of Environment, Land, Water and Planning (certain positions).</w:t>
      </w:r>
    </w:p>
  </w:footnote>
  <w:footnote w:id="14">
    <w:p w14:paraId="6B6E9058" w14:textId="462DEFB4" w:rsidR="00567082" w:rsidRDefault="00567082">
      <w:pPr>
        <w:pStyle w:val="FootnoteText"/>
      </w:pPr>
      <w:r w:rsidRPr="00CF256F">
        <w:rPr>
          <w:rStyle w:val="FootnoteReference"/>
          <w:rFonts w:asciiTheme="majorHAnsi" w:hAnsiTheme="majorHAnsi" w:cstheme="majorHAnsi"/>
          <w:color w:val="4D4D4D" w:themeColor="accent6"/>
          <w:sz w:val="18"/>
          <w:szCs w:val="18"/>
        </w:rPr>
        <w:footnoteRef/>
      </w:r>
      <w:r w:rsidRPr="00CF256F">
        <w:rPr>
          <w:rFonts w:asciiTheme="majorHAnsi" w:hAnsiTheme="majorHAnsi" w:cstheme="majorHAnsi"/>
          <w:color w:val="4D4D4D" w:themeColor="accent6"/>
          <w:sz w:val="18"/>
          <w:szCs w:val="18"/>
        </w:rPr>
        <w:t xml:space="preserve"> </w:t>
      </w:r>
      <w:r w:rsidRPr="00CF256F">
        <w:rPr>
          <w:rFonts w:asciiTheme="majorHAnsi" w:hAnsiTheme="majorHAnsi" w:cstheme="majorHAnsi"/>
          <w:i/>
          <w:iCs/>
          <w:color w:val="4D4D4D" w:themeColor="accent6"/>
          <w:sz w:val="18"/>
          <w:szCs w:val="18"/>
        </w:rPr>
        <w:t>Constitution Act 1975</w:t>
      </w:r>
      <w:r w:rsidRPr="00CF256F">
        <w:rPr>
          <w:rFonts w:asciiTheme="majorHAnsi" w:hAnsiTheme="majorHAnsi" w:cstheme="majorHAnsi"/>
          <w:color w:val="4D4D4D" w:themeColor="accent6"/>
          <w:sz w:val="18"/>
          <w:szCs w:val="18"/>
        </w:rPr>
        <w:t xml:space="preserve"> (Vic), s83; </w:t>
      </w:r>
      <w:r w:rsidRPr="00CF256F">
        <w:rPr>
          <w:rFonts w:asciiTheme="majorHAnsi" w:hAnsiTheme="majorHAnsi" w:cstheme="majorHAnsi"/>
          <w:i/>
          <w:iCs/>
          <w:color w:val="4D4D4D" w:themeColor="accent6"/>
          <w:sz w:val="18"/>
          <w:szCs w:val="18"/>
        </w:rPr>
        <w:t>County Court Act 1958</w:t>
      </w:r>
      <w:r w:rsidRPr="00CF256F">
        <w:rPr>
          <w:rFonts w:asciiTheme="majorHAnsi" w:hAnsiTheme="majorHAnsi" w:cstheme="majorHAnsi"/>
          <w:color w:val="4D4D4D" w:themeColor="accent6"/>
          <w:sz w:val="18"/>
          <w:szCs w:val="18"/>
        </w:rPr>
        <w:t xml:space="preserve"> (Vic), s14;</w:t>
      </w:r>
      <w:r w:rsidRPr="00CF256F">
        <w:rPr>
          <w:rFonts w:asciiTheme="majorHAnsi" w:hAnsiTheme="majorHAnsi" w:cstheme="majorHAnsi"/>
          <w:i/>
          <w:iCs/>
          <w:color w:val="4D4D4D" w:themeColor="accent6"/>
          <w:sz w:val="18"/>
          <w:szCs w:val="18"/>
        </w:rPr>
        <w:t xml:space="preserve"> Magistrates’ Court Act 1989</w:t>
      </w:r>
      <w:r w:rsidRPr="00CF256F">
        <w:rPr>
          <w:rFonts w:asciiTheme="majorHAnsi" w:hAnsiTheme="majorHAnsi" w:cstheme="majorHAnsi"/>
          <w:color w:val="4D4D4D" w:themeColor="accent6"/>
          <w:sz w:val="18"/>
          <w:szCs w:val="18"/>
        </w:rPr>
        <w:t xml:space="preserve"> (Vic), s10A.</w:t>
      </w:r>
      <w:r w:rsidRPr="003E3A11">
        <w:rPr>
          <w:color w:val="4D4D4D" w:themeColor="accent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7AFB3" w14:textId="49008C60" w:rsidR="00567082" w:rsidRDefault="00567082">
    <w:pPr>
      <w:spacing w:after="0" w:line="240" w:lineRule="auto"/>
    </w:pPr>
  </w:p>
  <w:p w14:paraId="19D14758" w14:textId="77777777" w:rsidR="00567082" w:rsidRDefault="0056708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0293" w14:textId="35161BA3" w:rsidR="00567082" w:rsidRDefault="00567082">
    <w:pPr>
      <w:spacing w:after="0" w:line="240" w:lineRule="auto"/>
    </w:pPr>
    <w:r w:rsidRPr="00333B58">
      <w:rPr>
        <w:noProof/>
        <w:lang w:val="en-US"/>
      </w:rPr>
      <w:drawing>
        <wp:anchor distT="0" distB="0" distL="114300" distR="114300" simplePos="0" relativeHeight="251663360" behindDoc="0" locked="0" layoutInCell="1" allowOverlap="1" wp14:anchorId="1B46744F" wp14:editId="2372ADC7">
          <wp:simplePos x="0" y="0"/>
          <wp:positionH relativeFrom="column">
            <wp:posOffset>-425553</wp:posOffset>
          </wp:positionH>
          <wp:positionV relativeFrom="page">
            <wp:posOffset>395382</wp:posOffset>
          </wp:positionV>
          <wp:extent cx="846306" cy="70741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 Logo CMYK Reversed.eps"/>
                  <pic:cNvPicPr/>
                </pic:nvPicPr>
                <pic:blipFill>
                  <a:blip r:embed="rId1">
                    <a:extLst>
                      <a:ext uri="{28A0092B-C50C-407E-A947-70E740481C1C}">
                        <a14:useLocalDpi xmlns:a14="http://schemas.microsoft.com/office/drawing/2010/main" val="0"/>
                      </a:ext>
                    </a:extLst>
                  </a:blip>
                  <a:stretch>
                    <a:fillRect/>
                  </a:stretch>
                </pic:blipFill>
                <pic:spPr>
                  <a:xfrm>
                    <a:off x="0" y="0"/>
                    <a:ext cx="846306" cy="707410"/>
                  </a:xfrm>
                  <a:prstGeom prst="rect">
                    <a:avLst/>
                  </a:prstGeom>
                </pic:spPr>
              </pic:pic>
            </a:graphicData>
          </a:graphic>
          <wp14:sizeRelH relativeFrom="margin">
            <wp14:pctWidth>0</wp14:pctWidth>
          </wp14:sizeRelH>
          <wp14:sizeRelV relativeFrom="margin">
            <wp14:pctHeight>0</wp14:pctHeight>
          </wp14:sizeRelV>
        </wp:anchor>
      </w:drawing>
    </w:r>
    <w:r w:rsidRPr="00333B58">
      <w:rPr>
        <w:noProof/>
        <w:lang w:val="en-US"/>
      </w:rPr>
      <mc:AlternateContent>
        <mc:Choice Requires="wps">
          <w:drawing>
            <wp:anchor distT="0" distB="0" distL="114300" distR="114300" simplePos="0" relativeHeight="251659264" behindDoc="1" locked="0" layoutInCell="1" allowOverlap="1" wp14:anchorId="11EA6076" wp14:editId="01817EC4">
              <wp:simplePos x="0" y="0"/>
              <wp:positionH relativeFrom="page">
                <wp:posOffset>-1905</wp:posOffset>
              </wp:positionH>
              <wp:positionV relativeFrom="page">
                <wp:posOffset>289886</wp:posOffset>
              </wp:positionV>
              <wp:extent cx="7560310" cy="885190"/>
              <wp:effectExtent l="3175"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885190"/>
                      </a:xfrm>
                      <a:prstGeom prst="rect">
                        <a:avLst/>
                      </a:prstGeom>
                      <a:solidFill>
                        <a:srgbClr val="4B4B4B"/>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685AC" id="Rectangle 17" o:spid="_x0000_s1026" style="position:absolute;margin-left:-.15pt;margin-top:22.85pt;width:595.3pt;height:6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" fillcolor="#4b4b4b" stroked="f">
              <v:textbox inset=",7.2pt,,7.2pt"/>
              <w10:wrap anchorx="page" anchory="page"/>
            </v:rect>
          </w:pict>
        </mc:Fallback>
      </mc:AlternateContent>
    </w:r>
    <w:r w:rsidRPr="00333B58">
      <w:rPr>
        <w:noProof/>
        <w:lang w:val="en-US"/>
      </w:rPr>
      <w:drawing>
        <wp:anchor distT="0" distB="0" distL="114300" distR="114300" simplePos="0" relativeHeight="251661312" behindDoc="0" locked="0" layoutInCell="1" allowOverlap="1" wp14:anchorId="33B72312" wp14:editId="5FE8E604">
          <wp:simplePos x="0" y="0"/>
          <wp:positionH relativeFrom="page">
            <wp:posOffset>4353560</wp:posOffset>
          </wp:positionH>
          <wp:positionV relativeFrom="page">
            <wp:posOffset>296237</wp:posOffset>
          </wp:positionV>
          <wp:extent cx="3205480" cy="875030"/>
          <wp:effectExtent l="0" t="0" r="0" b="1270"/>
          <wp:wrapNone/>
          <wp:docPr id="8" name="Picture 8" descr="VIRT_ColourBar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_ColourBars_top.png"/>
                  <pic:cNvPicPr/>
                </pic:nvPicPr>
                <pic:blipFill rotWithShape="1">
                  <a:blip r:embed="rId2">
                    <a:alphaModFix/>
                  </a:blip>
                  <a:srcRect b="37968"/>
                  <a:stretch/>
                </pic:blipFill>
                <pic:spPr bwMode="auto">
                  <a:xfrm>
                    <a:off x="0" y="0"/>
                    <a:ext cx="3205480" cy="87503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V relativeFrom="margin">
            <wp14:pctHeight>0</wp14:pctHeight>
          </wp14:sizeRelV>
        </wp:anchor>
      </w:drawing>
    </w:r>
  </w:p>
  <w:p w14:paraId="7CEB9682" w14:textId="77777777" w:rsidR="00567082" w:rsidRDefault="005670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2F046" w14:textId="77777777" w:rsidR="00567082" w:rsidRDefault="00567082">
    <w:pPr>
      <w:pStyle w:val="Header"/>
    </w:pPr>
  </w:p>
  <w:p w14:paraId="5089CA67" w14:textId="77777777" w:rsidR="00567082" w:rsidRDefault="005670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342"/>
    <w:multiLevelType w:val="hybridMultilevel"/>
    <w:tmpl w:val="73A60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2D29BD"/>
    <w:multiLevelType w:val="hybridMultilevel"/>
    <w:tmpl w:val="E668A85A"/>
    <w:lvl w:ilvl="0" w:tplc="1ED63E64">
      <w:start w:val="1"/>
      <w:numFmt w:val="decimal"/>
      <w:pStyle w:val="VIRTHeading2"/>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9A42AE"/>
    <w:multiLevelType w:val="hybridMultilevel"/>
    <w:tmpl w:val="3742588C"/>
    <w:lvl w:ilvl="0" w:tplc="47B8F1F0">
      <w:start w:val="1"/>
      <w:numFmt w:val="bullet"/>
      <w:pStyle w:val="VIRTBulletpoints"/>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3C100D"/>
    <w:multiLevelType w:val="hybridMultilevel"/>
    <w:tmpl w:val="CAC2EFF8"/>
    <w:lvl w:ilvl="0" w:tplc="B8F2D0DC">
      <w:start w:val="1"/>
      <w:numFmt w:val="bullet"/>
      <w:pStyle w:val="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8533D8A"/>
    <w:multiLevelType w:val="hybridMultilevel"/>
    <w:tmpl w:val="352AF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585553"/>
    <w:multiLevelType w:val="hybridMultilevel"/>
    <w:tmpl w:val="1640F8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566E71"/>
    <w:multiLevelType w:val="hybridMultilevel"/>
    <w:tmpl w:val="89A4CB8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9414030"/>
    <w:multiLevelType w:val="hybridMultilevel"/>
    <w:tmpl w:val="16564896"/>
    <w:lvl w:ilvl="0" w:tplc="240AFF62">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35413AD"/>
    <w:multiLevelType w:val="hybridMultilevel"/>
    <w:tmpl w:val="E9B2121C"/>
    <w:lvl w:ilvl="0" w:tplc="FEEC4582">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9" w15:restartNumberingAfterBreak="0">
    <w:nsid w:val="5F5A3CEB"/>
    <w:multiLevelType w:val="hybridMultilevel"/>
    <w:tmpl w:val="972268AA"/>
    <w:lvl w:ilvl="0" w:tplc="052CB3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0B96F27"/>
    <w:multiLevelType w:val="hybridMultilevel"/>
    <w:tmpl w:val="072A4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C9273A8"/>
    <w:multiLevelType w:val="hybridMultilevel"/>
    <w:tmpl w:val="A600BC1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8911643"/>
    <w:multiLevelType w:val="hybridMultilevel"/>
    <w:tmpl w:val="A41669A6"/>
    <w:lvl w:ilvl="0" w:tplc="61544BF6">
      <w:start w:val="1"/>
      <w:numFmt w:val="bullet"/>
      <w:lvlText w:val=""/>
      <w:lvlJc w:val="left"/>
      <w:pPr>
        <w:ind w:left="428" w:hanging="360"/>
      </w:pPr>
      <w:rPr>
        <w:rFonts w:ascii="Symbol" w:hAnsi="Symbol" w:hint="default"/>
      </w:rPr>
    </w:lvl>
    <w:lvl w:ilvl="1" w:tplc="04090003">
      <w:start w:val="1"/>
      <w:numFmt w:val="bullet"/>
      <w:lvlText w:val="o"/>
      <w:lvlJc w:val="left"/>
      <w:pPr>
        <w:ind w:left="1148" w:hanging="360"/>
      </w:pPr>
      <w:rPr>
        <w:rFonts w:ascii="Courier New" w:hAnsi="Courier New" w:cs="Courier New" w:hint="default"/>
      </w:rPr>
    </w:lvl>
    <w:lvl w:ilvl="2" w:tplc="04090005">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num w:numId="1">
    <w:abstractNumId w:val="12"/>
  </w:num>
  <w:num w:numId="2">
    <w:abstractNumId w:val="1"/>
  </w:num>
  <w:num w:numId="3">
    <w:abstractNumId w:val="10"/>
  </w:num>
  <w:num w:numId="4">
    <w:abstractNumId w:val="4"/>
  </w:num>
  <w:num w:numId="5">
    <w:abstractNumId w:val="2"/>
  </w:num>
  <w:num w:numId="6">
    <w:abstractNumId w:val="0"/>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6"/>
  </w:num>
  <w:num w:numId="22">
    <w:abstractNumId w:val="1"/>
  </w:num>
  <w:num w:numId="23">
    <w:abstractNumId w:val="1"/>
  </w:num>
  <w:num w:numId="24">
    <w:abstractNumId w:val="2"/>
  </w:num>
  <w:num w:numId="25">
    <w:abstractNumId w:val="2"/>
  </w:num>
  <w:num w:numId="26">
    <w:abstractNumId w:val="2"/>
  </w:num>
  <w:num w:numId="27">
    <w:abstractNumId w:val="7"/>
  </w:num>
  <w:num w:numId="28">
    <w:abstractNumId w:val="11"/>
  </w:num>
  <w:num w:numId="29">
    <w:abstractNumId w:val="12"/>
  </w:num>
  <w:num w:numId="30">
    <w:abstractNumId w:val="9"/>
  </w:num>
  <w:num w:numId="31">
    <w:abstractNumId w:val="5"/>
  </w:num>
  <w:num w:numId="32">
    <w:abstractNumId w:val="1"/>
  </w:num>
  <w:num w:numId="33">
    <w:abstractNumId w:val="2"/>
  </w:num>
  <w:num w:numId="34">
    <w:abstractNumId w:val="1"/>
  </w:num>
  <w:num w:numId="35">
    <w:abstractNumId w:val="1"/>
  </w:num>
  <w:num w:numId="36">
    <w:abstractNumId w:val="1"/>
  </w:num>
  <w:num w:numId="37">
    <w:abstractNumId w:val="8"/>
  </w:num>
  <w:num w:numId="38">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ocumentProtection w:edit="readOnly" w:formatting="1" w:enforcement="1" w:cryptProviderType="rsaAES" w:cryptAlgorithmClass="hash" w:cryptAlgorithmType="typeAny" w:cryptAlgorithmSid="14" w:cryptSpinCount="100000" w:hash="TlEM5wgNCEuSOJzmncNoBZsueeHQLccP3Vr+jOb8vJ7n7Jo3QZz1lRKpxke+0pc7jBJp94FitXY/E5O+Nr+bVQ==" w:salt="96qSiKgBOGcLlmKeStxzJQ=="/>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84E"/>
    <w:rsid w:val="0000001B"/>
    <w:rsid w:val="000005C8"/>
    <w:rsid w:val="00000664"/>
    <w:rsid w:val="0000066E"/>
    <w:rsid w:val="00000874"/>
    <w:rsid w:val="00000FFF"/>
    <w:rsid w:val="00001102"/>
    <w:rsid w:val="000013D6"/>
    <w:rsid w:val="000016B2"/>
    <w:rsid w:val="000019BB"/>
    <w:rsid w:val="00002843"/>
    <w:rsid w:val="000029B3"/>
    <w:rsid w:val="00002A25"/>
    <w:rsid w:val="00002B04"/>
    <w:rsid w:val="000031F0"/>
    <w:rsid w:val="00003294"/>
    <w:rsid w:val="0000397A"/>
    <w:rsid w:val="00003E5D"/>
    <w:rsid w:val="00004184"/>
    <w:rsid w:val="00004909"/>
    <w:rsid w:val="00004DC2"/>
    <w:rsid w:val="00004EB0"/>
    <w:rsid w:val="00004EEF"/>
    <w:rsid w:val="000059C2"/>
    <w:rsid w:val="00006129"/>
    <w:rsid w:val="000065BF"/>
    <w:rsid w:val="000067F1"/>
    <w:rsid w:val="00006E9D"/>
    <w:rsid w:val="00006FBE"/>
    <w:rsid w:val="0000747E"/>
    <w:rsid w:val="000074FF"/>
    <w:rsid w:val="000077F4"/>
    <w:rsid w:val="00010167"/>
    <w:rsid w:val="00011016"/>
    <w:rsid w:val="0001101E"/>
    <w:rsid w:val="00011170"/>
    <w:rsid w:val="0001166A"/>
    <w:rsid w:val="00012F9D"/>
    <w:rsid w:val="0001391C"/>
    <w:rsid w:val="00014068"/>
    <w:rsid w:val="00014436"/>
    <w:rsid w:val="00014DB3"/>
    <w:rsid w:val="0001531F"/>
    <w:rsid w:val="00015577"/>
    <w:rsid w:val="000172F4"/>
    <w:rsid w:val="0001779B"/>
    <w:rsid w:val="00020036"/>
    <w:rsid w:val="0002008E"/>
    <w:rsid w:val="000201B7"/>
    <w:rsid w:val="00020382"/>
    <w:rsid w:val="0002075C"/>
    <w:rsid w:val="0002090F"/>
    <w:rsid w:val="000209D1"/>
    <w:rsid w:val="00020C98"/>
    <w:rsid w:val="00020CFF"/>
    <w:rsid w:val="00020FC6"/>
    <w:rsid w:val="00021463"/>
    <w:rsid w:val="0002150A"/>
    <w:rsid w:val="00021B0D"/>
    <w:rsid w:val="00021C78"/>
    <w:rsid w:val="00022273"/>
    <w:rsid w:val="00022504"/>
    <w:rsid w:val="00022A0C"/>
    <w:rsid w:val="00022DFA"/>
    <w:rsid w:val="00022FF5"/>
    <w:rsid w:val="00023B4C"/>
    <w:rsid w:val="000240F9"/>
    <w:rsid w:val="00024340"/>
    <w:rsid w:val="0002453B"/>
    <w:rsid w:val="00024E85"/>
    <w:rsid w:val="000250E3"/>
    <w:rsid w:val="00025267"/>
    <w:rsid w:val="00025F38"/>
    <w:rsid w:val="000262A3"/>
    <w:rsid w:val="00026A21"/>
    <w:rsid w:val="00026F6D"/>
    <w:rsid w:val="000278DE"/>
    <w:rsid w:val="00027EF4"/>
    <w:rsid w:val="0003022D"/>
    <w:rsid w:val="000302FB"/>
    <w:rsid w:val="00030401"/>
    <w:rsid w:val="000304CE"/>
    <w:rsid w:val="0003053F"/>
    <w:rsid w:val="00030774"/>
    <w:rsid w:val="000307F4"/>
    <w:rsid w:val="00030989"/>
    <w:rsid w:val="000309F0"/>
    <w:rsid w:val="00030AF3"/>
    <w:rsid w:val="000311D2"/>
    <w:rsid w:val="000313BD"/>
    <w:rsid w:val="000319AB"/>
    <w:rsid w:val="00031DE1"/>
    <w:rsid w:val="0003253C"/>
    <w:rsid w:val="00032948"/>
    <w:rsid w:val="0003358A"/>
    <w:rsid w:val="00033755"/>
    <w:rsid w:val="00033AD8"/>
    <w:rsid w:val="00033D73"/>
    <w:rsid w:val="0003413B"/>
    <w:rsid w:val="00034180"/>
    <w:rsid w:val="000342BD"/>
    <w:rsid w:val="00034DB8"/>
    <w:rsid w:val="00035048"/>
    <w:rsid w:val="0003571C"/>
    <w:rsid w:val="00035908"/>
    <w:rsid w:val="00035A8A"/>
    <w:rsid w:val="00035D62"/>
    <w:rsid w:val="000370A7"/>
    <w:rsid w:val="000374B9"/>
    <w:rsid w:val="000376A2"/>
    <w:rsid w:val="00037C65"/>
    <w:rsid w:val="000400BB"/>
    <w:rsid w:val="0004062D"/>
    <w:rsid w:val="00040CA0"/>
    <w:rsid w:val="00040DAE"/>
    <w:rsid w:val="00041742"/>
    <w:rsid w:val="000417DE"/>
    <w:rsid w:val="00041C49"/>
    <w:rsid w:val="0004299E"/>
    <w:rsid w:val="00042C98"/>
    <w:rsid w:val="0004477E"/>
    <w:rsid w:val="000449B0"/>
    <w:rsid w:val="00044E9A"/>
    <w:rsid w:val="0004503E"/>
    <w:rsid w:val="000458AB"/>
    <w:rsid w:val="00046C40"/>
    <w:rsid w:val="00046EF1"/>
    <w:rsid w:val="000473A0"/>
    <w:rsid w:val="000478F2"/>
    <w:rsid w:val="000478FF"/>
    <w:rsid w:val="00047D53"/>
    <w:rsid w:val="000505B3"/>
    <w:rsid w:val="000509F2"/>
    <w:rsid w:val="00050CA1"/>
    <w:rsid w:val="0005114F"/>
    <w:rsid w:val="0005277F"/>
    <w:rsid w:val="00052A7E"/>
    <w:rsid w:val="00052B00"/>
    <w:rsid w:val="00052C1F"/>
    <w:rsid w:val="000534A5"/>
    <w:rsid w:val="00055D96"/>
    <w:rsid w:val="00055F57"/>
    <w:rsid w:val="00056011"/>
    <w:rsid w:val="0005611A"/>
    <w:rsid w:val="000604F6"/>
    <w:rsid w:val="0006172D"/>
    <w:rsid w:val="0006182C"/>
    <w:rsid w:val="00061A87"/>
    <w:rsid w:val="00061D2D"/>
    <w:rsid w:val="00062A87"/>
    <w:rsid w:val="000632EE"/>
    <w:rsid w:val="00063943"/>
    <w:rsid w:val="0006514C"/>
    <w:rsid w:val="00065243"/>
    <w:rsid w:val="0006525B"/>
    <w:rsid w:val="000656FB"/>
    <w:rsid w:val="00065880"/>
    <w:rsid w:val="00065D80"/>
    <w:rsid w:val="00065F14"/>
    <w:rsid w:val="000661E8"/>
    <w:rsid w:val="0006695A"/>
    <w:rsid w:val="000672A3"/>
    <w:rsid w:val="000673B0"/>
    <w:rsid w:val="00070EBD"/>
    <w:rsid w:val="00071030"/>
    <w:rsid w:val="000715FA"/>
    <w:rsid w:val="00071616"/>
    <w:rsid w:val="000726FA"/>
    <w:rsid w:val="00072B4A"/>
    <w:rsid w:val="00072C30"/>
    <w:rsid w:val="000730EC"/>
    <w:rsid w:val="000731AD"/>
    <w:rsid w:val="00073219"/>
    <w:rsid w:val="00073283"/>
    <w:rsid w:val="0007351E"/>
    <w:rsid w:val="00073524"/>
    <w:rsid w:val="00073740"/>
    <w:rsid w:val="00073878"/>
    <w:rsid w:val="0007387F"/>
    <w:rsid w:val="000738E2"/>
    <w:rsid w:val="00074541"/>
    <w:rsid w:val="000745A2"/>
    <w:rsid w:val="0007465F"/>
    <w:rsid w:val="000748A4"/>
    <w:rsid w:val="00074BF9"/>
    <w:rsid w:val="00075615"/>
    <w:rsid w:val="00075679"/>
    <w:rsid w:val="00076129"/>
    <w:rsid w:val="00076176"/>
    <w:rsid w:val="000762FB"/>
    <w:rsid w:val="00076A37"/>
    <w:rsid w:val="00076E69"/>
    <w:rsid w:val="000770C6"/>
    <w:rsid w:val="0007730E"/>
    <w:rsid w:val="00077563"/>
    <w:rsid w:val="00077661"/>
    <w:rsid w:val="00080214"/>
    <w:rsid w:val="0008042E"/>
    <w:rsid w:val="00080939"/>
    <w:rsid w:val="0008101F"/>
    <w:rsid w:val="00081965"/>
    <w:rsid w:val="00081B2D"/>
    <w:rsid w:val="00081BC7"/>
    <w:rsid w:val="00081BEE"/>
    <w:rsid w:val="000828CC"/>
    <w:rsid w:val="00082BD6"/>
    <w:rsid w:val="00082D55"/>
    <w:rsid w:val="00082F22"/>
    <w:rsid w:val="00082F81"/>
    <w:rsid w:val="000830C4"/>
    <w:rsid w:val="000831CC"/>
    <w:rsid w:val="00083256"/>
    <w:rsid w:val="000834DB"/>
    <w:rsid w:val="00083BA2"/>
    <w:rsid w:val="00083CAE"/>
    <w:rsid w:val="00084516"/>
    <w:rsid w:val="000847C1"/>
    <w:rsid w:val="00084B73"/>
    <w:rsid w:val="00084C6F"/>
    <w:rsid w:val="00084D8C"/>
    <w:rsid w:val="00084FA2"/>
    <w:rsid w:val="00084FF1"/>
    <w:rsid w:val="00085375"/>
    <w:rsid w:val="00085F1C"/>
    <w:rsid w:val="00086F2D"/>
    <w:rsid w:val="00086FC9"/>
    <w:rsid w:val="00087123"/>
    <w:rsid w:val="000874AA"/>
    <w:rsid w:val="00087765"/>
    <w:rsid w:val="00090210"/>
    <w:rsid w:val="00090386"/>
    <w:rsid w:val="00090B96"/>
    <w:rsid w:val="0009126E"/>
    <w:rsid w:val="00091491"/>
    <w:rsid w:val="0009155E"/>
    <w:rsid w:val="0009194A"/>
    <w:rsid w:val="00091ED7"/>
    <w:rsid w:val="00091EE8"/>
    <w:rsid w:val="00092FC8"/>
    <w:rsid w:val="00093320"/>
    <w:rsid w:val="0009364F"/>
    <w:rsid w:val="0009382B"/>
    <w:rsid w:val="000948E3"/>
    <w:rsid w:val="00094929"/>
    <w:rsid w:val="00094D0C"/>
    <w:rsid w:val="000965A1"/>
    <w:rsid w:val="00096619"/>
    <w:rsid w:val="00096731"/>
    <w:rsid w:val="000967D6"/>
    <w:rsid w:val="0009719B"/>
    <w:rsid w:val="00097312"/>
    <w:rsid w:val="0009753D"/>
    <w:rsid w:val="000975F6"/>
    <w:rsid w:val="000A044C"/>
    <w:rsid w:val="000A07BA"/>
    <w:rsid w:val="000A0A06"/>
    <w:rsid w:val="000A13A1"/>
    <w:rsid w:val="000A1C3C"/>
    <w:rsid w:val="000A2100"/>
    <w:rsid w:val="000A2377"/>
    <w:rsid w:val="000A284B"/>
    <w:rsid w:val="000A3108"/>
    <w:rsid w:val="000A3F64"/>
    <w:rsid w:val="000A483B"/>
    <w:rsid w:val="000A488D"/>
    <w:rsid w:val="000A4BE8"/>
    <w:rsid w:val="000A4D02"/>
    <w:rsid w:val="000A553C"/>
    <w:rsid w:val="000A5A96"/>
    <w:rsid w:val="000A5F1D"/>
    <w:rsid w:val="000A5FF0"/>
    <w:rsid w:val="000A6185"/>
    <w:rsid w:val="000A6530"/>
    <w:rsid w:val="000A738D"/>
    <w:rsid w:val="000A73C1"/>
    <w:rsid w:val="000A76F2"/>
    <w:rsid w:val="000B023F"/>
    <w:rsid w:val="000B1101"/>
    <w:rsid w:val="000B1241"/>
    <w:rsid w:val="000B15A0"/>
    <w:rsid w:val="000B1888"/>
    <w:rsid w:val="000B1BA1"/>
    <w:rsid w:val="000B1E0B"/>
    <w:rsid w:val="000B1F75"/>
    <w:rsid w:val="000B20E5"/>
    <w:rsid w:val="000B22B5"/>
    <w:rsid w:val="000B272E"/>
    <w:rsid w:val="000B3A05"/>
    <w:rsid w:val="000B3B63"/>
    <w:rsid w:val="000B3E8B"/>
    <w:rsid w:val="000B3E97"/>
    <w:rsid w:val="000B400A"/>
    <w:rsid w:val="000B4FF0"/>
    <w:rsid w:val="000B5603"/>
    <w:rsid w:val="000B589F"/>
    <w:rsid w:val="000B5DDE"/>
    <w:rsid w:val="000B6115"/>
    <w:rsid w:val="000B6296"/>
    <w:rsid w:val="000B6303"/>
    <w:rsid w:val="000B6718"/>
    <w:rsid w:val="000B6AAD"/>
    <w:rsid w:val="000C00E8"/>
    <w:rsid w:val="000C144C"/>
    <w:rsid w:val="000C1A38"/>
    <w:rsid w:val="000C1A60"/>
    <w:rsid w:val="000C1BE7"/>
    <w:rsid w:val="000C1FD0"/>
    <w:rsid w:val="000C2715"/>
    <w:rsid w:val="000C298C"/>
    <w:rsid w:val="000C31FF"/>
    <w:rsid w:val="000C352B"/>
    <w:rsid w:val="000C3973"/>
    <w:rsid w:val="000C4754"/>
    <w:rsid w:val="000C4D0C"/>
    <w:rsid w:val="000C5222"/>
    <w:rsid w:val="000C52FB"/>
    <w:rsid w:val="000C52FF"/>
    <w:rsid w:val="000C56A8"/>
    <w:rsid w:val="000C5807"/>
    <w:rsid w:val="000C6052"/>
    <w:rsid w:val="000C63DD"/>
    <w:rsid w:val="000C6D47"/>
    <w:rsid w:val="000C71CC"/>
    <w:rsid w:val="000C7249"/>
    <w:rsid w:val="000C76F4"/>
    <w:rsid w:val="000C773B"/>
    <w:rsid w:val="000C7C34"/>
    <w:rsid w:val="000C7F5C"/>
    <w:rsid w:val="000D0727"/>
    <w:rsid w:val="000D094A"/>
    <w:rsid w:val="000D12EE"/>
    <w:rsid w:val="000D1641"/>
    <w:rsid w:val="000D1677"/>
    <w:rsid w:val="000D17B5"/>
    <w:rsid w:val="000D1E01"/>
    <w:rsid w:val="000D22BE"/>
    <w:rsid w:val="000D2BF2"/>
    <w:rsid w:val="000D2C65"/>
    <w:rsid w:val="000D2D92"/>
    <w:rsid w:val="000D3416"/>
    <w:rsid w:val="000D34B4"/>
    <w:rsid w:val="000D3665"/>
    <w:rsid w:val="000D36EB"/>
    <w:rsid w:val="000D3C78"/>
    <w:rsid w:val="000D44BF"/>
    <w:rsid w:val="000D4ED2"/>
    <w:rsid w:val="000D5364"/>
    <w:rsid w:val="000D5DB3"/>
    <w:rsid w:val="000D61FC"/>
    <w:rsid w:val="000D6846"/>
    <w:rsid w:val="000D68B2"/>
    <w:rsid w:val="000D6CFE"/>
    <w:rsid w:val="000D7095"/>
    <w:rsid w:val="000D77A6"/>
    <w:rsid w:val="000E0114"/>
    <w:rsid w:val="000E09F5"/>
    <w:rsid w:val="000E0B25"/>
    <w:rsid w:val="000E0E07"/>
    <w:rsid w:val="000E19E3"/>
    <w:rsid w:val="000E1C5D"/>
    <w:rsid w:val="000E206C"/>
    <w:rsid w:val="000E21CB"/>
    <w:rsid w:val="000E2442"/>
    <w:rsid w:val="000E2754"/>
    <w:rsid w:val="000E2AAE"/>
    <w:rsid w:val="000E3423"/>
    <w:rsid w:val="000E3A46"/>
    <w:rsid w:val="000E3B26"/>
    <w:rsid w:val="000E3C76"/>
    <w:rsid w:val="000E41E8"/>
    <w:rsid w:val="000E439F"/>
    <w:rsid w:val="000E4ABE"/>
    <w:rsid w:val="000E4E1C"/>
    <w:rsid w:val="000E527C"/>
    <w:rsid w:val="000E5668"/>
    <w:rsid w:val="000E5F41"/>
    <w:rsid w:val="000E637D"/>
    <w:rsid w:val="000E67D4"/>
    <w:rsid w:val="000E6916"/>
    <w:rsid w:val="000E7445"/>
    <w:rsid w:val="000E74D3"/>
    <w:rsid w:val="000E79A4"/>
    <w:rsid w:val="000E7B54"/>
    <w:rsid w:val="000E7C43"/>
    <w:rsid w:val="000F06A4"/>
    <w:rsid w:val="000F1430"/>
    <w:rsid w:val="000F163B"/>
    <w:rsid w:val="000F1C56"/>
    <w:rsid w:val="000F1CBA"/>
    <w:rsid w:val="000F22F3"/>
    <w:rsid w:val="000F2409"/>
    <w:rsid w:val="000F3803"/>
    <w:rsid w:val="000F3804"/>
    <w:rsid w:val="000F3E46"/>
    <w:rsid w:val="000F4425"/>
    <w:rsid w:val="000F4B44"/>
    <w:rsid w:val="000F4F61"/>
    <w:rsid w:val="000F534E"/>
    <w:rsid w:val="000F6080"/>
    <w:rsid w:val="000F6958"/>
    <w:rsid w:val="000F706B"/>
    <w:rsid w:val="000F78B4"/>
    <w:rsid w:val="000F7D7F"/>
    <w:rsid w:val="000F7E00"/>
    <w:rsid w:val="00100393"/>
    <w:rsid w:val="0010083B"/>
    <w:rsid w:val="001008A4"/>
    <w:rsid w:val="00101116"/>
    <w:rsid w:val="00101123"/>
    <w:rsid w:val="00101473"/>
    <w:rsid w:val="00101B9B"/>
    <w:rsid w:val="00101CCF"/>
    <w:rsid w:val="001021CD"/>
    <w:rsid w:val="001022D7"/>
    <w:rsid w:val="00102561"/>
    <w:rsid w:val="001028D1"/>
    <w:rsid w:val="00103754"/>
    <w:rsid w:val="00103B49"/>
    <w:rsid w:val="00103CC4"/>
    <w:rsid w:val="001042B5"/>
    <w:rsid w:val="001055BC"/>
    <w:rsid w:val="0010589A"/>
    <w:rsid w:val="00105B46"/>
    <w:rsid w:val="0010660F"/>
    <w:rsid w:val="00106658"/>
    <w:rsid w:val="00107102"/>
    <w:rsid w:val="001073E7"/>
    <w:rsid w:val="00107964"/>
    <w:rsid w:val="00107A9C"/>
    <w:rsid w:val="001100BA"/>
    <w:rsid w:val="001106DB"/>
    <w:rsid w:val="001108BE"/>
    <w:rsid w:val="00110A8F"/>
    <w:rsid w:val="00110E88"/>
    <w:rsid w:val="00110F3F"/>
    <w:rsid w:val="001113BD"/>
    <w:rsid w:val="001114C3"/>
    <w:rsid w:val="001116A6"/>
    <w:rsid w:val="00111B9D"/>
    <w:rsid w:val="00111BE5"/>
    <w:rsid w:val="00112442"/>
    <w:rsid w:val="00112525"/>
    <w:rsid w:val="001136A6"/>
    <w:rsid w:val="00113FF6"/>
    <w:rsid w:val="0011422B"/>
    <w:rsid w:val="001142C7"/>
    <w:rsid w:val="0011457C"/>
    <w:rsid w:val="00114BC9"/>
    <w:rsid w:val="00115251"/>
    <w:rsid w:val="00115482"/>
    <w:rsid w:val="001154A0"/>
    <w:rsid w:val="001158DF"/>
    <w:rsid w:val="00115A69"/>
    <w:rsid w:val="00115C5B"/>
    <w:rsid w:val="00115D1E"/>
    <w:rsid w:val="00115E8D"/>
    <w:rsid w:val="0011690A"/>
    <w:rsid w:val="0011748E"/>
    <w:rsid w:val="00117636"/>
    <w:rsid w:val="001176ED"/>
    <w:rsid w:val="00117954"/>
    <w:rsid w:val="00117CBF"/>
    <w:rsid w:val="0012054C"/>
    <w:rsid w:val="001218CA"/>
    <w:rsid w:val="00121DB7"/>
    <w:rsid w:val="00121E62"/>
    <w:rsid w:val="00121F78"/>
    <w:rsid w:val="001222DA"/>
    <w:rsid w:val="00122652"/>
    <w:rsid w:val="00122BC9"/>
    <w:rsid w:val="00123184"/>
    <w:rsid w:val="001235D6"/>
    <w:rsid w:val="00124941"/>
    <w:rsid w:val="00124A10"/>
    <w:rsid w:val="00124B69"/>
    <w:rsid w:val="00124CFE"/>
    <w:rsid w:val="0012581A"/>
    <w:rsid w:val="0012581F"/>
    <w:rsid w:val="00125820"/>
    <w:rsid w:val="001262A7"/>
    <w:rsid w:val="001269EB"/>
    <w:rsid w:val="00126B3A"/>
    <w:rsid w:val="00127408"/>
    <w:rsid w:val="00127419"/>
    <w:rsid w:val="001302E4"/>
    <w:rsid w:val="00130CBE"/>
    <w:rsid w:val="001313D6"/>
    <w:rsid w:val="00131952"/>
    <w:rsid w:val="0013225B"/>
    <w:rsid w:val="001325C2"/>
    <w:rsid w:val="001327EA"/>
    <w:rsid w:val="00132818"/>
    <w:rsid w:val="00132A62"/>
    <w:rsid w:val="00132E55"/>
    <w:rsid w:val="00132ED9"/>
    <w:rsid w:val="001333D4"/>
    <w:rsid w:val="00133BB6"/>
    <w:rsid w:val="001341CC"/>
    <w:rsid w:val="0013503D"/>
    <w:rsid w:val="0013527A"/>
    <w:rsid w:val="00135313"/>
    <w:rsid w:val="001356BD"/>
    <w:rsid w:val="00135B70"/>
    <w:rsid w:val="00135C5E"/>
    <w:rsid w:val="001363D6"/>
    <w:rsid w:val="001364C1"/>
    <w:rsid w:val="001365B0"/>
    <w:rsid w:val="00136820"/>
    <w:rsid w:val="00136919"/>
    <w:rsid w:val="00137FC1"/>
    <w:rsid w:val="001402F7"/>
    <w:rsid w:val="00140E1B"/>
    <w:rsid w:val="00140F61"/>
    <w:rsid w:val="0014148F"/>
    <w:rsid w:val="00141C1C"/>
    <w:rsid w:val="001420FD"/>
    <w:rsid w:val="001429A8"/>
    <w:rsid w:val="00142B9E"/>
    <w:rsid w:val="00142C7C"/>
    <w:rsid w:val="0014330B"/>
    <w:rsid w:val="0014372B"/>
    <w:rsid w:val="00143E8B"/>
    <w:rsid w:val="001443CC"/>
    <w:rsid w:val="001450D5"/>
    <w:rsid w:val="00145102"/>
    <w:rsid w:val="00145174"/>
    <w:rsid w:val="0014572D"/>
    <w:rsid w:val="00145947"/>
    <w:rsid w:val="00145966"/>
    <w:rsid w:val="00145C46"/>
    <w:rsid w:val="00145C73"/>
    <w:rsid w:val="001461D6"/>
    <w:rsid w:val="001473E1"/>
    <w:rsid w:val="0014770F"/>
    <w:rsid w:val="0014799B"/>
    <w:rsid w:val="00147A7B"/>
    <w:rsid w:val="00147BB4"/>
    <w:rsid w:val="00147DCD"/>
    <w:rsid w:val="00150142"/>
    <w:rsid w:val="00150490"/>
    <w:rsid w:val="00150B2B"/>
    <w:rsid w:val="00150CE4"/>
    <w:rsid w:val="00150D44"/>
    <w:rsid w:val="00150D54"/>
    <w:rsid w:val="00150E13"/>
    <w:rsid w:val="00150E1B"/>
    <w:rsid w:val="001522C7"/>
    <w:rsid w:val="00152511"/>
    <w:rsid w:val="001528FE"/>
    <w:rsid w:val="00152C5B"/>
    <w:rsid w:val="001535EC"/>
    <w:rsid w:val="0015393F"/>
    <w:rsid w:val="00153988"/>
    <w:rsid w:val="00153DFF"/>
    <w:rsid w:val="00153E51"/>
    <w:rsid w:val="001542F5"/>
    <w:rsid w:val="0015463D"/>
    <w:rsid w:val="00154CA2"/>
    <w:rsid w:val="00154E83"/>
    <w:rsid w:val="001552D7"/>
    <w:rsid w:val="0015533D"/>
    <w:rsid w:val="00155712"/>
    <w:rsid w:val="001557BA"/>
    <w:rsid w:val="00156389"/>
    <w:rsid w:val="00156533"/>
    <w:rsid w:val="0015689D"/>
    <w:rsid w:val="0015774E"/>
    <w:rsid w:val="00157F8C"/>
    <w:rsid w:val="00160343"/>
    <w:rsid w:val="0016037A"/>
    <w:rsid w:val="001604B6"/>
    <w:rsid w:val="0016052C"/>
    <w:rsid w:val="00160812"/>
    <w:rsid w:val="00160C31"/>
    <w:rsid w:val="00160E38"/>
    <w:rsid w:val="001619DB"/>
    <w:rsid w:val="00161CDF"/>
    <w:rsid w:val="00161EF0"/>
    <w:rsid w:val="0016205E"/>
    <w:rsid w:val="0016215F"/>
    <w:rsid w:val="0016240D"/>
    <w:rsid w:val="00162442"/>
    <w:rsid w:val="00165104"/>
    <w:rsid w:val="001659AD"/>
    <w:rsid w:val="00165EDE"/>
    <w:rsid w:val="0016678C"/>
    <w:rsid w:val="00166890"/>
    <w:rsid w:val="00166DFB"/>
    <w:rsid w:val="0016702C"/>
    <w:rsid w:val="00167936"/>
    <w:rsid w:val="00170002"/>
    <w:rsid w:val="00170179"/>
    <w:rsid w:val="001701AB"/>
    <w:rsid w:val="00170F90"/>
    <w:rsid w:val="00171127"/>
    <w:rsid w:val="00171431"/>
    <w:rsid w:val="00171745"/>
    <w:rsid w:val="00171B8F"/>
    <w:rsid w:val="00171C33"/>
    <w:rsid w:val="00171C50"/>
    <w:rsid w:val="00171DA8"/>
    <w:rsid w:val="00172405"/>
    <w:rsid w:val="001724DB"/>
    <w:rsid w:val="00172547"/>
    <w:rsid w:val="0017267F"/>
    <w:rsid w:val="00172704"/>
    <w:rsid w:val="00172890"/>
    <w:rsid w:val="001731D8"/>
    <w:rsid w:val="00173338"/>
    <w:rsid w:val="00174281"/>
    <w:rsid w:val="00174660"/>
    <w:rsid w:val="00174F70"/>
    <w:rsid w:val="00175B20"/>
    <w:rsid w:val="00176216"/>
    <w:rsid w:val="00176296"/>
    <w:rsid w:val="0017630D"/>
    <w:rsid w:val="00176461"/>
    <w:rsid w:val="00176A0C"/>
    <w:rsid w:val="00176BA0"/>
    <w:rsid w:val="00176BA7"/>
    <w:rsid w:val="00176E76"/>
    <w:rsid w:val="0017754F"/>
    <w:rsid w:val="00180319"/>
    <w:rsid w:val="0018041D"/>
    <w:rsid w:val="00180901"/>
    <w:rsid w:val="001809C4"/>
    <w:rsid w:val="00180A4B"/>
    <w:rsid w:val="00180E36"/>
    <w:rsid w:val="001812B7"/>
    <w:rsid w:val="00181813"/>
    <w:rsid w:val="0018241B"/>
    <w:rsid w:val="00182D0A"/>
    <w:rsid w:val="00182F45"/>
    <w:rsid w:val="001844CE"/>
    <w:rsid w:val="0018467C"/>
    <w:rsid w:val="00184F2A"/>
    <w:rsid w:val="0018500F"/>
    <w:rsid w:val="00185A50"/>
    <w:rsid w:val="00185ACA"/>
    <w:rsid w:val="00186C3F"/>
    <w:rsid w:val="00186D61"/>
    <w:rsid w:val="00186EBD"/>
    <w:rsid w:val="00187448"/>
    <w:rsid w:val="00187835"/>
    <w:rsid w:val="00187915"/>
    <w:rsid w:val="00187EFF"/>
    <w:rsid w:val="001904F7"/>
    <w:rsid w:val="00190854"/>
    <w:rsid w:val="0019096D"/>
    <w:rsid w:val="00190C82"/>
    <w:rsid w:val="00190E2B"/>
    <w:rsid w:val="00191288"/>
    <w:rsid w:val="00191486"/>
    <w:rsid w:val="00191CC5"/>
    <w:rsid w:val="001921D9"/>
    <w:rsid w:val="001922B0"/>
    <w:rsid w:val="001925CB"/>
    <w:rsid w:val="001927E1"/>
    <w:rsid w:val="001929D3"/>
    <w:rsid w:val="0019317A"/>
    <w:rsid w:val="00193297"/>
    <w:rsid w:val="00193906"/>
    <w:rsid w:val="00193B78"/>
    <w:rsid w:val="00193F22"/>
    <w:rsid w:val="0019426B"/>
    <w:rsid w:val="00194279"/>
    <w:rsid w:val="00194315"/>
    <w:rsid w:val="0019451A"/>
    <w:rsid w:val="00194A56"/>
    <w:rsid w:val="00195427"/>
    <w:rsid w:val="0019558F"/>
    <w:rsid w:val="001959A9"/>
    <w:rsid w:val="00195D80"/>
    <w:rsid w:val="00195EEF"/>
    <w:rsid w:val="0019615A"/>
    <w:rsid w:val="00196589"/>
    <w:rsid w:val="001968CE"/>
    <w:rsid w:val="00196AA0"/>
    <w:rsid w:val="00197126"/>
    <w:rsid w:val="00197AEC"/>
    <w:rsid w:val="00197B9D"/>
    <w:rsid w:val="00197BE4"/>
    <w:rsid w:val="00197DBC"/>
    <w:rsid w:val="001A0AF1"/>
    <w:rsid w:val="001A0B5C"/>
    <w:rsid w:val="001A0BB6"/>
    <w:rsid w:val="001A1880"/>
    <w:rsid w:val="001A18FC"/>
    <w:rsid w:val="001A1C27"/>
    <w:rsid w:val="001A1F59"/>
    <w:rsid w:val="001A223D"/>
    <w:rsid w:val="001A248F"/>
    <w:rsid w:val="001A2EDE"/>
    <w:rsid w:val="001A3036"/>
    <w:rsid w:val="001A37A3"/>
    <w:rsid w:val="001A3A4E"/>
    <w:rsid w:val="001A3EDC"/>
    <w:rsid w:val="001A4247"/>
    <w:rsid w:val="001A48F3"/>
    <w:rsid w:val="001A49C4"/>
    <w:rsid w:val="001A4B89"/>
    <w:rsid w:val="001A52A6"/>
    <w:rsid w:val="001A55C1"/>
    <w:rsid w:val="001A57D0"/>
    <w:rsid w:val="001A5AD3"/>
    <w:rsid w:val="001A5C2B"/>
    <w:rsid w:val="001A689F"/>
    <w:rsid w:val="001A71F1"/>
    <w:rsid w:val="001A7301"/>
    <w:rsid w:val="001B0491"/>
    <w:rsid w:val="001B0A37"/>
    <w:rsid w:val="001B116E"/>
    <w:rsid w:val="001B1EF2"/>
    <w:rsid w:val="001B27D1"/>
    <w:rsid w:val="001B297F"/>
    <w:rsid w:val="001B2D87"/>
    <w:rsid w:val="001B2DD9"/>
    <w:rsid w:val="001B2E10"/>
    <w:rsid w:val="001B328E"/>
    <w:rsid w:val="001B3B9B"/>
    <w:rsid w:val="001B4072"/>
    <w:rsid w:val="001B489C"/>
    <w:rsid w:val="001B4E5E"/>
    <w:rsid w:val="001B509E"/>
    <w:rsid w:val="001B5400"/>
    <w:rsid w:val="001B55D5"/>
    <w:rsid w:val="001B56CA"/>
    <w:rsid w:val="001B6284"/>
    <w:rsid w:val="001B6A97"/>
    <w:rsid w:val="001B6CEB"/>
    <w:rsid w:val="001B70C5"/>
    <w:rsid w:val="001B73D2"/>
    <w:rsid w:val="001B7584"/>
    <w:rsid w:val="001B7875"/>
    <w:rsid w:val="001B7940"/>
    <w:rsid w:val="001B7A7D"/>
    <w:rsid w:val="001B7F69"/>
    <w:rsid w:val="001C0470"/>
    <w:rsid w:val="001C0666"/>
    <w:rsid w:val="001C0932"/>
    <w:rsid w:val="001C0A87"/>
    <w:rsid w:val="001C10FD"/>
    <w:rsid w:val="001C14C2"/>
    <w:rsid w:val="001C1739"/>
    <w:rsid w:val="001C1757"/>
    <w:rsid w:val="001C1BDB"/>
    <w:rsid w:val="001C1C11"/>
    <w:rsid w:val="001C1FE3"/>
    <w:rsid w:val="001C2059"/>
    <w:rsid w:val="001C2181"/>
    <w:rsid w:val="001C23EA"/>
    <w:rsid w:val="001C2A4A"/>
    <w:rsid w:val="001C2B27"/>
    <w:rsid w:val="001C34A1"/>
    <w:rsid w:val="001C39D8"/>
    <w:rsid w:val="001C3D76"/>
    <w:rsid w:val="001C407A"/>
    <w:rsid w:val="001C447F"/>
    <w:rsid w:val="001C4533"/>
    <w:rsid w:val="001C52B9"/>
    <w:rsid w:val="001C5996"/>
    <w:rsid w:val="001C5BB8"/>
    <w:rsid w:val="001C67B6"/>
    <w:rsid w:val="001C6B03"/>
    <w:rsid w:val="001C6D5C"/>
    <w:rsid w:val="001C7644"/>
    <w:rsid w:val="001D05BC"/>
    <w:rsid w:val="001D0D55"/>
    <w:rsid w:val="001D0E0F"/>
    <w:rsid w:val="001D0E61"/>
    <w:rsid w:val="001D11A5"/>
    <w:rsid w:val="001D1599"/>
    <w:rsid w:val="001D169B"/>
    <w:rsid w:val="001D1A17"/>
    <w:rsid w:val="001D1C88"/>
    <w:rsid w:val="001D1F0A"/>
    <w:rsid w:val="001D1FBC"/>
    <w:rsid w:val="001D2647"/>
    <w:rsid w:val="001D2CB2"/>
    <w:rsid w:val="001D2EE4"/>
    <w:rsid w:val="001D3342"/>
    <w:rsid w:val="001D3622"/>
    <w:rsid w:val="001D37FA"/>
    <w:rsid w:val="001D40CC"/>
    <w:rsid w:val="001D5843"/>
    <w:rsid w:val="001D5AA1"/>
    <w:rsid w:val="001D6136"/>
    <w:rsid w:val="001D6E33"/>
    <w:rsid w:val="001D7416"/>
    <w:rsid w:val="001D7A14"/>
    <w:rsid w:val="001E0435"/>
    <w:rsid w:val="001E075D"/>
    <w:rsid w:val="001E096F"/>
    <w:rsid w:val="001E11FF"/>
    <w:rsid w:val="001E157D"/>
    <w:rsid w:val="001E1AEC"/>
    <w:rsid w:val="001E3B3D"/>
    <w:rsid w:val="001E4038"/>
    <w:rsid w:val="001E41C5"/>
    <w:rsid w:val="001E548C"/>
    <w:rsid w:val="001E6B03"/>
    <w:rsid w:val="001E6FB0"/>
    <w:rsid w:val="001E712E"/>
    <w:rsid w:val="001E72B5"/>
    <w:rsid w:val="001E7537"/>
    <w:rsid w:val="001E790E"/>
    <w:rsid w:val="001F0080"/>
    <w:rsid w:val="001F008D"/>
    <w:rsid w:val="001F018E"/>
    <w:rsid w:val="001F039B"/>
    <w:rsid w:val="001F06A7"/>
    <w:rsid w:val="001F076C"/>
    <w:rsid w:val="001F0976"/>
    <w:rsid w:val="001F0C2A"/>
    <w:rsid w:val="001F1788"/>
    <w:rsid w:val="001F1FA6"/>
    <w:rsid w:val="001F2008"/>
    <w:rsid w:val="001F22C3"/>
    <w:rsid w:val="001F2470"/>
    <w:rsid w:val="001F2611"/>
    <w:rsid w:val="001F269F"/>
    <w:rsid w:val="001F2B72"/>
    <w:rsid w:val="001F2DEF"/>
    <w:rsid w:val="001F404F"/>
    <w:rsid w:val="001F4197"/>
    <w:rsid w:val="001F451E"/>
    <w:rsid w:val="001F46E5"/>
    <w:rsid w:val="001F4A02"/>
    <w:rsid w:val="001F5B5B"/>
    <w:rsid w:val="001F5ED7"/>
    <w:rsid w:val="001F636C"/>
    <w:rsid w:val="001F66C3"/>
    <w:rsid w:val="001F6A3A"/>
    <w:rsid w:val="001F6D90"/>
    <w:rsid w:val="001F7367"/>
    <w:rsid w:val="001F755E"/>
    <w:rsid w:val="001F7A8B"/>
    <w:rsid w:val="001F7D1E"/>
    <w:rsid w:val="001F7E8F"/>
    <w:rsid w:val="00200B80"/>
    <w:rsid w:val="00200C3C"/>
    <w:rsid w:val="00200C54"/>
    <w:rsid w:val="00200F3E"/>
    <w:rsid w:val="002013EB"/>
    <w:rsid w:val="00201522"/>
    <w:rsid w:val="00201791"/>
    <w:rsid w:val="002026CF"/>
    <w:rsid w:val="00203037"/>
    <w:rsid w:val="00203231"/>
    <w:rsid w:val="0020379F"/>
    <w:rsid w:val="002038A2"/>
    <w:rsid w:val="00203E35"/>
    <w:rsid w:val="00203FDD"/>
    <w:rsid w:val="002043CA"/>
    <w:rsid w:val="002057BE"/>
    <w:rsid w:val="00205CA4"/>
    <w:rsid w:val="002066F1"/>
    <w:rsid w:val="00206948"/>
    <w:rsid w:val="00206C62"/>
    <w:rsid w:val="00206EAD"/>
    <w:rsid w:val="002070D5"/>
    <w:rsid w:val="00207491"/>
    <w:rsid w:val="00207861"/>
    <w:rsid w:val="00210E7B"/>
    <w:rsid w:val="00211A3B"/>
    <w:rsid w:val="00211DB7"/>
    <w:rsid w:val="00212271"/>
    <w:rsid w:val="002128EA"/>
    <w:rsid w:val="00212990"/>
    <w:rsid w:val="00213053"/>
    <w:rsid w:val="00213298"/>
    <w:rsid w:val="00213652"/>
    <w:rsid w:val="00213A9A"/>
    <w:rsid w:val="00213AEF"/>
    <w:rsid w:val="002141C4"/>
    <w:rsid w:val="002141E1"/>
    <w:rsid w:val="00214822"/>
    <w:rsid w:val="00215041"/>
    <w:rsid w:val="0021583D"/>
    <w:rsid w:val="00216B4E"/>
    <w:rsid w:val="00216DD8"/>
    <w:rsid w:val="0021744F"/>
    <w:rsid w:val="00217905"/>
    <w:rsid w:val="00217989"/>
    <w:rsid w:val="00217A15"/>
    <w:rsid w:val="0022123A"/>
    <w:rsid w:val="002213EE"/>
    <w:rsid w:val="002218E7"/>
    <w:rsid w:val="002220E7"/>
    <w:rsid w:val="0022266C"/>
    <w:rsid w:val="002227E7"/>
    <w:rsid w:val="00222BEC"/>
    <w:rsid w:val="00223ACC"/>
    <w:rsid w:val="00223B6A"/>
    <w:rsid w:val="0022428B"/>
    <w:rsid w:val="00224337"/>
    <w:rsid w:val="00224841"/>
    <w:rsid w:val="00224BEC"/>
    <w:rsid w:val="00225343"/>
    <w:rsid w:val="002253DA"/>
    <w:rsid w:val="002254CE"/>
    <w:rsid w:val="00225A4F"/>
    <w:rsid w:val="002265BC"/>
    <w:rsid w:val="00226835"/>
    <w:rsid w:val="002269BD"/>
    <w:rsid w:val="00226ECF"/>
    <w:rsid w:val="00226FF0"/>
    <w:rsid w:val="002272A4"/>
    <w:rsid w:val="00227377"/>
    <w:rsid w:val="00227507"/>
    <w:rsid w:val="00227B96"/>
    <w:rsid w:val="00227BE7"/>
    <w:rsid w:val="00227DB2"/>
    <w:rsid w:val="002308AF"/>
    <w:rsid w:val="00230F4D"/>
    <w:rsid w:val="00230F96"/>
    <w:rsid w:val="0023191B"/>
    <w:rsid w:val="00231E9B"/>
    <w:rsid w:val="00231FA0"/>
    <w:rsid w:val="00232431"/>
    <w:rsid w:val="00232871"/>
    <w:rsid w:val="0023365F"/>
    <w:rsid w:val="0023403A"/>
    <w:rsid w:val="00234266"/>
    <w:rsid w:val="00234EFC"/>
    <w:rsid w:val="0023567F"/>
    <w:rsid w:val="00235868"/>
    <w:rsid w:val="00236543"/>
    <w:rsid w:val="002374CB"/>
    <w:rsid w:val="00237647"/>
    <w:rsid w:val="00237944"/>
    <w:rsid w:val="0023795C"/>
    <w:rsid w:val="00237DCE"/>
    <w:rsid w:val="00237FC1"/>
    <w:rsid w:val="00240D37"/>
    <w:rsid w:val="00241947"/>
    <w:rsid w:val="00241A4E"/>
    <w:rsid w:val="00241ADE"/>
    <w:rsid w:val="00241CB0"/>
    <w:rsid w:val="00241E0E"/>
    <w:rsid w:val="00242149"/>
    <w:rsid w:val="002428E2"/>
    <w:rsid w:val="00243000"/>
    <w:rsid w:val="00243130"/>
    <w:rsid w:val="00243AC9"/>
    <w:rsid w:val="00243CCA"/>
    <w:rsid w:val="002441C4"/>
    <w:rsid w:val="0024440D"/>
    <w:rsid w:val="00244BBD"/>
    <w:rsid w:val="00244EFC"/>
    <w:rsid w:val="00245312"/>
    <w:rsid w:val="002462B0"/>
    <w:rsid w:val="0024632B"/>
    <w:rsid w:val="002468E6"/>
    <w:rsid w:val="00247438"/>
    <w:rsid w:val="002478C0"/>
    <w:rsid w:val="0025009F"/>
    <w:rsid w:val="002503A3"/>
    <w:rsid w:val="0025045E"/>
    <w:rsid w:val="002504B5"/>
    <w:rsid w:val="00250D74"/>
    <w:rsid w:val="00250DA4"/>
    <w:rsid w:val="00251496"/>
    <w:rsid w:val="00251CF8"/>
    <w:rsid w:val="00251D8A"/>
    <w:rsid w:val="00251DEB"/>
    <w:rsid w:val="00252A1A"/>
    <w:rsid w:val="00252BA7"/>
    <w:rsid w:val="0025301C"/>
    <w:rsid w:val="002532F0"/>
    <w:rsid w:val="002536E8"/>
    <w:rsid w:val="00253AE1"/>
    <w:rsid w:val="00253D27"/>
    <w:rsid w:val="00253E95"/>
    <w:rsid w:val="002540FF"/>
    <w:rsid w:val="002541F7"/>
    <w:rsid w:val="00254591"/>
    <w:rsid w:val="00254C2C"/>
    <w:rsid w:val="00254D47"/>
    <w:rsid w:val="002556A4"/>
    <w:rsid w:val="00256151"/>
    <w:rsid w:val="00256444"/>
    <w:rsid w:val="00256547"/>
    <w:rsid w:val="0025691D"/>
    <w:rsid w:val="00257258"/>
    <w:rsid w:val="0025786E"/>
    <w:rsid w:val="00257D79"/>
    <w:rsid w:val="00257F41"/>
    <w:rsid w:val="0026003D"/>
    <w:rsid w:val="002608E3"/>
    <w:rsid w:val="00260AD4"/>
    <w:rsid w:val="00260F54"/>
    <w:rsid w:val="002613A0"/>
    <w:rsid w:val="0026147E"/>
    <w:rsid w:val="002615EC"/>
    <w:rsid w:val="002618A5"/>
    <w:rsid w:val="00261BB5"/>
    <w:rsid w:val="00261FDB"/>
    <w:rsid w:val="00262C8D"/>
    <w:rsid w:val="00262ECB"/>
    <w:rsid w:val="002632BB"/>
    <w:rsid w:val="00264518"/>
    <w:rsid w:val="00264634"/>
    <w:rsid w:val="002649D1"/>
    <w:rsid w:val="00264BE7"/>
    <w:rsid w:val="00264D69"/>
    <w:rsid w:val="00264EEB"/>
    <w:rsid w:val="00265892"/>
    <w:rsid w:val="002658D6"/>
    <w:rsid w:val="00265AE5"/>
    <w:rsid w:val="00265FB2"/>
    <w:rsid w:val="002662A6"/>
    <w:rsid w:val="002662AE"/>
    <w:rsid w:val="002662D5"/>
    <w:rsid w:val="00266743"/>
    <w:rsid w:val="002668BD"/>
    <w:rsid w:val="002669F4"/>
    <w:rsid w:val="00266ED5"/>
    <w:rsid w:val="002676D6"/>
    <w:rsid w:val="0026793F"/>
    <w:rsid w:val="00267E77"/>
    <w:rsid w:val="00267FE5"/>
    <w:rsid w:val="00270079"/>
    <w:rsid w:val="002707F9"/>
    <w:rsid w:val="00270BAE"/>
    <w:rsid w:val="00270D47"/>
    <w:rsid w:val="00270EEB"/>
    <w:rsid w:val="002713BC"/>
    <w:rsid w:val="0027146F"/>
    <w:rsid w:val="00271A81"/>
    <w:rsid w:val="00271D53"/>
    <w:rsid w:val="00273478"/>
    <w:rsid w:val="00273587"/>
    <w:rsid w:val="002735A3"/>
    <w:rsid w:val="00273BEC"/>
    <w:rsid w:val="00273C51"/>
    <w:rsid w:val="00273C53"/>
    <w:rsid w:val="00273C85"/>
    <w:rsid w:val="00273F80"/>
    <w:rsid w:val="00274709"/>
    <w:rsid w:val="00274E10"/>
    <w:rsid w:val="00275AAB"/>
    <w:rsid w:val="002770C9"/>
    <w:rsid w:val="002771C6"/>
    <w:rsid w:val="002775FD"/>
    <w:rsid w:val="00277DE3"/>
    <w:rsid w:val="0028010F"/>
    <w:rsid w:val="00280172"/>
    <w:rsid w:val="002804E1"/>
    <w:rsid w:val="00280941"/>
    <w:rsid w:val="00280C17"/>
    <w:rsid w:val="00280CED"/>
    <w:rsid w:val="00281414"/>
    <w:rsid w:val="00281DF0"/>
    <w:rsid w:val="002829DC"/>
    <w:rsid w:val="002848A6"/>
    <w:rsid w:val="00284C88"/>
    <w:rsid w:val="00284F9E"/>
    <w:rsid w:val="002850B1"/>
    <w:rsid w:val="002850D4"/>
    <w:rsid w:val="002852E0"/>
    <w:rsid w:val="0028548F"/>
    <w:rsid w:val="002856EF"/>
    <w:rsid w:val="00285DD8"/>
    <w:rsid w:val="0028631F"/>
    <w:rsid w:val="0028678F"/>
    <w:rsid w:val="0028684C"/>
    <w:rsid w:val="00286D85"/>
    <w:rsid w:val="002876AC"/>
    <w:rsid w:val="002876B3"/>
    <w:rsid w:val="002878CC"/>
    <w:rsid w:val="00287C35"/>
    <w:rsid w:val="00290501"/>
    <w:rsid w:val="00290B70"/>
    <w:rsid w:val="00290D13"/>
    <w:rsid w:val="002918A0"/>
    <w:rsid w:val="002921EB"/>
    <w:rsid w:val="0029265E"/>
    <w:rsid w:val="0029276B"/>
    <w:rsid w:val="00293019"/>
    <w:rsid w:val="00293399"/>
    <w:rsid w:val="00293944"/>
    <w:rsid w:val="00293ECA"/>
    <w:rsid w:val="0029444D"/>
    <w:rsid w:val="0029458B"/>
    <w:rsid w:val="00294A59"/>
    <w:rsid w:val="00295255"/>
    <w:rsid w:val="0029560D"/>
    <w:rsid w:val="00295AAF"/>
    <w:rsid w:val="0029605F"/>
    <w:rsid w:val="002966F6"/>
    <w:rsid w:val="00296A0E"/>
    <w:rsid w:val="00296B5F"/>
    <w:rsid w:val="00297B4D"/>
    <w:rsid w:val="00297CAB"/>
    <w:rsid w:val="00297DF5"/>
    <w:rsid w:val="002A0422"/>
    <w:rsid w:val="002A050B"/>
    <w:rsid w:val="002A0A6D"/>
    <w:rsid w:val="002A0CA6"/>
    <w:rsid w:val="002A1BB5"/>
    <w:rsid w:val="002A1C03"/>
    <w:rsid w:val="002A2028"/>
    <w:rsid w:val="002A2137"/>
    <w:rsid w:val="002A2DAF"/>
    <w:rsid w:val="002A31AF"/>
    <w:rsid w:val="002A3720"/>
    <w:rsid w:val="002A448C"/>
    <w:rsid w:val="002A45EB"/>
    <w:rsid w:val="002A499E"/>
    <w:rsid w:val="002A4C15"/>
    <w:rsid w:val="002A51AE"/>
    <w:rsid w:val="002A5503"/>
    <w:rsid w:val="002A594E"/>
    <w:rsid w:val="002A602D"/>
    <w:rsid w:val="002A6229"/>
    <w:rsid w:val="002A6473"/>
    <w:rsid w:val="002A6531"/>
    <w:rsid w:val="002A6A01"/>
    <w:rsid w:val="002A6E38"/>
    <w:rsid w:val="002A7115"/>
    <w:rsid w:val="002A745E"/>
    <w:rsid w:val="002A77D6"/>
    <w:rsid w:val="002B00CA"/>
    <w:rsid w:val="002B0867"/>
    <w:rsid w:val="002B0E18"/>
    <w:rsid w:val="002B1036"/>
    <w:rsid w:val="002B1077"/>
    <w:rsid w:val="002B15A1"/>
    <w:rsid w:val="002B198D"/>
    <w:rsid w:val="002B19FD"/>
    <w:rsid w:val="002B1BC8"/>
    <w:rsid w:val="002B23C4"/>
    <w:rsid w:val="002B269A"/>
    <w:rsid w:val="002B2C87"/>
    <w:rsid w:val="002B2E22"/>
    <w:rsid w:val="002B3009"/>
    <w:rsid w:val="002B36A7"/>
    <w:rsid w:val="002B378C"/>
    <w:rsid w:val="002B38E3"/>
    <w:rsid w:val="002B3913"/>
    <w:rsid w:val="002B5E14"/>
    <w:rsid w:val="002B5F5E"/>
    <w:rsid w:val="002B68CD"/>
    <w:rsid w:val="002B6901"/>
    <w:rsid w:val="002B6BB3"/>
    <w:rsid w:val="002B6CD6"/>
    <w:rsid w:val="002B70B9"/>
    <w:rsid w:val="002B7148"/>
    <w:rsid w:val="002B723D"/>
    <w:rsid w:val="002B7370"/>
    <w:rsid w:val="002B75B7"/>
    <w:rsid w:val="002B79AB"/>
    <w:rsid w:val="002B7D1F"/>
    <w:rsid w:val="002C033A"/>
    <w:rsid w:val="002C0516"/>
    <w:rsid w:val="002C0590"/>
    <w:rsid w:val="002C0B17"/>
    <w:rsid w:val="002C0CFA"/>
    <w:rsid w:val="002C0FB1"/>
    <w:rsid w:val="002C11EC"/>
    <w:rsid w:val="002C15AF"/>
    <w:rsid w:val="002C1831"/>
    <w:rsid w:val="002C1976"/>
    <w:rsid w:val="002C1B61"/>
    <w:rsid w:val="002C1C49"/>
    <w:rsid w:val="002C1C4E"/>
    <w:rsid w:val="002C2180"/>
    <w:rsid w:val="002C2399"/>
    <w:rsid w:val="002C24C8"/>
    <w:rsid w:val="002C24E5"/>
    <w:rsid w:val="002C2762"/>
    <w:rsid w:val="002C28E6"/>
    <w:rsid w:val="002C29CB"/>
    <w:rsid w:val="002C2EBA"/>
    <w:rsid w:val="002C2FCE"/>
    <w:rsid w:val="002C3A44"/>
    <w:rsid w:val="002C3A46"/>
    <w:rsid w:val="002C4812"/>
    <w:rsid w:val="002C4CAF"/>
    <w:rsid w:val="002C4CBE"/>
    <w:rsid w:val="002C4E08"/>
    <w:rsid w:val="002C5C97"/>
    <w:rsid w:val="002C61D8"/>
    <w:rsid w:val="002C6888"/>
    <w:rsid w:val="002C6B85"/>
    <w:rsid w:val="002C7314"/>
    <w:rsid w:val="002C7F53"/>
    <w:rsid w:val="002C7FB6"/>
    <w:rsid w:val="002D00B3"/>
    <w:rsid w:val="002D022C"/>
    <w:rsid w:val="002D0529"/>
    <w:rsid w:val="002D112A"/>
    <w:rsid w:val="002D11A6"/>
    <w:rsid w:val="002D144F"/>
    <w:rsid w:val="002D18F2"/>
    <w:rsid w:val="002D1CE7"/>
    <w:rsid w:val="002D1FF4"/>
    <w:rsid w:val="002D20EB"/>
    <w:rsid w:val="002D2814"/>
    <w:rsid w:val="002D2A19"/>
    <w:rsid w:val="002D2A6A"/>
    <w:rsid w:val="002D2B77"/>
    <w:rsid w:val="002D3031"/>
    <w:rsid w:val="002D3506"/>
    <w:rsid w:val="002D38DF"/>
    <w:rsid w:val="002D3E97"/>
    <w:rsid w:val="002D46D9"/>
    <w:rsid w:val="002D473C"/>
    <w:rsid w:val="002D47E1"/>
    <w:rsid w:val="002D4B08"/>
    <w:rsid w:val="002D4D08"/>
    <w:rsid w:val="002D63C1"/>
    <w:rsid w:val="002D63ED"/>
    <w:rsid w:val="002D65B9"/>
    <w:rsid w:val="002D698B"/>
    <w:rsid w:val="002D6C4C"/>
    <w:rsid w:val="002D6D62"/>
    <w:rsid w:val="002D7A70"/>
    <w:rsid w:val="002E0846"/>
    <w:rsid w:val="002E09D3"/>
    <w:rsid w:val="002E0A0C"/>
    <w:rsid w:val="002E1E56"/>
    <w:rsid w:val="002E2007"/>
    <w:rsid w:val="002E2407"/>
    <w:rsid w:val="002E24DF"/>
    <w:rsid w:val="002E2C76"/>
    <w:rsid w:val="002E2F1C"/>
    <w:rsid w:val="002E2FA0"/>
    <w:rsid w:val="002E329C"/>
    <w:rsid w:val="002E4A12"/>
    <w:rsid w:val="002E4D3A"/>
    <w:rsid w:val="002E4F30"/>
    <w:rsid w:val="002E53FD"/>
    <w:rsid w:val="002E5916"/>
    <w:rsid w:val="002E681D"/>
    <w:rsid w:val="002E6F57"/>
    <w:rsid w:val="002E7417"/>
    <w:rsid w:val="002E7510"/>
    <w:rsid w:val="002E7520"/>
    <w:rsid w:val="002E75A6"/>
    <w:rsid w:val="002E7BD7"/>
    <w:rsid w:val="002F033A"/>
    <w:rsid w:val="002F03A3"/>
    <w:rsid w:val="002F0515"/>
    <w:rsid w:val="002F0875"/>
    <w:rsid w:val="002F0CCE"/>
    <w:rsid w:val="002F109A"/>
    <w:rsid w:val="002F162B"/>
    <w:rsid w:val="002F1760"/>
    <w:rsid w:val="002F195F"/>
    <w:rsid w:val="002F1FE8"/>
    <w:rsid w:val="002F2273"/>
    <w:rsid w:val="002F23E9"/>
    <w:rsid w:val="002F2743"/>
    <w:rsid w:val="002F2ECD"/>
    <w:rsid w:val="002F2EEE"/>
    <w:rsid w:val="002F3815"/>
    <w:rsid w:val="002F410E"/>
    <w:rsid w:val="002F4394"/>
    <w:rsid w:val="002F4A6B"/>
    <w:rsid w:val="002F4C39"/>
    <w:rsid w:val="002F517B"/>
    <w:rsid w:val="002F522B"/>
    <w:rsid w:val="002F53AF"/>
    <w:rsid w:val="002F5495"/>
    <w:rsid w:val="002F5EB5"/>
    <w:rsid w:val="002F5EFB"/>
    <w:rsid w:val="002F5F5D"/>
    <w:rsid w:val="002F6242"/>
    <w:rsid w:val="002F6494"/>
    <w:rsid w:val="002F65A2"/>
    <w:rsid w:val="002F6AAB"/>
    <w:rsid w:val="002F6ECA"/>
    <w:rsid w:val="002F7334"/>
    <w:rsid w:val="002F7AF5"/>
    <w:rsid w:val="002F7E41"/>
    <w:rsid w:val="00300050"/>
    <w:rsid w:val="00300942"/>
    <w:rsid w:val="00300CD2"/>
    <w:rsid w:val="003010A0"/>
    <w:rsid w:val="0030115D"/>
    <w:rsid w:val="0030133E"/>
    <w:rsid w:val="0030170E"/>
    <w:rsid w:val="0030189B"/>
    <w:rsid w:val="00301CBA"/>
    <w:rsid w:val="00301D6C"/>
    <w:rsid w:val="00301DB2"/>
    <w:rsid w:val="00301DBA"/>
    <w:rsid w:val="00301E1B"/>
    <w:rsid w:val="003022EE"/>
    <w:rsid w:val="003023BD"/>
    <w:rsid w:val="003023FD"/>
    <w:rsid w:val="00303A80"/>
    <w:rsid w:val="00303B9B"/>
    <w:rsid w:val="00304008"/>
    <w:rsid w:val="0030421F"/>
    <w:rsid w:val="003047B6"/>
    <w:rsid w:val="003047F1"/>
    <w:rsid w:val="00305B84"/>
    <w:rsid w:val="003063CF"/>
    <w:rsid w:val="00307483"/>
    <w:rsid w:val="0030762C"/>
    <w:rsid w:val="003076F4"/>
    <w:rsid w:val="00307F26"/>
    <w:rsid w:val="00307F4C"/>
    <w:rsid w:val="00310071"/>
    <w:rsid w:val="00310EE4"/>
    <w:rsid w:val="00311278"/>
    <w:rsid w:val="0031181F"/>
    <w:rsid w:val="00311858"/>
    <w:rsid w:val="00311A6B"/>
    <w:rsid w:val="00311BE1"/>
    <w:rsid w:val="00311F9E"/>
    <w:rsid w:val="003120B9"/>
    <w:rsid w:val="003122EB"/>
    <w:rsid w:val="0031245F"/>
    <w:rsid w:val="003125D6"/>
    <w:rsid w:val="00313400"/>
    <w:rsid w:val="00313831"/>
    <w:rsid w:val="00313B43"/>
    <w:rsid w:val="00313D62"/>
    <w:rsid w:val="00313D94"/>
    <w:rsid w:val="00314068"/>
    <w:rsid w:val="00314156"/>
    <w:rsid w:val="0031425C"/>
    <w:rsid w:val="0031453A"/>
    <w:rsid w:val="00315536"/>
    <w:rsid w:val="00315595"/>
    <w:rsid w:val="003156E5"/>
    <w:rsid w:val="00316789"/>
    <w:rsid w:val="003167EB"/>
    <w:rsid w:val="003169D0"/>
    <w:rsid w:val="00316A39"/>
    <w:rsid w:val="00316C99"/>
    <w:rsid w:val="00316ECA"/>
    <w:rsid w:val="00317E85"/>
    <w:rsid w:val="00320586"/>
    <w:rsid w:val="00320776"/>
    <w:rsid w:val="00321069"/>
    <w:rsid w:val="003216B5"/>
    <w:rsid w:val="0032175F"/>
    <w:rsid w:val="00322143"/>
    <w:rsid w:val="00322D8E"/>
    <w:rsid w:val="003239B8"/>
    <w:rsid w:val="00323EF7"/>
    <w:rsid w:val="003242B2"/>
    <w:rsid w:val="00324652"/>
    <w:rsid w:val="00324953"/>
    <w:rsid w:val="00324CCA"/>
    <w:rsid w:val="003256D5"/>
    <w:rsid w:val="003257AA"/>
    <w:rsid w:val="00325841"/>
    <w:rsid w:val="00325928"/>
    <w:rsid w:val="00325B2C"/>
    <w:rsid w:val="00325FE4"/>
    <w:rsid w:val="0032624A"/>
    <w:rsid w:val="00326467"/>
    <w:rsid w:val="00326A2A"/>
    <w:rsid w:val="00326D52"/>
    <w:rsid w:val="00326DBA"/>
    <w:rsid w:val="003277AB"/>
    <w:rsid w:val="003278B1"/>
    <w:rsid w:val="003304D9"/>
    <w:rsid w:val="00330BF6"/>
    <w:rsid w:val="00330FE7"/>
    <w:rsid w:val="003316FE"/>
    <w:rsid w:val="00331C34"/>
    <w:rsid w:val="00331FD0"/>
    <w:rsid w:val="00332419"/>
    <w:rsid w:val="0033258F"/>
    <w:rsid w:val="00332B5D"/>
    <w:rsid w:val="00332EDD"/>
    <w:rsid w:val="00333783"/>
    <w:rsid w:val="00334B9B"/>
    <w:rsid w:val="00334F73"/>
    <w:rsid w:val="003353B8"/>
    <w:rsid w:val="003357FD"/>
    <w:rsid w:val="00335D36"/>
    <w:rsid w:val="00336239"/>
    <w:rsid w:val="00336464"/>
    <w:rsid w:val="003365FB"/>
    <w:rsid w:val="00336B8F"/>
    <w:rsid w:val="003371E6"/>
    <w:rsid w:val="00337604"/>
    <w:rsid w:val="003379BF"/>
    <w:rsid w:val="003400FF"/>
    <w:rsid w:val="003405F6"/>
    <w:rsid w:val="00340A42"/>
    <w:rsid w:val="003410D5"/>
    <w:rsid w:val="00341374"/>
    <w:rsid w:val="00341D70"/>
    <w:rsid w:val="00342CB4"/>
    <w:rsid w:val="00342E9A"/>
    <w:rsid w:val="0034305F"/>
    <w:rsid w:val="00343263"/>
    <w:rsid w:val="0034466B"/>
    <w:rsid w:val="003448F7"/>
    <w:rsid w:val="00344E1A"/>
    <w:rsid w:val="00345409"/>
    <w:rsid w:val="003459DF"/>
    <w:rsid w:val="00345FCE"/>
    <w:rsid w:val="00346271"/>
    <w:rsid w:val="003462AD"/>
    <w:rsid w:val="003463A3"/>
    <w:rsid w:val="00347152"/>
    <w:rsid w:val="00347499"/>
    <w:rsid w:val="003474E4"/>
    <w:rsid w:val="00347D14"/>
    <w:rsid w:val="0035001A"/>
    <w:rsid w:val="00350133"/>
    <w:rsid w:val="003505CD"/>
    <w:rsid w:val="003507C9"/>
    <w:rsid w:val="00350B17"/>
    <w:rsid w:val="0035109A"/>
    <w:rsid w:val="003510C4"/>
    <w:rsid w:val="00351829"/>
    <w:rsid w:val="00351B76"/>
    <w:rsid w:val="003528FA"/>
    <w:rsid w:val="00352DBF"/>
    <w:rsid w:val="00352E3E"/>
    <w:rsid w:val="0035306F"/>
    <w:rsid w:val="003530BA"/>
    <w:rsid w:val="003538C5"/>
    <w:rsid w:val="00354028"/>
    <w:rsid w:val="00354916"/>
    <w:rsid w:val="0035499C"/>
    <w:rsid w:val="003549B4"/>
    <w:rsid w:val="003555C8"/>
    <w:rsid w:val="00355A44"/>
    <w:rsid w:val="00355E12"/>
    <w:rsid w:val="00355E9C"/>
    <w:rsid w:val="00355F9B"/>
    <w:rsid w:val="00356451"/>
    <w:rsid w:val="00356474"/>
    <w:rsid w:val="0035647B"/>
    <w:rsid w:val="003567D4"/>
    <w:rsid w:val="00356E3F"/>
    <w:rsid w:val="00357266"/>
    <w:rsid w:val="0035747A"/>
    <w:rsid w:val="00357566"/>
    <w:rsid w:val="00357606"/>
    <w:rsid w:val="003579BA"/>
    <w:rsid w:val="00357B08"/>
    <w:rsid w:val="00360A3E"/>
    <w:rsid w:val="00360ED9"/>
    <w:rsid w:val="003614E8"/>
    <w:rsid w:val="003619A3"/>
    <w:rsid w:val="0036244A"/>
    <w:rsid w:val="003626D6"/>
    <w:rsid w:val="00362C9D"/>
    <w:rsid w:val="00362D6A"/>
    <w:rsid w:val="003637CD"/>
    <w:rsid w:val="00363E58"/>
    <w:rsid w:val="00364935"/>
    <w:rsid w:val="00364DBE"/>
    <w:rsid w:val="00365089"/>
    <w:rsid w:val="00365576"/>
    <w:rsid w:val="003658BB"/>
    <w:rsid w:val="00365ADE"/>
    <w:rsid w:val="00365DFD"/>
    <w:rsid w:val="003662D2"/>
    <w:rsid w:val="00366362"/>
    <w:rsid w:val="00366461"/>
    <w:rsid w:val="00366BDF"/>
    <w:rsid w:val="00366EB2"/>
    <w:rsid w:val="00367122"/>
    <w:rsid w:val="003673AD"/>
    <w:rsid w:val="00367AC8"/>
    <w:rsid w:val="003701F9"/>
    <w:rsid w:val="00370921"/>
    <w:rsid w:val="00370B38"/>
    <w:rsid w:val="00370BE9"/>
    <w:rsid w:val="00370DEC"/>
    <w:rsid w:val="003711B3"/>
    <w:rsid w:val="00371540"/>
    <w:rsid w:val="003717E6"/>
    <w:rsid w:val="003718D4"/>
    <w:rsid w:val="00371ACC"/>
    <w:rsid w:val="0037205E"/>
    <w:rsid w:val="0037217D"/>
    <w:rsid w:val="003721FD"/>
    <w:rsid w:val="00372319"/>
    <w:rsid w:val="003726C2"/>
    <w:rsid w:val="00373446"/>
    <w:rsid w:val="003738D2"/>
    <w:rsid w:val="00373B16"/>
    <w:rsid w:val="0037404B"/>
    <w:rsid w:val="00374265"/>
    <w:rsid w:val="00374A20"/>
    <w:rsid w:val="00374C63"/>
    <w:rsid w:val="00375B71"/>
    <w:rsid w:val="003766BF"/>
    <w:rsid w:val="00376840"/>
    <w:rsid w:val="00376C03"/>
    <w:rsid w:val="00376CE1"/>
    <w:rsid w:val="00376FEC"/>
    <w:rsid w:val="00377A31"/>
    <w:rsid w:val="00377AD5"/>
    <w:rsid w:val="00377B26"/>
    <w:rsid w:val="00377C33"/>
    <w:rsid w:val="00377F5F"/>
    <w:rsid w:val="003800C3"/>
    <w:rsid w:val="003808C0"/>
    <w:rsid w:val="00380E31"/>
    <w:rsid w:val="003810D9"/>
    <w:rsid w:val="0038128D"/>
    <w:rsid w:val="0038134F"/>
    <w:rsid w:val="00381862"/>
    <w:rsid w:val="0038186A"/>
    <w:rsid w:val="00381C4E"/>
    <w:rsid w:val="00381D2B"/>
    <w:rsid w:val="0038209B"/>
    <w:rsid w:val="00382480"/>
    <w:rsid w:val="00382879"/>
    <w:rsid w:val="00382C4A"/>
    <w:rsid w:val="00382DB6"/>
    <w:rsid w:val="00383251"/>
    <w:rsid w:val="00383545"/>
    <w:rsid w:val="003838EC"/>
    <w:rsid w:val="00383E0E"/>
    <w:rsid w:val="00383EA0"/>
    <w:rsid w:val="003841A4"/>
    <w:rsid w:val="003841B6"/>
    <w:rsid w:val="00384568"/>
    <w:rsid w:val="00384589"/>
    <w:rsid w:val="00384C18"/>
    <w:rsid w:val="00385184"/>
    <w:rsid w:val="0038541A"/>
    <w:rsid w:val="003857DC"/>
    <w:rsid w:val="00385868"/>
    <w:rsid w:val="00385AB0"/>
    <w:rsid w:val="00385BA7"/>
    <w:rsid w:val="00385F3A"/>
    <w:rsid w:val="0038631D"/>
    <w:rsid w:val="0038636E"/>
    <w:rsid w:val="00386401"/>
    <w:rsid w:val="003864F4"/>
    <w:rsid w:val="0038665D"/>
    <w:rsid w:val="00386852"/>
    <w:rsid w:val="00386961"/>
    <w:rsid w:val="00386DAE"/>
    <w:rsid w:val="00387A87"/>
    <w:rsid w:val="00387CE8"/>
    <w:rsid w:val="003900E5"/>
    <w:rsid w:val="0039064F"/>
    <w:rsid w:val="00390BFC"/>
    <w:rsid w:val="0039120B"/>
    <w:rsid w:val="0039136E"/>
    <w:rsid w:val="003919FA"/>
    <w:rsid w:val="00391E6F"/>
    <w:rsid w:val="00392E4B"/>
    <w:rsid w:val="0039354E"/>
    <w:rsid w:val="00393BC0"/>
    <w:rsid w:val="00393C09"/>
    <w:rsid w:val="00393C1E"/>
    <w:rsid w:val="003944A1"/>
    <w:rsid w:val="00394900"/>
    <w:rsid w:val="00395386"/>
    <w:rsid w:val="00395804"/>
    <w:rsid w:val="00395E7D"/>
    <w:rsid w:val="00395EB0"/>
    <w:rsid w:val="003962A6"/>
    <w:rsid w:val="00396FB0"/>
    <w:rsid w:val="003974E5"/>
    <w:rsid w:val="003974FF"/>
    <w:rsid w:val="00397573"/>
    <w:rsid w:val="003976D0"/>
    <w:rsid w:val="003A0DCC"/>
    <w:rsid w:val="003A1108"/>
    <w:rsid w:val="003A1654"/>
    <w:rsid w:val="003A1821"/>
    <w:rsid w:val="003A18ED"/>
    <w:rsid w:val="003A1B28"/>
    <w:rsid w:val="003A2424"/>
    <w:rsid w:val="003A29A7"/>
    <w:rsid w:val="003A3240"/>
    <w:rsid w:val="003A35F2"/>
    <w:rsid w:val="003A3D90"/>
    <w:rsid w:val="003A4CF4"/>
    <w:rsid w:val="003A4E1B"/>
    <w:rsid w:val="003A4E58"/>
    <w:rsid w:val="003A4E6A"/>
    <w:rsid w:val="003A53EE"/>
    <w:rsid w:val="003A589E"/>
    <w:rsid w:val="003A5B12"/>
    <w:rsid w:val="003A5F87"/>
    <w:rsid w:val="003A6937"/>
    <w:rsid w:val="003A6F23"/>
    <w:rsid w:val="003A77C2"/>
    <w:rsid w:val="003A7906"/>
    <w:rsid w:val="003A7D70"/>
    <w:rsid w:val="003B01B9"/>
    <w:rsid w:val="003B01F0"/>
    <w:rsid w:val="003B038D"/>
    <w:rsid w:val="003B0D0D"/>
    <w:rsid w:val="003B0E77"/>
    <w:rsid w:val="003B178C"/>
    <w:rsid w:val="003B1833"/>
    <w:rsid w:val="003B1E34"/>
    <w:rsid w:val="003B238A"/>
    <w:rsid w:val="003B2830"/>
    <w:rsid w:val="003B28C9"/>
    <w:rsid w:val="003B3143"/>
    <w:rsid w:val="003B36E1"/>
    <w:rsid w:val="003B3DDD"/>
    <w:rsid w:val="003B49C3"/>
    <w:rsid w:val="003B4D37"/>
    <w:rsid w:val="003B4F1A"/>
    <w:rsid w:val="003B5A4D"/>
    <w:rsid w:val="003B5C0E"/>
    <w:rsid w:val="003B60B1"/>
    <w:rsid w:val="003B6687"/>
    <w:rsid w:val="003B69B1"/>
    <w:rsid w:val="003B72F9"/>
    <w:rsid w:val="003C0475"/>
    <w:rsid w:val="003C049F"/>
    <w:rsid w:val="003C0A15"/>
    <w:rsid w:val="003C137B"/>
    <w:rsid w:val="003C2E6A"/>
    <w:rsid w:val="003C31B3"/>
    <w:rsid w:val="003C3504"/>
    <w:rsid w:val="003C3C0A"/>
    <w:rsid w:val="003C3D7D"/>
    <w:rsid w:val="003C49CA"/>
    <w:rsid w:val="003C4B2A"/>
    <w:rsid w:val="003C580B"/>
    <w:rsid w:val="003C5A19"/>
    <w:rsid w:val="003C5AD1"/>
    <w:rsid w:val="003C5B6A"/>
    <w:rsid w:val="003C5CC1"/>
    <w:rsid w:val="003C6201"/>
    <w:rsid w:val="003C6725"/>
    <w:rsid w:val="003C6911"/>
    <w:rsid w:val="003C6E0F"/>
    <w:rsid w:val="003C708A"/>
    <w:rsid w:val="003C7630"/>
    <w:rsid w:val="003C7FB8"/>
    <w:rsid w:val="003D086C"/>
    <w:rsid w:val="003D0E90"/>
    <w:rsid w:val="003D1F46"/>
    <w:rsid w:val="003D24F0"/>
    <w:rsid w:val="003D2C0F"/>
    <w:rsid w:val="003D313F"/>
    <w:rsid w:val="003D332C"/>
    <w:rsid w:val="003D3B7B"/>
    <w:rsid w:val="003D3E3C"/>
    <w:rsid w:val="003D4FAE"/>
    <w:rsid w:val="003D5A12"/>
    <w:rsid w:val="003D7EDD"/>
    <w:rsid w:val="003E0E35"/>
    <w:rsid w:val="003E0EE1"/>
    <w:rsid w:val="003E11EB"/>
    <w:rsid w:val="003E1E9A"/>
    <w:rsid w:val="003E2514"/>
    <w:rsid w:val="003E275C"/>
    <w:rsid w:val="003E28B6"/>
    <w:rsid w:val="003E298F"/>
    <w:rsid w:val="003E2F17"/>
    <w:rsid w:val="003E309A"/>
    <w:rsid w:val="003E3192"/>
    <w:rsid w:val="003E34A1"/>
    <w:rsid w:val="003E36C9"/>
    <w:rsid w:val="003E3722"/>
    <w:rsid w:val="003E3A11"/>
    <w:rsid w:val="003E42F3"/>
    <w:rsid w:val="003E461A"/>
    <w:rsid w:val="003E59C0"/>
    <w:rsid w:val="003E61DF"/>
    <w:rsid w:val="003E6968"/>
    <w:rsid w:val="003E6FEE"/>
    <w:rsid w:val="003E7DB1"/>
    <w:rsid w:val="003F0207"/>
    <w:rsid w:val="003F0298"/>
    <w:rsid w:val="003F15E9"/>
    <w:rsid w:val="003F15EC"/>
    <w:rsid w:val="003F164A"/>
    <w:rsid w:val="003F1FA2"/>
    <w:rsid w:val="003F2C2B"/>
    <w:rsid w:val="003F3422"/>
    <w:rsid w:val="003F38B6"/>
    <w:rsid w:val="003F398C"/>
    <w:rsid w:val="003F39BF"/>
    <w:rsid w:val="003F3DD8"/>
    <w:rsid w:val="003F3E9B"/>
    <w:rsid w:val="003F4A33"/>
    <w:rsid w:val="003F4E15"/>
    <w:rsid w:val="003F5F6F"/>
    <w:rsid w:val="003F6561"/>
    <w:rsid w:val="003F6808"/>
    <w:rsid w:val="003F6ECB"/>
    <w:rsid w:val="003F711D"/>
    <w:rsid w:val="003F72AC"/>
    <w:rsid w:val="003F7852"/>
    <w:rsid w:val="003F7AAE"/>
    <w:rsid w:val="003F7D63"/>
    <w:rsid w:val="00400105"/>
    <w:rsid w:val="0040014E"/>
    <w:rsid w:val="004001AF"/>
    <w:rsid w:val="00400334"/>
    <w:rsid w:val="004004D7"/>
    <w:rsid w:val="00400D68"/>
    <w:rsid w:val="00400DB0"/>
    <w:rsid w:val="0040124B"/>
    <w:rsid w:val="004022AF"/>
    <w:rsid w:val="004026A0"/>
    <w:rsid w:val="00402723"/>
    <w:rsid w:val="00402E7C"/>
    <w:rsid w:val="00403298"/>
    <w:rsid w:val="00403800"/>
    <w:rsid w:val="00403AC5"/>
    <w:rsid w:val="00403FD4"/>
    <w:rsid w:val="00404024"/>
    <w:rsid w:val="004041DD"/>
    <w:rsid w:val="00404A0E"/>
    <w:rsid w:val="004051C6"/>
    <w:rsid w:val="0040558F"/>
    <w:rsid w:val="00405633"/>
    <w:rsid w:val="00405823"/>
    <w:rsid w:val="004061E4"/>
    <w:rsid w:val="00406852"/>
    <w:rsid w:val="0040764C"/>
    <w:rsid w:val="00407BE3"/>
    <w:rsid w:val="00410793"/>
    <w:rsid w:val="0041105B"/>
    <w:rsid w:val="00411DE6"/>
    <w:rsid w:val="004123B5"/>
    <w:rsid w:val="004127EC"/>
    <w:rsid w:val="004129B2"/>
    <w:rsid w:val="00412A1B"/>
    <w:rsid w:val="00412A6B"/>
    <w:rsid w:val="00412CFB"/>
    <w:rsid w:val="004135EB"/>
    <w:rsid w:val="0041393B"/>
    <w:rsid w:val="00413F82"/>
    <w:rsid w:val="00414605"/>
    <w:rsid w:val="00414D5C"/>
    <w:rsid w:val="00414D7A"/>
    <w:rsid w:val="00414E1E"/>
    <w:rsid w:val="004151BB"/>
    <w:rsid w:val="00415209"/>
    <w:rsid w:val="004152BA"/>
    <w:rsid w:val="00415C13"/>
    <w:rsid w:val="00415E89"/>
    <w:rsid w:val="00415ECD"/>
    <w:rsid w:val="00416186"/>
    <w:rsid w:val="00416656"/>
    <w:rsid w:val="00416BDB"/>
    <w:rsid w:val="00416BEF"/>
    <w:rsid w:val="00416C10"/>
    <w:rsid w:val="00416FBC"/>
    <w:rsid w:val="0041783C"/>
    <w:rsid w:val="00420CCD"/>
    <w:rsid w:val="00420F54"/>
    <w:rsid w:val="0042112A"/>
    <w:rsid w:val="00421241"/>
    <w:rsid w:val="00421291"/>
    <w:rsid w:val="0042168D"/>
    <w:rsid w:val="004228B3"/>
    <w:rsid w:val="00423084"/>
    <w:rsid w:val="004233D9"/>
    <w:rsid w:val="004236FE"/>
    <w:rsid w:val="00424957"/>
    <w:rsid w:val="00424CCA"/>
    <w:rsid w:val="00424D2E"/>
    <w:rsid w:val="00425655"/>
    <w:rsid w:val="00425907"/>
    <w:rsid w:val="00425ADA"/>
    <w:rsid w:val="00425E7D"/>
    <w:rsid w:val="00426168"/>
    <w:rsid w:val="004263BC"/>
    <w:rsid w:val="004265E7"/>
    <w:rsid w:val="00426A2A"/>
    <w:rsid w:val="00426B82"/>
    <w:rsid w:val="00426F85"/>
    <w:rsid w:val="00426FC7"/>
    <w:rsid w:val="0042705B"/>
    <w:rsid w:val="00427234"/>
    <w:rsid w:val="00427904"/>
    <w:rsid w:val="00427A0F"/>
    <w:rsid w:val="00427CEB"/>
    <w:rsid w:val="00427E01"/>
    <w:rsid w:val="004304E6"/>
    <w:rsid w:val="004307E9"/>
    <w:rsid w:val="00430864"/>
    <w:rsid w:val="004308F5"/>
    <w:rsid w:val="00430AD4"/>
    <w:rsid w:val="00430DC9"/>
    <w:rsid w:val="004314DE"/>
    <w:rsid w:val="0043156D"/>
    <w:rsid w:val="004319DA"/>
    <w:rsid w:val="00431E79"/>
    <w:rsid w:val="00432274"/>
    <w:rsid w:val="00432861"/>
    <w:rsid w:val="00432AF2"/>
    <w:rsid w:val="00433083"/>
    <w:rsid w:val="00433579"/>
    <w:rsid w:val="004335A6"/>
    <w:rsid w:val="0043421B"/>
    <w:rsid w:val="00434E9B"/>
    <w:rsid w:val="004353A2"/>
    <w:rsid w:val="00435743"/>
    <w:rsid w:val="00436B5A"/>
    <w:rsid w:val="00436E10"/>
    <w:rsid w:val="004372F1"/>
    <w:rsid w:val="004375E4"/>
    <w:rsid w:val="00440596"/>
    <w:rsid w:val="004405FB"/>
    <w:rsid w:val="00441E07"/>
    <w:rsid w:val="004427AB"/>
    <w:rsid w:val="00442C61"/>
    <w:rsid w:val="00442F1F"/>
    <w:rsid w:val="00443106"/>
    <w:rsid w:val="00443118"/>
    <w:rsid w:val="00443470"/>
    <w:rsid w:val="00443649"/>
    <w:rsid w:val="0044369F"/>
    <w:rsid w:val="00443B6E"/>
    <w:rsid w:val="00444945"/>
    <w:rsid w:val="00444CAB"/>
    <w:rsid w:val="00444E74"/>
    <w:rsid w:val="00444F2B"/>
    <w:rsid w:val="0044527F"/>
    <w:rsid w:val="0044532A"/>
    <w:rsid w:val="00445881"/>
    <w:rsid w:val="00445BE2"/>
    <w:rsid w:val="00446337"/>
    <w:rsid w:val="00446346"/>
    <w:rsid w:val="00446F33"/>
    <w:rsid w:val="00447732"/>
    <w:rsid w:val="004509E1"/>
    <w:rsid w:val="00450A47"/>
    <w:rsid w:val="00451E88"/>
    <w:rsid w:val="0045207D"/>
    <w:rsid w:val="0045220B"/>
    <w:rsid w:val="00452446"/>
    <w:rsid w:val="004524C5"/>
    <w:rsid w:val="00452A2D"/>
    <w:rsid w:val="00452A84"/>
    <w:rsid w:val="0045356B"/>
    <w:rsid w:val="00453595"/>
    <w:rsid w:val="004541E0"/>
    <w:rsid w:val="00454219"/>
    <w:rsid w:val="00454745"/>
    <w:rsid w:val="004549D9"/>
    <w:rsid w:val="00454D23"/>
    <w:rsid w:val="00454F45"/>
    <w:rsid w:val="00454FC0"/>
    <w:rsid w:val="00455063"/>
    <w:rsid w:val="00455437"/>
    <w:rsid w:val="00455621"/>
    <w:rsid w:val="00455D76"/>
    <w:rsid w:val="00455FCB"/>
    <w:rsid w:val="00456DC8"/>
    <w:rsid w:val="00456FB6"/>
    <w:rsid w:val="004574EE"/>
    <w:rsid w:val="004576BB"/>
    <w:rsid w:val="0045771A"/>
    <w:rsid w:val="004577BA"/>
    <w:rsid w:val="004578F7"/>
    <w:rsid w:val="00457A2E"/>
    <w:rsid w:val="00457A56"/>
    <w:rsid w:val="00457AB3"/>
    <w:rsid w:val="00457C1B"/>
    <w:rsid w:val="00457C50"/>
    <w:rsid w:val="00457F4E"/>
    <w:rsid w:val="004604EC"/>
    <w:rsid w:val="00460A34"/>
    <w:rsid w:val="00460A42"/>
    <w:rsid w:val="00460A4E"/>
    <w:rsid w:val="00460ADF"/>
    <w:rsid w:val="00460C2C"/>
    <w:rsid w:val="004614F8"/>
    <w:rsid w:val="0046178B"/>
    <w:rsid w:val="004619DE"/>
    <w:rsid w:val="00461A89"/>
    <w:rsid w:val="00461F4C"/>
    <w:rsid w:val="00461F5E"/>
    <w:rsid w:val="0046225F"/>
    <w:rsid w:val="004623AE"/>
    <w:rsid w:val="0046299A"/>
    <w:rsid w:val="00463B6A"/>
    <w:rsid w:val="00463CB0"/>
    <w:rsid w:val="00464562"/>
    <w:rsid w:val="0046477E"/>
    <w:rsid w:val="0046495A"/>
    <w:rsid w:val="00464B39"/>
    <w:rsid w:val="00464EBD"/>
    <w:rsid w:val="0046518E"/>
    <w:rsid w:val="004654AA"/>
    <w:rsid w:val="00465649"/>
    <w:rsid w:val="00465A5B"/>
    <w:rsid w:val="00465CC6"/>
    <w:rsid w:val="00465D04"/>
    <w:rsid w:val="0046627E"/>
    <w:rsid w:val="00466425"/>
    <w:rsid w:val="00466B4C"/>
    <w:rsid w:val="004671E5"/>
    <w:rsid w:val="00467324"/>
    <w:rsid w:val="004674B4"/>
    <w:rsid w:val="00467683"/>
    <w:rsid w:val="00467D69"/>
    <w:rsid w:val="00467E31"/>
    <w:rsid w:val="004701AA"/>
    <w:rsid w:val="004702AD"/>
    <w:rsid w:val="00470483"/>
    <w:rsid w:val="00470818"/>
    <w:rsid w:val="00470A86"/>
    <w:rsid w:val="00470A90"/>
    <w:rsid w:val="00470E5D"/>
    <w:rsid w:val="00470FBC"/>
    <w:rsid w:val="004710E8"/>
    <w:rsid w:val="004714A8"/>
    <w:rsid w:val="00471605"/>
    <w:rsid w:val="0047202B"/>
    <w:rsid w:val="004725DF"/>
    <w:rsid w:val="00472EA6"/>
    <w:rsid w:val="00472F24"/>
    <w:rsid w:val="00473969"/>
    <w:rsid w:val="004742C2"/>
    <w:rsid w:val="0047444C"/>
    <w:rsid w:val="00474760"/>
    <w:rsid w:val="00474953"/>
    <w:rsid w:val="00474DB2"/>
    <w:rsid w:val="00474E1E"/>
    <w:rsid w:val="00474F47"/>
    <w:rsid w:val="00474F55"/>
    <w:rsid w:val="00475198"/>
    <w:rsid w:val="004754F1"/>
    <w:rsid w:val="004757CC"/>
    <w:rsid w:val="00475803"/>
    <w:rsid w:val="004765F5"/>
    <w:rsid w:val="00476EE2"/>
    <w:rsid w:val="00477030"/>
    <w:rsid w:val="0048009E"/>
    <w:rsid w:val="004800FB"/>
    <w:rsid w:val="00480AD3"/>
    <w:rsid w:val="00480CC0"/>
    <w:rsid w:val="00480D43"/>
    <w:rsid w:val="00480D80"/>
    <w:rsid w:val="00481203"/>
    <w:rsid w:val="0048131F"/>
    <w:rsid w:val="0048156C"/>
    <w:rsid w:val="004819B1"/>
    <w:rsid w:val="00481A50"/>
    <w:rsid w:val="00482C8D"/>
    <w:rsid w:val="00482E84"/>
    <w:rsid w:val="00483193"/>
    <w:rsid w:val="004839BE"/>
    <w:rsid w:val="00483A3D"/>
    <w:rsid w:val="00483D23"/>
    <w:rsid w:val="00483DC1"/>
    <w:rsid w:val="0048407B"/>
    <w:rsid w:val="00484722"/>
    <w:rsid w:val="00484791"/>
    <w:rsid w:val="00484F20"/>
    <w:rsid w:val="00484FB9"/>
    <w:rsid w:val="00485052"/>
    <w:rsid w:val="00485E21"/>
    <w:rsid w:val="004862A1"/>
    <w:rsid w:val="004867C4"/>
    <w:rsid w:val="00486900"/>
    <w:rsid w:val="0048697F"/>
    <w:rsid w:val="00486B21"/>
    <w:rsid w:val="0048720C"/>
    <w:rsid w:val="00487260"/>
    <w:rsid w:val="004872CE"/>
    <w:rsid w:val="004872D7"/>
    <w:rsid w:val="00487B40"/>
    <w:rsid w:val="00487E82"/>
    <w:rsid w:val="00490350"/>
    <w:rsid w:val="00490A4D"/>
    <w:rsid w:val="00491238"/>
    <w:rsid w:val="0049159A"/>
    <w:rsid w:val="004919DC"/>
    <w:rsid w:val="004919FA"/>
    <w:rsid w:val="00491AFA"/>
    <w:rsid w:val="0049253C"/>
    <w:rsid w:val="00492569"/>
    <w:rsid w:val="00492609"/>
    <w:rsid w:val="00492770"/>
    <w:rsid w:val="00492F3E"/>
    <w:rsid w:val="004930A9"/>
    <w:rsid w:val="00493426"/>
    <w:rsid w:val="00493603"/>
    <w:rsid w:val="00493B1F"/>
    <w:rsid w:val="00493B8D"/>
    <w:rsid w:val="00493F5C"/>
    <w:rsid w:val="004942A9"/>
    <w:rsid w:val="0049494B"/>
    <w:rsid w:val="00494DAA"/>
    <w:rsid w:val="00494E5E"/>
    <w:rsid w:val="00495095"/>
    <w:rsid w:val="00495903"/>
    <w:rsid w:val="00495B3E"/>
    <w:rsid w:val="00496836"/>
    <w:rsid w:val="00496870"/>
    <w:rsid w:val="00497649"/>
    <w:rsid w:val="0049764F"/>
    <w:rsid w:val="004978AA"/>
    <w:rsid w:val="004978BE"/>
    <w:rsid w:val="00497B44"/>
    <w:rsid w:val="004A02BE"/>
    <w:rsid w:val="004A0471"/>
    <w:rsid w:val="004A04B9"/>
    <w:rsid w:val="004A06A0"/>
    <w:rsid w:val="004A0946"/>
    <w:rsid w:val="004A1518"/>
    <w:rsid w:val="004A15A0"/>
    <w:rsid w:val="004A1E09"/>
    <w:rsid w:val="004A2190"/>
    <w:rsid w:val="004A21CE"/>
    <w:rsid w:val="004A26F8"/>
    <w:rsid w:val="004A38C4"/>
    <w:rsid w:val="004A3A1B"/>
    <w:rsid w:val="004A3D2F"/>
    <w:rsid w:val="004A3F52"/>
    <w:rsid w:val="004A3F6E"/>
    <w:rsid w:val="004A477C"/>
    <w:rsid w:val="004A4B9E"/>
    <w:rsid w:val="004A5019"/>
    <w:rsid w:val="004A5034"/>
    <w:rsid w:val="004A50D5"/>
    <w:rsid w:val="004A5A3E"/>
    <w:rsid w:val="004A5DA9"/>
    <w:rsid w:val="004A6706"/>
    <w:rsid w:val="004A6FFF"/>
    <w:rsid w:val="004A72A3"/>
    <w:rsid w:val="004A76BD"/>
    <w:rsid w:val="004A773B"/>
    <w:rsid w:val="004A77F0"/>
    <w:rsid w:val="004B0031"/>
    <w:rsid w:val="004B0B09"/>
    <w:rsid w:val="004B1136"/>
    <w:rsid w:val="004B12DB"/>
    <w:rsid w:val="004B1460"/>
    <w:rsid w:val="004B1588"/>
    <w:rsid w:val="004B20D8"/>
    <w:rsid w:val="004B21A8"/>
    <w:rsid w:val="004B2403"/>
    <w:rsid w:val="004B2DE5"/>
    <w:rsid w:val="004B2F57"/>
    <w:rsid w:val="004B2FD9"/>
    <w:rsid w:val="004B31EF"/>
    <w:rsid w:val="004B3A51"/>
    <w:rsid w:val="004B3B45"/>
    <w:rsid w:val="004B3BD9"/>
    <w:rsid w:val="004B3D45"/>
    <w:rsid w:val="004B40FB"/>
    <w:rsid w:val="004B4227"/>
    <w:rsid w:val="004B4406"/>
    <w:rsid w:val="004B5060"/>
    <w:rsid w:val="004B51AE"/>
    <w:rsid w:val="004B51D4"/>
    <w:rsid w:val="004B643F"/>
    <w:rsid w:val="004B6529"/>
    <w:rsid w:val="004B71E0"/>
    <w:rsid w:val="004B73C2"/>
    <w:rsid w:val="004B7402"/>
    <w:rsid w:val="004B7A0C"/>
    <w:rsid w:val="004C0701"/>
    <w:rsid w:val="004C0DE2"/>
    <w:rsid w:val="004C100E"/>
    <w:rsid w:val="004C1316"/>
    <w:rsid w:val="004C1B9C"/>
    <w:rsid w:val="004C33C5"/>
    <w:rsid w:val="004C39CC"/>
    <w:rsid w:val="004C4794"/>
    <w:rsid w:val="004C5CCF"/>
    <w:rsid w:val="004C5D94"/>
    <w:rsid w:val="004C5DF7"/>
    <w:rsid w:val="004C61F4"/>
    <w:rsid w:val="004C639F"/>
    <w:rsid w:val="004C6B07"/>
    <w:rsid w:val="004C74B6"/>
    <w:rsid w:val="004C757C"/>
    <w:rsid w:val="004C7694"/>
    <w:rsid w:val="004C790B"/>
    <w:rsid w:val="004C7EBD"/>
    <w:rsid w:val="004D0104"/>
    <w:rsid w:val="004D0389"/>
    <w:rsid w:val="004D058D"/>
    <w:rsid w:val="004D0CB9"/>
    <w:rsid w:val="004D1467"/>
    <w:rsid w:val="004D1D18"/>
    <w:rsid w:val="004D1F38"/>
    <w:rsid w:val="004D2507"/>
    <w:rsid w:val="004D2B09"/>
    <w:rsid w:val="004D2F47"/>
    <w:rsid w:val="004D30C5"/>
    <w:rsid w:val="004D3245"/>
    <w:rsid w:val="004D326F"/>
    <w:rsid w:val="004D33C4"/>
    <w:rsid w:val="004D33C5"/>
    <w:rsid w:val="004D35C3"/>
    <w:rsid w:val="004D35D4"/>
    <w:rsid w:val="004D3924"/>
    <w:rsid w:val="004D39FA"/>
    <w:rsid w:val="004D3BA6"/>
    <w:rsid w:val="004D407C"/>
    <w:rsid w:val="004D4226"/>
    <w:rsid w:val="004D4591"/>
    <w:rsid w:val="004D4AFA"/>
    <w:rsid w:val="004D4B5F"/>
    <w:rsid w:val="004D5394"/>
    <w:rsid w:val="004D553B"/>
    <w:rsid w:val="004D56D6"/>
    <w:rsid w:val="004D58BA"/>
    <w:rsid w:val="004D5F6E"/>
    <w:rsid w:val="004D6572"/>
    <w:rsid w:val="004D6C5F"/>
    <w:rsid w:val="004D7677"/>
    <w:rsid w:val="004D769A"/>
    <w:rsid w:val="004D78FB"/>
    <w:rsid w:val="004D7AFF"/>
    <w:rsid w:val="004E0026"/>
    <w:rsid w:val="004E004C"/>
    <w:rsid w:val="004E0247"/>
    <w:rsid w:val="004E0617"/>
    <w:rsid w:val="004E082C"/>
    <w:rsid w:val="004E0B40"/>
    <w:rsid w:val="004E0FF6"/>
    <w:rsid w:val="004E120D"/>
    <w:rsid w:val="004E15A6"/>
    <w:rsid w:val="004E1791"/>
    <w:rsid w:val="004E17E8"/>
    <w:rsid w:val="004E1978"/>
    <w:rsid w:val="004E1BA6"/>
    <w:rsid w:val="004E1DD6"/>
    <w:rsid w:val="004E28E0"/>
    <w:rsid w:val="004E2CF6"/>
    <w:rsid w:val="004E2E73"/>
    <w:rsid w:val="004E31D1"/>
    <w:rsid w:val="004E3DE2"/>
    <w:rsid w:val="004E460E"/>
    <w:rsid w:val="004E47C6"/>
    <w:rsid w:val="004E4EFB"/>
    <w:rsid w:val="004E4FA6"/>
    <w:rsid w:val="004E51F6"/>
    <w:rsid w:val="004E5B70"/>
    <w:rsid w:val="004E6222"/>
    <w:rsid w:val="004E6392"/>
    <w:rsid w:val="004E68A9"/>
    <w:rsid w:val="004E73A6"/>
    <w:rsid w:val="004E7686"/>
    <w:rsid w:val="004E7A01"/>
    <w:rsid w:val="004E7D91"/>
    <w:rsid w:val="004F074C"/>
    <w:rsid w:val="004F1346"/>
    <w:rsid w:val="004F1B39"/>
    <w:rsid w:val="004F20AE"/>
    <w:rsid w:val="004F22AA"/>
    <w:rsid w:val="004F24D0"/>
    <w:rsid w:val="004F48A1"/>
    <w:rsid w:val="004F6932"/>
    <w:rsid w:val="004F6A18"/>
    <w:rsid w:val="00500405"/>
    <w:rsid w:val="005008AA"/>
    <w:rsid w:val="00500BF8"/>
    <w:rsid w:val="00500C09"/>
    <w:rsid w:val="00500D4A"/>
    <w:rsid w:val="005017D0"/>
    <w:rsid w:val="00501845"/>
    <w:rsid w:val="00501B07"/>
    <w:rsid w:val="00501BCA"/>
    <w:rsid w:val="00502009"/>
    <w:rsid w:val="00502629"/>
    <w:rsid w:val="00502773"/>
    <w:rsid w:val="00502CD6"/>
    <w:rsid w:val="0050321F"/>
    <w:rsid w:val="00503463"/>
    <w:rsid w:val="0050372E"/>
    <w:rsid w:val="0050383D"/>
    <w:rsid w:val="00503DCD"/>
    <w:rsid w:val="00503F8C"/>
    <w:rsid w:val="005043A9"/>
    <w:rsid w:val="0050492E"/>
    <w:rsid w:val="00504D3E"/>
    <w:rsid w:val="00504EE4"/>
    <w:rsid w:val="00504FEC"/>
    <w:rsid w:val="005052ED"/>
    <w:rsid w:val="0050532E"/>
    <w:rsid w:val="00505BAC"/>
    <w:rsid w:val="00505D1D"/>
    <w:rsid w:val="005061DD"/>
    <w:rsid w:val="00506BBD"/>
    <w:rsid w:val="00507223"/>
    <w:rsid w:val="0050780D"/>
    <w:rsid w:val="005101C0"/>
    <w:rsid w:val="00510672"/>
    <w:rsid w:val="005107A6"/>
    <w:rsid w:val="0051168D"/>
    <w:rsid w:val="00512438"/>
    <w:rsid w:val="00512549"/>
    <w:rsid w:val="00512971"/>
    <w:rsid w:val="00512D3C"/>
    <w:rsid w:val="00512EE6"/>
    <w:rsid w:val="005141BF"/>
    <w:rsid w:val="005145BF"/>
    <w:rsid w:val="00514646"/>
    <w:rsid w:val="00514E4A"/>
    <w:rsid w:val="0051580B"/>
    <w:rsid w:val="005158BF"/>
    <w:rsid w:val="005162FB"/>
    <w:rsid w:val="00516335"/>
    <w:rsid w:val="005163BC"/>
    <w:rsid w:val="00516ABF"/>
    <w:rsid w:val="00516BE0"/>
    <w:rsid w:val="00516E49"/>
    <w:rsid w:val="00516FBF"/>
    <w:rsid w:val="00517523"/>
    <w:rsid w:val="005178E3"/>
    <w:rsid w:val="005200D4"/>
    <w:rsid w:val="0052062F"/>
    <w:rsid w:val="0052091D"/>
    <w:rsid w:val="005217CF"/>
    <w:rsid w:val="005218CA"/>
    <w:rsid w:val="00521BF6"/>
    <w:rsid w:val="00521E08"/>
    <w:rsid w:val="00522163"/>
    <w:rsid w:val="005226C2"/>
    <w:rsid w:val="00522772"/>
    <w:rsid w:val="005228EA"/>
    <w:rsid w:val="00522FB5"/>
    <w:rsid w:val="0052311B"/>
    <w:rsid w:val="00523172"/>
    <w:rsid w:val="00523640"/>
    <w:rsid w:val="00524202"/>
    <w:rsid w:val="0052481D"/>
    <w:rsid w:val="00524F15"/>
    <w:rsid w:val="005252CE"/>
    <w:rsid w:val="0052549F"/>
    <w:rsid w:val="005257BB"/>
    <w:rsid w:val="00525DE2"/>
    <w:rsid w:val="0052609B"/>
    <w:rsid w:val="00526502"/>
    <w:rsid w:val="00526573"/>
    <w:rsid w:val="00526A32"/>
    <w:rsid w:val="00526AD5"/>
    <w:rsid w:val="00526DBA"/>
    <w:rsid w:val="00527561"/>
    <w:rsid w:val="00530381"/>
    <w:rsid w:val="00530876"/>
    <w:rsid w:val="005308B2"/>
    <w:rsid w:val="00530A83"/>
    <w:rsid w:val="00530BCB"/>
    <w:rsid w:val="00530C55"/>
    <w:rsid w:val="00530E9A"/>
    <w:rsid w:val="005312C3"/>
    <w:rsid w:val="00531E48"/>
    <w:rsid w:val="00532ABA"/>
    <w:rsid w:val="00532C21"/>
    <w:rsid w:val="00532C56"/>
    <w:rsid w:val="00532EEB"/>
    <w:rsid w:val="0053307F"/>
    <w:rsid w:val="0053314B"/>
    <w:rsid w:val="005332A5"/>
    <w:rsid w:val="0053342B"/>
    <w:rsid w:val="00533610"/>
    <w:rsid w:val="00533779"/>
    <w:rsid w:val="00533915"/>
    <w:rsid w:val="00533F86"/>
    <w:rsid w:val="00534026"/>
    <w:rsid w:val="0053467D"/>
    <w:rsid w:val="00534842"/>
    <w:rsid w:val="00534E27"/>
    <w:rsid w:val="0053519C"/>
    <w:rsid w:val="0053524D"/>
    <w:rsid w:val="0053534C"/>
    <w:rsid w:val="005358F8"/>
    <w:rsid w:val="00535E01"/>
    <w:rsid w:val="00535E07"/>
    <w:rsid w:val="00535E64"/>
    <w:rsid w:val="00536216"/>
    <w:rsid w:val="005365C8"/>
    <w:rsid w:val="0053679B"/>
    <w:rsid w:val="00536A6C"/>
    <w:rsid w:val="00536D59"/>
    <w:rsid w:val="00536DDB"/>
    <w:rsid w:val="0053733B"/>
    <w:rsid w:val="0053752C"/>
    <w:rsid w:val="005376E9"/>
    <w:rsid w:val="0054045E"/>
    <w:rsid w:val="005407B9"/>
    <w:rsid w:val="00540B08"/>
    <w:rsid w:val="00540EA5"/>
    <w:rsid w:val="00541559"/>
    <w:rsid w:val="005418DD"/>
    <w:rsid w:val="00541E6C"/>
    <w:rsid w:val="00542A40"/>
    <w:rsid w:val="00542C5F"/>
    <w:rsid w:val="00542E97"/>
    <w:rsid w:val="005431B7"/>
    <w:rsid w:val="00543A68"/>
    <w:rsid w:val="005442E7"/>
    <w:rsid w:val="00544AD0"/>
    <w:rsid w:val="00544F98"/>
    <w:rsid w:val="005457E7"/>
    <w:rsid w:val="00545B90"/>
    <w:rsid w:val="00545E8E"/>
    <w:rsid w:val="00546012"/>
    <w:rsid w:val="00546051"/>
    <w:rsid w:val="00546297"/>
    <w:rsid w:val="00547414"/>
    <w:rsid w:val="00550D29"/>
    <w:rsid w:val="0055171E"/>
    <w:rsid w:val="00551914"/>
    <w:rsid w:val="00551940"/>
    <w:rsid w:val="0055197B"/>
    <w:rsid w:val="00551DCB"/>
    <w:rsid w:val="00552147"/>
    <w:rsid w:val="005521E7"/>
    <w:rsid w:val="00552514"/>
    <w:rsid w:val="00552E52"/>
    <w:rsid w:val="00553073"/>
    <w:rsid w:val="0055398A"/>
    <w:rsid w:val="00553D2A"/>
    <w:rsid w:val="00553DA8"/>
    <w:rsid w:val="00553DDD"/>
    <w:rsid w:val="005542B6"/>
    <w:rsid w:val="005542BE"/>
    <w:rsid w:val="0055489D"/>
    <w:rsid w:val="00554A93"/>
    <w:rsid w:val="00554AFE"/>
    <w:rsid w:val="00555042"/>
    <w:rsid w:val="005556B1"/>
    <w:rsid w:val="00555F1B"/>
    <w:rsid w:val="00556360"/>
    <w:rsid w:val="00556A73"/>
    <w:rsid w:val="00556B0A"/>
    <w:rsid w:val="00556BC2"/>
    <w:rsid w:val="0055709F"/>
    <w:rsid w:val="005574C4"/>
    <w:rsid w:val="005579B0"/>
    <w:rsid w:val="005612C5"/>
    <w:rsid w:val="005615CC"/>
    <w:rsid w:val="0056168E"/>
    <w:rsid w:val="00561987"/>
    <w:rsid w:val="00561D72"/>
    <w:rsid w:val="00562391"/>
    <w:rsid w:val="00562653"/>
    <w:rsid w:val="00562787"/>
    <w:rsid w:val="00562898"/>
    <w:rsid w:val="00563606"/>
    <w:rsid w:val="00563691"/>
    <w:rsid w:val="00563D3F"/>
    <w:rsid w:val="00564310"/>
    <w:rsid w:val="00564E63"/>
    <w:rsid w:val="00565071"/>
    <w:rsid w:val="005650A5"/>
    <w:rsid w:val="00565427"/>
    <w:rsid w:val="005654B9"/>
    <w:rsid w:val="00565BB2"/>
    <w:rsid w:val="00565D9C"/>
    <w:rsid w:val="0056633E"/>
    <w:rsid w:val="0056644F"/>
    <w:rsid w:val="00566906"/>
    <w:rsid w:val="00566995"/>
    <w:rsid w:val="00567082"/>
    <w:rsid w:val="00567223"/>
    <w:rsid w:val="00567530"/>
    <w:rsid w:val="0056760E"/>
    <w:rsid w:val="00567E6D"/>
    <w:rsid w:val="005700D1"/>
    <w:rsid w:val="005700FF"/>
    <w:rsid w:val="005706F5"/>
    <w:rsid w:val="00570F57"/>
    <w:rsid w:val="005723F9"/>
    <w:rsid w:val="00572578"/>
    <w:rsid w:val="0057274C"/>
    <w:rsid w:val="005729C5"/>
    <w:rsid w:val="00573530"/>
    <w:rsid w:val="00573700"/>
    <w:rsid w:val="00573A67"/>
    <w:rsid w:val="005742F4"/>
    <w:rsid w:val="00574B76"/>
    <w:rsid w:val="00575691"/>
    <w:rsid w:val="00575736"/>
    <w:rsid w:val="00575C8C"/>
    <w:rsid w:val="00576510"/>
    <w:rsid w:val="00576659"/>
    <w:rsid w:val="005768FF"/>
    <w:rsid w:val="00576B9F"/>
    <w:rsid w:val="00576FAB"/>
    <w:rsid w:val="00577D5F"/>
    <w:rsid w:val="005808FA"/>
    <w:rsid w:val="00581425"/>
    <w:rsid w:val="00581BA6"/>
    <w:rsid w:val="0058293B"/>
    <w:rsid w:val="00582B4E"/>
    <w:rsid w:val="00583B95"/>
    <w:rsid w:val="00583F9F"/>
    <w:rsid w:val="00584196"/>
    <w:rsid w:val="005844BC"/>
    <w:rsid w:val="00584532"/>
    <w:rsid w:val="00584863"/>
    <w:rsid w:val="00584E8F"/>
    <w:rsid w:val="0058506F"/>
    <w:rsid w:val="005850BB"/>
    <w:rsid w:val="005851B1"/>
    <w:rsid w:val="0058526F"/>
    <w:rsid w:val="00586485"/>
    <w:rsid w:val="0058653F"/>
    <w:rsid w:val="00587611"/>
    <w:rsid w:val="00587A34"/>
    <w:rsid w:val="00587DB7"/>
    <w:rsid w:val="00590236"/>
    <w:rsid w:val="005906EB"/>
    <w:rsid w:val="00591420"/>
    <w:rsid w:val="00591A86"/>
    <w:rsid w:val="00591E23"/>
    <w:rsid w:val="00592110"/>
    <w:rsid w:val="00592AC2"/>
    <w:rsid w:val="00592AE0"/>
    <w:rsid w:val="00592C1A"/>
    <w:rsid w:val="00593256"/>
    <w:rsid w:val="0059436C"/>
    <w:rsid w:val="00594F21"/>
    <w:rsid w:val="00595195"/>
    <w:rsid w:val="00595313"/>
    <w:rsid w:val="005958DF"/>
    <w:rsid w:val="00595F48"/>
    <w:rsid w:val="0059602A"/>
    <w:rsid w:val="005960F5"/>
    <w:rsid w:val="005961FB"/>
    <w:rsid w:val="0059654F"/>
    <w:rsid w:val="0059665E"/>
    <w:rsid w:val="00596752"/>
    <w:rsid w:val="005967CE"/>
    <w:rsid w:val="005969B8"/>
    <w:rsid w:val="00597280"/>
    <w:rsid w:val="005973CA"/>
    <w:rsid w:val="00597994"/>
    <w:rsid w:val="00597E1C"/>
    <w:rsid w:val="00597FD0"/>
    <w:rsid w:val="005A0162"/>
    <w:rsid w:val="005A07AA"/>
    <w:rsid w:val="005A1126"/>
    <w:rsid w:val="005A13EA"/>
    <w:rsid w:val="005A148E"/>
    <w:rsid w:val="005A1C74"/>
    <w:rsid w:val="005A1FC6"/>
    <w:rsid w:val="005A240C"/>
    <w:rsid w:val="005A2820"/>
    <w:rsid w:val="005A2979"/>
    <w:rsid w:val="005A2E52"/>
    <w:rsid w:val="005A2EB2"/>
    <w:rsid w:val="005A3445"/>
    <w:rsid w:val="005A4188"/>
    <w:rsid w:val="005A45BE"/>
    <w:rsid w:val="005A4AD4"/>
    <w:rsid w:val="005A51AA"/>
    <w:rsid w:val="005A539F"/>
    <w:rsid w:val="005A5ED4"/>
    <w:rsid w:val="005A610E"/>
    <w:rsid w:val="005A657C"/>
    <w:rsid w:val="005A6784"/>
    <w:rsid w:val="005A6D63"/>
    <w:rsid w:val="005A7494"/>
    <w:rsid w:val="005A74C4"/>
    <w:rsid w:val="005A7994"/>
    <w:rsid w:val="005A7D08"/>
    <w:rsid w:val="005B03AD"/>
    <w:rsid w:val="005B0C40"/>
    <w:rsid w:val="005B0C57"/>
    <w:rsid w:val="005B0E1F"/>
    <w:rsid w:val="005B0FC9"/>
    <w:rsid w:val="005B1606"/>
    <w:rsid w:val="005B175A"/>
    <w:rsid w:val="005B1AFB"/>
    <w:rsid w:val="005B1B4A"/>
    <w:rsid w:val="005B1B5E"/>
    <w:rsid w:val="005B243C"/>
    <w:rsid w:val="005B2F86"/>
    <w:rsid w:val="005B342A"/>
    <w:rsid w:val="005B4790"/>
    <w:rsid w:val="005B4820"/>
    <w:rsid w:val="005B48C4"/>
    <w:rsid w:val="005B492A"/>
    <w:rsid w:val="005B4B2A"/>
    <w:rsid w:val="005B5F88"/>
    <w:rsid w:val="005B617C"/>
    <w:rsid w:val="005B6234"/>
    <w:rsid w:val="005B6711"/>
    <w:rsid w:val="005B690A"/>
    <w:rsid w:val="005B6DE2"/>
    <w:rsid w:val="005B7195"/>
    <w:rsid w:val="005B7586"/>
    <w:rsid w:val="005B791D"/>
    <w:rsid w:val="005B7AC6"/>
    <w:rsid w:val="005C016D"/>
    <w:rsid w:val="005C0752"/>
    <w:rsid w:val="005C0987"/>
    <w:rsid w:val="005C0C78"/>
    <w:rsid w:val="005C152D"/>
    <w:rsid w:val="005C162E"/>
    <w:rsid w:val="005C1825"/>
    <w:rsid w:val="005C223E"/>
    <w:rsid w:val="005C2A15"/>
    <w:rsid w:val="005C2D88"/>
    <w:rsid w:val="005C356C"/>
    <w:rsid w:val="005C4488"/>
    <w:rsid w:val="005C4B49"/>
    <w:rsid w:val="005C4DF1"/>
    <w:rsid w:val="005C5768"/>
    <w:rsid w:val="005C5909"/>
    <w:rsid w:val="005C592F"/>
    <w:rsid w:val="005C5B3C"/>
    <w:rsid w:val="005C6061"/>
    <w:rsid w:val="005C6160"/>
    <w:rsid w:val="005C64B9"/>
    <w:rsid w:val="005C67B1"/>
    <w:rsid w:val="005C6996"/>
    <w:rsid w:val="005C6C91"/>
    <w:rsid w:val="005C7002"/>
    <w:rsid w:val="005C738F"/>
    <w:rsid w:val="005C778B"/>
    <w:rsid w:val="005C7845"/>
    <w:rsid w:val="005D066F"/>
    <w:rsid w:val="005D0E18"/>
    <w:rsid w:val="005D16DE"/>
    <w:rsid w:val="005D1865"/>
    <w:rsid w:val="005D1E1B"/>
    <w:rsid w:val="005D20B6"/>
    <w:rsid w:val="005D2694"/>
    <w:rsid w:val="005D29AD"/>
    <w:rsid w:val="005D2EA1"/>
    <w:rsid w:val="005D30C7"/>
    <w:rsid w:val="005D3B52"/>
    <w:rsid w:val="005D3C12"/>
    <w:rsid w:val="005D4549"/>
    <w:rsid w:val="005D4B6A"/>
    <w:rsid w:val="005D5BCF"/>
    <w:rsid w:val="005D5EA9"/>
    <w:rsid w:val="005D63A7"/>
    <w:rsid w:val="005D6B79"/>
    <w:rsid w:val="005D707F"/>
    <w:rsid w:val="005D76BD"/>
    <w:rsid w:val="005D7AB8"/>
    <w:rsid w:val="005D7B99"/>
    <w:rsid w:val="005D7F59"/>
    <w:rsid w:val="005D7FA7"/>
    <w:rsid w:val="005E05D2"/>
    <w:rsid w:val="005E0797"/>
    <w:rsid w:val="005E07AF"/>
    <w:rsid w:val="005E07E5"/>
    <w:rsid w:val="005E0F84"/>
    <w:rsid w:val="005E0FA8"/>
    <w:rsid w:val="005E12D6"/>
    <w:rsid w:val="005E12E4"/>
    <w:rsid w:val="005E1BB7"/>
    <w:rsid w:val="005E2224"/>
    <w:rsid w:val="005E2329"/>
    <w:rsid w:val="005E24E1"/>
    <w:rsid w:val="005E26A1"/>
    <w:rsid w:val="005E2745"/>
    <w:rsid w:val="005E2A7C"/>
    <w:rsid w:val="005E2EC3"/>
    <w:rsid w:val="005E3067"/>
    <w:rsid w:val="005E3B0D"/>
    <w:rsid w:val="005E3DA7"/>
    <w:rsid w:val="005E43CE"/>
    <w:rsid w:val="005E4A8F"/>
    <w:rsid w:val="005E5617"/>
    <w:rsid w:val="005E562B"/>
    <w:rsid w:val="005E5965"/>
    <w:rsid w:val="005E5F6D"/>
    <w:rsid w:val="005E6097"/>
    <w:rsid w:val="005E682D"/>
    <w:rsid w:val="005E6D3E"/>
    <w:rsid w:val="005E6DBB"/>
    <w:rsid w:val="005E7222"/>
    <w:rsid w:val="005E722C"/>
    <w:rsid w:val="005E7903"/>
    <w:rsid w:val="005E795E"/>
    <w:rsid w:val="005F0160"/>
    <w:rsid w:val="005F053A"/>
    <w:rsid w:val="005F061D"/>
    <w:rsid w:val="005F06E2"/>
    <w:rsid w:val="005F112D"/>
    <w:rsid w:val="005F13AF"/>
    <w:rsid w:val="005F13BD"/>
    <w:rsid w:val="005F1AFB"/>
    <w:rsid w:val="005F1FA2"/>
    <w:rsid w:val="005F20A1"/>
    <w:rsid w:val="005F2B42"/>
    <w:rsid w:val="005F2B74"/>
    <w:rsid w:val="005F2C50"/>
    <w:rsid w:val="005F2C70"/>
    <w:rsid w:val="005F2E5D"/>
    <w:rsid w:val="005F3053"/>
    <w:rsid w:val="005F343B"/>
    <w:rsid w:val="005F3562"/>
    <w:rsid w:val="005F3611"/>
    <w:rsid w:val="005F39EF"/>
    <w:rsid w:val="005F3E39"/>
    <w:rsid w:val="005F3ECE"/>
    <w:rsid w:val="005F42A4"/>
    <w:rsid w:val="005F42BA"/>
    <w:rsid w:val="005F5966"/>
    <w:rsid w:val="005F5A4C"/>
    <w:rsid w:val="005F6350"/>
    <w:rsid w:val="005F670F"/>
    <w:rsid w:val="005F70D3"/>
    <w:rsid w:val="005F7CD7"/>
    <w:rsid w:val="006001C7"/>
    <w:rsid w:val="006001F4"/>
    <w:rsid w:val="0060060B"/>
    <w:rsid w:val="00600A6E"/>
    <w:rsid w:val="00600B61"/>
    <w:rsid w:val="0060121F"/>
    <w:rsid w:val="0060159C"/>
    <w:rsid w:val="0060271A"/>
    <w:rsid w:val="00602A1F"/>
    <w:rsid w:val="00602E4C"/>
    <w:rsid w:val="00602EB5"/>
    <w:rsid w:val="00603812"/>
    <w:rsid w:val="00603E15"/>
    <w:rsid w:val="0060456C"/>
    <w:rsid w:val="00604645"/>
    <w:rsid w:val="006049ED"/>
    <w:rsid w:val="00604B73"/>
    <w:rsid w:val="00604CD9"/>
    <w:rsid w:val="006062F5"/>
    <w:rsid w:val="00607125"/>
    <w:rsid w:val="006076FB"/>
    <w:rsid w:val="00607FF3"/>
    <w:rsid w:val="00610B84"/>
    <w:rsid w:val="006110EF"/>
    <w:rsid w:val="00611297"/>
    <w:rsid w:val="006114F7"/>
    <w:rsid w:val="006124C8"/>
    <w:rsid w:val="006130A9"/>
    <w:rsid w:val="006130B9"/>
    <w:rsid w:val="006130CF"/>
    <w:rsid w:val="00613422"/>
    <w:rsid w:val="0061373E"/>
    <w:rsid w:val="006137CC"/>
    <w:rsid w:val="00613D72"/>
    <w:rsid w:val="0061421B"/>
    <w:rsid w:val="00614283"/>
    <w:rsid w:val="006148CC"/>
    <w:rsid w:val="006148F0"/>
    <w:rsid w:val="00614A4C"/>
    <w:rsid w:val="00614CB5"/>
    <w:rsid w:val="006151CA"/>
    <w:rsid w:val="00615539"/>
    <w:rsid w:val="00615C81"/>
    <w:rsid w:val="00615CEA"/>
    <w:rsid w:val="00616610"/>
    <w:rsid w:val="006166CB"/>
    <w:rsid w:val="00616CD3"/>
    <w:rsid w:val="006171F9"/>
    <w:rsid w:val="006173F8"/>
    <w:rsid w:val="00620540"/>
    <w:rsid w:val="006209FA"/>
    <w:rsid w:val="00620E95"/>
    <w:rsid w:val="00621499"/>
    <w:rsid w:val="006216A0"/>
    <w:rsid w:val="00621763"/>
    <w:rsid w:val="00621A08"/>
    <w:rsid w:val="00621E25"/>
    <w:rsid w:val="00621F56"/>
    <w:rsid w:val="006225A0"/>
    <w:rsid w:val="00622814"/>
    <w:rsid w:val="00622B23"/>
    <w:rsid w:val="00622C4A"/>
    <w:rsid w:val="00622C80"/>
    <w:rsid w:val="00623214"/>
    <w:rsid w:val="00623486"/>
    <w:rsid w:val="00624058"/>
    <w:rsid w:val="006242B0"/>
    <w:rsid w:val="00624986"/>
    <w:rsid w:val="0062499E"/>
    <w:rsid w:val="00624B8B"/>
    <w:rsid w:val="00624D06"/>
    <w:rsid w:val="00624F01"/>
    <w:rsid w:val="00625449"/>
    <w:rsid w:val="00625E75"/>
    <w:rsid w:val="006273DB"/>
    <w:rsid w:val="0062748D"/>
    <w:rsid w:val="00627F7B"/>
    <w:rsid w:val="00630CC0"/>
    <w:rsid w:val="00630FFA"/>
    <w:rsid w:val="00631559"/>
    <w:rsid w:val="00631A68"/>
    <w:rsid w:val="00631DDA"/>
    <w:rsid w:val="00632263"/>
    <w:rsid w:val="00632674"/>
    <w:rsid w:val="00632910"/>
    <w:rsid w:val="00632B5B"/>
    <w:rsid w:val="00633CD8"/>
    <w:rsid w:val="00633E0D"/>
    <w:rsid w:val="00633F86"/>
    <w:rsid w:val="006341F3"/>
    <w:rsid w:val="006343CA"/>
    <w:rsid w:val="00634477"/>
    <w:rsid w:val="00634506"/>
    <w:rsid w:val="00634611"/>
    <w:rsid w:val="006347F7"/>
    <w:rsid w:val="00634B0A"/>
    <w:rsid w:val="00634C8B"/>
    <w:rsid w:val="0063504F"/>
    <w:rsid w:val="006350D9"/>
    <w:rsid w:val="0063524A"/>
    <w:rsid w:val="006353B2"/>
    <w:rsid w:val="00635B34"/>
    <w:rsid w:val="00635DE7"/>
    <w:rsid w:val="006365BC"/>
    <w:rsid w:val="00636639"/>
    <w:rsid w:val="00636B24"/>
    <w:rsid w:val="00636D56"/>
    <w:rsid w:val="00637E00"/>
    <w:rsid w:val="00637FAD"/>
    <w:rsid w:val="006403A9"/>
    <w:rsid w:val="0064066B"/>
    <w:rsid w:val="00640D9A"/>
    <w:rsid w:val="00640E6C"/>
    <w:rsid w:val="00641CDD"/>
    <w:rsid w:val="00642127"/>
    <w:rsid w:val="006431D6"/>
    <w:rsid w:val="00643557"/>
    <w:rsid w:val="006435CD"/>
    <w:rsid w:val="006439F9"/>
    <w:rsid w:val="00643ED7"/>
    <w:rsid w:val="00644066"/>
    <w:rsid w:val="006444F6"/>
    <w:rsid w:val="006446DB"/>
    <w:rsid w:val="0064482F"/>
    <w:rsid w:val="006449FB"/>
    <w:rsid w:val="00644C2F"/>
    <w:rsid w:val="00644E6D"/>
    <w:rsid w:val="006451ED"/>
    <w:rsid w:val="00645657"/>
    <w:rsid w:val="00645C38"/>
    <w:rsid w:val="006460C5"/>
    <w:rsid w:val="0064634F"/>
    <w:rsid w:val="006469A6"/>
    <w:rsid w:val="00646B1B"/>
    <w:rsid w:val="006471F8"/>
    <w:rsid w:val="00647829"/>
    <w:rsid w:val="00647A2A"/>
    <w:rsid w:val="00647BC6"/>
    <w:rsid w:val="00647C3A"/>
    <w:rsid w:val="00647F0D"/>
    <w:rsid w:val="0065022B"/>
    <w:rsid w:val="0065068D"/>
    <w:rsid w:val="00650847"/>
    <w:rsid w:val="0065087B"/>
    <w:rsid w:val="00650DCE"/>
    <w:rsid w:val="00650E61"/>
    <w:rsid w:val="006510E2"/>
    <w:rsid w:val="00651814"/>
    <w:rsid w:val="00651A1C"/>
    <w:rsid w:val="00651A3B"/>
    <w:rsid w:val="00651C99"/>
    <w:rsid w:val="00651EF2"/>
    <w:rsid w:val="00653060"/>
    <w:rsid w:val="006530A7"/>
    <w:rsid w:val="006530B8"/>
    <w:rsid w:val="00653286"/>
    <w:rsid w:val="00653DC8"/>
    <w:rsid w:val="00653E82"/>
    <w:rsid w:val="00654991"/>
    <w:rsid w:val="00654EF8"/>
    <w:rsid w:val="0065556E"/>
    <w:rsid w:val="00655A31"/>
    <w:rsid w:val="00656223"/>
    <w:rsid w:val="006563DA"/>
    <w:rsid w:val="0065698E"/>
    <w:rsid w:val="00656B10"/>
    <w:rsid w:val="00656D08"/>
    <w:rsid w:val="00656DB6"/>
    <w:rsid w:val="00657672"/>
    <w:rsid w:val="00657CED"/>
    <w:rsid w:val="006601C4"/>
    <w:rsid w:val="0066032A"/>
    <w:rsid w:val="0066072B"/>
    <w:rsid w:val="00660CA6"/>
    <w:rsid w:val="00660FC7"/>
    <w:rsid w:val="00661159"/>
    <w:rsid w:val="00661BBC"/>
    <w:rsid w:val="00661FFC"/>
    <w:rsid w:val="00662CFF"/>
    <w:rsid w:val="00662DC8"/>
    <w:rsid w:val="00663502"/>
    <w:rsid w:val="00663F0B"/>
    <w:rsid w:val="006640CD"/>
    <w:rsid w:val="0066430C"/>
    <w:rsid w:val="00664328"/>
    <w:rsid w:val="0066469A"/>
    <w:rsid w:val="006649E3"/>
    <w:rsid w:val="00665A98"/>
    <w:rsid w:val="00665ECC"/>
    <w:rsid w:val="0066613C"/>
    <w:rsid w:val="0066651D"/>
    <w:rsid w:val="006666AE"/>
    <w:rsid w:val="00666AF0"/>
    <w:rsid w:val="00666CF7"/>
    <w:rsid w:val="00667141"/>
    <w:rsid w:val="0066789B"/>
    <w:rsid w:val="00667974"/>
    <w:rsid w:val="00667989"/>
    <w:rsid w:val="00667C25"/>
    <w:rsid w:val="00667C94"/>
    <w:rsid w:val="006707DA"/>
    <w:rsid w:val="00670C6A"/>
    <w:rsid w:val="00670E83"/>
    <w:rsid w:val="0067178D"/>
    <w:rsid w:val="00671912"/>
    <w:rsid w:val="00671B32"/>
    <w:rsid w:val="00671FD2"/>
    <w:rsid w:val="0067267E"/>
    <w:rsid w:val="00672B8C"/>
    <w:rsid w:val="00672E06"/>
    <w:rsid w:val="00672FD4"/>
    <w:rsid w:val="00673618"/>
    <w:rsid w:val="00673829"/>
    <w:rsid w:val="00674488"/>
    <w:rsid w:val="006749EA"/>
    <w:rsid w:val="00674B35"/>
    <w:rsid w:val="00675191"/>
    <w:rsid w:val="00675B6B"/>
    <w:rsid w:val="00675E2C"/>
    <w:rsid w:val="00676670"/>
    <w:rsid w:val="00676B77"/>
    <w:rsid w:val="00676C93"/>
    <w:rsid w:val="00676EAA"/>
    <w:rsid w:val="00677A4A"/>
    <w:rsid w:val="00677A9F"/>
    <w:rsid w:val="0068044B"/>
    <w:rsid w:val="006805C7"/>
    <w:rsid w:val="00680B23"/>
    <w:rsid w:val="00680FD8"/>
    <w:rsid w:val="00681073"/>
    <w:rsid w:val="00681BFF"/>
    <w:rsid w:val="006822A4"/>
    <w:rsid w:val="0068243E"/>
    <w:rsid w:val="00682870"/>
    <w:rsid w:val="006828DC"/>
    <w:rsid w:val="0068295F"/>
    <w:rsid w:val="006829C7"/>
    <w:rsid w:val="00682F18"/>
    <w:rsid w:val="006831C7"/>
    <w:rsid w:val="00683398"/>
    <w:rsid w:val="006834CF"/>
    <w:rsid w:val="00683737"/>
    <w:rsid w:val="0068374C"/>
    <w:rsid w:val="0068377E"/>
    <w:rsid w:val="00683844"/>
    <w:rsid w:val="00683BEC"/>
    <w:rsid w:val="0068469A"/>
    <w:rsid w:val="006847C9"/>
    <w:rsid w:val="006848B6"/>
    <w:rsid w:val="00684A09"/>
    <w:rsid w:val="00684E75"/>
    <w:rsid w:val="00684E80"/>
    <w:rsid w:val="0068603F"/>
    <w:rsid w:val="00686085"/>
    <w:rsid w:val="006860A3"/>
    <w:rsid w:val="0068630E"/>
    <w:rsid w:val="006863BD"/>
    <w:rsid w:val="00686472"/>
    <w:rsid w:val="006864E6"/>
    <w:rsid w:val="00686F4B"/>
    <w:rsid w:val="00687FB1"/>
    <w:rsid w:val="0069086C"/>
    <w:rsid w:val="006908AD"/>
    <w:rsid w:val="0069098F"/>
    <w:rsid w:val="00690EA2"/>
    <w:rsid w:val="00690F72"/>
    <w:rsid w:val="00690FEE"/>
    <w:rsid w:val="006910F0"/>
    <w:rsid w:val="00691388"/>
    <w:rsid w:val="00691537"/>
    <w:rsid w:val="00691CD8"/>
    <w:rsid w:val="00691EE0"/>
    <w:rsid w:val="0069201B"/>
    <w:rsid w:val="0069216B"/>
    <w:rsid w:val="00692D28"/>
    <w:rsid w:val="00692D67"/>
    <w:rsid w:val="00692DAB"/>
    <w:rsid w:val="006931D8"/>
    <w:rsid w:val="00693E95"/>
    <w:rsid w:val="00693FDE"/>
    <w:rsid w:val="00694725"/>
    <w:rsid w:val="00694903"/>
    <w:rsid w:val="0069494D"/>
    <w:rsid w:val="00694AE8"/>
    <w:rsid w:val="00694BDE"/>
    <w:rsid w:val="0069512D"/>
    <w:rsid w:val="00695B52"/>
    <w:rsid w:val="00695E68"/>
    <w:rsid w:val="00696086"/>
    <w:rsid w:val="00696267"/>
    <w:rsid w:val="006968EE"/>
    <w:rsid w:val="00697ED9"/>
    <w:rsid w:val="006A04F3"/>
    <w:rsid w:val="006A08B7"/>
    <w:rsid w:val="006A0F3C"/>
    <w:rsid w:val="006A14CF"/>
    <w:rsid w:val="006A1C48"/>
    <w:rsid w:val="006A1CFE"/>
    <w:rsid w:val="006A1E5E"/>
    <w:rsid w:val="006A20DC"/>
    <w:rsid w:val="006A2773"/>
    <w:rsid w:val="006A27BB"/>
    <w:rsid w:val="006A2B45"/>
    <w:rsid w:val="006A2ED1"/>
    <w:rsid w:val="006A2FE8"/>
    <w:rsid w:val="006A2FF4"/>
    <w:rsid w:val="006A3119"/>
    <w:rsid w:val="006A3141"/>
    <w:rsid w:val="006A34CF"/>
    <w:rsid w:val="006A41D4"/>
    <w:rsid w:val="006A481A"/>
    <w:rsid w:val="006A48ED"/>
    <w:rsid w:val="006A4BE0"/>
    <w:rsid w:val="006A4E40"/>
    <w:rsid w:val="006A5032"/>
    <w:rsid w:val="006A5098"/>
    <w:rsid w:val="006A54B1"/>
    <w:rsid w:val="006A5C20"/>
    <w:rsid w:val="006A5CE6"/>
    <w:rsid w:val="006A6060"/>
    <w:rsid w:val="006A6224"/>
    <w:rsid w:val="006A78F7"/>
    <w:rsid w:val="006A7E1A"/>
    <w:rsid w:val="006B0369"/>
    <w:rsid w:val="006B0561"/>
    <w:rsid w:val="006B084E"/>
    <w:rsid w:val="006B0A6C"/>
    <w:rsid w:val="006B0EBD"/>
    <w:rsid w:val="006B1244"/>
    <w:rsid w:val="006B228C"/>
    <w:rsid w:val="006B22FD"/>
    <w:rsid w:val="006B2379"/>
    <w:rsid w:val="006B2948"/>
    <w:rsid w:val="006B29EF"/>
    <w:rsid w:val="006B2A5E"/>
    <w:rsid w:val="006B2EEA"/>
    <w:rsid w:val="006B3108"/>
    <w:rsid w:val="006B36E2"/>
    <w:rsid w:val="006B37E3"/>
    <w:rsid w:val="006B3CF2"/>
    <w:rsid w:val="006B4383"/>
    <w:rsid w:val="006B446C"/>
    <w:rsid w:val="006B4B6B"/>
    <w:rsid w:val="006B4C3A"/>
    <w:rsid w:val="006B567F"/>
    <w:rsid w:val="006B649F"/>
    <w:rsid w:val="006B6661"/>
    <w:rsid w:val="006B67EA"/>
    <w:rsid w:val="006B698D"/>
    <w:rsid w:val="006B720E"/>
    <w:rsid w:val="006C01D2"/>
    <w:rsid w:val="006C06BC"/>
    <w:rsid w:val="006C097D"/>
    <w:rsid w:val="006C0BD8"/>
    <w:rsid w:val="006C121B"/>
    <w:rsid w:val="006C1ED7"/>
    <w:rsid w:val="006C2377"/>
    <w:rsid w:val="006C265E"/>
    <w:rsid w:val="006C27D8"/>
    <w:rsid w:val="006C2B79"/>
    <w:rsid w:val="006C2ED2"/>
    <w:rsid w:val="006C38EE"/>
    <w:rsid w:val="006C404D"/>
    <w:rsid w:val="006C4355"/>
    <w:rsid w:val="006C57AD"/>
    <w:rsid w:val="006C59E2"/>
    <w:rsid w:val="006C6086"/>
    <w:rsid w:val="006C6D4B"/>
    <w:rsid w:val="006C725C"/>
    <w:rsid w:val="006C7AF3"/>
    <w:rsid w:val="006C7C76"/>
    <w:rsid w:val="006D04A9"/>
    <w:rsid w:val="006D0F22"/>
    <w:rsid w:val="006D1218"/>
    <w:rsid w:val="006D157B"/>
    <w:rsid w:val="006D1960"/>
    <w:rsid w:val="006D1FC1"/>
    <w:rsid w:val="006D2146"/>
    <w:rsid w:val="006D2307"/>
    <w:rsid w:val="006D25B5"/>
    <w:rsid w:val="006D2626"/>
    <w:rsid w:val="006D273A"/>
    <w:rsid w:val="006D29DF"/>
    <w:rsid w:val="006D3011"/>
    <w:rsid w:val="006D3320"/>
    <w:rsid w:val="006D33BE"/>
    <w:rsid w:val="006D4458"/>
    <w:rsid w:val="006D44F8"/>
    <w:rsid w:val="006D469D"/>
    <w:rsid w:val="006D4998"/>
    <w:rsid w:val="006D4D47"/>
    <w:rsid w:val="006D5627"/>
    <w:rsid w:val="006D59D7"/>
    <w:rsid w:val="006D5EB0"/>
    <w:rsid w:val="006D5F89"/>
    <w:rsid w:val="006D690A"/>
    <w:rsid w:val="006D696B"/>
    <w:rsid w:val="006D7EE5"/>
    <w:rsid w:val="006E018C"/>
    <w:rsid w:val="006E01B4"/>
    <w:rsid w:val="006E0626"/>
    <w:rsid w:val="006E066E"/>
    <w:rsid w:val="006E0B95"/>
    <w:rsid w:val="006E0F07"/>
    <w:rsid w:val="006E191F"/>
    <w:rsid w:val="006E19D8"/>
    <w:rsid w:val="006E1A26"/>
    <w:rsid w:val="006E227F"/>
    <w:rsid w:val="006E2474"/>
    <w:rsid w:val="006E2ACC"/>
    <w:rsid w:val="006E317F"/>
    <w:rsid w:val="006E357E"/>
    <w:rsid w:val="006E3600"/>
    <w:rsid w:val="006E42E3"/>
    <w:rsid w:val="006E433E"/>
    <w:rsid w:val="006E5742"/>
    <w:rsid w:val="006E5AD9"/>
    <w:rsid w:val="006E6532"/>
    <w:rsid w:val="006E6CD7"/>
    <w:rsid w:val="006E7100"/>
    <w:rsid w:val="006E723B"/>
    <w:rsid w:val="006E750C"/>
    <w:rsid w:val="006E7A5C"/>
    <w:rsid w:val="006E7D10"/>
    <w:rsid w:val="006F01DE"/>
    <w:rsid w:val="006F0EAF"/>
    <w:rsid w:val="006F0F50"/>
    <w:rsid w:val="006F18FE"/>
    <w:rsid w:val="006F1BBE"/>
    <w:rsid w:val="006F1C1A"/>
    <w:rsid w:val="006F25F8"/>
    <w:rsid w:val="006F277D"/>
    <w:rsid w:val="006F2873"/>
    <w:rsid w:val="006F2943"/>
    <w:rsid w:val="006F2C94"/>
    <w:rsid w:val="006F334D"/>
    <w:rsid w:val="006F360D"/>
    <w:rsid w:val="006F36BA"/>
    <w:rsid w:val="006F3F11"/>
    <w:rsid w:val="006F45D1"/>
    <w:rsid w:val="006F4961"/>
    <w:rsid w:val="006F53FF"/>
    <w:rsid w:val="006F54E4"/>
    <w:rsid w:val="006F58B5"/>
    <w:rsid w:val="006F6520"/>
    <w:rsid w:val="006F696A"/>
    <w:rsid w:val="006F6CE9"/>
    <w:rsid w:val="006F71FD"/>
    <w:rsid w:val="006F735E"/>
    <w:rsid w:val="006F7CC4"/>
    <w:rsid w:val="006F7E9F"/>
    <w:rsid w:val="007016CF"/>
    <w:rsid w:val="00701DAD"/>
    <w:rsid w:val="007021D8"/>
    <w:rsid w:val="0070323D"/>
    <w:rsid w:val="00703497"/>
    <w:rsid w:val="00703B0F"/>
    <w:rsid w:val="00703DDB"/>
    <w:rsid w:val="00703F71"/>
    <w:rsid w:val="00704548"/>
    <w:rsid w:val="0070474F"/>
    <w:rsid w:val="00704EFB"/>
    <w:rsid w:val="007055DB"/>
    <w:rsid w:val="00705702"/>
    <w:rsid w:val="00705A5E"/>
    <w:rsid w:val="00705A90"/>
    <w:rsid w:val="00705D11"/>
    <w:rsid w:val="0070658D"/>
    <w:rsid w:val="0070710C"/>
    <w:rsid w:val="00707698"/>
    <w:rsid w:val="00710007"/>
    <w:rsid w:val="00710163"/>
    <w:rsid w:val="00710521"/>
    <w:rsid w:val="00710650"/>
    <w:rsid w:val="00711709"/>
    <w:rsid w:val="00712049"/>
    <w:rsid w:val="007121A6"/>
    <w:rsid w:val="00712431"/>
    <w:rsid w:val="0071258E"/>
    <w:rsid w:val="007125A1"/>
    <w:rsid w:val="00712CDE"/>
    <w:rsid w:val="00712DE8"/>
    <w:rsid w:val="0071324A"/>
    <w:rsid w:val="007132A3"/>
    <w:rsid w:val="007134C4"/>
    <w:rsid w:val="00713B9B"/>
    <w:rsid w:val="00713C0B"/>
    <w:rsid w:val="00713DC4"/>
    <w:rsid w:val="007140C9"/>
    <w:rsid w:val="007144BD"/>
    <w:rsid w:val="00715260"/>
    <w:rsid w:val="0071572D"/>
    <w:rsid w:val="00715C39"/>
    <w:rsid w:val="00715EA1"/>
    <w:rsid w:val="00716094"/>
    <w:rsid w:val="00716569"/>
    <w:rsid w:val="00716DB7"/>
    <w:rsid w:val="007178E6"/>
    <w:rsid w:val="007179CF"/>
    <w:rsid w:val="00717A87"/>
    <w:rsid w:val="00717D93"/>
    <w:rsid w:val="00721045"/>
    <w:rsid w:val="007210CE"/>
    <w:rsid w:val="00721409"/>
    <w:rsid w:val="007215D4"/>
    <w:rsid w:val="00721AAC"/>
    <w:rsid w:val="00721C47"/>
    <w:rsid w:val="00722009"/>
    <w:rsid w:val="007222D3"/>
    <w:rsid w:val="00723680"/>
    <w:rsid w:val="00723ED9"/>
    <w:rsid w:val="00723FD6"/>
    <w:rsid w:val="00723FF0"/>
    <w:rsid w:val="0072408C"/>
    <w:rsid w:val="00724A74"/>
    <w:rsid w:val="00725B51"/>
    <w:rsid w:val="00726369"/>
    <w:rsid w:val="007267E0"/>
    <w:rsid w:val="00726C67"/>
    <w:rsid w:val="0072744A"/>
    <w:rsid w:val="007276EC"/>
    <w:rsid w:val="00727EB8"/>
    <w:rsid w:val="00727ED4"/>
    <w:rsid w:val="00730334"/>
    <w:rsid w:val="00730438"/>
    <w:rsid w:val="00730C29"/>
    <w:rsid w:val="00730C2C"/>
    <w:rsid w:val="00731447"/>
    <w:rsid w:val="00731685"/>
    <w:rsid w:val="00731D67"/>
    <w:rsid w:val="0073223C"/>
    <w:rsid w:val="00732992"/>
    <w:rsid w:val="007331AA"/>
    <w:rsid w:val="0073327B"/>
    <w:rsid w:val="0073432C"/>
    <w:rsid w:val="00734BB1"/>
    <w:rsid w:val="00734C5A"/>
    <w:rsid w:val="0073542F"/>
    <w:rsid w:val="0073585B"/>
    <w:rsid w:val="00735C1E"/>
    <w:rsid w:val="00736075"/>
    <w:rsid w:val="007368BF"/>
    <w:rsid w:val="00736AC5"/>
    <w:rsid w:val="0073702E"/>
    <w:rsid w:val="007371AC"/>
    <w:rsid w:val="007372D9"/>
    <w:rsid w:val="00737605"/>
    <w:rsid w:val="00737793"/>
    <w:rsid w:val="00737938"/>
    <w:rsid w:val="00737AEB"/>
    <w:rsid w:val="00737BA5"/>
    <w:rsid w:val="007408A6"/>
    <w:rsid w:val="007411F3"/>
    <w:rsid w:val="007413B8"/>
    <w:rsid w:val="00741F23"/>
    <w:rsid w:val="00741F6A"/>
    <w:rsid w:val="00742ACA"/>
    <w:rsid w:val="00742CE0"/>
    <w:rsid w:val="00742EB8"/>
    <w:rsid w:val="007436E7"/>
    <w:rsid w:val="007438BB"/>
    <w:rsid w:val="00743B9F"/>
    <w:rsid w:val="00744D71"/>
    <w:rsid w:val="00744DBF"/>
    <w:rsid w:val="00744E6F"/>
    <w:rsid w:val="0074547A"/>
    <w:rsid w:val="00745F7C"/>
    <w:rsid w:val="007463AD"/>
    <w:rsid w:val="007463E4"/>
    <w:rsid w:val="00746C21"/>
    <w:rsid w:val="00746E3D"/>
    <w:rsid w:val="00746E58"/>
    <w:rsid w:val="00746F26"/>
    <w:rsid w:val="00747199"/>
    <w:rsid w:val="007474A1"/>
    <w:rsid w:val="00747684"/>
    <w:rsid w:val="00747B58"/>
    <w:rsid w:val="0075008D"/>
    <w:rsid w:val="0075050F"/>
    <w:rsid w:val="00751522"/>
    <w:rsid w:val="00751D63"/>
    <w:rsid w:val="00752433"/>
    <w:rsid w:val="007524C9"/>
    <w:rsid w:val="00752CE6"/>
    <w:rsid w:val="00753888"/>
    <w:rsid w:val="00753BDD"/>
    <w:rsid w:val="00754003"/>
    <w:rsid w:val="00754347"/>
    <w:rsid w:val="0075480F"/>
    <w:rsid w:val="007549DC"/>
    <w:rsid w:val="007552A3"/>
    <w:rsid w:val="00755433"/>
    <w:rsid w:val="00755751"/>
    <w:rsid w:val="00755788"/>
    <w:rsid w:val="007559E8"/>
    <w:rsid w:val="00755BFB"/>
    <w:rsid w:val="00755F81"/>
    <w:rsid w:val="00756D61"/>
    <w:rsid w:val="0075728E"/>
    <w:rsid w:val="00757A27"/>
    <w:rsid w:val="00757B55"/>
    <w:rsid w:val="00760B3A"/>
    <w:rsid w:val="00761084"/>
    <w:rsid w:val="00761303"/>
    <w:rsid w:val="007614F5"/>
    <w:rsid w:val="00761BD8"/>
    <w:rsid w:val="00761FB4"/>
    <w:rsid w:val="00762144"/>
    <w:rsid w:val="0076258E"/>
    <w:rsid w:val="0076337C"/>
    <w:rsid w:val="00763765"/>
    <w:rsid w:val="007639AE"/>
    <w:rsid w:val="007644F6"/>
    <w:rsid w:val="00764AFB"/>
    <w:rsid w:val="00764E34"/>
    <w:rsid w:val="007654DF"/>
    <w:rsid w:val="0076675A"/>
    <w:rsid w:val="00767770"/>
    <w:rsid w:val="007704AB"/>
    <w:rsid w:val="00771742"/>
    <w:rsid w:val="00771761"/>
    <w:rsid w:val="00771910"/>
    <w:rsid w:val="00771ED4"/>
    <w:rsid w:val="007720CB"/>
    <w:rsid w:val="00772486"/>
    <w:rsid w:val="007725CC"/>
    <w:rsid w:val="007729FA"/>
    <w:rsid w:val="0077303F"/>
    <w:rsid w:val="00773169"/>
    <w:rsid w:val="00773FBC"/>
    <w:rsid w:val="0077547C"/>
    <w:rsid w:val="00775645"/>
    <w:rsid w:val="0077577D"/>
    <w:rsid w:val="00775A87"/>
    <w:rsid w:val="00775A90"/>
    <w:rsid w:val="00776451"/>
    <w:rsid w:val="007769E6"/>
    <w:rsid w:val="0077796E"/>
    <w:rsid w:val="00777D2F"/>
    <w:rsid w:val="00780A7B"/>
    <w:rsid w:val="00780B69"/>
    <w:rsid w:val="00781100"/>
    <w:rsid w:val="0078136B"/>
    <w:rsid w:val="00782151"/>
    <w:rsid w:val="00782197"/>
    <w:rsid w:val="00782579"/>
    <w:rsid w:val="0078270B"/>
    <w:rsid w:val="007829E8"/>
    <w:rsid w:val="0078356B"/>
    <w:rsid w:val="00783E70"/>
    <w:rsid w:val="00783FF9"/>
    <w:rsid w:val="00784ACC"/>
    <w:rsid w:val="00784B94"/>
    <w:rsid w:val="00784E7C"/>
    <w:rsid w:val="00785D4A"/>
    <w:rsid w:val="0078604B"/>
    <w:rsid w:val="0078627E"/>
    <w:rsid w:val="00786514"/>
    <w:rsid w:val="00786BF7"/>
    <w:rsid w:val="0078708F"/>
    <w:rsid w:val="007870DF"/>
    <w:rsid w:val="00787452"/>
    <w:rsid w:val="007874AA"/>
    <w:rsid w:val="00787E16"/>
    <w:rsid w:val="00790124"/>
    <w:rsid w:val="007912E2"/>
    <w:rsid w:val="00791317"/>
    <w:rsid w:val="0079201F"/>
    <w:rsid w:val="007926E2"/>
    <w:rsid w:val="007932EC"/>
    <w:rsid w:val="00793B36"/>
    <w:rsid w:val="00793B58"/>
    <w:rsid w:val="00793D54"/>
    <w:rsid w:val="00793E9C"/>
    <w:rsid w:val="00793F65"/>
    <w:rsid w:val="00794542"/>
    <w:rsid w:val="00794A42"/>
    <w:rsid w:val="00794B8B"/>
    <w:rsid w:val="00794E24"/>
    <w:rsid w:val="00794FE1"/>
    <w:rsid w:val="007950BD"/>
    <w:rsid w:val="00795546"/>
    <w:rsid w:val="00795E50"/>
    <w:rsid w:val="0079602E"/>
    <w:rsid w:val="007961FB"/>
    <w:rsid w:val="0079643B"/>
    <w:rsid w:val="0079649D"/>
    <w:rsid w:val="0079681D"/>
    <w:rsid w:val="00796896"/>
    <w:rsid w:val="00796A05"/>
    <w:rsid w:val="00797232"/>
    <w:rsid w:val="0079758E"/>
    <w:rsid w:val="00797CFE"/>
    <w:rsid w:val="007A0793"/>
    <w:rsid w:val="007A07CB"/>
    <w:rsid w:val="007A0A2B"/>
    <w:rsid w:val="007A1007"/>
    <w:rsid w:val="007A105A"/>
    <w:rsid w:val="007A129F"/>
    <w:rsid w:val="007A14DA"/>
    <w:rsid w:val="007A1BED"/>
    <w:rsid w:val="007A1E28"/>
    <w:rsid w:val="007A22B2"/>
    <w:rsid w:val="007A2392"/>
    <w:rsid w:val="007A2E6B"/>
    <w:rsid w:val="007A2EA2"/>
    <w:rsid w:val="007A395A"/>
    <w:rsid w:val="007A41A6"/>
    <w:rsid w:val="007A4C7E"/>
    <w:rsid w:val="007A54D4"/>
    <w:rsid w:val="007A67DB"/>
    <w:rsid w:val="007A7148"/>
    <w:rsid w:val="007A7674"/>
    <w:rsid w:val="007A7A90"/>
    <w:rsid w:val="007A7DE3"/>
    <w:rsid w:val="007B0145"/>
    <w:rsid w:val="007B120C"/>
    <w:rsid w:val="007B1560"/>
    <w:rsid w:val="007B197A"/>
    <w:rsid w:val="007B1A2A"/>
    <w:rsid w:val="007B1AB6"/>
    <w:rsid w:val="007B1CA4"/>
    <w:rsid w:val="007B28EB"/>
    <w:rsid w:val="007B2E69"/>
    <w:rsid w:val="007B357A"/>
    <w:rsid w:val="007B3B59"/>
    <w:rsid w:val="007B49BC"/>
    <w:rsid w:val="007B4A2E"/>
    <w:rsid w:val="007B4D3B"/>
    <w:rsid w:val="007B4DC4"/>
    <w:rsid w:val="007B53A9"/>
    <w:rsid w:val="007B555E"/>
    <w:rsid w:val="007B62DF"/>
    <w:rsid w:val="007B685E"/>
    <w:rsid w:val="007B7645"/>
    <w:rsid w:val="007B79DC"/>
    <w:rsid w:val="007C05A1"/>
    <w:rsid w:val="007C0AD7"/>
    <w:rsid w:val="007C1649"/>
    <w:rsid w:val="007C1A24"/>
    <w:rsid w:val="007C1D9E"/>
    <w:rsid w:val="007C1F57"/>
    <w:rsid w:val="007C2236"/>
    <w:rsid w:val="007C300F"/>
    <w:rsid w:val="007C3259"/>
    <w:rsid w:val="007C3896"/>
    <w:rsid w:val="007C39B0"/>
    <w:rsid w:val="007C4051"/>
    <w:rsid w:val="007C509A"/>
    <w:rsid w:val="007C5CA7"/>
    <w:rsid w:val="007C5DD1"/>
    <w:rsid w:val="007C604A"/>
    <w:rsid w:val="007C609A"/>
    <w:rsid w:val="007C6533"/>
    <w:rsid w:val="007C66E1"/>
    <w:rsid w:val="007C67A1"/>
    <w:rsid w:val="007C6ADD"/>
    <w:rsid w:val="007D0A90"/>
    <w:rsid w:val="007D0C15"/>
    <w:rsid w:val="007D0D34"/>
    <w:rsid w:val="007D1286"/>
    <w:rsid w:val="007D1479"/>
    <w:rsid w:val="007D1EB1"/>
    <w:rsid w:val="007D2199"/>
    <w:rsid w:val="007D2C90"/>
    <w:rsid w:val="007D2CD0"/>
    <w:rsid w:val="007D2E99"/>
    <w:rsid w:val="007D3585"/>
    <w:rsid w:val="007D35CD"/>
    <w:rsid w:val="007D4648"/>
    <w:rsid w:val="007D4B7E"/>
    <w:rsid w:val="007D4D97"/>
    <w:rsid w:val="007D4E54"/>
    <w:rsid w:val="007D51C5"/>
    <w:rsid w:val="007D5BDC"/>
    <w:rsid w:val="007D68E2"/>
    <w:rsid w:val="007D708C"/>
    <w:rsid w:val="007D744B"/>
    <w:rsid w:val="007D7488"/>
    <w:rsid w:val="007E0782"/>
    <w:rsid w:val="007E0C7E"/>
    <w:rsid w:val="007E162A"/>
    <w:rsid w:val="007E185B"/>
    <w:rsid w:val="007E2051"/>
    <w:rsid w:val="007E2789"/>
    <w:rsid w:val="007E27DC"/>
    <w:rsid w:val="007E2F3F"/>
    <w:rsid w:val="007E300A"/>
    <w:rsid w:val="007E35F6"/>
    <w:rsid w:val="007E4178"/>
    <w:rsid w:val="007E5104"/>
    <w:rsid w:val="007E58DC"/>
    <w:rsid w:val="007E592E"/>
    <w:rsid w:val="007E6165"/>
    <w:rsid w:val="007E62A5"/>
    <w:rsid w:val="007E669D"/>
    <w:rsid w:val="007E6891"/>
    <w:rsid w:val="007E700A"/>
    <w:rsid w:val="007E73F6"/>
    <w:rsid w:val="007E74F4"/>
    <w:rsid w:val="007E7F3B"/>
    <w:rsid w:val="007F0082"/>
    <w:rsid w:val="007F0B84"/>
    <w:rsid w:val="007F0CA0"/>
    <w:rsid w:val="007F0DB1"/>
    <w:rsid w:val="007F0E88"/>
    <w:rsid w:val="007F15C0"/>
    <w:rsid w:val="007F15CF"/>
    <w:rsid w:val="007F1A25"/>
    <w:rsid w:val="007F251E"/>
    <w:rsid w:val="007F27AC"/>
    <w:rsid w:val="007F2D11"/>
    <w:rsid w:val="007F2EDD"/>
    <w:rsid w:val="007F34FC"/>
    <w:rsid w:val="007F374B"/>
    <w:rsid w:val="007F3F1D"/>
    <w:rsid w:val="007F479A"/>
    <w:rsid w:val="007F4D56"/>
    <w:rsid w:val="007F4FF4"/>
    <w:rsid w:val="007F5428"/>
    <w:rsid w:val="007F5697"/>
    <w:rsid w:val="007F585D"/>
    <w:rsid w:val="007F5EF9"/>
    <w:rsid w:val="007F616C"/>
    <w:rsid w:val="007F6624"/>
    <w:rsid w:val="007F6ABC"/>
    <w:rsid w:val="007F6BDD"/>
    <w:rsid w:val="007F6C3D"/>
    <w:rsid w:val="007F750F"/>
    <w:rsid w:val="007F758D"/>
    <w:rsid w:val="007F78B3"/>
    <w:rsid w:val="007F78D3"/>
    <w:rsid w:val="007F7BA5"/>
    <w:rsid w:val="007F7DB0"/>
    <w:rsid w:val="00800289"/>
    <w:rsid w:val="00801222"/>
    <w:rsid w:val="00801745"/>
    <w:rsid w:val="00801BE1"/>
    <w:rsid w:val="00801E00"/>
    <w:rsid w:val="008021A7"/>
    <w:rsid w:val="008025C9"/>
    <w:rsid w:val="0080306F"/>
    <w:rsid w:val="0080315F"/>
    <w:rsid w:val="00803182"/>
    <w:rsid w:val="00803240"/>
    <w:rsid w:val="00803A68"/>
    <w:rsid w:val="00803EA5"/>
    <w:rsid w:val="008042A5"/>
    <w:rsid w:val="00804D08"/>
    <w:rsid w:val="008061A6"/>
    <w:rsid w:val="008061AE"/>
    <w:rsid w:val="0080675A"/>
    <w:rsid w:val="00806ADD"/>
    <w:rsid w:val="00807242"/>
    <w:rsid w:val="008076DD"/>
    <w:rsid w:val="008079C8"/>
    <w:rsid w:val="00810225"/>
    <w:rsid w:val="0081038B"/>
    <w:rsid w:val="00810C74"/>
    <w:rsid w:val="00811DE2"/>
    <w:rsid w:val="008123D2"/>
    <w:rsid w:val="00812E18"/>
    <w:rsid w:val="0081333C"/>
    <w:rsid w:val="0081351D"/>
    <w:rsid w:val="00813B45"/>
    <w:rsid w:val="00813B91"/>
    <w:rsid w:val="0081414A"/>
    <w:rsid w:val="00814688"/>
    <w:rsid w:val="00815151"/>
    <w:rsid w:val="008155C7"/>
    <w:rsid w:val="00815613"/>
    <w:rsid w:val="00817766"/>
    <w:rsid w:val="00817C8C"/>
    <w:rsid w:val="0082012A"/>
    <w:rsid w:val="00820E99"/>
    <w:rsid w:val="00821918"/>
    <w:rsid w:val="00821E6E"/>
    <w:rsid w:val="00823615"/>
    <w:rsid w:val="008239D7"/>
    <w:rsid w:val="00823FD5"/>
    <w:rsid w:val="008244D5"/>
    <w:rsid w:val="00824785"/>
    <w:rsid w:val="00824AB2"/>
    <w:rsid w:val="00824B3F"/>
    <w:rsid w:val="00824C33"/>
    <w:rsid w:val="00824C51"/>
    <w:rsid w:val="00825631"/>
    <w:rsid w:val="0082566B"/>
    <w:rsid w:val="00827056"/>
    <w:rsid w:val="00827167"/>
    <w:rsid w:val="008275A0"/>
    <w:rsid w:val="00827FE7"/>
    <w:rsid w:val="00830450"/>
    <w:rsid w:val="008304C8"/>
    <w:rsid w:val="0083078C"/>
    <w:rsid w:val="008313C0"/>
    <w:rsid w:val="00831486"/>
    <w:rsid w:val="00832051"/>
    <w:rsid w:val="00832558"/>
    <w:rsid w:val="008325C5"/>
    <w:rsid w:val="00832A9E"/>
    <w:rsid w:val="00832AD0"/>
    <w:rsid w:val="00832BDF"/>
    <w:rsid w:val="008330EB"/>
    <w:rsid w:val="00833CC8"/>
    <w:rsid w:val="0083403E"/>
    <w:rsid w:val="008342AA"/>
    <w:rsid w:val="008348FA"/>
    <w:rsid w:val="00834AF5"/>
    <w:rsid w:val="00835135"/>
    <w:rsid w:val="00835B37"/>
    <w:rsid w:val="00835BF6"/>
    <w:rsid w:val="00835FA1"/>
    <w:rsid w:val="00836082"/>
    <w:rsid w:val="00836A0D"/>
    <w:rsid w:val="00836C98"/>
    <w:rsid w:val="00837AE8"/>
    <w:rsid w:val="00837D8F"/>
    <w:rsid w:val="008400A2"/>
    <w:rsid w:val="0084051B"/>
    <w:rsid w:val="0084071F"/>
    <w:rsid w:val="00840A96"/>
    <w:rsid w:val="00840E49"/>
    <w:rsid w:val="00841336"/>
    <w:rsid w:val="00841A06"/>
    <w:rsid w:val="00841A9C"/>
    <w:rsid w:val="00841C12"/>
    <w:rsid w:val="00841E28"/>
    <w:rsid w:val="00842CC2"/>
    <w:rsid w:val="00843010"/>
    <w:rsid w:val="00843B6F"/>
    <w:rsid w:val="00843D8E"/>
    <w:rsid w:val="00844AD2"/>
    <w:rsid w:val="00844BDE"/>
    <w:rsid w:val="00844CAA"/>
    <w:rsid w:val="00845733"/>
    <w:rsid w:val="008458A5"/>
    <w:rsid w:val="008459FC"/>
    <w:rsid w:val="00845D87"/>
    <w:rsid w:val="00846215"/>
    <w:rsid w:val="00846370"/>
    <w:rsid w:val="00846419"/>
    <w:rsid w:val="00846BD0"/>
    <w:rsid w:val="00847D07"/>
    <w:rsid w:val="00847FA7"/>
    <w:rsid w:val="00850562"/>
    <w:rsid w:val="0085179C"/>
    <w:rsid w:val="008519E3"/>
    <w:rsid w:val="00851DE1"/>
    <w:rsid w:val="008526BA"/>
    <w:rsid w:val="00853116"/>
    <w:rsid w:val="00853CB3"/>
    <w:rsid w:val="0085406A"/>
    <w:rsid w:val="00854C71"/>
    <w:rsid w:val="00855434"/>
    <w:rsid w:val="008558A6"/>
    <w:rsid w:val="00855E40"/>
    <w:rsid w:val="00856032"/>
    <w:rsid w:val="0085653D"/>
    <w:rsid w:val="00856597"/>
    <w:rsid w:val="00856A43"/>
    <w:rsid w:val="00856C49"/>
    <w:rsid w:val="0085792A"/>
    <w:rsid w:val="00857A75"/>
    <w:rsid w:val="00857F68"/>
    <w:rsid w:val="00860666"/>
    <w:rsid w:val="00860A8D"/>
    <w:rsid w:val="00860CAF"/>
    <w:rsid w:val="008611FF"/>
    <w:rsid w:val="008614C4"/>
    <w:rsid w:val="00861692"/>
    <w:rsid w:val="00861B05"/>
    <w:rsid w:val="00861CBB"/>
    <w:rsid w:val="00862740"/>
    <w:rsid w:val="008629F2"/>
    <w:rsid w:val="00862D0D"/>
    <w:rsid w:val="00863057"/>
    <w:rsid w:val="008635A0"/>
    <w:rsid w:val="00863C19"/>
    <w:rsid w:val="00863DD9"/>
    <w:rsid w:val="00864120"/>
    <w:rsid w:val="008641A2"/>
    <w:rsid w:val="0086423E"/>
    <w:rsid w:val="008646C3"/>
    <w:rsid w:val="00864735"/>
    <w:rsid w:val="00864CB2"/>
    <w:rsid w:val="00864EBE"/>
    <w:rsid w:val="00864F68"/>
    <w:rsid w:val="0086524C"/>
    <w:rsid w:val="00865B6E"/>
    <w:rsid w:val="008668DD"/>
    <w:rsid w:val="00867354"/>
    <w:rsid w:val="008710FE"/>
    <w:rsid w:val="0087122F"/>
    <w:rsid w:val="00871315"/>
    <w:rsid w:val="00871556"/>
    <w:rsid w:val="008715A5"/>
    <w:rsid w:val="008720F5"/>
    <w:rsid w:val="008728D9"/>
    <w:rsid w:val="0087327F"/>
    <w:rsid w:val="00873848"/>
    <w:rsid w:val="00873C8C"/>
    <w:rsid w:val="00873D39"/>
    <w:rsid w:val="00873FCC"/>
    <w:rsid w:val="00874311"/>
    <w:rsid w:val="0087444B"/>
    <w:rsid w:val="008748C2"/>
    <w:rsid w:val="00874903"/>
    <w:rsid w:val="00874FBC"/>
    <w:rsid w:val="00875098"/>
    <w:rsid w:val="00875A50"/>
    <w:rsid w:val="00876341"/>
    <w:rsid w:val="00876BB2"/>
    <w:rsid w:val="00876C3A"/>
    <w:rsid w:val="00876F7E"/>
    <w:rsid w:val="00876FE1"/>
    <w:rsid w:val="00877102"/>
    <w:rsid w:val="00877589"/>
    <w:rsid w:val="00880A4B"/>
    <w:rsid w:val="008810D6"/>
    <w:rsid w:val="0088188D"/>
    <w:rsid w:val="0088188F"/>
    <w:rsid w:val="00881F57"/>
    <w:rsid w:val="00882470"/>
    <w:rsid w:val="0088267E"/>
    <w:rsid w:val="00883727"/>
    <w:rsid w:val="00883850"/>
    <w:rsid w:val="00883FEA"/>
    <w:rsid w:val="008847E3"/>
    <w:rsid w:val="00884C9B"/>
    <w:rsid w:val="008856DC"/>
    <w:rsid w:val="00885A84"/>
    <w:rsid w:val="00885B6E"/>
    <w:rsid w:val="00885D37"/>
    <w:rsid w:val="00885FBF"/>
    <w:rsid w:val="0088659B"/>
    <w:rsid w:val="00886715"/>
    <w:rsid w:val="00886D0F"/>
    <w:rsid w:val="00886E0A"/>
    <w:rsid w:val="00887824"/>
    <w:rsid w:val="00887ACC"/>
    <w:rsid w:val="00887B95"/>
    <w:rsid w:val="00887CE2"/>
    <w:rsid w:val="00887E62"/>
    <w:rsid w:val="00887E82"/>
    <w:rsid w:val="0089040E"/>
    <w:rsid w:val="00890514"/>
    <w:rsid w:val="0089129B"/>
    <w:rsid w:val="008913CB"/>
    <w:rsid w:val="00891E99"/>
    <w:rsid w:val="00891F0C"/>
    <w:rsid w:val="008926BD"/>
    <w:rsid w:val="008929B6"/>
    <w:rsid w:val="008929FC"/>
    <w:rsid w:val="00892FA3"/>
    <w:rsid w:val="00893626"/>
    <w:rsid w:val="00893655"/>
    <w:rsid w:val="00893EF4"/>
    <w:rsid w:val="00894019"/>
    <w:rsid w:val="00894E7F"/>
    <w:rsid w:val="0089520E"/>
    <w:rsid w:val="008952A0"/>
    <w:rsid w:val="00895752"/>
    <w:rsid w:val="0089587D"/>
    <w:rsid w:val="0089590E"/>
    <w:rsid w:val="00895C1E"/>
    <w:rsid w:val="00895EDF"/>
    <w:rsid w:val="00895F77"/>
    <w:rsid w:val="00896010"/>
    <w:rsid w:val="008963D3"/>
    <w:rsid w:val="00896BFB"/>
    <w:rsid w:val="008972E5"/>
    <w:rsid w:val="008A0293"/>
    <w:rsid w:val="008A0300"/>
    <w:rsid w:val="008A08B8"/>
    <w:rsid w:val="008A0923"/>
    <w:rsid w:val="008A1A8E"/>
    <w:rsid w:val="008A1BBD"/>
    <w:rsid w:val="008A1E21"/>
    <w:rsid w:val="008A1E93"/>
    <w:rsid w:val="008A21D3"/>
    <w:rsid w:val="008A2899"/>
    <w:rsid w:val="008A2A5A"/>
    <w:rsid w:val="008A2AAA"/>
    <w:rsid w:val="008A2B1D"/>
    <w:rsid w:val="008A30C5"/>
    <w:rsid w:val="008A34FE"/>
    <w:rsid w:val="008A3570"/>
    <w:rsid w:val="008A36D5"/>
    <w:rsid w:val="008A3981"/>
    <w:rsid w:val="008A39D9"/>
    <w:rsid w:val="008A3D68"/>
    <w:rsid w:val="008A3F4B"/>
    <w:rsid w:val="008A4B8A"/>
    <w:rsid w:val="008A636B"/>
    <w:rsid w:val="008A6C77"/>
    <w:rsid w:val="008A73B4"/>
    <w:rsid w:val="008A7963"/>
    <w:rsid w:val="008A7A55"/>
    <w:rsid w:val="008B033D"/>
    <w:rsid w:val="008B05F8"/>
    <w:rsid w:val="008B0639"/>
    <w:rsid w:val="008B0A77"/>
    <w:rsid w:val="008B0EC7"/>
    <w:rsid w:val="008B13C6"/>
    <w:rsid w:val="008B1F32"/>
    <w:rsid w:val="008B1F5B"/>
    <w:rsid w:val="008B22AD"/>
    <w:rsid w:val="008B32C8"/>
    <w:rsid w:val="008B38FA"/>
    <w:rsid w:val="008B3BE0"/>
    <w:rsid w:val="008B3FA6"/>
    <w:rsid w:val="008B44AF"/>
    <w:rsid w:val="008B4C53"/>
    <w:rsid w:val="008B5235"/>
    <w:rsid w:val="008B5310"/>
    <w:rsid w:val="008B5A33"/>
    <w:rsid w:val="008B5C67"/>
    <w:rsid w:val="008B5CE9"/>
    <w:rsid w:val="008B5EF4"/>
    <w:rsid w:val="008B786F"/>
    <w:rsid w:val="008B7AF4"/>
    <w:rsid w:val="008B7CC5"/>
    <w:rsid w:val="008C158B"/>
    <w:rsid w:val="008C170B"/>
    <w:rsid w:val="008C1DD6"/>
    <w:rsid w:val="008C1E19"/>
    <w:rsid w:val="008C1FB1"/>
    <w:rsid w:val="008C2107"/>
    <w:rsid w:val="008C2132"/>
    <w:rsid w:val="008C219F"/>
    <w:rsid w:val="008C24E4"/>
    <w:rsid w:val="008C2545"/>
    <w:rsid w:val="008C2720"/>
    <w:rsid w:val="008C2ECC"/>
    <w:rsid w:val="008C3103"/>
    <w:rsid w:val="008C31EF"/>
    <w:rsid w:val="008C3529"/>
    <w:rsid w:val="008C46E3"/>
    <w:rsid w:val="008C4A6F"/>
    <w:rsid w:val="008C4C86"/>
    <w:rsid w:val="008C52E1"/>
    <w:rsid w:val="008C577F"/>
    <w:rsid w:val="008C5AAF"/>
    <w:rsid w:val="008C6254"/>
    <w:rsid w:val="008C6834"/>
    <w:rsid w:val="008C7749"/>
    <w:rsid w:val="008C7C6D"/>
    <w:rsid w:val="008C7CB2"/>
    <w:rsid w:val="008D0C71"/>
    <w:rsid w:val="008D1062"/>
    <w:rsid w:val="008D12C5"/>
    <w:rsid w:val="008D1842"/>
    <w:rsid w:val="008D1B13"/>
    <w:rsid w:val="008D1B44"/>
    <w:rsid w:val="008D1C04"/>
    <w:rsid w:val="008D1D1D"/>
    <w:rsid w:val="008D213B"/>
    <w:rsid w:val="008D2C8A"/>
    <w:rsid w:val="008D2DEA"/>
    <w:rsid w:val="008D3634"/>
    <w:rsid w:val="008D4144"/>
    <w:rsid w:val="008D45F9"/>
    <w:rsid w:val="008D4D69"/>
    <w:rsid w:val="008D5386"/>
    <w:rsid w:val="008D5AA0"/>
    <w:rsid w:val="008D64B1"/>
    <w:rsid w:val="008D682D"/>
    <w:rsid w:val="008D6F7B"/>
    <w:rsid w:val="008D70C3"/>
    <w:rsid w:val="008D738B"/>
    <w:rsid w:val="008D792A"/>
    <w:rsid w:val="008D7972"/>
    <w:rsid w:val="008D7A7C"/>
    <w:rsid w:val="008D7B86"/>
    <w:rsid w:val="008E077C"/>
    <w:rsid w:val="008E0BC7"/>
    <w:rsid w:val="008E1457"/>
    <w:rsid w:val="008E1676"/>
    <w:rsid w:val="008E1BB2"/>
    <w:rsid w:val="008E1EA2"/>
    <w:rsid w:val="008E37FA"/>
    <w:rsid w:val="008E3C3B"/>
    <w:rsid w:val="008E44C4"/>
    <w:rsid w:val="008E4661"/>
    <w:rsid w:val="008E4719"/>
    <w:rsid w:val="008E4B1D"/>
    <w:rsid w:val="008E4BE2"/>
    <w:rsid w:val="008E500B"/>
    <w:rsid w:val="008E54F2"/>
    <w:rsid w:val="008E551E"/>
    <w:rsid w:val="008E56AB"/>
    <w:rsid w:val="008E5E52"/>
    <w:rsid w:val="008E5F33"/>
    <w:rsid w:val="008E5F5B"/>
    <w:rsid w:val="008E6A00"/>
    <w:rsid w:val="008E6B69"/>
    <w:rsid w:val="008E7562"/>
    <w:rsid w:val="008E7A0B"/>
    <w:rsid w:val="008F02C0"/>
    <w:rsid w:val="008F042C"/>
    <w:rsid w:val="008F0486"/>
    <w:rsid w:val="008F09EF"/>
    <w:rsid w:val="008F0E34"/>
    <w:rsid w:val="008F0F84"/>
    <w:rsid w:val="008F1227"/>
    <w:rsid w:val="008F225A"/>
    <w:rsid w:val="008F25D9"/>
    <w:rsid w:val="008F2CBA"/>
    <w:rsid w:val="008F37E3"/>
    <w:rsid w:val="008F3A01"/>
    <w:rsid w:val="008F3FE7"/>
    <w:rsid w:val="008F42E4"/>
    <w:rsid w:val="008F441D"/>
    <w:rsid w:val="008F519B"/>
    <w:rsid w:val="008F5779"/>
    <w:rsid w:val="008F6058"/>
    <w:rsid w:val="008F6278"/>
    <w:rsid w:val="008F6769"/>
    <w:rsid w:val="008F6E89"/>
    <w:rsid w:val="008F7257"/>
    <w:rsid w:val="008F73B4"/>
    <w:rsid w:val="008F7450"/>
    <w:rsid w:val="008F7DE8"/>
    <w:rsid w:val="008F7F73"/>
    <w:rsid w:val="009002E6"/>
    <w:rsid w:val="009006FD"/>
    <w:rsid w:val="009009AD"/>
    <w:rsid w:val="00900A57"/>
    <w:rsid w:val="00900C8D"/>
    <w:rsid w:val="00901755"/>
    <w:rsid w:val="0090205A"/>
    <w:rsid w:val="0090238B"/>
    <w:rsid w:val="0090289A"/>
    <w:rsid w:val="00902DBE"/>
    <w:rsid w:val="009031F5"/>
    <w:rsid w:val="009032B6"/>
    <w:rsid w:val="0090352E"/>
    <w:rsid w:val="0090366F"/>
    <w:rsid w:val="00903A06"/>
    <w:rsid w:val="00903A56"/>
    <w:rsid w:val="00903A92"/>
    <w:rsid w:val="00903A97"/>
    <w:rsid w:val="00903EA0"/>
    <w:rsid w:val="009040FC"/>
    <w:rsid w:val="00904355"/>
    <w:rsid w:val="00904445"/>
    <w:rsid w:val="0090497B"/>
    <w:rsid w:val="0090584E"/>
    <w:rsid w:val="00905A4E"/>
    <w:rsid w:val="00905F73"/>
    <w:rsid w:val="00906C0D"/>
    <w:rsid w:val="00906D69"/>
    <w:rsid w:val="00906DE0"/>
    <w:rsid w:val="009071FB"/>
    <w:rsid w:val="0090741D"/>
    <w:rsid w:val="009105A3"/>
    <w:rsid w:val="00910C22"/>
    <w:rsid w:val="00911CF0"/>
    <w:rsid w:val="00912951"/>
    <w:rsid w:val="009129F0"/>
    <w:rsid w:val="00912B9D"/>
    <w:rsid w:val="00912D27"/>
    <w:rsid w:val="00913068"/>
    <w:rsid w:val="00913597"/>
    <w:rsid w:val="009138E3"/>
    <w:rsid w:val="009146ED"/>
    <w:rsid w:val="00914D9F"/>
    <w:rsid w:val="00914DD3"/>
    <w:rsid w:val="009153FA"/>
    <w:rsid w:val="0091552D"/>
    <w:rsid w:val="00916273"/>
    <w:rsid w:val="0091644B"/>
    <w:rsid w:val="00916826"/>
    <w:rsid w:val="00916E4D"/>
    <w:rsid w:val="009174B0"/>
    <w:rsid w:val="0092031C"/>
    <w:rsid w:val="00920578"/>
    <w:rsid w:val="009205BA"/>
    <w:rsid w:val="0092082A"/>
    <w:rsid w:val="00920A39"/>
    <w:rsid w:val="00920E32"/>
    <w:rsid w:val="00921F57"/>
    <w:rsid w:val="009229CD"/>
    <w:rsid w:val="00922F24"/>
    <w:rsid w:val="00923269"/>
    <w:rsid w:val="00923505"/>
    <w:rsid w:val="00923510"/>
    <w:rsid w:val="00923527"/>
    <w:rsid w:val="00923621"/>
    <w:rsid w:val="00923F24"/>
    <w:rsid w:val="009245CE"/>
    <w:rsid w:val="00925B0B"/>
    <w:rsid w:val="00925EF8"/>
    <w:rsid w:val="00925F3B"/>
    <w:rsid w:val="00926F12"/>
    <w:rsid w:val="009278A6"/>
    <w:rsid w:val="009279CB"/>
    <w:rsid w:val="00927C0B"/>
    <w:rsid w:val="00927D82"/>
    <w:rsid w:val="00927DD2"/>
    <w:rsid w:val="00930068"/>
    <w:rsid w:val="009302C6"/>
    <w:rsid w:val="00930FFD"/>
    <w:rsid w:val="009313DA"/>
    <w:rsid w:val="009319A3"/>
    <w:rsid w:val="00931CC2"/>
    <w:rsid w:val="009322C8"/>
    <w:rsid w:val="00933D2B"/>
    <w:rsid w:val="00934000"/>
    <w:rsid w:val="009359FA"/>
    <w:rsid w:val="00935C84"/>
    <w:rsid w:val="00935DAF"/>
    <w:rsid w:val="00935EB5"/>
    <w:rsid w:val="0093614B"/>
    <w:rsid w:val="00936763"/>
    <w:rsid w:val="009368F3"/>
    <w:rsid w:val="00936A1B"/>
    <w:rsid w:val="00936F97"/>
    <w:rsid w:val="00937E0B"/>
    <w:rsid w:val="00940216"/>
    <w:rsid w:val="0094085D"/>
    <w:rsid w:val="00940A45"/>
    <w:rsid w:val="00941495"/>
    <w:rsid w:val="009417B6"/>
    <w:rsid w:val="009417F9"/>
    <w:rsid w:val="00941985"/>
    <w:rsid w:val="009419EA"/>
    <w:rsid w:val="009420B9"/>
    <w:rsid w:val="00942114"/>
    <w:rsid w:val="0094235B"/>
    <w:rsid w:val="00942BCF"/>
    <w:rsid w:val="009436B8"/>
    <w:rsid w:val="0094384D"/>
    <w:rsid w:val="00943BEA"/>
    <w:rsid w:val="00943C31"/>
    <w:rsid w:val="00944034"/>
    <w:rsid w:val="009449C8"/>
    <w:rsid w:val="00945BB9"/>
    <w:rsid w:val="00945D73"/>
    <w:rsid w:val="00945E00"/>
    <w:rsid w:val="009465A6"/>
    <w:rsid w:val="00946F20"/>
    <w:rsid w:val="00946FE8"/>
    <w:rsid w:val="00947006"/>
    <w:rsid w:val="00947270"/>
    <w:rsid w:val="0095004F"/>
    <w:rsid w:val="00950314"/>
    <w:rsid w:val="009506E6"/>
    <w:rsid w:val="00950B3A"/>
    <w:rsid w:val="00950BE9"/>
    <w:rsid w:val="00951401"/>
    <w:rsid w:val="00951435"/>
    <w:rsid w:val="00951828"/>
    <w:rsid w:val="00951CA9"/>
    <w:rsid w:val="00951E18"/>
    <w:rsid w:val="00951F84"/>
    <w:rsid w:val="0095203E"/>
    <w:rsid w:val="009524A7"/>
    <w:rsid w:val="00952FF8"/>
    <w:rsid w:val="009534FC"/>
    <w:rsid w:val="00953578"/>
    <w:rsid w:val="00953A62"/>
    <w:rsid w:val="0095402E"/>
    <w:rsid w:val="00954698"/>
    <w:rsid w:val="009547F1"/>
    <w:rsid w:val="00954E45"/>
    <w:rsid w:val="009557BD"/>
    <w:rsid w:val="00955CA5"/>
    <w:rsid w:val="009577D0"/>
    <w:rsid w:val="009604A1"/>
    <w:rsid w:val="00960610"/>
    <w:rsid w:val="00960653"/>
    <w:rsid w:val="00960A56"/>
    <w:rsid w:val="00960A86"/>
    <w:rsid w:val="00960DE9"/>
    <w:rsid w:val="0096126C"/>
    <w:rsid w:val="0096243D"/>
    <w:rsid w:val="00962774"/>
    <w:rsid w:val="009629B9"/>
    <w:rsid w:val="00962F7E"/>
    <w:rsid w:val="009631A4"/>
    <w:rsid w:val="009639EC"/>
    <w:rsid w:val="0096420A"/>
    <w:rsid w:val="00964E60"/>
    <w:rsid w:val="00964ECC"/>
    <w:rsid w:val="00965498"/>
    <w:rsid w:val="00965614"/>
    <w:rsid w:val="009658DA"/>
    <w:rsid w:val="00965F39"/>
    <w:rsid w:val="00967125"/>
    <w:rsid w:val="0096729D"/>
    <w:rsid w:val="0096767F"/>
    <w:rsid w:val="00967D2B"/>
    <w:rsid w:val="00967D6D"/>
    <w:rsid w:val="00970503"/>
    <w:rsid w:val="009711FC"/>
    <w:rsid w:val="009717D3"/>
    <w:rsid w:val="00971979"/>
    <w:rsid w:val="00971B00"/>
    <w:rsid w:val="00971CB8"/>
    <w:rsid w:val="00972140"/>
    <w:rsid w:val="00972169"/>
    <w:rsid w:val="00972592"/>
    <w:rsid w:val="00972BFD"/>
    <w:rsid w:val="00972BFE"/>
    <w:rsid w:val="00972D3C"/>
    <w:rsid w:val="009730CC"/>
    <w:rsid w:val="009735EF"/>
    <w:rsid w:val="00973841"/>
    <w:rsid w:val="00973BC4"/>
    <w:rsid w:val="00974705"/>
    <w:rsid w:val="009747DF"/>
    <w:rsid w:val="00974A00"/>
    <w:rsid w:val="00974A3E"/>
    <w:rsid w:val="00974B2C"/>
    <w:rsid w:val="009759B3"/>
    <w:rsid w:val="00975A0C"/>
    <w:rsid w:val="00976235"/>
    <w:rsid w:val="009765B7"/>
    <w:rsid w:val="009765ED"/>
    <w:rsid w:val="0097670D"/>
    <w:rsid w:val="00976970"/>
    <w:rsid w:val="00976EE7"/>
    <w:rsid w:val="00976F1F"/>
    <w:rsid w:val="009773EB"/>
    <w:rsid w:val="009777A2"/>
    <w:rsid w:val="00980702"/>
    <w:rsid w:val="0098079C"/>
    <w:rsid w:val="00980904"/>
    <w:rsid w:val="009818C9"/>
    <w:rsid w:val="009819CA"/>
    <w:rsid w:val="00981B3E"/>
    <w:rsid w:val="00981D13"/>
    <w:rsid w:val="0098204A"/>
    <w:rsid w:val="009823E5"/>
    <w:rsid w:val="009829EA"/>
    <w:rsid w:val="0098506F"/>
    <w:rsid w:val="0098529D"/>
    <w:rsid w:val="00985FE7"/>
    <w:rsid w:val="0098624A"/>
    <w:rsid w:val="00986EDF"/>
    <w:rsid w:val="0098702B"/>
    <w:rsid w:val="009872BD"/>
    <w:rsid w:val="009877CC"/>
    <w:rsid w:val="00987953"/>
    <w:rsid w:val="0099023B"/>
    <w:rsid w:val="00990894"/>
    <w:rsid w:val="00990AE8"/>
    <w:rsid w:val="009910C7"/>
    <w:rsid w:val="00991F2B"/>
    <w:rsid w:val="00992A26"/>
    <w:rsid w:val="00992A76"/>
    <w:rsid w:val="00992B3F"/>
    <w:rsid w:val="00992C3A"/>
    <w:rsid w:val="00992D82"/>
    <w:rsid w:val="00993315"/>
    <w:rsid w:val="00994A28"/>
    <w:rsid w:val="00994AAF"/>
    <w:rsid w:val="009953CE"/>
    <w:rsid w:val="00995FF3"/>
    <w:rsid w:val="00996628"/>
    <w:rsid w:val="0099664E"/>
    <w:rsid w:val="00996732"/>
    <w:rsid w:val="00996760"/>
    <w:rsid w:val="009968D8"/>
    <w:rsid w:val="009968EE"/>
    <w:rsid w:val="00996A40"/>
    <w:rsid w:val="00996BD9"/>
    <w:rsid w:val="00996F3C"/>
    <w:rsid w:val="00996F5F"/>
    <w:rsid w:val="0099713D"/>
    <w:rsid w:val="00997A6E"/>
    <w:rsid w:val="00997C9A"/>
    <w:rsid w:val="009A031B"/>
    <w:rsid w:val="009A0ECE"/>
    <w:rsid w:val="009A0FB7"/>
    <w:rsid w:val="009A1571"/>
    <w:rsid w:val="009A15C0"/>
    <w:rsid w:val="009A19A9"/>
    <w:rsid w:val="009A1B0D"/>
    <w:rsid w:val="009A23F7"/>
    <w:rsid w:val="009A2611"/>
    <w:rsid w:val="009A26BE"/>
    <w:rsid w:val="009A27E0"/>
    <w:rsid w:val="009A29D5"/>
    <w:rsid w:val="009A2E3D"/>
    <w:rsid w:val="009A321E"/>
    <w:rsid w:val="009A361B"/>
    <w:rsid w:val="009A3B31"/>
    <w:rsid w:val="009A4429"/>
    <w:rsid w:val="009A4858"/>
    <w:rsid w:val="009A4E9A"/>
    <w:rsid w:val="009A5873"/>
    <w:rsid w:val="009A60A1"/>
    <w:rsid w:val="009A6177"/>
    <w:rsid w:val="009A6A06"/>
    <w:rsid w:val="009A6D13"/>
    <w:rsid w:val="009A6D2A"/>
    <w:rsid w:val="009A6FB8"/>
    <w:rsid w:val="009A70AE"/>
    <w:rsid w:val="009A756E"/>
    <w:rsid w:val="009A7B91"/>
    <w:rsid w:val="009A7EC1"/>
    <w:rsid w:val="009B0060"/>
    <w:rsid w:val="009B0ADB"/>
    <w:rsid w:val="009B0F4A"/>
    <w:rsid w:val="009B1522"/>
    <w:rsid w:val="009B1A1A"/>
    <w:rsid w:val="009B1D88"/>
    <w:rsid w:val="009B22F5"/>
    <w:rsid w:val="009B23A6"/>
    <w:rsid w:val="009B25DC"/>
    <w:rsid w:val="009B3062"/>
    <w:rsid w:val="009B31B6"/>
    <w:rsid w:val="009B3341"/>
    <w:rsid w:val="009B3648"/>
    <w:rsid w:val="009B4672"/>
    <w:rsid w:val="009B4768"/>
    <w:rsid w:val="009B4A16"/>
    <w:rsid w:val="009B4A30"/>
    <w:rsid w:val="009B5A3B"/>
    <w:rsid w:val="009B625E"/>
    <w:rsid w:val="009B6566"/>
    <w:rsid w:val="009B67AB"/>
    <w:rsid w:val="009B76F5"/>
    <w:rsid w:val="009C0443"/>
    <w:rsid w:val="009C071A"/>
    <w:rsid w:val="009C13F1"/>
    <w:rsid w:val="009C1C84"/>
    <w:rsid w:val="009C2142"/>
    <w:rsid w:val="009C2288"/>
    <w:rsid w:val="009C25FD"/>
    <w:rsid w:val="009C2681"/>
    <w:rsid w:val="009C2856"/>
    <w:rsid w:val="009C2A1E"/>
    <w:rsid w:val="009C2C64"/>
    <w:rsid w:val="009C2DB6"/>
    <w:rsid w:val="009C2EA2"/>
    <w:rsid w:val="009C2F8B"/>
    <w:rsid w:val="009C35C7"/>
    <w:rsid w:val="009C3D0F"/>
    <w:rsid w:val="009C43C8"/>
    <w:rsid w:val="009C448C"/>
    <w:rsid w:val="009C4E30"/>
    <w:rsid w:val="009C5B1A"/>
    <w:rsid w:val="009C5BBF"/>
    <w:rsid w:val="009C5D12"/>
    <w:rsid w:val="009C5E4E"/>
    <w:rsid w:val="009C668C"/>
    <w:rsid w:val="009C6F03"/>
    <w:rsid w:val="009C7274"/>
    <w:rsid w:val="009C757E"/>
    <w:rsid w:val="009C76A4"/>
    <w:rsid w:val="009C78AA"/>
    <w:rsid w:val="009C7B59"/>
    <w:rsid w:val="009C7D1D"/>
    <w:rsid w:val="009D0D56"/>
    <w:rsid w:val="009D1045"/>
    <w:rsid w:val="009D104B"/>
    <w:rsid w:val="009D1AEE"/>
    <w:rsid w:val="009D1B38"/>
    <w:rsid w:val="009D218F"/>
    <w:rsid w:val="009D2195"/>
    <w:rsid w:val="009D28E8"/>
    <w:rsid w:val="009D2B1E"/>
    <w:rsid w:val="009D2D1B"/>
    <w:rsid w:val="009D32E1"/>
    <w:rsid w:val="009D3E07"/>
    <w:rsid w:val="009D3E50"/>
    <w:rsid w:val="009D44F6"/>
    <w:rsid w:val="009D4562"/>
    <w:rsid w:val="009D4AF5"/>
    <w:rsid w:val="009D4F4B"/>
    <w:rsid w:val="009D52B2"/>
    <w:rsid w:val="009D5440"/>
    <w:rsid w:val="009D5E0B"/>
    <w:rsid w:val="009D61DD"/>
    <w:rsid w:val="009D6590"/>
    <w:rsid w:val="009D6CB5"/>
    <w:rsid w:val="009D71D6"/>
    <w:rsid w:val="009D7712"/>
    <w:rsid w:val="009D7727"/>
    <w:rsid w:val="009D783D"/>
    <w:rsid w:val="009D79C4"/>
    <w:rsid w:val="009D7DEB"/>
    <w:rsid w:val="009E006F"/>
    <w:rsid w:val="009E0204"/>
    <w:rsid w:val="009E02A1"/>
    <w:rsid w:val="009E041D"/>
    <w:rsid w:val="009E0783"/>
    <w:rsid w:val="009E0A33"/>
    <w:rsid w:val="009E0F1E"/>
    <w:rsid w:val="009E1124"/>
    <w:rsid w:val="009E1518"/>
    <w:rsid w:val="009E153E"/>
    <w:rsid w:val="009E17A6"/>
    <w:rsid w:val="009E19C6"/>
    <w:rsid w:val="009E1D38"/>
    <w:rsid w:val="009E1E8A"/>
    <w:rsid w:val="009E1F0C"/>
    <w:rsid w:val="009E2709"/>
    <w:rsid w:val="009E2808"/>
    <w:rsid w:val="009E2917"/>
    <w:rsid w:val="009E3132"/>
    <w:rsid w:val="009E3534"/>
    <w:rsid w:val="009E38A8"/>
    <w:rsid w:val="009E3B90"/>
    <w:rsid w:val="009E4068"/>
    <w:rsid w:val="009E4109"/>
    <w:rsid w:val="009E41CF"/>
    <w:rsid w:val="009E425F"/>
    <w:rsid w:val="009E428B"/>
    <w:rsid w:val="009E55AA"/>
    <w:rsid w:val="009E5683"/>
    <w:rsid w:val="009E5A59"/>
    <w:rsid w:val="009E6537"/>
    <w:rsid w:val="009E66FD"/>
    <w:rsid w:val="009E6ABE"/>
    <w:rsid w:val="009E6B50"/>
    <w:rsid w:val="009E6E2A"/>
    <w:rsid w:val="009E7097"/>
    <w:rsid w:val="009E73B8"/>
    <w:rsid w:val="009E7C6A"/>
    <w:rsid w:val="009E7DB1"/>
    <w:rsid w:val="009F13B0"/>
    <w:rsid w:val="009F1998"/>
    <w:rsid w:val="009F1E5C"/>
    <w:rsid w:val="009F2B4A"/>
    <w:rsid w:val="009F372F"/>
    <w:rsid w:val="009F3ACC"/>
    <w:rsid w:val="009F3FAD"/>
    <w:rsid w:val="009F4440"/>
    <w:rsid w:val="009F49BD"/>
    <w:rsid w:val="009F5894"/>
    <w:rsid w:val="009F744A"/>
    <w:rsid w:val="009F762C"/>
    <w:rsid w:val="009F7B5F"/>
    <w:rsid w:val="009F7CF5"/>
    <w:rsid w:val="00A00889"/>
    <w:rsid w:val="00A00B48"/>
    <w:rsid w:val="00A0209F"/>
    <w:rsid w:val="00A02573"/>
    <w:rsid w:val="00A03310"/>
    <w:rsid w:val="00A03D98"/>
    <w:rsid w:val="00A0427B"/>
    <w:rsid w:val="00A0437C"/>
    <w:rsid w:val="00A0443F"/>
    <w:rsid w:val="00A04C64"/>
    <w:rsid w:val="00A05A8E"/>
    <w:rsid w:val="00A05ACE"/>
    <w:rsid w:val="00A05C04"/>
    <w:rsid w:val="00A05E03"/>
    <w:rsid w:val="00A05F77"/>
    <w:rsid w:val="00A06274"/>
    <w:rsid w:val="00A06461"/>
    <w:rsid w:val="00A06576"/>
    <w:rsid w:val="00A065FF"/>
    <w:rsid w:val="00A069BC"/>
    <w:rsid w:val="00A06B49"/>
    <w:rsid w:val="00A07393"/>
    <w:rsid w:val="00A073FA"/>
    <w:rsid w:val="00A07F73"/>
    <w:rsid w:val="00A1015D"/>
    <w:rsid w:val="00A117EC"/>
    <w:rsid w:val="00A11C83"/>
    <w:rsid w:val="00A11D4F"/>
    <w:rsid w:val="00A11FE7"/>
    <w:rsid w:val="00A12320"/>
    <w:rsid w:val="00A1271E"/>
    <w:rsid w:val="00A12808"/>
    <w:rsid w:val="00A128C9"/>
    <w:rsid w:val="00A12A70"/>
    <w:rsid w:val="00A12EAE"/>
    <w:rsid w:val="00A1329E"/>
    <w:rsid w:val="00A13375"/>
    <w:rsid w:val="00A13A06"/>
    <w:rsid w:val="00A13BFC"/>
    <w:rsid w:val="00A13CB5"/>
    <w:rsid w:val="00A13E35"/>
    <w:rsid w:val="00A143C4"/>
    <w:rsid w:val="00A14BC3"/>
    <w:rsid w:val="00A14F53"/>
    <w:rsid w:val="00A14FE7"/>
    <w:rsid w:val="00A1500C"/>
    <w:rsid w:val="00A1570D"/>
    <w:rsid w:val="00A1596B"/>
    <w:rsid w:val="00A16116"/>
    <w:rsid w:val="00A16289"/>
    <w:rsid w:val="00A1725C"/>
    <w:rsid w:val="00A1787F"/>
    <w:rsid w:val="00A17D6C"/>
    <w:rsid w:val="00A2007E"/>
    <w:rsid w:val="00A2072D"/>
    <w:rsid w:val="00A20861"/>
    <w:rsid w:val="00A209BD"/>
    <w:rsid w:val="00A21295"/>
    <w:rsid w:val="00A21320"/>
    <w:rsid w:val="00A21BD2"/>
    <w:rsid w:val="00A21BFE"/>
    <w:rsid w:val="00A224E5"/>
    <w:rsid w:val="00A22B46"/>
    <w:rsid w:val="00A22D19"/>
    <w:rsid w:val="00A22D9F"/>
    <w:rsid w:val="00A23042"/>
    <w:rsid w:val="00A23579"/>
    <w:rsid w:val="00A23654"/>
    <w:rsid w:val="00A23789"/>
    <w:rsid w:val="00A24283"/>
    <w:rsid w:val="00A24DEF"/>
    <w:rsid w:val="00A252AB"/>
    <w:rsid w:val="00A25500"/>
    <w:rsid w:val="00A26DF0"/>
    <w:rsid w:val="00A27684"/>
    <w:rsid w:val="00A27DDE"/>
    <w:rsid w:val="00A30C0E"/>
    <w:rsid w:val="00A30FC0"/>
    <w:rsid w:val="00A31337"/>
    <w:rsid w:val="00A3239C"/>
    <w:rsid w:val="00A32623"/>
    <w:rsid w:val="00A3267C"/>
    <w:rsid w:val="00A32942"/>
    <w:rsid w:val="00A32DBC"/>
    <w:rsid w:val="00A33B4A"/>
    <w:rsid w:val="00A33C25"/>
    <w:rsid w:val="00A3407C"/>
    <w:rsid w:val="00A34402"/>
    <w:rsid w:val="00A34430"/>
    <w:rsid w:val="00A3448F"/>
    <w:rsid w:val="00A34998"/>
    <w:rsid w:val="00A34AC9"/>
    <w:rsid w:val="00A34EC8"/>
    <w:rsid w:val="00A35477"/>
    <w:rsid w:val="00A357E0"/>
    <w:rsid w:val="00A35913"/>
    <w:rsid w:val="00A35A92"/>
    <w:rsid w:val="00A35B76"/>
    <w:rsid w:val="00A35C0A"/>
    <w:rsid w:val="00A35F0F"/>
    <w:rsid w:val="00A360BA"/>
    <w:rsid w:val="00A367EA"/>
    <w:rsid w:val="00A36BC3"/>
    <w:rsid w:val="00A37591"/>
    <w:rsid w:val="00A375B0"/>
    <w:rsid w:val="00A37910"/>
    <w:rsid w:val="00A37EA4"/>
    <w:rsid w:val="00A37F24"/>
    <w:rsid w:val="00A41B41"/>
    <w:rsid w:val="00A421B6"/>
    <w:rsid w:val="00A422F8"/>
    <w:rsid w:val="00A42705"/>
    <w:rsid w:val="00A42B5F"/>
    <w:rsid w:val="00A4321B"/>
    <w:rsid w:val="00A43A51"/>
    <w:rsid w:val="00A43F61"/>
    <w:rsid w:val="00A4473F"/>
    <w:rsid w:val="00A44D2E"/>
    <w:rsid w:val="00A458AB"/>
    <w:rsid w:val="00A45A38"/>
    <w:rsid w:val="00A464B9"/>
    <w:rsid w:val="00A466E6"/>
    <w:rsid w:val="00A4686D"/>
    <w:rsid w:val="00A46F77"/>
    <w:rsid w:val="00A46FD9"/>
    <w:rsid w:val="00A47365"/>
    <w:rsid w:val="00A4745D"/>
    <w:rsid w:val="00A47B74"/>
    <w:rsid w:val="00A5085D"/>
    <w:rsid w:val="00A508F0"/>
    <w:rsid w:val="00A50A00"/>
    <w:rsid w:val="00A50A67"/>
    <w:rsid w:val="00A50FFD"/>
    <w:rsid w:val="00A5117A"/>
    <w:rsid w:val="00A5151D"/>
    <w:rsid w:val="00A51E1B"/>
    <w:rsid w:val="00A5229D"/>
    <w:rsid w:val="00A52599"/>
    <w:rsid w:val="00A52669"/>
    <w:rsid w:val="00A5274E"/>
    <w:rsid w:val="00A5276D"/>
    <w:rsid w:val="00A52891"/>
    <w:rsid w:val="00A529DA"/>
    <w:rsid w:val="00A539C8"/>
    <w:rsid w:val="00A54003"/>
    <w:rsid w:val="00A54885"/>
    <w:rsid w:val="00A549B6"/>
    <w:rsid w:val="00A54CAC"/>
    <w:rsid w:val="00A54CBD"/>
    <w:rsid w:val="00A54E0C"/>
    <w:rsid w:val="00A55205"/>
    <w:rsid w:val="00A554EF"/>
    <w:rsid w:val="00A55B99"/>
    <w:rsid w:val="00A560D0"/>
    <w:rsid w:val="00A56357"/>
    <w:rsid w:val="00A57553"/>
    <w:rsid w:val="00A57799"/>
    <w:rsid w:val="00A57B5E"/>
    <w:rsid w:val="00A57D73"/>
    <w:rsid w:val="00A60042"/>
    <w:rsid w:val="00A601A0"/>
    <w:rsid w:val="00A60902"/>
    <w:rsid w:val="00A6096F"/>
    <w:rsid w:val="00A6099F"/>
    <w:rsid w:val="00A61192"/>
    <w:rsid w:val="00A6143A"/>
    <w:rsid w:val="00A61BA5"/>
    <w:rsid w:val="00A62058"/>
    <w:rsid w:val="00A622A2"/>
    <w:rsid w:val="00A62A0A"/>
    <w:rsid w:val="00A62D0A"/>
    <w:rsid w:val="00A62F49"/>
    <w:rsid w:val="00A62FA8"/>
    <w:rsid w:val="00A6302A"/>
    <w:rsid w:val="00A63045"/>
    <w:rsid w:val="00A6362E"/>
    <w:rsid w:val="00A637D7"/>
    <w:rsid w:val="00A63C90"/>
    <w:rsid w:val="00A63E1A"/>
    <w:rsid w:val="00A63F65"/>
    <w:rsid w:val="00A64617"/>
    <w:rsid w:val="00A64721"/>
    <w:rsid w:val="00A6497D"/>
    <w:rsid w:val="00A6635E"/>
    <w:rsid w:val="00A66638"/>
    <w:rsid w:val="00A667E9"/>
    <w:rsid w:val="00A66AAB"/>
    <w:rsid w:val="00A66D74"/>
    <w:rsid w:val="00A67050"/>
    <w:rsid w:val="00A6758C"/>
    <w:rsid w:val="00A67A7B"/>
    <w:rsid w:val="00A67E3F"/>
    <w:rsid w:val="00A70272"/>
    <w:rsid w:val="00A70386"/>
    <w:rsid w:val="00A708D8"/>
    <w:rsid w:val="00A71226"/>
    <w:rsid w:val="00A720E8"/>
    <w:rsid w:val="00A72209"/>
    <w:rsid w:val="00A7249C"/>
    <w:rsid w:val="00A7271A"/>
    <w:rsid w:val="00A749AD"/>
    <w:rsid w:val="00A74C5B"/>
    <w:rsid w:val="00A762AD"/>
    <w:rsid w:val="00A764D0"/>
    <w:rsid w:val="00A767A7"/>
    <w:rsid w:val="00A771AA"/>
    <w:rsid w:val="00A77699"/>
    <w:rsid w:val="00A77BE1"/>
    <w:rsid w:val="00A77CFF"/>
    <w:rsid w:val="00A80D18"/>
    <w:rsid w:val="00A811C9"/>
    <w:rsid w:val="00A81921"/>
    <w:rsid w:val="00A81C8B"/>
    <w:rsid w:val="00A822A7"/>
    <w:rsid w:val="00A8239E"/>
    <w:rsid w:val="00A82591"/>
    <w:rsid w:val="00A82B13"/>
    <w:rsid w:val="00A82B4B"/>
    <w:rsid w:val="00A831C3"/>
    <w:rsid w:val="00A838B0"/>
    <w:rsid w:val="00A83EFD"/>
    <w:rsid w:val="00A8404A"/>
    <w:rsid w:val="00A84050"/>
    <w:rsid w:val="00A85B60"/>
    <w:rsid w:val="00A85BA1"/>
    <w:rsid w:val="00A85BF3"/>
    <w:rsid w:val="00A85FD0"/>
    <w:rsid w:val="00A8733C"/>
    <w:rsid w:val="00A87574"/>
    <w:rsid w:val="00A877E0"/>
    <w:rsid w:val="00A87864"/>
    <w:rsid w:val="00A87C5F"/>
    <w:rsid w:val="00A90175"/>
    <w:rsid w:val="00A9022F"/>
    <w:rsid w:val="00A906C5"/>
    <w:rsid w:val="00A90D43"/>
    <w:rsid w:val="00A91111"/>
    <w:rsid w:val="00A91366"/>
    <w:rsid w:val="00A917D2"/>
    <w:rsid w:val="00A9183B"/>
    <w:rsid w:val="00A91D6B"/>
    <w:rsid w:val="00A9247E"/>
    <w:rsid w:val="00A927E8"/>
    <w:rsid w:val="00A92D11"/>
    <w:rsid w:val="00A930AA"/>
    <w:rsid w:val="00A9338D"/>
    <w:rsid w:val="00A93526"/>
    <w:rsid w:val="00A937F0"/>
    <w:rsid w:val="00A93A64"/>
    <w:rsid w:val="00A93F1F"/>
    <w:rsid w:val="00A94AB9"/>
    <w:rsid w:val="00A94D0D"/>
    <w:rsid w:val="00A9501E"/>
    <w:rsid w:val="00A954D6"/>
    <w:rsid w:val="00A955DC"/>
    <w:rsid w:val="00A95716"/>
    <w:rsid w:val="00A95891"/>
    <w:rsid w:val="00A95B3B"/>
    <w:rsid w:val="00A95DC6"/>
    <w:rsid w:val="00A95E71"/>
    <w:rsid w:val="00A96805"/>
    <w:rsid w:val="00A9680A"/>
    <w:rsid w:val="00A96C95"/>
    <w:rsid w:val="00A97991"/>
    <w:rsid w:val="00AA033D"/>
    <w:rsid w:val="00AA0A6C"/>
    <w:rsid w:val="00AA0D99"/>
    <w:rsid w:val="00AA0F5E"/>
    <w:rsid w:val="00AA10AD"/>
    <w:rsid w:val="00AA1187"/>
    <w:rsid w:val="00AA1602"/>
    <w:rsid w:val="00AA16EC"/>
    <w:rsid w:val="00AA1AC3"/>
    <w:rsid w:val="00AA1BE6"/>
    <w:rsid w:val="00AA1FDA"/>
    <w:rsid w:val="00AA2582"/>
    <w:rsid w:val="00AA29DD"/>
    <w:rsid w:val="00AA38EE"/>
    <w:rsid w:val="00AA4494"/>
    <w:rsid w:val="00AA4E08"/>
    <w:rsid w:val="00AA55A0"/>
    <w:rsid w:val="00AA5D4E"/>
    <w:rsid w:val="00AA638B"/>
    <w:rsid w:val="00AA689E"/>
    <w:rsid w:val="00AA6CA7"/>
    <w:rsid w:val="00AA6DC3"/>
    <w:rsid w:val="00AA73E3"/>
    <w:rsid w:val="00AA7546"/>
    <w:rsid w:val="00AB0411"/>
    <w:rsid w:val="00AB0B4A"/>
    <w:rsid w:val="00AB0FA9"/>
    <w:rsid w:val="00AB122F"/>
    <w:rsid w:val="00AB1454"/>
    <w:rsid w:val="00AB179B"/>
    <w:rsid w:val="00AB1975"/>
    <w:rsid w:val="00AB1BAA"/>
    <w:rsid w:val="00AB2017"/>
    <w:rsid w:val="00AB2305"/>
    <w:rsid w:val="00AB323E"/>
    <w:rsid w:val="00AB37E5"/>
    <w:rsid w:val="00AB4933"/>
    <w:rsid w:val="00AB4B6E"/>
    <w:rsid w:val="00AB5675"/>
    <w:rsid w:val="00AB670D"/>
    <w:rsid w:val="00AB6D18"/>
    <w:rsid w:val="00AB6D5A"/>
    <w:rsid w:val="00AB6D67"/>
    <w:rsid w:val="00AB7CAE"/>
    <w:rsid w:val="00AB7DE4"/>
    <w:rsid w:val="00AC029E"/>
    <w:rsid w:val="00AC08AF"/>
    <w:rsid w:val="00AC13DF"/>
    <w:rsid w:val="00AC157E"/>
    <w:rsid w:val="00AC1A73"/>
    <w:rsid w:val="00AC236B"/>
    <w:rsid w:val="00AC347D"/>
    <w:rsid w:val="00AC3DC8"/>
    <w:rsid w:val="00AC3FB2"/>
    <w:rsid w:val="00AC428D"/>
    <w:rsid w:val="00AC48D0"/>
    <w:rsid w:val="00AC4BD5"/>
    <w:rsid w:val="00AC5529"/>
    <w:rsid w:val="00AC5DFF"/>
    <w:rsid w:val="00AC688A"/>
    <w:rsid w:val="00AC6F89"/>
    <w:rsid w:val="00AC7107"/>
    <w:rsid w:val="00AC7B77"/>
    <w:rsid w:val="00AC7C1F"/>
    <w:rsid w:val="00AC7ED2"/>
    <w:rsid w:val="00AD08FF"/>
    <w:rsid w:val="00AD095C"/>
    <w:rsid w:val="00AD0F4C"/>
    <w:rsid w:val="00AD1039"/>
    <w:rsid w:val="00AD12A8"/>
    <w:rsid w:val="00AD1343"/>
    <w:rsid w:val="00AD15FD"/>
    <w:rsid w:val="00AD1693"/>
    <w:rsid w:val="00AD17D1"/>
    <w:rsid w:val="00AD18E4"/>
    <w:rsid w:val="00AD18F5"/>
    <w:rsid w:val="00AD197D"/>
    <w:rsid w:val="00AD19D1"/>
    <w:rsid w:val="00AD23B0"/>
    <w:rsid w:val="00AD2E91"/>
    <w:rsid w:val="00AD3536"/>
    <w:rsid w:val="00AD3568"/>
    <w:rsid w:val="00AD3612"/>
    <w:rsid w:val="00AD364F"/>
    <w:rsid w:val="00AD374E"/>
    <w:rsid w:val="00AD39E0"/>
    <w:rsid w:val="00AD3AAA"/>
    <w:rsid w:val="00AD3ED4"/>
    <w:rsid w:val="00AD48B6"/>
    <w:rsid w:val="00AD4F83"/>
    <w:rsid w:val="00AD5642"/>
    <w:rsid w:val="00AD584A"/>
    <w:rsid w:val="00AD5BB3"/>
    <w:rsid w:val="00AD5C36"/>
    <w:rsid w:val="00AD5EE6"/>
    <w:rsid w:val="00AD60B5"/>
    <w:rsid w:val="00AD6591"/>
    <w:rsid w:val="00AD6D4A"/>
    <w:rsid w:val="00AD7135"/>
    <w:rsid w:val="00AD71CD"/>
    <w:rsid w:val="00AD7774"/>
    <w:rsid w:val="00AD7D11"/>
    <w:rsid w:val="00AD7D24"/>
    <w:rsid w:val="00AD7F62"/>
    <w:rsid w:val="00AE00E8"/>
    <w:rsid w:val="00AE047B"/>
    <w:rsid w:val="00AE047F"/>
    <w:rsid w:val="00AE0573"/>
    <w:rsid w:val="00AE0581"/>
    <w:rsid w:val="00AE0664"/>
    <w:rsid w:val="00AE07B1"/>
    <w:rsid w:val="00AE18D3"/>
    <w:rsid w:val="00AE1CD2"/>
    <w:rsid w:val="00AE1D56"/>
    <w:rsid w:val="00AE281C"/>
    <w:rsid w:val="00AE28D2"/>
    <w:rsid w:val="00AE2B51"/>
    <w:rsid w:val="00AE308B"/>
    <w:rsid w:val="00AE3140"/>
    <w:rsid w:val="00AE339F"/>
    <w:rsid w:val="00AE3542"/>
    <w:rsid w:val="00AE361D"/>
    <w:rsid w:val="00AE3690"/>
    <w:rsid w:val="00AE3A23"/>
    <w:rsid w:val="00AE4471"/>
    <w:rsid w:val="00AE460B"/>
    <w:rsid w:val="00AE4DAC"/>
    <w:rsid w:val="00AE5DA2"/>
    <w:rsid w:val="00AE60C0"/>
    <w:rsid w:val="00AE639D"/>
    <w:rsid w:val="00AE6B13"/>
    <w:rsid w:val="00AE6DEF"/>
    <w:rsid w:val="00AE6F18"/>
    <w:rsid w:val="00AE71DC"/>
    <w:rsid w:val="00AE7A93"/>
    <w:rsid w:val="00AE7F55"/>
    <w:rsid w:val="00AF044C"/>
    <w:rsid w:val="00AF0982"/>
    <w:rsid w:val="00AF0CF9"/>
    <w:rsid w:val="00AF1063"/>
    <w:rsid w:val="00AF14F4"/>
    <w:rsid w:val="00AF16F6"/>
    <w:rsid w:val="00AF2299"/>
    <w:rsid w:val="00AF26C9"/>
    <w:rsid w:val="00AF2FDE"/>
    <w:rsid w:val="00AF3087"/>
    <w:rsid w:val="00AF3156"/>
    <w:rsid w:val="00AF3434"/>
    <w:rsid w:val="00AF343C"/>
    <w:rsid w:val="00AF3440"/>
    <w:rsid w:val="00AF39C3"/>
    <w:rsid w:val="00AF3AD8"/>
    <w:rsid w:val="00AF3BAA"/>
    <w:rsid w:val="00AF3CC1"/>
    <w:rsid w:val="00AF4110"/>
    <w:rsid w:val="00AF4702"/>
    <w:rsid w:val="00AF47FA"/>
    <w:rsid w:val="00AF4B98"/>
    <w:rsid w:val="00AF4F42"/>
    <w:rsid w:val="00AF5203"/>
    <w:rsid w:val="00AF52A9"/>
    <w:rsid w:val="00AF540F"/>
    <w:rsid w:val="00AF5513"/>
    <w:rsid w:val="00AF5A3F"/>
    <w:rsid w:val="00AF5C78"/>
    <w:rsid w:val="00AF6732"/>
    <w:rsid w:val="00AF6FBE"/>
    <w:rsid w:val="00AF72D0"/>
    <w:rsid w:val="00AF7B06"/>
    <w:rsid w:val="00AF7D1D"/>
    <w:rsid w:val="00AF7F80"/>
    <w:rsid w:val="00B00245"/>
    <w:rsid w:val="00B00708"/>
    <w:rsid w:val="00B0086E"/>
    <w:rsid w:val="00B00961"/>
    <w:rsid w:val="00B01519"/>
    <w:rsid w:val="00B0220A"/>
    <w:rsid w:val="00B026D4"/>
    <w:rsid w:val="00B02955"/>
    <w:rsid w:val="00B02C48"/>
    <w:rsid w:val="00B04368"/>
    <w:rsid w:val="00B04545"/>
    <w:rsid w:val="00B049CE"/>
    <w:rsid w:val="00B04AE6"/>
    <w:rsid w:val="00B04B2F"/>
    <w:rsid w:val="00B04BA9"/>
    <w:rsid w:val="00B05480"/>
    <w:rsid w:val="00B05543"/>
    <w:rsid w:val="00B055EA"/>
    <w:rsid w:val="00B0605A"/>
    <w:rsid w:val="00B062A3"/>
    <w:rsid w:val="00B069C3"/>
    <w:rsid w:val="00B06AD8"/>
    <w:rsid w:val="00B06C88"/>
    <w:rsid w:val="00B06DF2"/>
    <w:rsid w:val="00B07286"/>
    <w:rsid w:val="00B074FB"/>
    <w:rsid w:val="00B10522"/>
    <w:rsid w:val="00B1052C"/>
    <w:rsid w:val="00B10540"/>
    <w:rsid w:val="00B1065E"/>
    <w:rsid w:val="00B10667"/>
    <w:rsid w:val="00B12113"/>
    <w:rsid w:val="00B12171"/>
    <w:rsid w:val="00B1258D"/>
    <w:rsid w:val="00B12B12"/>
    <w:rsid w:val="00B13191"/>
    <w:rsid w:val="00B132B4"/>
    <w:rsid w:val="00B134AB"/>
    <w:rsid w:val="00B135E3"/>
    <w:rsid w:val="00B1381D"/>
    <w:rsid w:val="00B13EED"/>
    <w:rsid w:val="00B14485"/>
    <w:rsid w:val="00B14EAD"/>
    <w:rsid w:val="00B1507E"/>
    <w:rsid w:val="00B153CD"/>
    <w:rsid w:val="00B15E43"/>
    <w:rsid w:val="00B15F81"/>
    <w:rsid w:val="00B160D7"/>
    <w:rsid w:val="00B166EB"/>
    <w:rsid w:val="00B16A86"/>
    <w:rsid w:val="00B17083"/>
    <w:rsid w:val="00B17493"/>
    <w:rsid w:val="00B17D6A"/>
    <w:rsid w:val="00B20564"/>
    <w:rsid w:val="00B20739"/>
    <w:rsid w:val="00B20A57"/>
    <w:rsid w:val="00B20AB8"/>
    <w:rsid w:val="00B20E7B"/>
    <w:rsid w:val="00B21575"/>
    <w:rsid w:val="00B21A09"/>
    <w:rsid w:val="00B21B03"/>
    <w:rsid w:val="00B21D41"/>
    <w:rsid w:val="00B22576"/>
    <w:rsid w:val="00B2295D"/>
    <w:rsid w:val="00B22D73"/>
    <w:rsid w:val="00B233B4"/>
    <w:rsid w:val="00B23AC5"/>
    <w:rsid w:val="00B23AD9"/>
    <w:rsid w:val="00B24BEE"/>
    <w:rsid w:val="00B25082"/>
    <w:rsid w:val="00B251DF"/>
    <w:rsid w:val="00B254D9"/>
    <w:rsid w:val="00B25A32"/>
    <w:rsid w:val="00B25BD6"/>
    <w:rsid w:val="00B26058"/>
    <w:rsid w:val="00B26AE3"/>
    <w:rsid w:val="00B26D43"/>
    <w:rsid w:val="00B27065"/>
    <w:rsid w:val="00B2715F"/>
    <w:rsid w:val="00B2731A"/>
    <w:rsid w:val="00B27652"/>
    <w:rsid w:val="00B301E4"/>
    <w:rsid w:val="00B30740"/>
    <w:rsid w:val="00B30BBF"/>
    <w:rsid w:val="00B30BEF"/>
    <w:rsid w:val="00B30C21"/>
    <w:rsid w:val="00B3160F"/>
    <w:rsid w:val="00B317BA"/>
    <w:rsid w:val="00B31884"/>
    <w:rsid w:val="00B32169"/>
    <w:rsid w:val="00B32883"/>
    <w:rsid w:val="00B32E22"/>
    <w:rsid w:val="00B33388"/>
    <w:rsid w:val="00B336D8"/>
    <w:rsid w:val="00B33CD4"/>
    <w:rsid w:val="00B340BD"/>
    <w:rsid w:val="00B342EA"/>
    <w:rsid w:val="00B34A7F"/>
    <w:rsid w:val="00B35136"/>
    <w:rsid w:val="00B35495"/>
    <w:rsid w:val="00B35BA9"/>
    <w:rsid w:val="00B36B42"/>
    <w:rsid w:val="00B3739E"/>
    <w:rsid w:val="00B37545"/>
    <w:rsid w:val="00B3774E"/>
    <w:rsid w:val="00B37EB5"/>
    <w:rsid w:val="00B37F03"/>
    <w:rsid w:val="00B400C1"/>
    <w:rsid w:val="00B4035E"/>
    <w:rsid w:val="00B404FD"/>
    <w:rsid w:val="00B40C01"/>
    <w:rsid w:val="00B40EC1"/>
    <w:rsid w:val="00B414D9"/>
    <w:rsid w:val="00B41A51"/>
    <w:rsid w:val="00B41D66"/>
    <w:rsid w:val="00B42312"/>
    <w:rsid w:val="00B42B8B"/>
    <w:rsid w:val="00B43412"/>
    <w:rsid w:val="00B43B2F"/>
    <w:rsid w:val="00B43BD1"/>
    <w:rsid w:val="00B44581"/>
    <w:rsid w:val="00B4483A"/>
    <w:rsid w:val="00B44F76"/>
    <w:rsid w:val="00B457B5"/>
    <w:rsid w:val="00B45EA7"/>
    <w:rsid w:val="00B45FBB"/>
    <w:rsid w:val="00B469FD"/>
    <w:rsid w:val="00B46A8B"/>
    <w:rsid w:val="00B46CFB"/>
    <w:rsid w:val="00B47722"/>
    <w:rsid w:val="00B4775F"/>
    <w:rsid w:val="00B478D1"/>
    <w:rsid w:val="00B50624"/>
    <w:rsid w:val="00B50853"/>
    <w:rsid w:val="00B50B3B"/>
    <w:rsid w:val="00B50E58"/>
    <w:rsid w:val="00B51292"/>
    <w:rsid w:val="00B5136D"/>
    <w:rsid w:val="00B528DB"/>
    <w:rsid w:val="00B52DC3"/>
    <w:rsid w:val="00B52F73"/>
    <w:rsid w:val="00B52FAF"/>
    <w:rsid w:val="00B5328A"/>
    <w:rsid w:val="00B53B2B"/>
    <w:rsid w:val="00B53C62"/>
    <w:rsid w:val="00B53F2A"/>
    <w:rsid w:val="00B5411E"/>
    <w:rsid w:val="00B54D67"/>
    <w:rsid w:val="00B55193"/>
    <w:rsid w:val="00B55DF8"/>
    <w:rsid w:val="00B55EC2"/>
    <w:rsid w:val="00B56A4D"/>
    <w:rsid w:val="00B56D28"/>
    <w:rsid w:val="00B57BDE"/>
    <w:rsid w:val="00B60B07"/>
    <w:rsid w:val="00B6161B"/>
    <w:rsid w:val="00B6180C"/>
    <w:rsid w:val="00B61C85"/>
    <w:rsid w:val="00B61D87"/>
    <w:rsid w:val="00B61E5B"/>
    <w:rsid w:val="00B62604"/>
    <w:rsid w:val="00B62A9D"/>
    <w:rsid w:val="00B62D18"/>
    <w:rsid w:val="00B62E88"/>
    <w:rsid w:val="00B635AD"/>
    <w:rsid w:val="00B63C92"/>
    <w:rsid w:val="00B64403"/>
    <w:rsid w:val="00B64E1D"/>
    <w:rsid w:val="00B64F5D"/>
    <w:rsid w:val="00B6501D"/>
    <w:rsid w:val="00B6521C"/>
    <w:rsid w:val="00B652A5"/>
    <w:rsid w:val="00B6561D"/>
    <w:rsid w:val="00B65DDD"/>
    <w:rsid w:val="00B66007"/>
    <w:rsid w:val="00B661C6"/>
    <w:rsid w:val="00B662EB"/>
    <w:rsid w:val="00B66351"/>
    <w:rsid w:val="00B6694A"/>
    <w:rsid w:val="00B6695C"/>
    <w:rsid w:val="00B66DA8"/>
    <w:rsid w:val="00B67249"/>
    <w:rsid w:val="00B673BB"/>
    <w:rsid w:val="00B67571"/>
    <w:rsid w:val="00B7057E"/>
    <w:rsid w:val="00B70BE9"/>
    <w:rsid w:val="00B70CD4"/>
    <w:rsid w:val="00B70F20"/>
    <w:rsid w:val="00B711B9"/>
    <w:rsid w:val="00B715C0"/>
    <w:rsid w:val="00B72919"/>
    <w:rsid w:val="00B7323D"/>
    <w:rsid w:val="00B73557"/>
    <w:rsid w:val="00B73639"/>
    <w:rsid w:val="00B738D2"/>
    <w:rsid w:val="00B73DE6"/>
    <w:rsid w:val="00B73F1B"/>
    <w:rsid w:val="00B747C5"/>
    <w:rsid w:val="00B74928"/>
    <w:rsid w:val="00B74CE5"/>
    <w:rsid w:val="00B75281"/>
    <w:rsid w:val="00B752F0"/>
    <w:rsid w:val="00B758A2"/>
    <w:rsid w:val="00B76243"/>
    <w:rsid w:val="00B76D36"/>
    <w:rsid w:val="00B77041"/>
    <w:rsid w:val="00B773B8"/>
    <w:rsid w:val="00B776DD"/>
    <w:rsid w:val="00B77CE9"/>
    <w:rsid w:val="00B808BE"/>
    <w:rsid w:val="00B812C3"/>
    <w:rsid w:val="00B8132D"/>
    <w:rsid w:val="00B822CE"/>
    <w:rsid w:val="00B82A9F"/>
    <w:rsid w:val="00B82DB1"/>
    <w:rsid w:val="00B82E08"/>
    <w:rsid w:val="00B83193"/>
    <w:rsid w:val="00B8348E"/>
    <w:rsid w:val="00B845A0"/>
    <w:rsid w:val="00B84C8E"/>
    <w:rsid w:val="00B85261"/>
    <w:rsid w:val="00B86569"/>
    <w:rsid w:val="00B86C50"/>
    <w:rsid w:val="00B87034"/>
    <w:rsid w:val="00B8716A"/>
    <w:rsid w:val="00B8729D"/>
    <w:rsid w:val="00B87382"/>
    <w:rsid w:val="00B874D4"/>
    <w:rsid w:val="00B87662"/>
    <w:rsid w:val="00B90688"/>
    <w:rsid w:val="00B90821"/>
    <w:rsid w:val="00B90DDB"/>
    <w:rsid w:val="00B91654"/>
    <w:rsid w:val="00B92014"/>
    <w:rsid w:val="00B92292"/>
    <w:rsid w:val="00B923B6"/>
    <w:rsid w:val="00B9296A"/>
    <w:rsid w:val="00B93507"/>
    <w:rsid w:val="00B93724"/>
    <w:rsid w:val="00B93DC5"/>
    <w:rsid w:val="00B94EFB"/>
    <w:rsid w:val="00B95A01"/>
    <w:rsid w:val="00B95B67"/>
    <w:rsid w:val="00B95EE3"/>
    <w:rsid w:val="00B9614C"/>
    <w:rsid w:val="00B96301"/>
    <w:rsid w:val="00B96A67"/>
    <w:rsid w:val="00B96E8F"/>
    <w:rsid w:val="00B973B4"/>
    <w:rsid w:val="00B97643"/>
    <w:rsid w:val="00BA0065"/>
    <w:rsid w:val="00BA08CE"/>
    <w:rsid w:val="00BA09AE"/>
    <w:rsid w:val="00BA0A1C"/>
    <w:rsid w:val="00BA0D0F"/>
    <w:rsid w:val="00BA1132"/>
    <w:rsid w:val="00BA1443"/>
    <w:rsid w:val="00BA1B27"/>
    <w:rsid w:val="00BA1B95"/>
    <w:rsid w:val="00BA1F35"/>
    <w:rsid w:val="00BA21DE"/>
    <w:rsid w:val="00BA2552"/>
    <w:rsid w:val="00BA28A9"/>
    <w:rsid w:val="00BA2FED"/>
    <w:rsid w:val="00BA3868"/>
    <w:rsid w:val="00BA3A0D"/>
    <w:rsid w:val="00BA3D30"/>
    <w:rsid w:val="00BA3E1D"/>
    <w:rsid w:val="00BA43D2"/>
    <w:rsid w:val="00BA456A"/>
    <w:rsid w:val="00BA5156"/>
    <w:rsid w:val="00BA5251"/>
    <w:rsid w:val="00BA5335"/>
    <w:rsid w:val="00BA542E"/>
    <w:rsid w:val="00BA5727"/>
    <w:rsid w:val="00BA5823"/>
    <w:rsid w:val="00BA58AE"/>
    <w:rsid w:val="00BA5CF2"/>
    <w:rsid w:val="00BA5D20"/>
    <w:rsid w:val="00BA5F3E"/>
    <w:rsid w:val="00BA6290"/>
    <w:rsid w:val="00BA693D"/>
    <w:rsid w:val="00BA6D22"/>
    <w:rsid w:val="00BA6F1D"/>
    <w:rsid w:val="00BA77FE"/>
    <w:rsid w:val="00BA78A1"/>
    <w:rsid w:val="00BA7A73"/>
    <w:rsid w:val="00BA7DAE"/>
    <w:rsid w:val="00BA7E93"/>
    <w:rsid w:val="00BA7FF0"/>
    <w:rsid w:val="00BB10AE"/>
    <w:rsid w:val="00BB187F"/>
    <w:rsid w:val="00BB1D01"/>
    <w:rsid w:val="00BB1EF8"/>
    <w:rsid w:val="00BB2B58"/>
    <w:rsid w:val="00BB2CF8"/>
    <w:rsid w:val="00BB2E9B"/>
    <w:rsid w:val="00BB2FB1"/>
    <w:rsid w:val="00BB2FFD"/>
    <w:rsid w:val="00BB314F"/>
    <w:rsid w:val="00BB3A5E"/>
    <w:rsid w:val="00BB3C02"/>
    <w:rsid w:val="00BB3E30"/>
    <w:rsid w:val="00BB41DA"/>
    <w:rsid w:val="00BB446C"/>
    <w:rsid w:val="00BB48C7"/>
    <w:rsid w:val="00BB4968"/>
    <w:rsid w:val="00BB5454"/>
    <w:rsid w:val="00BB58F0"/>
    <w:rsid w:val="00BB6309"/>
    <w:rsid w:val="00BB6F76"/>
    <w:rsid w:val="00BB721A"/>
    <w:rsid w:val="00BB7807"/>
    <w:rsid w:val="00BB78F9"/>
    <w:rsid w:val="00BC0942"/>
    <w:rsid w:val="00BC094C"/>
    <w:rsid w:val="00BC0E2F"/>
    <w:rsid w:val="00BC177F"/>
    <w:rsid w:val="00BC1B19"/>
    <w:rsid w:val="00BC1C87"/>
    <w:rsid w:val="00BC33D2"/>
    <w:rsid w:val="00BC3412"/>
    <w:rsid w:val="00BC35A4"/>
    <w:rsid w:val="00BC360E"/>
    <w:rsid w:val="00BC399C"/>
    <w:rsid w:val="00BC3B1D"/>
    <w:rsid w:val="00BC608F"/>
    <w:rsid w:val="00BC651E"/>
    <w:rsid w:val="00BC65D2"/>
    <w:rsid w:val="00BC6629"/>
    <w:rsid w:val="00BC6715"/>
    <w:rsid w:val="00BC69C8"/>
    <w:rsid w:val="00BC6ABB"/>
    <w:rsid w:val="00BC6BCC"/>
    <w:rsid w:val="00BC72B8"/>
    <w:rsid w:val="00BC7450"/>
    <w:rsid w:val="00BC7BC8"/>
    <w:rsid w:val="00BC7D5F"/>
    <w:rsid w:val="00BD0C10"/>
    <w:rsid w:val="00BD0E6F"/>
    <w:rsid w:val="00BD17D2"/>
    <w:rsid w:val="00BD1A0D"/>
    <w:rsid w:val="00BD1D3D"/>
    <w:rsid w:val="00BD23CC"/>
    <w:rsid w:val="00BD37CB"/>
    <w:rsid w:val="00BD39D7"/>
    <w:rsid w:val="00BD3B38"/>
    <w:rsid w:val="00BD43B8"/>
    <w:rsid w:val="00BD4657"/>
    <w:rsid w:val="00BD531F"/>
    <w:rsid w:val="00BD5697"/>
    <w:rsid w:val="00BD58D4"/>
    <w:rsid w:val="00BD5A4B"/>
    <w:rsid w:val="00BD5C62"/>
    <w:rsid w:val="00BD5D31"/>
    <w:rsid w:val="00BD5D98"/>
    <w:rsid w:val="00BD5EDC"/>
    <w:rsid w:val="00BD64A8"/>
    <w:rsid w:val="00BD6D12"/>
    <w:rsid w:val="00BD700D"/>
    <w:rsid w:val="00BD76B1"/>
    <w:rsid w:val="00BE0659"/>
    <w:rsid w:val="00BE0DE8"/>
    <w:rsid w:val="00BE0ED8"/>
    <w:rsid w:val="00BE12F8"/>
    <w:rsid w:val="00BE1D25"/>
    <w:rsid w:val="00BE1D50"/>
    <w:rsid w:val="00BE1DF6"/>
    <w:rsid w:val="00BE2313"/>
    <w:rsid w:val="00BE2424"/>
    <w:rsid w:val="00BE27BD"/>
    <w:rsid w:val="00BE28C0"/>
    <w:rsid w:val="00BE2E7D"/>
    <w:rsid w:val="00BE35FD"/>
    <w:rsid w:val="00BE3AE0"/>
    <w:rsid w:val="00BE4081"/>
    <w:rsid w:val="00BE541C"/>
    <w:rsid w:val="00BE5456"/>
    <w:rsid w:val="00BE6734"/>
    <w:rsid w:val="00BE74E6"/>
    <w:rsid w:val="00BE7754"/>
    <w:rsid w:val="00BF02A4"/>
    <w:rsid w:val="00BF14C2"/>
    <w:rsid w:val="00BF19ED"/>
    <w:rsid w:val="00BF1EBD"/>
    <w:rsid w:val="00BF283E"/>
    <w:rsid w:val="00BF43DE"/>
    <w:rsid w:val="00BF4FD1"/>
    <w:rsid w:val="00BF5088"/>
    <w:rsid w:val="00BF55F1"/>
    <w:rsid w:val="00BF5901"/>
    <w:rsid w:val="00BF5B06"/>
    <w:rsid w:val="00BF5D9F"/>
    <w:rsid w:val="00BF5FAF"/>
    <w:rsid w:val="00BF64CD"/>
    <w:rsid w:val="00BF6541"/>
    <w:rsid w:val="00BF685E"/>
    <w:rsid w:val="00BF7165"/>
    <w:rsid w:val="00BF74AE"/>
    <w:rsid w:val="00BF78CE"/>
    <w:rsid w:val="00BF7ED6"/>
    <w:rsid w:val="00C006E4"/>
    <w:rsid w:val="00C00995"/>
    <w:rsid w:val="00C00EE1"/>
    <w:rsid w:val="00C0171C"/>
    <w:rsid w:val="00C01F79"/>
    <w:rsid w:val="00C02656"/>
    <w:rsid w:val="00C02E32"/>
    <w:rsid w:val="00C031E2"/>
    <w:rsid w:val="00C036DD"/>
    <w:rsid w:val="00C039E0"/>
    <w:rsid w:val="00C03F9F"/>
    <w:rsid w:val="00C04244"/>
    <w:rsid w:val="00C045A8"/>
    <w:rsid w:val="00C0474C"/>
    <w:rsid w:val="00C05323"/>
    <w:rsid w:val="00C05336"/>
    <w:rsid w:val="00C053F3"/>
    <w:rsid w:val="00C05627"/>
    <w:rsid w:val="00C05AA1"/>
    <w:rsid w:val="00C05BCD"/>
    <w:rsid w:val="00C05C41"/>
    <w:rsid w:val="00C060C9"/>
    <w:rsid w:val="00C06450"/>
    <w:rsid w:val="00C06538"/>
    <w:rsid w:val="00C068D4"/>
    <w:rsid w:val="00C06BF8"/>
    <w:rsid w:val="00C078FC"/>
    <w:rsid w:val="00C1039A"/>
    <w:rsid w:val="00C103EF"/>
    <w:rsid w:val="00C1046E"/>
    <w:rsid w:val="00C10498"/>
    <w:rsid w:val="00C106E2"/>
    <w:rsid w:val="00C11767"/>
    <w:rsid w:val="00C126A5"/>
    <w:rsid w:val="00C12843"/>
    <w:rsid w:val="00C12EBB"/>
    <w:rsid w:val="00C12EDB"/>
    <w:rsid w:val="00C14654"/>
    <w:rsid w:val="00C1492B"/>
    <w:rsid w:val="00C14B15"/>
    <w:rsid w:val="00C14BC0"/>
    <w:rsid w:val="00C14D19"/>
    <w:rsid w:val="00C14D53"/>
    <w:rsid w:val="00C1533D"/>
    <w:rsid w:val="00C15F1E"/>
    <w:rsid w:val="00C16512"/>
    <w:rsid w:val="00C167A1"/>
    <w:rsid w:val="00C17036"/>
    <w:rsid w:val="00C17236"/>
    <w:rsid w:val="00C1749D"/>
    <w:rsid w:val="00C17685"/>
    <w:rsid w:val="00C176CA"/>
    <w:rsid w:val="00C177AE"/>
    <w:rsid w:val="00C17839"/>
    <w:rsid w:val="00C179E6"/>
    <w:rsid w:val="00C20A7E"/>
    <w:rsid w:val="00C20B6C"/>
    <w:rsid w:val="00C20E02"/>
    <w:rsid w:val="00C2123F"/>
    <w:rsid w:val="00C2138F"/>
    <w:rsid w:val="00C21445"/>
    <w:rsid w:val="00C21458"/>
    <w:rsid w:val="00C21CB5"/>
    <w:rsid w:val="00C21DD6"/>
    <w:rsid w:val="00C21F8E"/>
    <w:rsid w:val="00C22A7B"/>
    <w:rsid w:val="00C22FAA"/>
    <w:rsid w:val="00C2308F"/>
    <w:rsid w:val="00C23401"/>
    <w:rsid w:val="00C234C9"/>
    <w:rsid w:val="00C23AF6"/>
    <w:rsid w:val="00C23CB2"/>
    <w:rsid w:val="00C2420B"/>
    <w:rsid w:val="00C243AD"/>
    <w:rsid w:val="00C2459D"/>
    <w:rsid w:val="00C249F7"/>
    <w:rsid w:val="00C24AA9"/>
    <w:rsid w:val="00C250D5"/>
    <w:rsid w:val="00C2525E"/>
    <w:rsid w:val="00C25282"/>
    <w:rsid w:val="00C254AB"/>
    <w:rsid w:val="00C254C6"/>
    <w:rsid w:val="00C260B3"/>
    <w:rsid w:val="00C2645F"/>
    <w:rsid w:val="00C2647F"/>
    <w:rsid w:val="00C2677F"/>
    <w:rsid w:val="00C26993"/>
    <w:rsid w:val="00C26DA3"/>
    <w:rsid w:val="00C275E1"/>
    <w:rsid w:val="00C27D2D"/>
    <w:rsid w:val="00C30050"/>
    <w:rsid w:val="00C3086E"/>
    <w:rsid w:val="00C31730"/>
    <w:rsid w:val="00C31933"/>
    <w:rsid w:val="00C31F38"/>
    <w:rsid w:val="00C32454"/>
    <w:rsid w:val="00C32682"/>
    <w:rsid w:val="00C32D4C"/>
    <w:rsid w:val="00C338DE"/>
    <w:rsid w:val="00C340C9"/>
    <w:rsid w:val="00C34229"/>
    <w:rsid w:val="00C345AD"/>
    <w:rsid w:val="00C34656"/>
    <w:rsid w:val="00C34C29"/>
    <w:rsid w:val="00C353A5"/>
    <w:rsid w:val="00C35757"/>
    <w:rsid w:val="00C3580A"/>
    <w:rsid w:val="00C35CB9"/>
    <w:rsid w:val="00C35D18"/>
    <w:rsid w:val="00C35D83"/>
    <w:rsid w:val="00C35F91"/>
    <w:rsid w:val="00C35FB8"/>
    <w:rsid w:val="00C36202"/>
    <w:rsid w:val="00C362C6"/>
    <w:rsid w:val="00C364C0"/>
    <w:rsid w:val="00C36B60"/>
    <w:rsid w:val="00C36EB2"/>
    <w:rsid w:val="00C37115"/>
    <w:rsid w:val="00C371A6"/>
    <w:rsid w:val="00C37240"/>
    <w:rsid w:val="00C378A0"/>
    <w:rsid w:val="00C378EB"/>
    <w:rsid w:val="00C379E2"/>
    <w:rsid w:val="00C37B8A"/>
    <w:rsid w:val="00C402B9"/>
    <w:rsid w:val="00C4030D"/>
    <w:rsid w:val="00C40CBC"/>
    <w:rsid w:val="00C40F2C"/>
    <w:rsid w:val="00C411C7"/>
    <w:rsid w:val="00C416C3"/>
    <w:rsid w:val="00C417E0"/>
    <w:rsid w:val="00C421B5"/>
    <w:rsid w:val="00C42330"/>
    <w:rsid w:val="00C439BE"/>
    <w:rsid w:val="00C43F5A"/>
    <w:rsid w:val="00C44149"/>
    <w:rsid w:val="00C4444D"/>
    <w:rsid w:val="00C448D6"/>
    <w:rsid w:val="00C44A0C"/>
    <w:rsid w:val="00C44D62"/>
    <w:rsid w:val="00C452A7"/>
    <w:rsid w:val="00C458DF"/>
    <w:rsid w:val="00C45A4B"/>
    <w:rsid w:val="00C469AC"/>
    <w:rsid w:val="00C46FA2"/>
    <w:rsid w:val="00C4716E"/>
    <w:rsid w:val="00C47254"/>
    <w:rsid w:val="00C474C7"/>
    <w:rsid w:val="00C47C2F"/>
    <w:rsid w:val="00C50877"/>
    <w:rsid w:val="00C508EE"/>
    <w:rsid w:val="00C50A92"/>
    <w:rsid w:val="00C51BB1"/>
    <w:rsid w:val="00C51CF7"/>
    <w:rsid w:val="00C51DB3"/>
    <w:rsid w:val="00C52BB4"/>
    <w:rsid w:val="00C52BBA"/>
    <w:rsid w:val="00C531A6"/>
    <w:rsid w:val="00C53660"/>
    <w:rsid w:val="00C53A5F"/>
    <w:rsid w:val="00C53A80"/>
    <w:rsid w:val="00C53D1E"/>
    <w:rsid w:val="00C53EF8"/>
    <w:rsid w:val="00C54248"/>
    <w:rsid w:val="00C5446C"/>
    <w:rsid w:val="00C54776"/>
    <w:rsid w:val="00C54AB4"/>
    <w:rsid w:val="00C54EE2"/>
    <w:rsid w:val="00C55772"/>
    <w:rsid w:val="00C557D9"/>
    <w:rsid w:val="00C55D31"/>
    <w:rsid w:val="00C56176"/>
    <w:rsid w:val="00C56CEF"/>
    <w:rsid w:val="00C56F35"/>
    <w:rsid w:val="00C56FDC"/>
    <w:rsid w:val="00C5715C"/>
    <w:rsid w:val="00C571BC"/>
    <w:rsid w:val="00C57904"/>
    <w:rsid w:val="00C604BF"/>
    <w:rsid w:val="00C605B4"/>
    <w:rsid w:val="00C608A6"/>
    <w:rsid w:val="00C609C4"/>
    <w:rsid w:val="00C61273"/>
    <w:rsid w:val="00C61677"/>
    <w:rsid w:val="00C617FE"/>
    <w:rsid w:val="00C61A4A"/>
    <w:rsid w:val="00C61D79"/>
    <w:rsid w:val="00C62304"/>
    <w:rsid w:val="00C62A65"/>
    <w:rsid w:val="00C62DE1"/>
    <w:rsid w:val="00C632F0"/>
    <w:rsid w:val="00C636E4"/>
    <w:rsid w:val="00C63AF7"/>
    <w:rsid w:val="00C63FA1"/>
    <w:rsid w:val="00C64044"/>
    <w:rsid w:val="00C645A0"/>
    <w:rsid w:val="00C6548A"/>
    <w:rsid w:val="00C654B9"/>
    <w:rsid w:val="00C65D39"/>
    <w:rsid w:val="00C66207"/>
    <w:rsid w:val="00C6647C"/>
    <w:rsid w:val="00C664DC"/>
    <w:rsid w:val="00C66645"/>
    <w:rsid w:val="00C666DE"/>
    <w:rsid w:val="00C66FBE"/>
    <w:rsid w:val="00C67F80"/>
    <w:rsid w:val="00C70A2A"/>
    <w:rsid w:val="00C71518"/>
    <w:rsid w:val="00C717A3"/>
    <w:rsid w:val="00C717B7"/>
    <w:rsid w:val="00C71A94"/>
    <w:rsid w:val="00C71C2E"/>
    <w:rsid w:val="00C71C7E"/>
    <w:rsid w:val="00C72028"/>
    <w:rsid w:val="00C72C90"/>
    <w:rsid w:val="00C72FB1"/>
    <w:rsid w:val="00C73185"/>
    <w:rsid w:val="00C73A0D"/>
    <w:rsid w:val="00C73DAF"/>
    <w:rsid w:val="00C73E4F"/>
    <w:rsid w:val="00C73EDC"/>
    <w:rsid w:val="00C73FF8"/>
    <w:rsid w:val="00C741CD"/>
    <w:rsid w:val="00C74411"/>
    <w:rsid w:val="00C7480B"/>
    <w:rsid w:val="00C74960"/>
    <w:rsid w:val="00C75308"/>
    <w:rsid w:val="00C758D6"/>
    <w:rsid w:val="00C75931"/>
    <w:rsid w:val="00C75C90"/>
    <w:rsid w:val="00C75E26"/>
    <w:rsid w:val="00C76EED"/>
    <w:rsid w:val="00C7762C"/>
    <w:rsid w:val="00C7770A"/>
    <w:rsid w:val="00C7788E"/>
    <w:rsid w:val="00C77F5A"/>
    <w:rsid w:val="00C800B6"/>
    <w:rsid w:val="00C806D4"/>
    <w:rsid w:val="00C806F6"/>
    <w:rsid w:val="00C80725"/>
    <w:rsid w:val="00C80BD3"/>
    <w:rsid w:val="00C812DF"/>
    <w:rsid w:val="00C818AD"/>
    <w:rsid w:val="00C82028"/>
    <w:rsid w:val="00C82072"/>
    <w:rsid w:val="00C822E1"/>
    <w:rsid w:val="00C82B4A"/>
    <w:rsid w:val="00C82B7F"/>
    <w:rsid w:val="00C82E45"/>
    <w:rsid w:val="00C82FA3"/>
    <w:rsid w:val="00C83019"/>
    <w:rsid w:val="00C83066"/>
    <w:rsid w:val="00C831ED"/>
    <w:rsid w:val="00C83769"/>
    <w:rsid w:val="00C83B15"/>
    <w:rsid w:val="00C83CD0"/>
    <w:rsid w:val="00C84123"/>
    <w:rsid w:val="00C85645"/>
    <w:rsid w:val="00C8577B"/>
    <w:rsid w:val="00C857C2"/>
    <w:rsid w:val="00C85CE8"/>
    <w:rsid w:val="00C863B4"/>
    <w:rsid w:val="00C863EC"/>
    <w:rsid w:val="00C864E0"/>
    <w:rsid w:val="00C8654B"/>
    <w:rsid w:val="00C86A1F"/>
    <w:rsid w:val="00C86AD7"/>
    <w:rsid w:val="00C86B4A"/>
    <w:rsid w:val="00C86DED"/>
    <w:rsid w:val="00C86E68"/>
    <w:rsid w:val="00C86F9E"/>
    <w:rsid w:val="00C87120"/>
    <w:rsid w:val="00C873E7"/>
    <w:rsid w:val="00C87548"/>
    <w:rsid w:val="00C875BB"/>
    <w:rsid w:val="00C87B74"/>
    <w:rsid w:val="00C902CA"/>
    <w:rsid w:val="00C90720"/>
    <w:rsid w:val="00C908C7"/>
    <w:rsid w:val="00C9125F"/>
    <w:rsid w:val="00C913DF"/>
    <w:rsid w:val="00C9152C"/>
    <w:rsid w:val="00C918D4"/>
    <w:rsid w:val="00C91CAB"/>
    <w:rsid w:val="00C91D7B"/>
    <w:rsid w:val="00C926F5"/>
    <w:rsid w:val="00C9287B"/>
    <w:rsid w:val="00C92E31"/>
    <w:rsid w:val="00C930BB"/>
    <w:rsid w:val="00C932FE"/>
    <w:rsid w:val="00C93532"/>
    <w:rsid w:val="00C9412D"/>
    <w:rsid w:val="00C94137"/>
    <w:rsid w:val="00C94261"/>
    <w:rsid w:val="00C947F4"/>
    <w:rsid w:val="00C94A20"/>
    <w:rsid w:val="00C94F79"/>
    <w:rsid w:val="00C961CA"/>
    <w:rsid w:val="00C96889"/>
    <w:rsid w:val="00C96CF7"/>
    <w:rsid w:val="00C97644"/>
    <w:rsid w:val="00C977B4"/>
    <w:rsid w:val="00C979B1"/>
    <w:rsid w:val="00CA06E6"/>
    <w:rsid w:val="00CA0DEB"/>
    <w:rsid w:val="00CA1189"/>
    <w:rsid w:val="00CA125D"/>
    <w:rsid w:val="00CA14C2"/>
    <w:rsid w:val="00CA207A"/>
    <w:rsid w:val="00CA2CE1"/>
    <w:rsid w:val="00CA3339"/>
    <w:rsid w:val="00CA34FF"/>
    <w:rsid w:val="00CA3719"/>
    <w:rsid w:val="00CA3BF8"/>
    <w:rsid w:val="00CA3D30"/>
    <w:rsid w:val="00CA4886"/>
    <w:rsid w:val="00CA48FD"/>
    <w:rsid w:val="00CA4E8E"/>
    <w:rsid w:val="00CA5017"/>
    <w:rsid w:val="00CA5CCE"/>
    <w:rsid w:val="00CA5F7E"/>
    <w:rsid w:val="00CA6093"/>
    <w:rsid w:val="00CA6170"/>
    <w:rsid w:val="00CA618A"/>
    <w:rsid w:val="00CA6A23"/>
    <w:rsid w:val="00CA6C86"/>
    <w:rsid w:val="00CA6F30"/>
    <w:rsid w:val="00CA7730"/>
    <w:rsid w:val="00CA77CE"/>
    <w:rsid w:val="00CA7868"/>
    <w:rsid w:val="00CB034D"/>
    <w:rsid w:val="00CB03E7"/>
    <w:rsid w:val="00CB04FE"/>
    <w:rsid w:val="00CB066A"/>
    <w:rsid w:val="00CB09EC"/>
    <w:rsid w:val="00CB107E"/>
    <w:rsid w:val="00CB1140"/>
    <w:rsid w:val="00CB13E4"/>
    <w:rsid w:val="00CB1567"/>
    <w:rsid w:val="00CB167D"/>
    <w:rsid w:val="00CB175C"/>
    <w:rsid w:val="00CB20B1"/>
    <w:rsid w:val="00CB2C72"/>
    <w:rsid w:val="00CB3103"/>
    <w:rsid w:val="00CB357C"/>
    <w:rsid w:val="00CB35B2"/>
    <w:rsid w:val="00CB35BB"/>
    <w:rsid w:val="00CB3C5E"/>
    <w:rsid w:val="00CB3EBF"/>
    <w:rsid w:val="00CB40D9"/>
    <w:rsid w:val="00CB4644"/>
    <w:rsid w:val="00CB51E0"/>
    <w:rsid w:val="00CB57D7"/>
    <w:rsid w:val="00CB5DD4"/>
    <w:rsid w:val="00CB5E7D"/>
    <w:rsid w:val="00CB643C"/>
    <w:rsid w:val="00CB6705"/>
    <w:rsid w:val="00CB6760"/>
    <w:rsid w:val="00CB6A4E"/>
    <w:rsid w:val="00CB6F2A"/>
    <w:rsid w:val="00CB7213"/>
    <w:rsid w:val="00CC00BC"/>
    <w:rsid w:val="00CC0277"/>
    <w:rsid w:val="00CC03F8"/>
    <w:rsid w:val="00CC0627"/>
    <w:rsid w:val="00CC0804"/>
    <w:rsid w:val="00CC0B18"/>
    <w:rsid w:val="00CC0BCA"/>
    <w:rsid w:val="00CC0D6E"/>
    <w:rsid w:val="00CC0E36"/>
    <w:rsid w:val="00CC13AC"/>
    <w:rsid w:val="00CC1481"/>
    <w:rsid w:val="00CC15D0"/>
    <w:rsid w:val="00CC1900"/>
    <w:rsid w:val="00CC1CAA"/>
    <w:rsid w:val="00CC1E5F"/>
    <w:rsid w:val="00CC242A"/>
    <w:rsid w:val="00CC25CB"/>
    <w:rsid w:val="00CC2B85"/>
    <w:rsid w:val="00CC317D"/>
    <w:rsid w:val="00CC3586"/>
    <w:rsid w:val="00CC3829"/>
    <w:rsid w:val="00CC473E"/>
    <w:rsid w:val="00CC532C"/>
    <w:rsid w:val="00CC5BD4"/>
    <w:rsid w:val="00CC5BE3"/>
    <w:rsid w:val="00CC5D67"/>
    <w:rsid w:val="00CC5E81"/>
    <w:rsid w:val="00CC61E5"/>
    <w:rsid w:val="00CC6245"/>
    <w:rsid w:val="00CC6ADD"/>
    <w:rsid w:val="00CC7215"/>
    <w:rsid w:val="00CC747B"/>
    <w:rsid w:val="00CC7A60"/>
    <w:rsid w:val="00CC7AB0"/>
    <w:rsid w:val="00CD0166"/>
    <w:rsid w:val="00CD04B2"/>
    <w:rsid w:val="00CD0D28"/>
    <w:rsid w:val="00CD11B2"/>
    <w:rsid w:val="00CD2039"/>
    <w:rsid w:val="00CD2067"/>
    <w:rsid w:val="00CD24BA"/>
    <w:rsid w:val="00CD30B9"/>
    <w:rsid w:val="00CD3170"/>
    <w:rsid w:val="00CD3726"/>
    <w:rsid w:val="00CD401F"/>
    <w:rsid w:val="00CD48B5"/>
    <w:rsid w:val="00CD54E9"/>
    <w:rsid w:val="00CD56EA"/>
    <w:rsid w:val="00CD583B"/>
    <w:rsid w:val="00CD5B20"/>
    <w:rsid w:val="00CD5E38"/>
    <w:rsid w:val="00CD5EBB"/>
    <w:rsid w:val="00CD62CF"/>
    <w:rsid w:val="00CD66E0"/>
    <w:rsid w:val="00CD6A6E"/>
    <w:rsid w:val="00CD6FDA"/>
    <w:rsid w:val="00CD708C"/>
    <w:rsid w:val="00CD70D1"/>
    <w:rsid w:val="00CD70DF"/>
    <w:rsid w:val="00CD7470"/>
    <w:rsid w:val="00CD75D0"/>
    <w:rsid w:val="00CD76EF"/>
    <w:rsid w:val="00CD7F2A"/>
    <w:rsid w:val="00CD7FD4"/>
    <w:rsid w:val="00CE02D3"/>
    <w:rsid w:val="00CE0305"/>
    <w:rsid w:val="00CE0357"/>
    <w:rsid w:val="00CE1029"/>
    <w:rsid w:val="00CE1841"/>
    <w:rsid w:val="00CE1D95"/>
    <w:rsid w:val="00CE1EFC"/>
    <w:rsid w:val="00CE268B"/>
    <w:rsid w:val="00CE2E73"/>
    <w:rsid w:val="00CE2E7A"/>
    <w:rsid w:val="00CE2E9A"/>
    <w:rsid w:val="00CE310E"/>
    <w:rsid w:val="00CE320C"/>
    <w:rsid w:val="00CE3293"/>
    <w:rsid w:val="00CE3932"/>
    <w:rsid w:val="00CE3C19"/>
    <w:rsid w:val="00CE40D7"/>
    <w:rsid w:val="00CE412A"/>
    <w:rsid w:val="00CE437A"/>
    <w:rsid w:val="00CE455B"/>
    <w:rsid w:val="00CE47CD"/>
    <w:rsid w:val="00CE4AF6"/>
    <w:rsid w:val="00CE5478"/>
    <w:rsid w:val="00CE5735"/>
    <w:rsid w:val="00CE59BA"/>
    <w:rsid w:val="00CE5D57"/>
    <w:rsid w:val="00CE5DB3"/>
    <w:rsid w:val="00CE687A"/>
    <w:rsid w:val="00CE6C37"/>
    <w:rsid w:val="00CE7C08"/>
    <w:rsid w:val="00CF067E"/>
    <w:rsid w:val="00CF0955"/>
    <w:rsid w:val="00CF0BF6"/>
    <w:rsid w:val="00CF0FF0"/>
    <w:rsid w:val="00CF1215"/>
    <w:rsid w:val="00CF128E"/>
    <w:rsid w:val="00CF140B"/>
    <w:rsid w:val="00CF18EC"/>
    <w:rsid w:val="00CF1A77"/>
    <w:rsid w:val="00CF1FD5"/>
    <w:rsid w:val="00CF2229"/>
    <w:rsid w:val="00CF2513"/>
    <w:rsid w:val="00CF256F"/>
    <w:rsid w:val="00CF2956"/>
    <w:rsid w:val="00CF29D9"/>
    <w:rsid w:val="00CF3153"/>
    <w:rsid w:val="00CF3619"/>
    <w:rsid w:val="00CF45D4"/>
    <w:rsid w:val="00CF45D9"/>
    <w:rsid w:val="00CF545C"/>
    <w:rsid w:val="00CF63CB"/>
    <w:rsid w:val="00CF64C7"/>
    <w:rsid w:val="00CF65BA"/>
    <w:rsid w:val="00CF68BC"/>
    <w:rsid w:val="00CF6B1E"/>
    <w:rsid w:val="00CF6B6F"/>
    <w:rsid w:val="00CF6BEF"/>
    <w:rsid w:val="00CF6E56"/>
    <w:rsid w:val="00CF6ED4"/>
    <w:rsid w:val="00CF6FB6"/>
    <w:rsid w:val="00D0023E"/>
    <w:rsid w:val="00D00329"/>
    <w:rsid w:val="00D00D74"/>
    <w:rsid w:val="00D029DC"/>
    <w:rsid w:val="00D02EEA"/>
    <w:rsid w:val="00D0434E"/>
    <w:rsid w:val="00D043BF"/>
    <w:rsid w:val="00D049BA"/>
    <w:rsid w:val="00D04CE0"/>
    <w:rsid w:val="00D053CA"/>
    <w:rsid w:val="00D053F1"/>
    <w:rsid w:val="00D05B84"/>
    <w:rsid w:val="00D06187"/>
    <w:rsid w:val="00D07823"/>
    <w:rsid w:val="00D07E64"/>
    <w:rsid w:val="00D07EDE"/>
    <w:rsid w:val="00D07F86"/>
    <w:rsid w:val="00D10736"/>
    <w:rsid w:val="00D10737"/>
    <w:rsid w:val="00D10948"/>
    <w:rsid w:val="00D1181E"/>
    <w:rsid w:val="00D11F5D"/>
    <w:rsid w:val="00D123D8"/>
    <w:rsid w:val="00D12768"/>
    <w:rsid w:val="00D131BC"/>
    <w:rsid w:val="00D1339A"/>
    <w:rsid w:val="00D135CA"/>
    <w:rsid w:val="00D13EC8"/>
    <w:rsid w:val="00D147F7"/>
    <w:rsid w:val="00D15212"/>
    <w:rsid w:val="00D157A7"/>
    <w:rsid w:val="00D159D5"/>
    <w:rsid w:val="00D15B36"/>
    <w:rsid w:val="00D15C56"/>
    <w:rsid w:val="00D1655C"/>
    <w:rsid w:val="00D16571"/>
    <w:rsid w:val="00D17642"/>
    <w:rsid w:val="00D17719"/>
    <w:rsid w:val="00D17823"/>
    <w:rsid w:val="00D17AAA"/>
    <w:rsid w:val="00D21030"/>
    <w:rsid w:val="00D211A0"/>
    <w:rsid w:val="00D21240"/>
    <w:rsid w:val="00D21627"/>
    <w:rsid w:val="00D220A3"/>
    <w:rsid w:val="00D22539"/>
    <w:rsid w:val="00D22A64"/>
    <w:rsid w:val="00D22B04"/>
    <w:rsid w:val="00D231F9"/>
    <w:rsid w:val="00D2326C"/>
    <w:rsid w:val="00D234EF"/>
    <w:rsid w:val="00D23760"/>
    <w:rsid w:val="00D2468B"/>
    <w:rsid w:val="00D247FF"/>
    <w:rsid w:val="00D24C65"/>
    <w:rsid w:val="00D24D69"/>
    <w:rsid w:val="00D24F99"/>
    <w:rsid w:val="00D25108"/>
    <w:rsid w:val="00D251D0"/>
    <w:rsid w:val="00D252D7"/>
    <w:rsid w:val="00D25543"/>
    <w:rsid w:val="00D2579D"/>
    <w:rsid w:val="00D2590A"/>
    <w:rsid w:val="00D26001"/>
    <w:rsid w:val="00D261E6"/>
    <w:rsid w:val="00D26236"/>
    <w:rsid w:val="00D26297"/>
    <w:rsid w:val="00D263D0"/>
    <w:rsid w:val="00D266AD"/>
    <w:rsid w:val="00D26866"/>
    <w:rsid w:val="00D268B0"/>
    <w:rsid w:val="00D26991"/>
    <w:rsid w:val="00D2709B"/>
    <w:rsid w:val="00D274A4"/>
    <w:rsid w:val="00D2753A"/>
    <w:rsid w:val="00D27605"/>
    <w:rsid w:val="00D30550"/>
    <w:rsid w:val="00D30556"/>
    <w:rsid w:val="00D30845"/>
    <w:rsid w:val="00D3087A"/>
    <w:rsid w:val="00D30C5D"/>
    <w:rsid w:val="00D316AE"/>
    <w:rsid w:val="00D31EEA"/>
    <w:rsid w:val="00D32098"/>
    <w:rsid w:val="00D321F2"/>
    <w:rsid w:val="00D330F4"/>
    <w:rsid w:val="00D33F47"/>
    <w:rsid w:val="00D33F99"/>
    <w:rsid w:val="00D349FA"/>
    <w:rsid w:val="00D34DF9"/>
    <w:rsid w:val="00D3517D"/>
    <w:rsid w:val="00D35B0F"/>
    <w:rsid w:val="00D35B2C"/>
    <w:rsid w:val="00D35B70"/>
    <w:rsid w:val="00D3686C"/>
    <w:rsid w:val="00D3796F"/>
    <w:rsid w:val="00D4075E"/>
    <w:rsid w:val="00D40E84"/>
    <w:rsid w:val="00D410E8"/>
    <w:rsid w:val="00D41344"/>
    <w:rsid w:val="00D41D96"/>
    <w:rsid w:val="00D42584"/>
    <w:rsid w:val="00D42CA1"/>
    <w:rsid w:val="00D42F52"/>
    <w:rsid w:val="00D430BC"/>
    <w:rsid w:val="00D43A0F"/>
    <w:rsid w:val="00D43D5C"/>
    <w:rsid w:val="00D43F70"/>
    <w:rsid w:val="00D441C6"/>
    <w:rsid w:val="00D4487F"/>
    <w:rsid w:val="00D449B7"/>
    <w:rsid w:val="00D44A6F"/>
    <w:rsid w:val="00D45139"/>
    <w:rsid w:val="00D45404"/>
    <w:rsid w:val="00D45AAB"/>
    <w:rsid w:val="00D45F45"/>
    <w:rsid w:val="00D4601F"/>
    <w:rsid w:val="00D46178"/>
    <w:rsid w:val="00D46235"/>
    <w:rsid w:val="00D46F4A"/>
    <w:rsid w:val="00D4794A"/>
    <w:rsid w:val="00D50047"/>
    <w:rsid w:val="00D50662"/>
    <w:rsid w:val="00D506D6"/>
    <w:rsid w:val="00D51013"/>
    <w:rsid w:val="00D51B89"/>
    <w:rsid w:val="00D523F2"/>
    <w:rsid w:val="00D52832"/>
    <w:rsid w:val="00D52C05"/>
    <w:rsid w:val="00D53767"/>
    <w:rsid w:val="00D5433F"/>
    <w:rsid w:val="00D5551F"/>
    <w:rsid w:val="00D56121"/>
    <w:rsid w:val="00D56190"/>
    <w:rsid w:val="00D561E0"/>
    <w:rsid w:val="00D56294"/>
    <w:rsid w:val="00D562F9"/>
    <w:rsid w:val="00D566BC"/>
    <w:rsid w:val="00D566C1"/>
    <w:rsid w:val="00D567E3"/>
    <w:rsid w:val="00D56B66"/>
    <w:rsid w:val="00D56E27"/>
    <w:rsid w:val="00D56EBD"/>
    <w:rsid w:val="00D570D7"/>
    <w:rsid w:val="00D57F77"/>
    <w:rsid w:val="00D60540"/>
    <w:rsid w:val="00D6099E"/>
    <w:rsid w:val="00D61144"/>
    <w:rsid w:val="00D61434"/>
    <w:rsid w:val="00D61454"/>
    <w:rsid w:val="00D61629"/>
    <w:rsid w:val="00D617E2"/>
    <w:rsid w:val="00D62313"/>
    <w:rsid w:val="00D6326B"/>
    <w:rsid w:val="00D639AB"/>
    <w:rsid w:val="00D63AE9"/>
    <w:rsid w:val="00D64256"/>
    <w:rsid w:val="00D64676"/>
    <w:rsid w:val="00D64D7F"/>
    <w:rsid w:val="00D6505F"/>
    <w:rsid w:val="00D6592B"/>
    <w:rsid w:val="00D65AB5"/>
    <w:rsid w:val="00D65C13"/>
    <w:rsid w:val="00D65FE1"/>
    <w:rsid w:val="00D661E7"/>
    <w:rsid w:val="00D664DD"/>
    <w:rsid w:val="00D665C0"/>
    <w:rsid w:val="00D66731"/>
    <w:rsid w:val="00D667ED"/>
    <w:rsid w:val="00D669ED"/>
    <w:rsid w:val="00D6701A"/>
    <w:rsid w:val="00D67476"/>
    <w:rsid w:val="00D6747C"/>
    <w:rsid w:val="00D6756D"/>
    <w:rsid w:val="00D6760D"/>
    <w:rsid w:val="00D70854"/>
    <w:rsid w:val="00D709AF"/>
    <w:rsid w:val="00D70E33"/>
    <w:rsid w:val="00D71339"/>
    <w:rsid w:val="00D714A3"/>
    <w:rsid w:val="00D714AA"/>
    <w:rsid w:val="00D719C6"/>
    <w:rsid w:val="00D73405"/>
    <w:rsid w:val="00D73526"/>
    <w:rsid w:val="00D7366B"/>
    <w:rsid w:val="00D73DD0"/>
    <w:rsid w:val="00D74176"/>
    <w:rsid w:val="00D750FB"/>
    <w:rsid w:val="00D75387"/>
    <w:rsid w:val="00D754CC"/>
    <w:rsid w:val="00D754E6"/>
    <w:rsid w:val="00D756CE"/>
    <w:rsid w:val="00D75A7D"/>
    <w:rsid w:val="00D76BCC"/>
    <w:rsid w:val="00D76ED1"/>
    <w:rsid w:val="00D76F16"/>
    <w:rsid w:val="00D77009"/>
    <w:rsid w:val="00D7780A"/>
    <w:rsid w:val="00D77BE8"/>
    <w:rsid w:val="00D77D11"/>
    <w:rsid w:val="00D77DF8"/>
    <w:rsid w:val="00D802EC"/>
    <w:rsid w:val="00D80357"/>
    <w:rsid w:val="00D80496"/>
    <w:rsid w:val="00D804A7"/>
    <w:rsid w:val="00D80718"/>
    <w:rsid w:val="00D808B0"/>
    <w:rsid w:val="00D80BCB"/>
    <w:rsid w:val="00D80ED6"/>
    <w:rsid w:val="00D80F62"/>
    <w:rsid w:val="00D81393"/>
    <w:rsid w:val="00D81A63"/>
    <w:rsid w:val="00D81E7B"/>
    <w:rsid w:val="00D82AF4"/>
    <w:rsid w:val="00D837D4"/>
    <w:rsid w:val="00D83F22"/>
    <w:rsid w:val="00D844AA"/>
    <w:rsid w:val="00D84A91"/>
    <w:rsid w:val="00D858FA"/>
    <w:rsid w:val="00D85942"/>
    <w:rsid w:val="00D859FE"/>
    <w:rsid w:val="00D85CE8"/>
    <w:rsid w:val="00D86335"/>
    <w:rsid w:val="00D86512"/>
    <w:rsid w:val="00D86570"/>
    <w:rsid w:val="00D86872"/>
    <w:rsid w:val="00D86A63"/>
    <w:rsid w:val="00D8705F"/>
    <w:rsid w:val="00D872BD"/>
    <w:rsid w:val="00D876AC"/>
    <w:rsid w:val="00D87B4A"/>
    <w:rsid w:val="00D87B50"/>
    <w:rsid w:val="00D87F4A"/>
    <w:rsid w:val="00D90017"/>
    <w:rsid w:val="00D90050"/>
    <w:rsid w:val="00D90448"/>
    <w:rsid w:val="00D90B1D"/>
    <w:rsid w:val="00D90C55"/>
    <w:rsid w:val="00D91316"/>
    <w:rsid w:val="00D914E5"/>
    <w:rsid w:val="00D91705"/>
    <w:rsid w:val="00D917C6"/>
    <w:rsid w:val="00D919AB"/>
    <w:rsid w:val="00D91C22"/>
    <w:rsid w:val="00D92439"/>
    <w:rsid w:val="00D92468"/>
    <w:rsid w:val="00D924CB"/>
    <w:rsid w:val="00D927F5"/>
    <w:rsid w:val="00D92F34"/>
    <w:rsid w:val="00D932AD"/>
    <w:rsid w:val="00D93344"/>
    <w:rsid w:val="00D93392"/>
    <w:rsid w:val="00D937CA"/>
    <w:rsid w:val="00D939FE"/>
    <w:rsid w:val="00D93F7C"/>
    <w:rsid w:val="00D9436C"/>
    <w:rsid w:val="00D9438D"/>
    <w:rsid w:val="00D9451A"/>
    <w:rsid w:val="00D945B0"/>
    <w:rsid w:val="00D94A16"/>
    <w:rsid w:val="00D94EBE"/>
    <w:rsid w:val="00D94FE7"/>
    <w:rsid w:val="00D95151"/>
    <w:rsid w:val="00D95864"/>
    <w:rsid w:val="00D95AAE"/>
    <w:rsid w:val="00D95C51"/>
    <w:rsid w:val="00D95FF5"/>
    <w:rsid w:val="00D96FBC"/>
    <w:rsid w:val="00D97218"/>
    <w:rsid w:val="00D979A1"/>
    <w:rsid w:val="00DA07E2"/>
    <w:rsid w:val="00DA07F1"/>
    <w:rsid w:val="00DA0D77"/>
    <w:rsid w:val="00DA19FC"/>
    <w:rsid w:val="00DA20A9"/>
    <w:rsid w:val="00DA20BA"/>
    <w:rsid w:val="00DA21EB"/>
    <w:rsid w:val="00DA300C"/>
    <w:rsid w:val="00DA30A7"/>
    <w:rsid w:val="00DA3C87"/>
    <w:rsid w:val="00DA3F48"/>
    <w:rsid w:val="00DA3F79"/>
    <w:rsid w:val="00DA4F87"/>
    <w:rsid w:val="00DA5186"/>
    <w:rsid w:val="00DA5324"/>
    <w:rsid w:val="00DA5DFA"/>
    <w:rsid w:val="00DA6B50"/>
    <w:rsid w:val="00DA6F13"/>
    <w:rsid w:val="00DA732F"/>
    <w:rsid w:val="00DB0D1F"/>
    <w:rsid w:val="00DB1172"/>
    <w:rsid w:val="00DB11AD"/>
    <w:rsid w:val="00DB1344"/>
    <w:rsid w:val="00DB193F"/>
    <w:rsid w:val="00DB1DBC"/>
    <w:rsid w:val="00DB1FD2"/>
    <w:rsid w:val="00DB204C"/>
    <w:rsid w:val="00DB21FA"/>
    <w:rsid w:val="00DB25AD"/>
    <w:rsid w:val="00DB2BB2"/>
    <w:rsid w:val="00DB2EA2"/>
    <w:rsid w:val="00DB432D"/>
    <w:rsid w:val="00DB470F"/>
    <w:rsid w:val="00DB4B3E"/>
    <w:rsid w:val="00DB54ED"/>
    <w:rsid w:val="00DB5831"/>
    <w:rsid w:val="00DB5871"/>
    <w:rsid w:val="00DB5F88"/>
    <w:rsid w:val="00DB6174"/>
    <w:rsid w:val="00DB6B0A"/>
    <w:rsid w:val="00DB6BDC"/>
    <w:rsid w:val="00DB6D12"/>
    <w:rsid w:val="00DB712A"/>
    <w:rsid w:val="00DB79F0"/>
    <w:rsid w:val="00DB7A76"/>
    <w:rsid w:val="00DB7FDD"/>
    <w:rsid w:val="00DC0178"/>
    <w:rsid w:val="00DC022A"/>
    <w:rsid w:val="00DC0533"/>
    <w:rsid w:val="00DC06F8"/>
    <w:rsid w:val="00DC0861"/>
    <w:rsid w:val="00DC0A65"/>
    <w:rsid w:val="00DC1159"/>
    <w:rsid w:val="00DC12EA"/>
    <w:rsid w:val="00DC1585"/>
    <w:rsid w:val="00DC1904"/>
    <w:rsid w:val="00DC1952"/>
    <w:rsid w:val="00DC1D4B"/>
    <w:rsid w:val="00DC2498"/>
    <w:rsid w:val="00DC3185"/>
    <w:rsid w:val="00DC3270"/>
    <w:rsid w:val="00DC393D"/>
    <w:rsid w:val="00DC3BEB"/>
    <w:rsid w:val="00DC4584"/>
    <w:rsid w:val="00DC4A6B"/>
    <w:rsid w:val="00DC4CF6"/>
    <w:rsid w:val="00DC5486"/>
    <w:rsid w:val="00DC6137"/>
    <w:rsid w:val="00DC63B9"/>
    <w:rsid w:val="00DC6C1E"/>
    <w:rsid w:val="00DC794E"/>
    <w:rsid w:val="00DC798B"/>
    <w:rsid w:val="00DC7F1D"/>
    <w:rsid w:val="00DD0705"/>
    <w:rsid w:val="00DD0A2B"/>
    <w:rsid w:val="00DD0D23"/>
    <w:rsid w:val="00DD0E42"/>
    <w:rsid w:val="00DD107B"/>
    <w:rsid w:val="00DD1504"/>
    <w:rsid w:val="00DD17FE"/>
    <w:rsid w:val="00DD1AA3"/>
    <w:rsid w:val="00DD220C"/>
    <w:rsid w:val="00DD233E"/>
    <w:rsid w:val="00DD24F2"/>
    <w:rsid w:val="00DD259D"/>
    <w:rsid w:val="00DD27CB"/>
    <w:rsid w:val="00DD326B"/>
    <w:rsid w:val="00DD3F04"/>
    <w:rsid w:val="00DD4722"/>
    <w:rsid w:val="00DD4E59"/>
    <w:rsid w:val="00DD4EB3"/>
    <w:rsid w:val="00DD4FB2"/>
    <w:rsid w:val="00DD5822"/>
    <w:rsid w:val="00DD5CAB"/>
    <w:rsid w:val="00DD5F94"/>
    <w:rsid w:val="00DD75DA"/>
    <w:rsid w:val="00DD79A5"/>
    <w:rsid w:val="00DD7B28"/>
    <w:rsid w:val="00DD7D7B"/>
    <w:rsid w:val="00DE037A"/>
    <w:rsid w:val="00DE09C3"/>
    <w:rsid w:val="00DE0E9B"/>
    <w:rsid w:val="00DE0F62"/>
    <w:rsid w:val="00DE1317"/>
    <w:rsid w:val="00DE1436"/>
    <w:rsid w:val="00DE147A"/>
    <w:rsid w:val="00DE1888"/>
    <w:rsid w:val="00DE190F"/>
    <w:rsid w:val="00DE1E96"/>
    <w:rsid w:val="00DE2106"/>
    <w:rsid w:val="00DE2B23"/>
    <w:rsid w:val="00DE32EF"/>
    <w:rsid w:val="00DE3EF3"/>
    <w:rsid w:val="00DE4808"/>
    <w:rsid w:val="00DE4F0A"/>
    <w:rsid w:val="00DE5E59"/>
    <w:rsid w:val="00DE60CF"/>
    <w:rsid w:val="00DE70A7"/>
    <w:rsid w:val="00DE7825"/>
    <w:rsid w:val="00DE7BEC"/>
    <w:rsid w:val="00DE7D65"/>
    <w:rsid w:val="00DF02BF"/>
    <w:rsid w:val="00DF0343"/>
    <w:rsid w:val="00DF15AA"/>
    <w:rsid w:val="00DF19F3"/>
    <w:rsid w:val="00DF1BCF"/>
    <w:rsid w:val="00DF1C4E"/>
    <w:rsid w:val="00DF281C"/>
    <w:rsid w:val="00DF3E59"/>
    <w:rsid w:val="00DF49E0"/>
    <w:rsid w:val="00DF4F86"/>
    <w:rsid w:val="00DF52CE"/>
    <w:rsid w:val="00DF5D07"/>
    <w:rsid w:val="00DF6BB7"/>
    <w:rsid w:val="00DF6CF7"/>
    <w:rsid w:val="00DF708D"/>
    <w:rsid w:val="00DF7904"/>
    <w:rsid w:val="00DF7A95"/>
    <w:rsid w:val="00DF7B93"/>
    <w:rsid w:val="00DF7E4B"/>
    <w:rsid w:val="00E00216"/>
    <w:rsid w:val="00E0099C"/>
    <w:rsid w:val="00E009F0"/>
    <w:rsid w:val="00E00CB3"/>
    <w:rsid w:val="00E01555"/>
    <w:rsid w:val="00E019D4"/>
    <w:rsid w:val="00E03B48"/>
    <w:rsid w:val="00E03CD5"/>
    <w:rsid w:val="00E04056"/>
    <w:rsid w:val="00E04B7E"/>
    <w:rsid w:val="00E0549B"/>
    <w:rsid w:val="00E058C9"/>
    <w:rsid w:val="00E05AF2"/>
    <w:rsid w:val="00E05C86"/>
    <w:rsid w:val="00E06446"/>
    <w:rsid w:val="00E0671E"/>
    <w:rsid w:val="00E069E7"/>
    <w:rsid w:val="00E06A0E"/>
    <w:rsid w:val="00E06BF3"/>
    <w:rsid w:val="00E07341"/>
    <w:rsid w:val="00E07390"/>
    <w:rsid w:val="00E07576"/>
    <w:rsid w:val="00E07AA1"/>
    <w:rsid w:val="00E07C48"/>
    <w:rsid w:val="00E07E85"/>
    <w:rsid w:val="00E100F3"/>
    <w:rsid w:val="00E11614"/>
    <w:rsid w:val="00E11B0F"/>
    <w:rsid w:val="00E12129"/>
    <w:rsid w:val="00E12A1F"/>
    <w:rsid w:val="00E12AC8"/>
    <w:rsid w:val="00E13C4F"/>
    <w:rsid w:val="00E14024"/>
    <w:rsid w:val="00E14182"/>
    <w:rsid w:val="00E145ED"/>
    <w:rsid w:val="00E148D4"/>
    <w:rsid w:val="00E15021"/>
    <w:rsid w:val="00E155E6"/>
    <w:rsid w:val="00E1632D"/>
    <w:rsid w:val="00E16B68"/>
    <w:rsid w:val="00E16CBD"/>
    <w:rsid w:val="00E17178"/>
    <w:rsid w:val="00E17ADB"/>
    <w:rsid w:val="00E17C3B"/>
    <w:rsid w:val="00E17DB4"/>
    <w:rsid w:val="00E20459"/>
    <w:rsid w:val="00E2080B"/>
    <w:rsid w:val="00E20975"/>
    <w:rsid w:val="00E212B4"/>
    <w:rsid w:val="00E218DF"/>
    <w:rsid w:val="00E225D9"/>
    <w:rsid w:val="00E22FE7"/>
    <w:rsid w:val="00E2325D"/>
    <w:rsid w:val="00E23311"/>
    <w:rsid w:val="00E2369C"/>
    <w:rsid w:val="00E2396D"/>
    <w:rsid w:val="00E23E77"/>
    <w:rsid w:val="00E23EA6"/>
    <w:rsid w:val="00E23FF2"/>
    <w:rsid w:val="00E24516"/>
    <w:rsid w:val="00E24E98"/>
    <w:rsid w:val="00E256AC"/>
    <w:rsid w:val="00E25963"/>
    <w:rsid w:val="00E25FD7"/>
    <w:rsid w:val="00E26F81"/>
    <w:rsid w:val="00E279F5"/>
    <w:rsid w:val="00E30059"/>
    <w:rsid w:val="00E302AE"/>
    <w:rsid w:val="00E305ED"/>
    <w:rsid w:val="00E30672"/>
    <w:rsid w:val="00E307F6"/>
    <w:rsid w:val="00E30AAD"/>
    <w:rsid w:val="00E3107B"/>
    <w:rsid w:val="00E312D3"/>
    <w:rsid w:val="00E31CA0"/>
    <w:rsid w:val="00E324F1"/>
    <w:rsid w:val="00E32AF6"/>
    <w:rsid w:val="00E32D73"/>
    <w:rsid w:val="00E32DA8"/>
    <w:rsid w:val="00E32DB8"/>
    <w:rsid w:val="00E33685"/>
    <w:rsid w:val="00E336B4"/>
    <w:rsid w:val="00E33DBC"/>
    <w:rsid w:val="00E34285"/>
    <w:rsid w:val="00E342D2"/>
    <w:rsid w:val="00E3451E"/>
    <w:rsid w:val="00E353F3"/>
    <w:rsid w:val="00E35C25"/>
    <w:rsid w:val="00E36A65"/>
    <w:rsid w:val="00E36B12"/>
    <w:rsid w:val="00E3778E"/>
    <w:rsid w:val="00E37A86"/>
    <w:rsid w:val="00E37A88"/>
    <w:rsid w:val="00E37F2E"/>
    <w:rsid w:val="00E405B3"/>
    <w:rsid w:val="00E40CBD"/>
    <w:rsid w:val="00E41143"/>
    <w:rsid w:val="00E419BA"/>
    <w:rsid w:val="00E41DCA"/>
    <w:rsid w:val="00E421D4"/>
    <w:rsid w:val="00E42F2E"/>
    <w:rsid w:val="00E4343D"/>
    <w:rsid w:val="00E438CA"/>
    <w:rsid w:val="00E43ED2"/>
    <w:rsid w:val="00E4454C"/>
    <w:rsid w:val="00E44DF3"/>
    <w:rsid w:val="00E45A63"/>
    <w:rsid w:val="00E45C5F"/>
    <w:rsid w:val="00E45FA3"/>
    <w:rsid w:val="00E46435"/>
    <w:rsid w:val="00E465D3"/>
    <w:rsid w:val="00E476B3"/>
    <w:rsid w:val="00E4795F"/>
    <w:rsid w:val="00E47B92"/>
    <w:rsid w:val="00E50C95"/>
    <w:rsid w:val="00E512D1"/>
    <w:rsid w:val="00E513CF"/>
    <w:rsid w:val="00E514BA"/>
    <w:rsid w:val="00E5208B"/>
    <w:rsid w:val="00E52255"/>
    <w:rsid w:val="00E5257A"/>
    <w:rsid w:val="00E52A46"/>
    <w:rsid w:val="00E53331"/>
    <w:rsid w:val="00E53430"/>
    <w:rsid w:val="00E5374D"/>
    <w:rsid w:val="00E53D98"/>
    <w:rsid w:val="00E548B7"/>
    <w:rsid w:val="00E54D70"/>
    <w:rsid w:val="00E54DDE"/>
    <w:rsid w:val="00E551AE"/>
    <w:rsid w:val="00E55500"/>
    <w:rsid w:val="00E558F6"/>
    <w:rsid w:val="00E55919"/>
    <w:rsid w:val="00E55AFC"/>
    <w:rsid w:val="00E561A6"/>
    <w:rsid w:val="00E56BA0"/>
    <w:rsid w:val="00E573DB"/>
    <w:rsid w:val="00E57C3F"/>
    <w:rsid w:val="00E601AB"/>
    <w:rsid w:val="00E61957"/>
    <w:rsid w:val="00E62194"/>
    <w:rsid w:val="00E626A3"/>
    <w:rsid w:val="00E626EF"/>
    <w:rsid w:val="00E62881"/>
    <w:rsid w:val="00E62890"/>
    <w:rsid w:val="00E62A56"/>
    <w:rsid w:val="00E62BA4"/>
    <w:rsid w:val="00E6323E"/>
    <w:rsid w:val="00E634A5"/>
    <w:rsid w:val="00E634D3"/>
    <w:rsid w:val="00E635EA"/>
    <w:rsid w:val="00E63638"/>
    <w:rsid w:val="00E63DFD"/>
    <w:rsid w:val="00E64F89"/>
    <w:rsid w:val="00E65591"/>
    <w:rsid w:val="00E658CE"/>
    <w:rsid w:val="00E65C86"/>
    <w:rsid w:val="00E6644D"/>
    <w:rsid w:val="00E66B19"/>
    <w:rsid w:val="00E670B1"/>
    <w:rsid w:val="00E670CE"/>
    <w:rsid w:val="00E67174"/>
    <w:rsid w:val="00E6722A"/>
    <w:rsid w:val="00E7033A"/>
    <w:rsid w:val="00E7060D"/>
    <w:rsid w:val="00E7085E"/>
    <w:rsid w:val="00E70E4A"/>
    <w:rsid w:val="00E719D1"/>
    <w:rsid w:val="00E71FDC"/>
    <w:rsid w:val="00E7212D"/>
    <w:rsid w:val="00E7244C"/>
    <w:rsid w:val="00E725EB"/>
    <w:rsid w:val="00E72C10"/>
    <w:rsid w:val="00E72E27"/>
    <w:rsid w:val="00E7301D"/>
    <w:rsid w:val="00E73272"/>
    <w:rsid w:val="00E73B04"/>
    <w:rsid w:val="00E73DD8"/>
    <w:rsid w:val="00E749AD"/>
    <w:rsid w:val="00E74F2A"/>
    <w:rsid w:val="00E75146"/>
    <w:rsid w:val="00E75A55"/>
    <w:rsid w:val="00E75C67"/>
    <w:rsid w:val="00E75CF6"/>
    <w:rsid w:val="00E760C6"/>
    <w:rsid w:val="00E76105"/>
    <w:rsid w:val="00E76A9B"/>
    <w:rsid w:val="00E76AC5"/>
    <w:rsid w:val="00E76BF8"/>
    <w:rsid w:val="00E76F06"/>
    <w:rsid w:val="00E77486"/>
    <w:rsid w:val="00E77A30"/>
    <w:rsid w:val="00E77DF6"/>
    <w:rsid w:val="00E80589"/>
    <w:rsid w:val="00E80736"/>
    <w:rsid w:val="00E807AF"/>
    <w:rsid w:val="00E8081F"/>
    <w:rsid w:val="00E80983"/>
    <w:rsid w:val="00E812E9"/>
    <w:rsid w:val="00E81B40"/>
    <w:rsid w:val="00E822AB"/>
    <w:rsid w:val="00E82772"/>
    <w:rsid w:val="00E828C5"/>
    <w:rsid w:val="00E828DF"/>
    <w:rsid w:val="00E82D87"/>
    <w:rsid w:val="00E8388F"/>
    <w:rsid w:val="00E83D00"/>
    <w:rsid w:val="00E83D23"/>
    <w:rsid w:val="00E85742"/>
    <w:rsid w:val="00E85B82"/>
    <w:rsid w:val="00E85E31"/>
    <w:rsid w:val="00E861AD"/>
    <w:rsid w:val="00E862D8"/>
    <w:rsid w:val="00E864F0"/>
    <w:rsid w:val="00E86535"/>
    <w:rsid w:val="00E8700F"/>
    <w:rsid w:val="00E8704C"/>
    <w:rsid w:val="00E870BD"/>
    <w:rsid w:val="00E87E06"/>
    <w:rsid w:val="00E87E5D"/>
    <w:rsid w:val="00E90461"/>
    <w:rsid w:val="00E90BB1"/>
    <w:rsid w:val="00E91405"/>
    <w:rsid w:val="00E915C2"/>
    <w:rsid w:val="00E918C8"/>
    <w:rsid w:val="00E91B24"/>
    <w:rsid w:val="00E923B8"/>
    <w:rsid w:val="00E9240C"/>
    <w:rsid w:val="00E92C1B"/>
    <w:rsid w:val="00E92C41"/>
    <w:rsid w:val="00E92D3D"/>
    <w:rsid w:val="00E93286"/>
    <w:rsid w:val="00E932F0"/>
    <w:rsid w:val="00E93373"/>
    <w:rsid w:val="00E93CB6"/>
    <w:rsid w:val="00E93D1B"/>
    <w:rsid w:val="00E93FE0"/>
    <w:rsid w:val="00E94163"/>
    <w:rsid w:val="00E942C2"/>
    <w:rsid w:val="00E943B2"/>
    <w:rsid w:val="00E944EF"/>
    <w:rsid w:val="00E94820"/>
    <w:rsid w:val="00E94FD8"/>
    <w:rsid w:val="00E9519C"/>
    <w:rsid w:val="00E9536D"/>
    <w:rsid w:val="00E95974"/>
    <w:rsid w:val="00E95D6A"/>
    <w:rsid w:val="00E95E86"/>
    <w:rsid w:val="00E96217"/>
    <w:rsid w:val="00E96537"/>
    <w:rsid w:val="00E967D0"/>
    <w:rsid w:val="00E96D37"/>
    <w:rsid w:val="00E975AF"/>
    <w:rsid w:val="00E977A2"/>
    <w:rsid w:val="00E97A7B"/>
    <w:rsid w:val="00E97D1A"/>
    <w:rsid w:val="00E97E76"/>
    <w:rsid w:val="00E97EAE"/>
    <w:rsid w:val="00EA02FE"/>
    <w:rsid w:val="00EA08E7"/>
    <w:rsid w:val="00EA13F9"/>
    <w:rsid w:val="00EA1C62"/>
    <w:rsid w:val="00EA2298"/>
    <w:rsid w:val="00EA24B3"/>
    <w:rsid w:val="00EA255C"/>
    <w:rsid w:val="00EA2570"/>
    <w:rsid w:val="00EA28FF"/>
    <w:rsid w:val="00EA2903"/>
    <w:rsid w:val="00EA296F"/>
    <w:rsid w:val="00EA29DC"/>
    <w:rsid w:val="00EA2B05"/>
    <w:rsid w:val="00EA31D1"/>
    <w:rsid w:val="00EA34EF"/>
    <w:rsid w:val="00EA3781"/>
    <w:rsid w:val="00EA3A4F"/>
    <w:rsid w:val="00EA45D4"/>
    <w:rsid w:val="00EA484E"/>
    <w:rsid w:val="00EA49DB"/>
    <w:rsid w:val="00EA4CAC"/>
    <w:rsid w:val="00EA4CE9"/>
    <w:rsid w:val="00EA4CFC"/>
    <w:rsid w:val="00EA5126"/>
    <w:rsid w:val="00EA5881"/>
    <w:rsid w:val="00EA6B87"/>
    <w:rsid w:val="00EA7FF7"/>
    <w:rsid w:val="00EB0532"/>
    <w:rsid w:val="00EB0766"/>
    <w:rsid w:val="00EB077C"/>
    <w:rsid w:val="00EB14A1"/>
    <w:rsid w:val="00EB1665"/>
    <w:rsid w:val="00EB1AAE"/>
    <w:rsid w:val="00EB2041"/>
    <w:rsid w:val="00EB20B9"/>
    <w:rsid w:val="00EB2250"/>
    <w:rsid w:val="00EB3B8D"/>
    <w:rsid w:val="00EB3F5B"/>
    <w:rsid w:val="00EB4A2B"/>
    <w:rsid w:val="00EB54B4"/>
    <w:rsid w:val="00EB594A"/>
    <w:rsid w:val="00EB6796"/>
    <w:rsid w:val="00EB6B52"/>
    <w:rsid w:val="00EB7B6B"/>
    <w:rsid w:val="00EB7B71"/>
    <w:rsid w:val="00EC05C9"/>
    <w:rsid w:val="00EC17A4"/>
    <w:rsid w:val="00EC1D01"/>
    <w:rsid w:val="00EC1D53"/>
    <w:rsid w:val="00EC1DDC"/>
    <w:rsid w:val="00EC217E"/>
    <w:rsid w:val="00EC289A"/>
    <w:rsid w:val="00EC2907"/>
    <w:rsid w:val="00EC3A3F"/>
    <w:rsid w:val="00EC422C"/>
    <w:rsid w:val="00EC423D"/>
    <w:rsid w:val="00EC4283"/>
    <w:rsid w:val="00EC4707"/>
    <w:rsid w:val="00EC48D5"/>
    <w:rsid w:val="00EC4E0C"/>
    <w:rsid w:val="00EC4EFA"/>
    <w:rsid w:val="00EC54F1"/>
    <w:rsid w:val="00EC5A75"/>
    <w:rsid w:val="00EC5BF0"/>
    <w:rsid w:val="00EC6312"/>
    <w:rsid w:val="00EC6378"/>
    <w:rsid w:val="00EC697A"/>
    <w:rsid w:val="00EC6AD5"/>
    <w:rsid w:val="00EC6C80"/>
    <w:rsid w:val="00EC6F8A"/>
    <w:rsid w:val="00EC773D"/>
    <w:rsid w:val="00ED0704"/>
    <w:rsid w:val="00ED0DAF"/>
    <w:rsid w:val="00ED0E40"/>
    <w:rsid w:val="00ED0FFE"/>
    <w:rsid w:val="00ED12EE"/>
    <w:rsid w:val="00ED2275"/>
    <w:rsid w:val="00ED2C67"/>
    <w:rsid w:val="00ED3578"/>
    <w:rsid w:val="00ED3ABA"/>
    <w:rsid w:val="00ED3C74"/>
    <w:rsid w:val="00ED3D30"/>
    <w:rsid w:val="00ED3D32"/>
    <w:rsid w:val="00ED40EE"/>
    <w:rsid w:val="00ED4355"/>
    <w:rsid w:val="00ED47D5"/>
    <w:rsid w:val="00ED4891"/>
    <w:rsid w:val="00ED4AE9"/>
    <w:rsid w:val="00ED4DAD"/>
    <w:rsid w:val="00ED5803"/>
    <w:rsid w:val="00ED5E93"/>
    <w:rsid w:val="00ED607B"/>
    <w:rsid w:val="00ED6734"/>
    <w:rsid w:val="00ED7018"/>
    <w:rsid w:val="00ED74E9"/>
    <w:rsid w:val="00ED75E4"/>
    <w:rsid w:val="00ED78DE"/>
    <w:rsid w:val="00ED7BBB"/>
    <w:rsid w:val="00ED7F33"/>
    <w:rsid w:val="00EE04CE"/>
    <w:rsid w:val="00EE05CE"/>
    <w:rsid w:val="00EE0938"/>
    <w:rsid w:val="00EE1263"/>
    <w:rsid w:val="00EE1711"/>
    <w:rsid w:val="00EE2294"/>
    <w:rsid w:val="00EE24F2"/>
    <w:rsid w:val="00EE2CA0"/>
    <w:rsid w:val="00EE309E"/>
    <w:rsid w:val="00EE30E2"/>
    <w:rsid w:val="00EE339F"/>
    <w:rsid w:val="00EE40E1"/>
    <w:rsid w:val="00EE43F6"/>
    <w:rsid w:val="00EE44CD"/>
    <w:rsid w:val="00EE4726"/>
    <w:rsid w:val="00EE4DB1"/>
    <w:rsid w:val="00EE5459"/>
    <w:rsid w:val="00EE548A"/>
    <w:rsid w:val="00EE5CA0"/>
    <w:rsid w:val="00EE5EE9"/>
    <w:rsid w:val="00EE6827"/>
    <w:rsid w:val="00EE687E"/>
    <w:rsid w:val="00EE68E3"/>
    <w:rsid w:val="00EE744F"/>
    <w:rsid w:val="00EE791F"/>
    <w:rsid w:val="00EF1D16"/>
    <w:rsid w:val="00EF1FBB"/>
    <w:rsid w:val="00EF2171"/>
    <w:rsid w:val="00EF23F7"/>
    <w:rsid w:val="00EF253C"/>
    <w:rsid w:val="00EF3118"/>
    <w:rsid w:val="00EF375B"/>
    <w:rsid w:val="00EF47D3"/>
    <w:rsid w:val="00EF4A24"/>
    <w:rsid w:val="00EF4D5E"/>
    <w:rsid w:val="00EF5435"/>
    <w:rsid w:val="00EF5491"/>
    <w:rsid w:val="00EF552A"/>
    <w:rsid w:val="00EF5CD0"/>
    <w:rsid w:val="00EF6381"/>
    <w:rsid w:val="00EF6A24"/>
    <w:rsid w:val="00EF6B38"/>
    <w:rsid w:val="00EF6CA1"/>
    <w:rsid w:val="00EF717D"/>
    <w:rsid w:val="00EF7908"/>
    <w:rsid w:val="00F00085"/>
    <w:rsid w:val="00F003AA"/>
    <w:rsid w:val="00F00F59"/>
    <w:rsid w:val="00F01491"/>
    <w:rsid w:val="00F0172B"/>
    <w:rsid w:val="00F01A7E"/>
    <w:rsid w:val="00F02518"/>
    <w:rsid w:val="00F028BC"/>
    <w:rsid w:val="00F03096"/>
    <w:rsid w:val="00F039EF"/>
    <w:rsid w:val="00F03F7F"/>
    <w:rsid w:val="00F04578"/>
    <w:rsid w:val="00F04E5C"/>
    <w:rsid w:val="00F0541C"/>
    <w:rsid w:val="00F05459"/>
    <w:rsid w:val="00F05759"/>
    <w:rsid w:val="00F05FED"/>
    <w:rsid w:val="00F06189"/>
    <w:rsid w:val="00F07782"/>
    <w:rsid w:val="00F07845"/>
    <w:rsid w:val="00F0794A"/>
    <w:rsid w:val="00F07F0B"/>
    <w:rsid w:val="00F1057C"/>
    <w:rsid w:val="00F110D2"/>
    <w:rsid w:val="00F1191F"/>
    <w:rsid w:val="00F11E24"/>
    <w:rsid w:val="00F11EFD"/>
    <w:rsid w:val="00F11F08"/>
    <w:rsid w:val="00F11F15"/>
    <w:rsid w:val="00F122E1"/>
    <w:rsid w:val="00F128AC"/>
    <w:rsid w:val="00F12CB8"/>
    <w:rsid w:val="00F12E13"/>
    <w:rsid w:val="00F13B8D"/>
    <w:rsid w:val="00F144A7"/>
    <w:rsid w:val="00F14C24"/>
    <w:rsid w:val="00F14C6A"/>
    <w:rsid w:val="00F14D68"/>
    <w:rsid w:val="00F1540A"/>
    <w:rsid w:val="00F16BB2"/>
    <w:rsid w:val="00F16C5F"/>
    <w:rsid w:val="00F17ACF"/>
    <w:rsid w:val="00F205F8"/>
    <w:rsid w:val="00F207DB"/>
    <w:rsid w:val="00F20F23"/>
    <w:rsid w:val="00F214D8"/>
    <w:rsid w:val="00F21A2E"/>
    <w:rsid w:val="00F2206D"/>
    <w:rsid w:val="00F22482"/>
    <w:rsid w:val="00F22A7A"/>
    <w:rsid w:val="00F22C47"/>
    <w:rsid w:val="00F23242"/>
    <w:rsid w:val="00F23781"/>
    <w:rsid w:val="00F23AF3"/>
    <w:rsid w:val="00F23C25"/>
    <w:rsid w:val="00F242C1"/>
    <w:rsid w:val="00F247F9"/>
    <w:rsid w:val="00F248DA"/>
    <w:rsid w:val="00F249C5"/>
    <w:rsid w:val="00F24C41"/>
    <w:rsid w:val="00F2529F"/>
    <w:rsid w:val="00F25903"/>
    <w:rsid w:val="00F266BE"/>
    <w:rsid w:val="00F277AD"/>
    <w:rsid w:val="00F277EB"/>
    <w:rsid w:val="00F27A3E"/>
    <w:rsid w:val="00F30737"/>
    <w:rsid w:val="00F30823"/>
    <w:rsid w:val="00F30DB8"/>
    <w:rsid w:val="00F30EB1"/>
    <w:rsid w:val="00F3194B"/>
    <w:rsid w:val="00F3208B"/>
    <w:rsid w:val="00F32377"/>
    <w:rsid w:val="00F3255A"/>
    <w:rsid w:val="00F326BA"/>
    <w:rsid w:val="00F32A30"/>
    <w:rsid w:val="00F331B2"/>
    <w:rsid w:val="00F336A2"/>
    <w:rsid w:val="00F34A37"/>
    <w:rsid w:val="00F35100"/>
    <w:rsid w:val="00F35436"/>
    <w:rsid w:val="00F35D7D"/>
    <w:rsid w:val="00F36790"/>
    <w:rsid w:val="00F368CC"/>
    <w:rsid w:val="00F37070"/>
    <w:rsid w:val="00F374A5"/>
    <w:rsid w:val="00F37663"/>
    <w:rsid w:val="00F378AC"/>
    <w:rsid w:val="00F379EC"/>
    <w:rsid w:val="00F37D63"/>
    <w:rsid w:val="00F409EF"/>
    <w:rsid w:val="00F40EA2"/>
    <w:rsid w:val="00F4128E"/>
    <w:rsid w:val="00F41960"/>
    <w:rsid w:val="00F41A3A"/>
    <w:rsid w:val="00F41DD1"/>
    <w:rsid w:val="00F420B1"/>
    <w:rsid w:val="00F426B0"/>
    <w:rsid w:val="00F429E3"/>
    <w:rsid w:val="00F42D40"/>
    <w:rsid w:val="00F431C0"/>
    <w:rsid w:val="00F436D9"/>
    <w:rsid w:val="00F43BE2"/>
    <w:rsid w:val="00F43C39"/>
    <w:rsid w:val="00F44080"/>
    <w:rsid w:val="00F44214"/>
    <w:rsid w:val="00F44245"/>
    <w:rsid w:val="00F442C0"/>
    <w:rsid w:val="00F44304"/>
    <w:rsid w:val="00F44408"/>
    <w:rsid w:val="00F44538"/>
    <w:rsid w:val="00F4476B"/>
    <w:rsid w:val="00F448B6"/>
    <w:rsid w:val="00F449DB"/>
    <w:rsid w:val="00F44CF9"/>
    <w:rsid w:val="00F44D17"/>
    <w:rsid w:val="00F44DAA"/>
    <w:rsid w:val="00F452E7"/>
    <w:rsid w:val="00F4575D"/>
    <w:rsid w:val="00F45CA0"/>
    <w:rsid w:val="00F45F1E"/>
    <w:rsid w:val="00F46539"/>
    <w:rsid w:val="00F46815"/>
    <w:rsid w:val="00F46DF4"/>
    <w:rsid w:val="00F46F8D"/>
    <w:rsid w:val="00F47256"/>
    <w:rsid w:val="00F502AC"/>
    <w:rsid w:val="00F50D35"/>
    <w:rsid w:val="00F50FF1"/>
    <w:rsid w:val="00F511AF"/>
    <w:rsid w:val="00F515CA"/>
    <w:rsid w:val="00F51C1A"/>
    <w:rsid w:val="00F5201E"/>
    <w:rsid w:val="00F52A29"/>
    <w:rsid w:val="00F52D26"/>
    <w:rsid w:val="00F52D5A"/>
    <w:rsid w:val="00F5340C"/>
    <w:rsid w:val="00F5349B"/>
    <w:rsid w:val="00F53CAA"/>
    <w:rsid w:val="00F53E23"/>
    <w:rsid w:val="00F53EED"/>
    <w:rsid w:val="00F542B2"/>
    <w:rsid w:val="00F5440C"/>
    <w:rsid w:val="00F547C5"/>
    <w:rsid w:val="00F54A80"/>
    <w:rsid w:val="00F54C16"/>
    <w:rsid w:val="00F550A6"/>
    <w:rsid w:val="00F5524F"/>
    <w:rsid w:val="00F55385"/>
    <w:rsid w:val="00F560DE"/>
    <w:rsid w:val="00F56726"/>
    <w:rsid w:val="00F567B3"/>
    <w:rsid w:val="00F57029"/>
    <w:rsid w:val="00F5714A"/>
    <w:rsid w:val="00F57755"/>
    <w:rsid w:val="00F603E4"/>
    <w:rsid w:val="00F60777"/>
    <w:rsid w:val="00F60A8A"/>
    <w:rsid w:val="00F60B9A"/>
    <w:rsid w:val="00F60D26"/>
    <w:rsid w:val="00F613AB"/>
    <w:rsid w:val="00F6158D"/>
    <w:rsid w:val="00F61D5F"/>
    <w:rsid w:val="00F61E05"/>
    <w:rsid w:val="00F61E3D"/>
    <w:rsid w:val="00F61E51"/>
    <w:rsid w:val="00F62221"/>
    <w:rsid w:val="00F6237E"/>
    <w:rsid w:val="00F6242F"/>
    <w:rsid w:val="00F62706"/>
    <w:rsid w:val="00F62B38"/>
    <w:rsid w:val="00F62CC4"/>
    <w:rsid w:val="00F630FC"/>
    <w:rsid w:val="00F63AAB"/>
    <w:rsid w:val="00F63EC8"/>
    <w:rsid w:val="00F647F3"/>
    <w:rsid w:val="00F654B2"/>
    <w:rsid w:val="00F659DB"/>
    <w:rsid w:val="00F66156"/>
    <w:rsid w:val="00F66489"/>
    <w:rsid w:val="00F666CA"/>
    <w:rsid w:val="00F66AEA"/>
    <w:rsid w:val="00F66FA9"/>
    <w:rsid w:val="00F6796E"/>
    <w:rsid w:val="00F67DCC"/>
    <w:rsid w:val="00F67E9B"/>
    <w:rsid w:val="00F700C0"/>
    <w:rsid w:val="00F70A68"/>
    <w:rsid w:val="00F7123D"/>
    <w:rsid w:val="00F71360"/>
    <w:rsid w:val="00F71DA6"/>
    <w:rsid w:val="00F722AA"/>
    <w:rsid w:val="00F725EA"/>
    <w:rsid w:val="00F7282C"/>
    <w:rsid w:val="00F733F0"/>
    <w:rsid w:val="00F73539"/>
    <w:rsid w:val="00F73EE1"/>
    <w:rsid w:val="00F73F3C"/>
    <w:rsid w:val="00F73F92"/>
    <w:rsid w:val="00F74162"/>
    <w:rsid w:val="00F756F8"/>
    <w:rsid w:val="00F758CF"/>
    <w:rsid w:val="00F75BA0"/>
    <w:rsid w:val="00F75DB2"/>
    <w:rsid w:val="00F76195"/>
    <w:rsid w:val="00F76585"/>
    <w:rsid w:val="00F769E4"/>
    <w:rsid w:val="00F76AF8"/>
    <w:rsid w:val="00F76B71"/>
    <w:rsid w:val="00F76C15"/>
    <w:rsid w:val="00F77329"/>
    <w:rsid w:val="00F77641"/>
    <w:rsid w:val="00F776DB"/>
    <w:rsid w:val="00F80096"/>
    <w:rsid w:val="00F804B9"/>
    <w:rsid w:val="00F80536"/>
    <w:rsid w:val="00F80727"/>
    <w:rsid w:val="00F808B1"/>
    <w:rsid w:val="00F80B3B"/>
    <w:rsid w:val="00F80C61"/>
    <w:rsid w:val="00F8128D"/>
    <w:rsid w:val="00F81394"/>
    <w:rsid w:val="00F8209A"/>
    <w:rsid w:val="00F82304"/>
    <w:rsid w:val="00F8236E"/>
    <w:rsid w:val="00F82B48"/>
    <w:rsid w:val="00F83BB8"/>
    <w:rsid w:val="00F83C79"/>
    <w:rsid w:val="00F83ED8"/>
    <w:rsid w:val="00F83F14"/>
    <w:rsid w:val="00F8421B"/>
    <w:rsid w:val="00F848A6"/>
    <w:rsid w:val="00F861BC"/>
    <w:rsid w:val="00F8634A"/>
    <w:rsid w:val="00F87BFB"/>
    <w:rsid w:val="00F87C5A"/>
    <w:rsid w:val="00F90544"/>
    <w:rsid w:val="00F90836"/>
    <w:rsid w:val="00F90872"/>
    <w:rsid w:val="00F90BF8"/>
    <w:rsid w:val="00F90F43"/>
    <w:rsid w:val="00F91AE4"/>
    <w:rsid w:val="00F92029"/>
    <w:rsid w:val="00F928FE"/>
    <w:rsid w:val="00F92E87"/>
    <w:rsid w:val="00F936BD"/>
    <w:rsid w:val="00F9377F"/>
    <w:rsid w:val="00F93BEC"/>
    <w:rsid w:val="00F93D6F"/>
    <w:rsid w:val="00F94912"/>
    <w:rsid w:val="00F94F3C"/>
    <w:rsid w:val="00F95002"/>
    <w:rsid w:val="00F95237"/>
    <w:rsid w:val="00F952B9"/>
    <w:rsid w:val="00F952FE"/>
    <w:rsid w:val="00F953AB"/>
    <w:rsid w:val="00F962EB"/>
    <w:rsid w:val="00F9673F"/>
    <w:rsid w:val="00F9681D"/>
    <w:rsid w:val="00F96FF8"/>
    <w:rsid w:val="00F9738B"/>
    <w:rsid w:val="00F977B2"/>
    <w:rsid w:val="00F97919"/>
    <w:rsid w:val="00F97B7F"/>
    <w:rsid w:val="00FA0B86"/>
    <w:rsid w:val="00FA0C50"/>
    <w:rsid w:val="00FA114A"/>
    <w:rsid w:val="00FA1274"/>
    <w:rsid w:val="00FA22B9"/>
    <w:rsid w:val="00FA23DE"/>
    <w:rsid w:val="00FA2A63"/>
    <w:rsid w:val="00FA2CE1"/>
    <w:rsid w:val="00FA30F8"/>
    <w:rsid w:val="00FA313D"/>
    <w:rsid w:val="00FA36AC"/>
    <w:rsid w:val="00FA4191"/>
    <w:rsid w:val="00FA4955"/>
    <w:rsid w:val="00FA4C8F"/>
    <w:rsid w:val="00FA4C99"/>
    <w:rsid w:val="00FA4E49"/>
    <w:rsid w:val="00FA5840"/>
    <w:rsid w:val="00FA5A17"/>
    <w:rsid w:val="00FA5D1B"/>
    <w:rsid w:val="00FA6018"/>
    <w:rsid w:val="00FA64B8"/>
    <w:rsid w:val="00FA64CB"/>
    <w:rsid w:val="00FA685C"/>
    <w:rsid w:val="00FA7010"/>
    <w:rsid w:val="00FA7AF4"/>
    <w:rsid w:val="00FA7BFB"/>
    <w:rsid w:val="00FA7E33"/>
    <w:rsid w:val="00FB0160"/>
    <w:rsid w:val="00FB02AC"/>
    <w:rsid w:val="00FB084E"/>
    <w:rsid w:val="00FB100A"/>
    <w:rsid w:val="00FB18A0"/>
    <w:rsid w:val="00FB1F86"/>
    <w:rsid w:val="00FB25F7"/>
    <w:rsid w:val="00FB2B71"/>
    <w:rsid w:val="00FB3646"/>
    <w:rsid w:val="00FB3FA8"/>
    <w:rsid w:val="00FB4333"/>
    <w:rsid w:val="00FB48B2"/>
    <w:rsid w:val="00FB5912"/>
    <w:rsid w:val="00FB5A9B"/>
    <w:rsid w:val="00FB67B5"/>
    <w:rsid w:val="00FB6E93"/>
    <w:rsid w:val="00FB77B1"/>
    <w:rsid w:val="00FB78E1"/>
    <w:rsid w:val="00FB79A9"/>
    <w:rsid w:val="00FB7C08"/>
    <w:rsid w:val="00FB7E78"/>
    <w:rsid w:val="00FC037C"/>
    <w:rsid w:val="00FC11C8"/>
    <w:rsid w:val="00FC137C"/>
    <w:rsid w:val="00FC1486"/>
    <w:rsid w:val="00FC1F3F"/>
    <w:rsid w:val="00FC206A"/>
    <w:rsid w:val="00FC255E"/>
    <w:rsid w:val="00FC25BC"/>
    <w:rsid w:val="00FC2A9A"/>
    <w:rsid w:val="00FC3C72"/>
    <w:rsid w:val="00FC3FC2"/>
    <w:rsid w:val="00FC443C"/>
    <w:rsid w:val="00FC4863"/>
    <w:rsid w:val="00FC48CA"/>
    <w:rsid w:val="00FC4FB1"/>
    <w:rsid w:val="00FC509C"/>
    <w:rsid w:val="00FC514E"/>
    <w:rsid w:val="00FC52AE"/>
    <w:rsid w:val="00FC583B"/>
    <w:rsid w:val="00FC58AF"/>
    <w:rsid w:val="00FC5A54"/>
    <w:rsid w:val="00FC5C5F"/>
    <w:rsid w:val="00FC5CE6"/>
    <w:rsid w:val="00FC5E2B"/>
    <w:rsid w:val="00FC5F03"/>
    <w:rsid w:val="00FC6663"/>
    <w:rsid w:val="00FC6698"/>
    <w:rsid w:val="00FD003E"/>
    <w:rsid w:val="00FD00B3"/>
    <w:rsid w:val="00FD040E"/>
    <w:rsid w:val="00FD061F"/>
    <w:rsid w:val="00FD06C2"/>
    <w:rsid w:val="00FD0788"/>
    <w:rsid w:val="00FD07EE"/>
    <w:rsid w:val="00FD089F"/>
    <w:rsid w:val="00FD0EAE"/>
    <w:rsid w:val="00FD1AEE"/>
    <w:rsid w:val="00FD1CDB"/>
    <w:rsid w:val="00FD24AB"/>
    <w:rsid w:val="00FD304E"/>
    <w:rsid w:val="00FD34A0"/>
    <w:rsid w:val="00FD3776"/>
    <w:rsid w:val="00FD3910"/>
    <w:rsid w:val="00FD3A9F"/>
    <w:rsid w:val="00FD4065"/>
    <w:rsid w:val="00FD4C12"/>
    <w:rsid w:val="00FD5719"/>
    <w:rsid w:val="00FD5F83"/>
    <w:rsid w:val="00FD61A3"/>
    <w:rsid w:val="00FD696E"/>
    <w:rsid w:val="00FD6CAA"/>
    <w:rsid w:val="00FD6DBF"/>
    <w:rsid w:val="00FD6FB1"/>
    <w:rsid w:val="00FD719A"/>
    <w:rsid w:val="00FD720B"/>
    <w:rsid w:val="00FD7527"/>
    <w:rsid w:val="00FD7F26"/>
    <w:rsid w:val="00FD7F38"/>
    <w:rsid w:val="00FE01D9"/>
    <w:rsid w:val="00FE056E"/>
    <w:rsid w:val="00FE0A4C"/>
    <w:rsid w:val="00FE0C1B"/>
    <w:rsid w:val="00FE0C50"/>
    <w:rsid w:val="00FE0E49"/>
    <w:rsid w:val="00FE1AEF"/>
    <w:rsid w:val="00FE1CA7"/>
    <w:rsid w:val="00FE2C6D"/>
    <w:rsid w:val="00FE2E92"/>
    <w:rsid w:val="00FE318E"/>
    <w:rsid w:val="00FE3593"/>
    <w:rsid w:val="00FE393A"/>
    <w:rsid w:val="00FE3C03"/>
    <w:rsid w:val="00FE3E8A"/>
    <w:rsid w:val="00FE45ED"/>
    <w:rsid w:val="00FE4927"/>
    <w:rsid w:val="00FE5064"/>
    <w:rsid w:val="00FE5275"/>
    <w:rsid w:val="00FE5912"/>
    <w:rsid w:val="00FE6058"/>
    <w:rsid w:val="00FE63D0"/>
    <w:rsid w:val="00FE6AD6"/>
    <w:rsid w:val="00FE707D"/>
    <w:rsid w:val="00FE73E9"/>
    <w:rsid w:val="00FF0038"/>
    <w:rsid w:val="00FF0529"/>
    <w:rsid w:val="00FF131E"/>
    <w:rsid w:val="00FF1488"/>
    <w:rsid w:val="00FF1E0E"/>
    <w:rsid w:val="00FF1F41"/>
    <w:rsid w:val="00FF22A9"/>
    <w:rsid w:val="00FF4120"/>
    <w:rsid w:val="00FF44D9"/>
    <w:rsid w:val="00FF4F31"/>
    <w:rsid w:val="00FF5181"/>
    <w:rsid w:val="00FF5410"/>
    <w:rsid w:val="00FF560D"/>
    <w:rsid w:val="00FF5B6A"/>
    <w:rsid w:val="00FF5BA2"/>
    <w:rsid w:val="00FF5ED7"/>
    <w:rsid w:val="00FF6090"/>
    <w:rsid w:val="00FF617B"/>
    <w:rsid w:val="00FF64BE"/>
    <w:rsid w:val="00FF669C"/>
    <w:rsid w:val="00FF6911"/>
    <w:rsid w:val="00FF6A08"/>
    <w:rsid w:val="00FF6C9D"/>
    <w:rsid w:val="00FF6F5E"/>
    <w:rsid w:val="00FF70DD"/>
    <w:rsid w:val="00FF7663"/>
    <w:rsid w:val="00FF7FE9"/>
    <w:rsid w:val="012DED86"/>
    <w:rsid w:val="016DA741"/>
    <w:rsid w:val="018D6B66"/>
    <w:rsid w:val="0216CA1D"/>
    <w:rsid w:val="02B95F4C"/>
    <w:rsid w:val="034FFA9C"/>
    <w:rsid w:val="048A29BF"/>
    <w:rsid w:val="054C5390"/>
    <w:rsid w:val="074BAADE"/>
    <w:rsid w:val="0B5E230B"/>
    <w:rsid w:val="0C0442D9"/>
    <w:rsid w:val="0CF1CD39"/>
    <w:rsid w:val="0DB429CB"/>
    <w:rsid w:val="10DC22B5"/>
    <w:rsid w:val="10F12A05"/>
    <w:rsid w:val="128A9375"/>
    <w:rsid w:val="13DF320D"/>
    <w:rsid w:val="14011B4A"/>
    <w:rsid w:val="150E664B"/>
    <w:rsid w:val="16371451"/>
    <w:rsid w:val="177E4D5D"/>
    <w:rsid w:val="19539194"/>
    <w:rsid w:val="1BFA293A"/>
    <w:rsid w:val="1CE28700"/>
    <w:rsid w:val="1E0ED487"/>
    <w:rsid w:val="1E26F523"/>
    <w:rsid w:val="1E91E63C"/>
    <w:rsid w:val="1F18A0A5"/>
    <w:rsid w:val="1F5F8220"/>
    <w:rsid w:val="1FA4AF46"/>
    <w:rsid w:val="2408D57B"/>
    <w:rsid w:val="24A4FD34"/>
    <w:rsid w:val="24BB6AAA"/>
    <w:rsid w:val="2780C0DF"/>
    <w:rsid w:val="292F3345"/>
    <w:rsid w:val="29EB35D7"/>
    <w:rsid w:val="2AFF1154"/>
    <w:rsid w:val="2B557C99"/>
    <w:rsid w:val="2B5D27BC"/>
    <w:rsid w:val="2C200811"/>
    <w:rsid w:val="2C6479AD"/>
    <w:rsid w:val="2D6B386A"/>
    <w:rsid w:val="2D77BF2A"/>
    <w:rsid w:val="2DECFDBA"/>
    <w:rsid w:val="30362F36"/>
    <w:rsid w:val="3079F406"/>
    <w:rsid w:val="30D32178"/>
    <w:rsid w:val="31701E76"/>
    <w:rsid w:val="31F6CFBD"/>
    <w:rsid w:val="32006E43"/>
    <w:rsid w:val="3430A99C"/>
    <w:rsid w:val="36B49AEA"/>
    <w:rsid w:val="370B787A"/>
    <w:rsid w:val="3766296A"/>
    <w:rsid w:val="387E7213"/>
    <w:rsid w:val="3A26B46E"/>
    <w:rsid w:val="3A2F5DAA"/>
    <w:rsid w:val="3B5BF523"/>
    <w:rsid w:val="3B9F4F06"/>
    <w:rsid w:val="3BA9047B"/>
    <w:rsid w:val="3D7A7660"/>
    <w:rsid w:val="3D85D3C6"/>
    <w:rsid w:val="3DEAD2DD"/>
    <w:rsid w:val="3E2450B1"/>
    <w:rsid w:val="3F793376"/>
    <w:rsid w:val="3F91937C"/>
    <w:rsid w:val="40C079FC"/>
    <w:rsid w:val="4479293C"/>
    <w:rsid w:val="448C27DE"/>
    <w:rsid w:val="44BCCBFA"/>
    <w:rsid w:val="46E2E861"/>
    <w:rsid w:val="48602BF8"/>
    <w:rsid w:val="49D63F40"/>
    <w:rsid w:val="49DBC67A"/>
    <w:rsid w:val="4B67915D"/>
    <w:rsid w:val="4C112132"/>
    <w:rsid w:val="4C13756D"/>
    <w:rsid w:val="4C374AC1"/>
    <w:rsid w:val="4DEF844C"/>
    <w:rsid w:val="4EA03E9A"/>
    <w:rsid w:val="4F2AD31E"/>
    <w:rsid w:val="50C4D1F5"/>
    <w:rsid w:val="50EB720F"/>
    <w:rsid w:val="512BC4C2"/>
    <w:rsid w:val="531C0F72"/>
    <w:rsid w:val="5384A651"/>
    <w:rsid w:val="5541BA31"/>
    <w:rsid w:val="56A4C7D8"/>
    <w:rsid w:val="5838A351"/>
    <w:rsid w:val="58A4C018"/>
    <w:rsid w:val="58D75C51"/>
    <w:rsid w:val="5912CF73"/>
    <w:rsid w:val="59EDF849"/>
    <w:rsid w:val="5AA6AB08"/>
    <w:rsid w:val="5BB986DA"/>
    <w:rsid w:val="5CA63583"/>
    <w:rsid w:val="5D93A4DB"/>
    <w:rsid w:val="5DF1A6BC"/>
    <w:rsid w:val="5F916D9E"/>
    <w:rsid w:val="5FEB53DD"/>
    <w:rsid w:val="61A7D93B"/>
    <w:rsid w:val="62D8AD05"/>
    <w:rsid w:val="6570465A"/>
    <w:rsid w:val="662A7F5A"/>
    <w:rsid w:val="6639CEF4"/>
    <w:rsid w:val="69AA9081"/>
    <w:rsid w:val="6B23BBCD"/>
    <w:rsid w:val="6B804793"/>
    <w:rsid w:val="6D42E61E"/>
    <w:rsid w:val="6E11B106"/>
    <w:rsid w:val="6E8FF9FB"/>
    <w:rsid w:val="6F0B398B"/>
    <w:rsid w:val="6F71800E"/>
    <w:rsid w:val="70FC145F"/>
    <w:rsid w:val="71949F7D"/>
    <w:rsid w:val="7245A50E"/>
    <w:rsid w:val="74FB5D59"/>
    <w:rsid w:val="7517FACD"/>
    <w:rsid w:val="78C01790"/>
    <w:rsid w:val="7AE630DC"/>
    <w:rsid w:val="7B92B176"/>
    <w:rsid w:val="7BC18412"/>
    <w:rsid w:val="7E0219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AAAA6E8"/>
  <w15:docId w15:val="{C4DA4F91-1194-40E8-8275-E3A40344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7">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8" w:unhideWhenUsed="1" w:qFormat="1"/>
    <w:lsdException w:name="annotation text"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style>
  <w:style w:type="paragraph" w:styleId="Heading1">
    <w:name w:val="heading 1"/>
    <w:basedOn w:val="Normal"/>
    <w:next w:val="Normal"/>
    <w:link w:val="Heading1Char"/>
    <w:uiPriority w:val="9"/>
    <w:locked/>
    <w:rsid w:val="0038636E"/>
    <w:pPr>
      <w:keepNext/>
      <w:keepLines/>
      <w:spacing w:before="240" w:after="0"/>
      <w:outlineLvl w:val="0"/>
    </w:pPr>
    <w:rPr>
      <w:rFonts w:asciiTheme="majorHAnsi" w:eastAsiaTheme="majorEastAsia" w:hAnsiTheme="majorHAnsi" w:cstheme="majorBidi"/>
      <w:color w:val="1C4C3A" w:themeColor="accent1" w:themeShade="BF"/>
      <w:sz w:val="32"/>
      <w:szCs w:val="32"/>
    </w:rPr>
  </w:style>
  <w:style w:type="paragraph" w:styleId="Heading2">
    <w:name w:val="heading 2"/>
    <w:basedOn w:val="Normal"/>
    <w:next w:val="Normal"/>
    <w:link w:val="Heading2Char"/>
    <w:uiPriority w:val="9"/>
    <w:semiHidden/>
    <w:unhideWhenUsed/>
    <w:locked/>
    <w:rsid w:val="0038636E"/>
    <w:pPr>
      <w:keepNext/>
      <w:keepLines/>
      <w:spacing w:before="40" w:after="0"/>
      <w:outlineLvl w:val="1"/>
    </w:pPr>
    <w:rPr>
      <w:rFonts w:asciiTheme="majorHAnsi" w:eastAsiaTheme="majorEastAsia" w:hAnsiTheme="majorHAnsi" w:cstheme="majorBidi"/>
      <w:color w:val="1C4C3A" w:themeColor="accent1" w:themeShade="BF"/>
      <w:sz w:val="26"/>
      <w:szCs w:val="26"/>
    </w:rPr>
  </w:style>
  <w:style w:type="paragraph" w:styleId="Heading3">
    <w:name w:val="heading 3"/>
    <w:basedOn w:val="Normal"/>
    <w:next w:val="Normal"/>
    <w:link w:val="Heading3Char"/>
    <w:uiPriority w:val="9"/>
    <w:semiHidden/>
    <w:unhideWhenUsed/>
    <w:qFormat/>
    <w:locked/>
    <w:rsid w:val="0038636E"/>
    <w:pPr>
      <w:keepNext/>
      <w:keepLines/>
      <w:spacing w:before="40" w:after="0"/>
      <w:outlineLvl w:val="2"/>
    </w:pPr>
    <w:rPr>
      <w:rFonts w:asciiTheme="majorHAnsi" w:eastAsiaTheme="majorEastAsia" w:hAnsiTheme="majorHAnsi" w:cstheme="majorBidi"/>
      <w:color w:val="1332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Heading2">
    <w:name w:val="VIRT Heading 2"/>
    <w:basedOn w:val="Normal"/>
    <w:link w:val="VIRTHeading2Char"/>
    <w:autoRedefine/>
    <w:qFormat/>
    <w:locked/>
    <w:rsid w:val="002026CF"/>
    <w:pPr>
      <w:keepNext/>
      <w:numPr>
        <w:numId w:val="2"/>
      </w:numPr>
      <w:spacing w:before="240" w:after="240" w:line="240" w:lineRule="auto"/>
      <w:ind w:left="720"/>
      <w:outlineLvl w:val="1"/>
    </w:pPr>
    <w:rPr>
      <w:rFonts w:ascii="Rockwell" w:hAnsi="Rockwell" w:cs="Times New Roman (Body CS)"/>
      <w:color w:val="007449"/>
      <w:sz w:val="44"/>
      <w:szCs w:val="44"/>
    </w:rPr>
  </w:style>
  <w:style w:type="character" w:customStyle="1" w:styleId="VIRTHeading2Char">
    <w:name w:val="VIRT Heading 2 Char"/>
    <w:basedOn w:val="DefaultParagraphFont"/>
    <w:link w:val="VIRTHeading2"/>
    <w:rsid w:val="002026CF"/>
    <w:rPr>
      <w:rFonts w:ascii="Rockwell" w:hAnsi="Rockwell" w:cs="Times New Roman (Body CS)"/>
      <w:color w:val="007449"/>
      <w:sz w:val="44"/>
      <w:szCs w:val="44"/>
    </w:rPr>
  </w:style>
  <w:style w:type="paragraph" w:customStyle="1" w:styleId="Heading">
    <w:name w:val="Heading"/>
    <w:link w:val="HeadingChar"/>
    <w:qFormat/>
    <w:locked/>
    <w:rsid w:val="007B120C"/>
    <w:pPr>
      <w:spacing w:after="720" w:line="240" w:lineRule="auto"/>
      <w:outlineLvl w:val="0"/>
    </w:pPr>
    <w:rPr>
      <w:rFonts w:ascii="Rockwell" w:hAnsi="Rockwell" w:cs="Times New Roman (Body CS)"/>
      <w:color w:val="FFFFFF" w:themeColor="background1"/>
      <w:spacing w:val="-6"/>
      <w:sz w:val="40"/>
      <w:szCs w:val="40"/>
    </w:rPr>
  </w:style>
  <w:style w:type="character" w:customStyle="1" w:styleId="HeadingChar">
    <w:name w:val="Heading Char"/>
    <w:basedOn w:val="VIRTHeading2Char"/>
    <w:link w:val="Heading"/>
    <w:rsid w:val="007B120C"/>
    <w:rPr>
      <w:rFonts w:ascii="Rockwell" w:hAnsi="Rockwell" w:cs="Times New Roman (Body CS)"/>
      <w:color w:val="FFFFFF" w:themeColor="background1"/>
      <w:spacing w:val="-6"/>
      <w:sz w:val="40"/>
      <w:szCs w:val="40"/>
    </w:rPr>
  </w:style>
  <w:style w:type="paragraph" w:customStyle="1" w:styleId="VIRTBreakouttext">
    <w:name w:val="VIRT Breakout text"/>
    <w:basedOn w:val="Normal"/>
    <w:link w:val="VIRTBreakouttextChar"/>
    <w:autoRedefine/>
    <w:qFormat/>
    <w:locked/>
    <w:rsid w:val="00DD17FE"/>
    <w:pPr>
      <w:tabs>
        <w:tab w:val="center" w:pos="4680"/>
        <w:tab w:val="right" w:pos="9360"/>
      </w:tabs>
      <w:spacing w:before="180" w:after="180" w:line="276" w:lineRule="auto"/>
      <w:ind w:left="425"/>
      <w:jc w:val="both"/>
    </w:pPr>
    <w:rPr>
      <w:rFonts w:ascii="Calibri Light" w:hAnsi="Calibri Light" w:cs="Times New Roman (Body CS)"/>
      <w:i/>
      <w:color w:val="0E7650"/>
      <w:spacing w:val="-6"/>
      <w:sz w:val="26"/>
    </w:rPr>
  </w:style>
  <w:style w:type="character" w:customStyle="1" w:styleId="VIRTBreakouttextChar">
    <w:name w:val="VIRT Breakout text Char"/>
    <w:basedOn w:val="DefaultParagraphFont"/>
    <w:link w:val="VIRTBreakouttext"/>
    <w:rsid w:val="00DD17FE"/>
    <w:rPr>
      <w:rFonts w:ascii="Calibri Light" w:hAnsi="Calibri Light" w:cs="Times New Roman (Body CS)"/>
      <w:i/>
      <w:color w:val="0E7650"/>
      <w:spacing w:val="-6"/>
      <w:sz w:val="26"/>
    </w:rPr>
  </w:style>
  <w:style w:type="paragraph" w:customStyle="1" w:styleId="VIRTHeading3">
    <w:name w:val="VIRT Heading 3"/>
    <w:basedOn w:val="Normal"/>
    <w:link w:val="VIRTHeading3Char"/>
    <w:autoRedefine/>
    <w:qFormat/>
    <w:locked/>
    <w:rsid w:val="006F360D"/>
    <w:pPr>
      <w:keepNext/>
      <w:spacing w:before="240" w:after="240" w:line="240" w:lineRule="auto"/>
      <w:outlineLvl w:val="2"/>
    </w:pPr>
    <w:rPr>
      <w:rFonts w:ascii="Rockwell" w:hAnsi="Rockwell" w:cs="Arial"/>
      <w:color w:val="0F6745" w:themeColor="accent2" w:themeShade="BF"/>
      <w:spacing w:val="-6"/>
      <w:sz w:val="30"/>
    </w:rPr>
  </w:style>
  <w:style w:type="character" w:customStyle="1" w:styleId="VIRTHeading3Char">
    <w:name w:val="VIRT Heading 3 Char"/>
    <w:basedOn w:val="DefaultParagraphFont"/>
    <w:link w:val="VIRTHeading3"/>
    <w:locked/>
    <w:rsid w:val="006F360D"/>
    <w:rPr>
      <w:rFonts w:ascii="Rockwell" w:hAnsi="Rockwell" w:cs="Arial"/>
      <w:color w:val="0F6745" w:themeColor="accent2" w:themeShade="BF"/>
      <w:spacing w:val="-6"/>
      <w:sz w:val="30"/>
    </w:rPr>
  </w:style>
  <w:style w:type="paragraph" w:customStyle="1" w:styleId="Paragraph">
    <w:name w:val="Paragraph"/>
    <w:qFormat/>
    <w:locked/>
    <w:rsid w:val="00AC4BD5"/>
    <w:pPr>
      <w:spacing w:before="180" w:after="180" w:line="276" w:lineRule="auto"/>
      <w:jc w:val="both"/>
    </w:pPr>
    <w:rPr>
      <w:rFonts w:ascii="Calibri Light" w:eastAsiaTheme="minorEastAsia" w:hAnsi="Calibri Light" w:cs="Arial"/>
      <w:color w:val="4D4D4D" w:themeColor="accent6"/>
      <w:sz w:val="26"/>
      <w:szCs w:val="20"/>
    </w:rPr>
  </w:style>
  <w:style w:type="paragraph" w:customStyle="1" w:styleId="VIRTBulletpoints">
    <w:name w:val="VIRT Bullet points"/>
    <w:basedOn w:val="Paragraph"/>
    <w:link w:val="VIRTBulletpointsChar"/>
    <w:autoRedefine/>
    <w:qFormat/>
    <w:locked/>
    <w:rsid w:val="008458A5"/>
    <w:pPr>
      <w:numPr>
        <w:numId w:val="5"/>
      </w:numPr>
      <w:spacing w:before="0" w:after="0"/>
      <w:ind w:left="357" w:hanging="357"/>
      <w:contextualSpacing/>
    </w:pPr>
  </w:style>
  <w:style w:type="character" w:customStyle="1" w:styleId="VIRTBulletpointsChar">
    <w:name w:val="VIRT Bullet points Char"/>
    <w:basedOn w:val="DefaultParagraphFont"/>
    <w:link w:val="VIRTBulletpoints"/>
    <w:locked/>
    <w:rsid w:val="008458A5"/>
    <w:rPr>
      <w:rFonts w:ascii="Calibri Light" w:eastAsiaTheme="minorEastAsia" w:hAnsi="Calibri Light" w:cs="Arial"/>
      <w:color w:val="4D4D4D" w:themeColor="accent6"/>
      <w:sz w:val="26"/>
      <w:szCs w:val="20"/>
    </w:rPr>
  </w:style>
  <w:style w:type="paragraph" w:customStyle="1" w:styleId="Sourcefortablesfigures">
    <w:name w:val="Source for tables/figures"/>
    <w:basedOn w:val="Normal"/>
    <w:link w:val="SourcefortablesfiguresChar"/>
    <w:autoRedefine/>
    <w:qFormat/>
    <w:locked/>
    <w:rsid w:val="00DD17FE"/>
    <w:pPr>
      <w:spacing w:after="240" w:line="240" w:lineRule="auto"/>
      <w:ind w:right="-149"/>
      <w:contextualSpacing/>
    </w:pPr>
    <w:rPr>
      <w:rFonts w:ascii="Calibri Light" w:hAnsi="Calibri Light"/>
      <w:color w:val="4D4D4D" w:themeColor="accent6"/>
      <w:sz w:val="18"/>
      <w:szCs w:val="20"/>
    </w:rPr>
  </w:style>
  <w:style w:type="character" w:customStyle="1" w:styleId="SourcefortablesfiguresChar">
    <w:name w:val="Source for tables/figures Char"/>
    <w:basedOn w:val="DefaultParagraphFont"/>
    <w:link w:val="Sourcefortablesfigures"/>
    <w:rsid w:val="00DD17FE"/>
    <w:rPr>
      <w:rFonts w:ascii="Calibri Light" w:hAnsi="Calibri Light"/>
      <w:color w:val="4D4D4D" w:themeColor="accent6"/>
      <w:sz w:val="18"/>
      <w:szCs w:val="20"/>
    </w:rPr>
  </w:style>
  <w:style w:type="paragraph" w:styleId="BalloonText">
    <w:name w:val="Balloon Text"/>
    <w:basedOn w:val="Normal"/>
    <w:link w:val="BalloonTextChar"/>
    <w:uiPriority w:val="99"/>
    <w:semiHidden/>
    <w:unhideWhenUsed/>
    <w:locked/>
    <w:rsid w:val="006B0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4E"/>
    <w:rPr>
      <w:rFonts w:ascii="Segoe UI" w:hAnsi="Segoe UI" w:cs="Segoe UI"/>
      <w:sz w:val="18"/>
      <w:szCs w:val="18"/>
    </w:rPr>
  </w:style>
  <w:style w:type="paragraph" w:customStyle="1" w:styleId="Paragraphbeforeabulletlist">
    <w:name w:val="Paragraph before a bullet list"/>
    <w:basedOn w:val="Paragraph"/>
    <w:link w:val="ParagraphbeforeabulletlistChar"/>
    <w:qFormat/>
    <w:locked/>
    <w:rsid w:val="00AC4BD5"/>
    <w:pPr>
      <w:spacing w:after="120"/>
    </w:pPr>
    <w:rPr>
      <w:rFonts w:cs="Times New Roman (Body CS)"/>
      <w:szCs w:val="44"/>
    </w:rPr>
  </w:style>
  <w:style w:type="table" w:styleId="TableGrid">
    <w:name w:val="Table Grid"/>
    <w:basedOn w:val="TableNormal"/>
    <w:uiPriority w:val="39"/>
    <w:locked/>
    <w:rsid w:val="006B0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beforeabulletlistChar">
    <w:name w:val="Paragraph before a bullet list Char"/>
    <w:basedOn w:val="DefaultParagraphFont"/>
    <w:link w:val="Paragraphbeforeabulletlist"/>
    <w:rsid w:val="00AC4BD5"/>
    <w:rPr>
      <w:rFonts w:ascii="Calibri Light" w:eastAsiaTheme="minorEastAsia" w:hAnsi="Calibri Light" w:cs="Times New Roman (Body CS)"/>
      <w:color w:val="4D4D4D" w:themeColor="accent6"/>
      <w:sz w:val="26"/>
      <w:szCs w:val="44"/>
    </w:rPr>
  </w:style>
  <w:style w:type="table" w:customStyle="1" w:styleId="ListTable3-Accent21">
    <w:name w:val="List Table 3 - Accent 21"/>
    <w:basedOn w:val="TableNormal"/>
    <w:uiPriority w:val="48"/>
    <w:locked/>
    <w:rsid w:val="00065880"/>
    <w:pPr>
      <w:spacing w:after="0" w:line="240" w:lineRule="auto"/>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text">
    <w:name w:val="Table text"/>
    <w:basedOn w:val="Normal"/>
    <w:link w:val="TabletextChar"/>
    <w:autoRedefine/>
    <w:qFormat/>
    <w:locked/>
    <w:rsid w:val="00CF256F"/>
    <w:pPr>
      <w:spacing w:after="0" w:line="240" w:lineRule="auto"/>
    </w:pPr>
    <w:rPr>
      <w:rFonts w:asciiTheme="majorHAnsi" w:hAnsiTheme="majorHAnsi" w:cstheme="majorHAnsi"/>
      <w:color w:val="4D4D4D"/>
    </w:rPr>
  </w:style>
  <w:style w:type="paragraph" w:customStyle="1" w:styleId="Bulletsinatable">
    <w:name w:val="Bullets in a table"/>
    <w:link w:val="BulletsinatableChar"/>
    <w:qFormat/>
    <w:locked/>
    <w:rsid w:val="00761084"/>
    <w:pPr>
      <w:spacing w:after="0" w:line="240" w:lineRule="auto"/>
      <w:jc w:val="center"/>
    </w:pPr>
    <w:rPr>
      <w:rFonts w:ascii="Calibri Light" w:hAnsi="Calibri Light" w:cs="Arial"/>
      <w:b/>
      <w:bCs/>
      <w:color w:val="4D4D4D" w:themeColor="accent6"/>
      <w:szCs w:val="20"/>
    </w:rPr>
  </w:style>
  <w:style w:type="character" w:customStyle="1" w:styleId="TabletextChar">
    <w:name w:val="Table text Char"/>
    <w:basedOn w:val="DefaultParagraphFont"/>
    <w:link w:val="Tabletext"/>
    <w:rsid w:val="00CF256F"/>
    <w:rPr>
      <w:rFonts w:asciiTheme="majorHAnsi" w:hAnsiTheme="majorHAnsi" w:cstheme="majorHAnsi"/>
      <w:color w:val="4D4D4D"/>
    </w:rPr>
  </w:style>
  <w:style w:type="paragraph" w:customStyle="1" w:styleId="Tableheading">
    <w:name w:val="Table heading"/>
    <w:link w:val="TableheadingChar"/>
    <w:autoRedefine/>
    <w:qFormat/>
    <w:locked/>
    <w:rsid w:val="006B084E"/>
    <w:pPr>
      <w:spacing w:before="180" w:after="60" w:line="240" w:lineRule="auto"/>
    </w:pPr>
    <w:rPr>
      <w:rFonts w:ascii="Calibri Light" w:hAnsi="Calibri Light" w:cs="Arial"/>
      <w:b/>
      <w:color w:val="4D4D4D" w:themeColor="accent6"/>
      <w:sz w:val="24"/>
    </w:rPr>
  </w:style>
  <w:style w:type="character" w:customStyle="1" w:styleId="BulletsinatableChar">
    <w:name w:val="Bullets in a table Char"/>
    <w:basedOn w:val="DefaultParagraphFont"/>
    <w:link w:val="Bulletsinatable"/>
    <w:rsid w:val="00761084"/>
    <w:rPr>
      <w:rFonts w:ascii="Calibri Light" w:hAnsi="Calibri Light" w:cs="Arial"/>
      <w:b/>
      <w:bCs/>
      <w:color w:val="4D4D4D" w:themeColor="accent6"/>
      <w:szCs w:val="20"/>
    </w:rPr>
  </w:style>
  <w:style w:type="paragraph" w:customStyle="1" w:styleId="Notesfortablesfigures">
    <w:name w:val="Notes for tables/figures"/>
    <w:link w:val="NotesfortablesfiguresChar"/>
    <w:autoRedefine/>
    <w:qFormat/>
    <w:locked/>
    <w:rsid w:val="006B084E"/>
    <w:pPr>
      <w:spacing w:after="0" w:line="240" w:lineRule="auto"/>
    </w:pPr>
    <w:rPr>
      <w:rFonts w:ascii="Calibri Light" w:hAnsi="Calibri Light"/>
      <w:color w:val="4D4D4D" w:themeColor="accent6"/>
      <w:sz w:val="18"/>
      <w:szCs w:val="20"/>
    </w:rPr>
  </w:style>
  <w:style w:type="character" w:customStyle="1" w:styleId="TableheadingChar">
    <w:name w:val="Table heading Char"/>
    <w:basedOn w:val="DefaultParagraphFont"/>
    <w:link w:val="Tableheading"/>
    <w:rsid w:val="006B084E"/>
    <w:rPr>
      <w:rFonts w:ascii="Calibri Light" w:hAnsi="Calibri Light" w:cs="Arial"/>
      <w:b/>
      <w:color w:val="4D4D4D" w:themeColor="accent6"/>
      <w:sz w:val="24"/>
    </w:rPr>
  </w:style>
  <w:style w:type="paragraph" w:customStyle="1" w:styleId="Figureheading">
    <w:name w:val="Figure heading"/>
    <w:basedOn w:val="Tableheading"/>
    <w:link w:val="FigureheadingChar"/>
    <w:autoRedefine/>
    <w:qFormat/>
    <w:locked/>
    <w:rsid w:val="00B5328A"/>
    <w:rPr>
      <w:color w:val="26664E" w:themeColor="accent1"/>
      <w:szCs w:val="20"/>
    </w:rPr>
  </w:style>
  <w:style w:type="character" w:customStyle="1" w:styleId="NotesfortablesfiguresChar">
    <w:name w:val="Notes for tables/figures Char"/>
    <w:basedOn w:val="DefaultParagraphFont"/>
    <w:link w:val="Notesfortablesfigures"/>
    <w:rsid w:val="006B084E"/>
    <w:rPr>
      <w:rFonts w:ascii="Calibri Light" w:hAnsi="Calibri Light"/>
      <w:color w:val="4D4D4D" w:themeColor="accent6"/>
      <w:sz w:val="18"/>
      <w:szCs w:val="20"/>
    </w:rPr>
  </w:style>
  <w:style w:type="paragraph" w:customStyle="1" w:styleId="VIRTheading4">
    <w:name w:val="VIRT heading 4"/>
    <w:link w:val="VIRTheading4Char"/>
    <w:autoRedefine/>
    <w:qFormat/>
    <w:locked/>
    <w:rsid w:val="00B5328A"/>
    <w:pPr>
      <w:spacing w:before="120" w:after="120" w:line="240" w:lineRule="auto"/>
    </w:pPr>
    <w:rPr>
      <w:rFonts w:ascii="Calibri Light" w:hAnsi="Calibri Light" w:cs="Arial"/>
      <w:b/>
      <w:color w:val="148A5D" w:themeColor="accent2"/>
      <w:sz w:val="26"/>
      <w:szCs w:val="20"/>
    </w:rPr>
  </w:style>
  <w:style w:type="character" w:customStyle="1" w:styleId="FigureheadingChar">
    <w:name w:val="Figure heading Char"/>
    <w:basedOn w:val="TableheadingChar"/>
    <w:link w:val="Figureheading"/>
    <w:rsid w:val="00B5328A"/>
    <w:rPr>
      <w:rFonts w:ascii="Calibri Light" w:hAnsi="Calibri Light" w:cs="Arial"/>
      <w:b/>
      <w:color w:val="26664E" w:themeColor="accent1"/>
      <w:sz w:val="24"/>
      <w:szCs w:val="20"/>
    </w:rPr>
  </w:style>
  <w:style w:type="paragraph" w:styleId="Header">
    <w:name w:val="header"/>
    <w:basedOn w:val="Normal"/>
    <w:link w:val="HeaderChar"/>
    <w:uiPriority w:val="99"/>
    <w:unhideWhenUsed/>
    <w:locked/>
    <w:rsid w:val="00B5328A"/>
    <w:pPr>
      <w:tabs>
        <w:tab w:val="center" w:pos="4513"/>
        <w:tab w:val="right" w:pos="9026"/>
      </w:tabs>
      <w:spacing w:after="0" w:line="240" w:lineRule="auto"/>
    </w:pPr>
  </w:style>
  <w:style w:type="character" w:customStyle="1" w:styleId="VIRTheading4Char">
    <w:name w:val="VIRT heading 4 Char"/>
    <w:basedOn w:val="DefaultParagraphFont"/>
    <w:link w:val="VIRTheading4"/>
    <w:rsid w:val="00B5328A"/>
    <w:rPr>
      <w:rFonts w:ascii="Calibri Light" w:hAnsi="Calibri Light" w:cs="Arial"/>
      <w:b/>
      <w:color w:val="148A5D" w:themeColor="accent2"/>
      <w:sz w:val="26"/>
      <w:szCs w:val="20"/>
    </w:rPr>
  </w:style>
  <w:style w:type="character" w:customStyle="1" w:styleId="HeaderChar">
    <w:name w:val="Header Char"/>
    <w:basedOn w:val="DefaultParagraphFont"/>
    <w:link w:val="Header"/>
    <w:uiPriority w:val="99"/>
    <w:rsid w:val="00B5328A"/>
  </w:style>
  <w:style w:type="paragraph" w:styleId="Footer">
    <w:name w:val="footer"/>
    <w:basedOn w:val="Normal"/>
    <w:link w:val="FooterChar"/>
    <w:uiPriority w:val="99"/>
    <w:unhideWhenUsed/>
    <w:locked/>
    <w:rsid w:val="00B53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28A"/>
  </w:style>
  <w:style w:type="paragraph" w:customStyle="1" w:styleId="Footnotes">
    <w:name w:val="Footnotes"/>
    <w:link w:val="FootnotesChar"/>
    <w:qFormat/>
    <w:locked/>
    <w:rsid w:val="003B01B9"/>
    <w:pPr>
      <w:spacing w:after="0" w:line="240" w:lineRule="auto"/>
      <w:ind w:left="113" w:hanging="113"/>
    </w:pPr>
    <w:rPr>
      <w:rFonts w:ascii="Calibri Light" w:hAnsi="Calibri Light" w:cs="Times New Roman (Body CS)"/>
      <w:color w:val="4D4D4D" w:themeColor="accent6"/>
      <w:spacing w:val="-6"/>
      <w:sz w:val="18"/>
      <w:szCs w:val="72"/>
    </w:rPr>
  </w:style>
  <w:style w:type="paragraph" w:styleId="FootnoteText">
    <w:name w:val="footnote text"/>
    <w:basedOn w:val="Normal"/>
    <w:link w:val="FootnoteTextChar"/>
    <w:uiPriority w:val="8"/>
    <w:unhideWhenUsed/>
    <w:qFormat/>
    <w:locked/>
    <w:rsid w:val="00B5328A"/>
    <w:pPr>
      <w:spacing w:after="0" w:line="240" w:lineRule="auto"/>
    </w:pPr>
    <w:rPr>
      <w:sz w:val="20"/>
      <w:szCs w:val="20"/>
    </w:rPr>
  </w:style>
  <w:style w:type="character" w:customStyle="1" w:styleId="FootnotesChar">
    <w:name w:val="Footnotes Char"/>
    <w:basedOn w:val="DefaultParagraphFont"/>
    <w:link w:val="Footnotes"/>
    <w:rsid w:val="003B01B9"/>
    <w:rPr>
      <w:rFonts w:ascii="Calibri Light" w:hAnsi="Calibri Light" w:cs="Times New Roman (Body CS)"/>
      <w:color w:val="4D4D4D" w:themeColor="accent6"/>
      <w:spacing w:val="-6"/>
      <w:sz w:val="18"/>
      <w:szCs w:val="72"/>
    </w:rPr>
  </w:style>
  <w:style w:type="character" w:customStyle="1" w:styleId="FootnoteTextChar">
    <w:name w:val="Footnote Text Char"/>
    <w:basedOn w:val="DefaultParagraphFont"/>
    <w:link w:val="FootnoteText"/>
    <w:uiPriority w:val="8"/>
    <w:rsid w:val="00B5328A"/>
    <w:rPr>
      <w:sz w:val="20"/>
      <w:szCs w:val="20"/>
    </w:rPr>
  </w:style>
  <w:style w:type="character" w:styleId="FootnoteReference">
    <w:name w:val="footnote reference"/>
    <w:basedOn w:val="DefaultParagraphFont"/>
    <w:uiPriority w:val="8"/>
    <w:unhideWhenUsed/>
    <w:locked/>
    <w:rsid w:val="00B5328A"/>
    <w:rPr>
      <w:vertAlign w:val="superscript"/>
    </w:rPr>
  </w:style>
  <w:style w:type="paragraph" w:customStyle="1" w:styleId="Tablebullets">
    <w:name w:val="Table bullets"/>
    <w:link w:val="TablebulletsChar"/>
    <w:qFormat/>
    <w:rsid w:val="000E74D3"/>
    <w:pPr>
      <w:numPr>
        <w:numId w:val="38"/>
      </w:numPr>
      <w:spacing w:after="0" w:line="240" w:lineRule="auto"/>
      <w:contextualSpacing/>
    </w:pPr>
    <w:rPr>
      <w:rFonts w:ascii="Calibri Light" w:hAnsi="Calibri Light" w:cs="Times New Roman (Body CS)"/>
      <w:bCs/>
      <w:color w:val="4D4D4D" w:themeColor="accent6"/>
    </w:rPr>
  </w:style>
  <w:style w:type="character" w:customStyle="1" w:styleId="TablebulletsChar">
    <w:name w:val="Table bullets Char"/>
    <w:basedOn w:val="DefaultParagraphFont"/>
    <w:link w:val="Tablebullets"/>
    <w:locked/>
    <w:rsid w:val="000E74D3"/>
    <w:rPr>
      <w:rFonts w:ascii="Calibri Light" w:hAnsi="Calibri Light" w:cs="Times New Roman (Body CS)"/>
      <w:bCs/>
      <w:color w:val="4D4D4D" w:themeColor="accent6"/>
    </w:rPr>
  </w:style>
  <w:style w:type="paragraph" w:customStyle="1" w:styleId="Textinthetable">
    <w:name w:val="Text in the table"/>
    <w:link w:val="TextinthetableChar"/>
    <w:autoRedefine/>
    <w:qFormat/>
    <w:rsid w:val="00CE268B"/>
    <w:pPr>
      <w:spacing w:before="60" w:after="60" w:line="240" w:lineRule="auto"/>
      <w:contextualSpacing/>
    </w:pPr>
    <w:rPr>
      <w:rFonts w:ascii="Calibri Light" w:hAnsi="Calibri Light" w:cs="Arial"/>
      <w:b/>
      <w:bCs/>
      <w:color w:val="4D4D4D" w:themeColor="accent6"/>
      <w:lang w:val="en-US"/>
    </w:rPr>
  </w:style>
  <w:style w:type="character" w:customStyle="1" w:styleId="TextinthetableChar">
    <w:name w:val="Text in the table Char"/>
    <w:basedOn w:val="DefaultParagraphFont"/>
    <w:link w:val="Textinthetable"/>
    <w:rsid w:val="00CE268B"/>
    <w:rPr>
      <w:rFonts w:ascii="Calibri Light" w:hAnsi="Calibri Light" w:cs="Arial"/>
      <w:b/>
      <w:bCs/>
      <w:color w:val="4D4D4D" w:themeColor="accent6"/>
      <w:lang w:val="en-US"/>
    </w:rPr>
  </w:style>
  <w:style w:type="character" w:customStyle="1" w:styleId="FiguretitleChar">
    <w:name w:val="Figure title Char"/>
    <w:basedOn w:val="DefaultParagraphFont"/>
    <w:link w:val="Figuretitle"/>
    <w:locked/>
    <w:rsid w:val="00D932AD"/>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qFormat/>
    <w:rsid w:val="00D932AD"/>
    <w:pPr>
      <w:keepNext/>
      <w:spacing w:after="120" w:line="240" w:lineRule="auto"/>
    </w:pPr>
    <w:rPr>
      <w:rFonts w:ascii="Calibri Light" w:hAnsi="Calibri Light" w:cs="Times New Roman (Body CS)"/>
      <w:b/>
      <w:noProof/>
      <w:color w:val="0F6745" w:themeColor="accent2" w:themeShade="BF"/>
      <w:sz w:val="24"/>
      <w:szCs w:val="24"/>
      <w:lang w:val="en-US"/>
    </w:rPr>
  </w:style>
  <w:style w:type="character" w:styleId="Hyperlink">
    <w:name w:val="Hyperlink"/>
    <w:basedOn w:val="DefaultParagraphFont"/>
    <w:uiPriority w:val="99"/>
    <w:unhideWhenUsed/>
    <w:locked/>
    <w:rsid w:val="00D932AD"/>
    <w:rPr>
      <w:color w:val="5F5F5F" w:themeColor="hyperlink"/>
      <w:u w:val="single"/>
    </w:rPr>
  </w:style>
  <w:style w:type="paragraph" w:styleId="ListParagraph">
    <w:name w:val="List Paragraph"/>
    <w:basedOn w:val="Normal"/>
    <w:uiPriority w:val="34"/>
    <w:qFormat/>
    <w:locked/>
    <w:rsid w:val="00873D39"/>
    <w:pPr>
      <w:ind w:left="720"/>
      <w:contextualSpacing/>
    </w:pPr>
  </w:style>
  <w:style w:type="paragraph" w:customStyle="1" w:styleId="ChapterHeading">
    <w:name w:val="Chapter Heading"/>
    <w:basedOn w:val="VIRTHeading2"/>
    <w:link w:val="ChapterHeadingChar"/>
    <w:autoRedefine/>
    <w:rsid w:val="00106658"/>
    <w:pPr>
      <w:spacing w:before="0" w:after="100" w:afterAutospacing="1"/>
      <w:ind w:left="-567" w:firstLine="0"/>
      <w:outlineLvl w:val="0"/>
    </w:pPr>
    <w:rPr>
      <w:noProof/>
      <w:color w:val="FFFFFF" w:themeColor="background1"/>
      <w:sz w:val="36"/>
      <w:szCs w:val="36"/>
      <w:lang w:val="en-US"/>
    </w:rPr>
  </w:style>
  <w:style w:type="character" w:customStyle="1" w:styleId="ChapterHeadingChar">
    <w:name w:val="Chapter Heading Char"/>
    <w:basedOn w:val="VIRTHeading2Char"/>
    <w:link w:val="ChapterHeading"/>
    <w:locked/>
    <w:rsid w:val="00106658"/>
    <w:rPr>
      <w:rFonts w:ascii="Rockwell" w:hAnsi="Rockwell" w:cs="Times New Roman (Body CS)"/>
      <w:noProof/>
      <w:color w:val="FFFFFF" w:themeColor="background1"/>
      <w:sz w:val="36"/>
      <w:szCs w:val="36"/>
      <w:lang w:val="en-US"/>
    </w:rPr>
  </w:style>
  <w:style w:type="table" w:customStyle="1" w:styleId="ListTable3-Accent61">
    <w:name w:val="List Table 3 - Accent 61"/>
    <w:basedOn w:val="TableNormal"/>
    <w:uiPriority w:val="48"/>
    <w:locked/>
    <w:rsid w:val="00D45AAB"/>
    <w:pPr>
      <w:spacing w:after="0"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character" w:styleId="PlaceholderText">
    <w:name w:val="Placeholder Text"/>
    <w:basedOn w:val="DefaultParagraphFont"/>
    <w:uiPriority w:val="99"/>
    <w:semiHidden/>
    <w:locked/>
    <w:rsid w:val="00B923B6"/>
    <w:rPr>
      <w:color w:val="808080"/>
    </w:rPr>
  </w:style>
  <w:style w:type="character" w:styleId="CommentReference">
    <w:name w:val="annotation reference"/>
    <w:basedOn w:val="DefaultParagraphFont"/>
    <w:semiHidden/>
    <w:unhideWhenUsed/>
    <w:locked/>
    <w:rsid w:val="006209FA"/>
    <w:rPr>
      <w:sz w:val="16"/>
      <w:szCs w:val="16"/>
    </w:rPr>
  </w:style>
  <w:style w:type="paragraph" w:styleId="CommentText">
    <w:name w:val="annotation text"/>
    <w:basedOn w:val="Normal"/>
    <w:link w:val="CommentTextChar"/>
    <w:unhideWhenUsed/>
    <w:locked/>
    <w:rsid w:val="006209FA"/>
    <w:pPr>
      <w:spacing w:line="240" w:lineRule="auto"/>
    </w:pPr>
    <w:rPr>
      <w:sz w:val="20"/>
      <w:szCs w:val="20"/>
    </w:rPr>
  </w:style>
  <w:style w:type="character" w:customStyle="1" w:styleId="CommentTextChar">
    <w:name w:val="Comment Text Char"/>
    <w:basedOn w:val="DefaultParagraphFont"/>
    <w:link w:val="CommentText"/>
    <w:rsid w:val="006209FA"/>
    <w:rPr>
      <w:sz w:val="20"/>
      <w:szCs w:val="20"/>
    </w:rPr>
  </w:style>
  <w:style w:type="paragraph" w:styleId="CommentSubject">
    <w:name w:val="annotation subject"/>
    <w:basedOn w:val="CommentText"/>
    <w:next w:val="CommentText"/>
    <w:link w:val="CommentSubjectChar"/>
    <w:uiPriority w:val="99"/>
    <w:semiHidden/>
    <w:unhideWhenUsed/>
    <w:locked/>
    <w:rsid w:val="006209FA"/>
    <w:rPr>
      <w:b/>
      <w:bCs/>
    </w:rPr>
  </w:style>
  <w:style w:type="character" w:customStyle="1" w:styleId="CommentSubjectChar">
    <w:name w:val="Comment Subject Char"/>
    <w:basedOn w:val="CommentTextChar"/>
    <w:link w:val="CommentSubject"/>
    <w:uiPriority w:val="99"/>
    <w:semiHidden/>
    <w:rsid w:val="006209FA"/>
    <w:rPr>
      <w:b/>
      <w:bCs/>
      <w:sz w:val="20"/>
      <w:szCs w:val="20"/>
    </w:rPr>
  </w:style>
  <w:style w:type="character" w:customStyle="1" w:styleId="UnresolvedMention1">
    <w:name w:val="Unresolved Mention1"/>
    <w:basedOn w:val="DefaultParagraphFont"/>
    <w:uiPriority w:val="99"/>
    <w:semiHidden/>
    <w:unhideWhenUsed/>
    <w:locked/>
    <w:rsid w:val="002C0CFA"/>
    <w:rPr>
      <w:color w:val="605E5C"/>
      <w:shd w:val="clear" w:color="auto" w:fill="E1DFDD"/>
    </w:rPr>
  </w:style>
  <w:style w:type="character" w:styleId="EndnoteReference">
    <w:name w:val="endnote reference"/>
    <w:basedOn w:val="DefaultParagraphFont"/>
    <w:uiPriority w:val="99"/>
    <w:semiHidden/>
    <w:unhideWhenUsed/>
    <w:locked/>
    <w:rsid w:val="00FC5CE6"/>
    <w:rPr>
      <w:vertAlign w:val="superscript"/>
    </w:rPr>
  </w:style>
  <w:style w:type="paragraph" w:styleId="Revision">
    <w:name w:val="Revision"/>
    <w:hidden/>
    <w:uiPriority w:val="99"/>
    <w:semiHidden/>
    <w:rsid w:val="009A3B31"/>
    <w:pPr>
      <w:spacing w:after="0" w:line="240" w:lineRule="auto"/>
    </w:pPr>
  </w:style>
  <w:style w:type="paragraph" w:customStyle="1" w:styleId="VIRTBulletindent">
    <w:name w:val="VIRT Bullet indent"/>
    <w:basedOn w:val="VIRTBulletpoints"/>
    <w:link w:val="VIRTBulletindentChar"/>
    <w:qFormat/>
    <w:rsid w:val="0054045E"/>
    <w:pPr>
      <w:ind w:left="1080"/>
    </w:pPr>
  </w:style>
  <w:style w:type="character" w:customStyle="1" w:styleId="VIRTBulletindentChar">
    <w:name w:val="VIRT Bullet indent Char"/>
    <w:basedOn w:val="VIRTBulletpointsChar"/>
    <w:link w:val="VIRTBulletindent"/>
    <w:rsid w:val="0054045E"/>
    <w:rPr>
      <w:rFonts w:ascii="Calibri Light" w:eastAsiaTheme="minorEastAsia" w:hAnsi="Calibri Light" w:cs="Arial"/>
      <w:color w:val="4D4D4D" w:themeColor="accent6"/>
      <w:sz w:val="26"/>
      <w:szCs w:val="20"/>
    </w:rPr>
  </w:style>
  <w:style w:type="character" w:styleId="FollowedHyperlink">
    <w:name w:val="FollowedHyperlink"/>
    <w:basedOn w:val="DefaultParagraphFont"/>
    <w:uiPriority w:val="99"/>
    <w:semiHidden/>
    <w:unhideWhenUsed/>
    <w:locked/>
    <w:rsid w:val="00E145ED"/>
    <w:rPr>
      <w:color w:val="919191" w:themeColor="followedHyperlink"/>
      <w:u w:val="single"/>
    </w:rPr>
  </w:style>
  <w:style w:type="paragraph" w:customStyle="1" w:styleId="Tableheaderrow">
    <w:name w:val="Table header row"/>
    <w:link w:val="TableheaderrowChar"/>
    <w:autoRedefine/>
    <w:qFormat/>
    <w:rsid w:val="00CE268B"/>
    <w:pPr>
      <w:spacing w:after="0" w:line="240" w:lineRule="auto"/>
    </w:pPr>
    <w:rPr>
      <w:rFonts w:ascii="Calibri Light" w:eastAsia="Rockwell" w:hAnsi="Calibri Light" w:cs="Arial"/>
      <w:b/>
      <w:bCs/>
      <w:color w:val="FFFFFF" w:themeColor="background1"/>
    </w:rPr>
  </w:style>
  <w:style w:type="character" w:customStyle="1" w:styleId="TableheaderrowChar">
    <w:name w:val="Table header row Char"/>
    <w:basedOn w:val="DefaultParagraphFont"/>
    <w:link w:val="Tableheaderrow"/>
    <w:rsid w:val="00CE268B"/>
    <w:rPr>
      <w:rFonts w:ascii="Calibri Light" w:eastAsia="Rockwell" w:hAnsi="Calibri Light" w:cs="Arial"/>
      <w:b/>
      <w:bCs/>
      <w:color w:val="FFFFFF" w:themeColor="background1"/>
    </w:rPr>
  </w:style>
  <w:style w:type="paragraph" w:customStyle="1" w:styleId="VIRTCoverPageHeading">
    <w:name w:val="VIRT Cover Page Heading"/>
    <w:basedOn w:val="Normal"/>
    <w:rsid w:val="00DB79F0"/>
    <w:pPr>
      <w:spacing w:after="180" w:line="240" w:lineRule="auto"/>
    </w:pPr>
    <w:rPr>
      <w:noProof/>
      <w:color w:val="FFFFFF" w:themeColor="background1"/>
      <w:spacing w:val="20"/>
      <w:sz w:val="64"/>
      <w:lang w:val="en-US"/>
    </w:rPr>
  </w:style>
  <w:style w:type="numbering" w:customStyle="1" w:styleId="ZZNumbersdigit1">
    <w:name w:val="ZZ Numbers digit1"/>
    <w:basedOn w:val="NoList"/>
    <w:uiPriority w:val="99"/>
    <w:rsid w:val="00DB79F0"/>
  </w:style>
  <w:style w:type="paragraph" w:styleId="TOC1">
    <w:name w:val="toc 1"/>
    <w:basedOn w:val="Normal"/>
    <w:next w:val="Normal"/>
    <w:link w:val="TOC1Char"/>
    <w:uiPriority w:val="39"/>
    <w:unhideWhenUsed/>
    <w:locked/>
    <w:rsid w:val="0001391C"/>
    <w:pPr>
      <w:tabs>
        <w:tab w:val="left" w:pos="440"/>
        <w:tab w:val="right" w:leader="dot" w:pos="8494"/>
      </w:tabs>
      <w:spacing w:before="180" w:after="180" w:line="276" w:lineRule="auto"/>
    </w:pPr>
    <w:rPr>
      <w:rFonts w:ascii="Calibri Light" w:hAnsi="Calibri Light"/>
      <w:b/>
      <w:bCs/>
      <w:noProof/>
      <w:color w:val="4D4D4D" w:themeColor="accent6"/>
      <w:sz w:val="26"/>
    </w:rPr>
  </w:style>
  <w:style w:type="character" w:styleId="UnresolvedMention">
    <w:name w:val="Unresolved Mention"/>
    <w:basedOn w:val="DefaultParagraphFont"/>
    <w:uiPriority w:val="99"/>
    <w:semiHidden/>
    <w:unhideWhenUsed/>
    <w:rsid w:val="00376FEC"/>
    <w:rPr>
      <w:color w:val="605E5C"/>
      <w:shd w:val="clear" w:color="auto" w:fill="E1DFDD"/>
    </w:rPr>
  </w:style>
  <w:style w:type="table" w:customStyle="1" w:styleId="Table3">
    <w:name w:val="Table 3"/>
    <w:basedOn w:val="TableNormal"/>
    <w:uiPriority w:val="99"/>
    <w:rsid w:val="00065880"/>
    <w:pPr>
      <w:spacing w:after="0" w:line="240" w:lineRule="auto"/>
    </w:pPr>
    <w:tblPr/>
  </w:style>
  <w:style w:type="table" w:customStyle="1" w:styleId="Table1">
    <w:name w:val="Table 1"/>
    <w:basedOn w:val="TableNormal"/>
    <w:uiPriority w:val="99"/>
    <w:rsid w:val="00065880"/>
    <w:pPr>
      <w:spacing w:after="0" w:line="240" w:lineRule="auto"/>
    </w:pPr>
    <w:tblPr>
      <w:tblBorders>
        <w:top w:val="single" w:sz="4" w:space="0" w:color="148A5D"/>
        <w:bottom w:val="single" w:sz="4" w:space="0" w:color="148A5D"/>
        <w:insideH w:val="single" w:sz="4" w:space="0" w:color="148A5D"/>
      </w:tblBorders>
    </w:tblPr>
    <w:tblStylePr w:type="firstRow">
      <w:rPr>
        <w:rFonts w:asciiTheme="minorHAnsi" w:hAnsiTheme="minorHAnsi"/>
        <w:b/>
        <w:color w:val="FFFFFF" w:themeColor="background1"/>
      </w:rPr>
      <w:tblPr/>
      <w:tcPr>
        <w:shd w:val="clear" w:color="auto" w:fill="148A5D"/>
      </w:tcPr>
    </w:tblStylePr>
    <w:tblStylePr w:type="firstCol">
      <w:rPr>
        <w:b/>
      </w:rPr>
    </w:tblStylePr>
  </w:style>
  <w:style w:type="table" w:customStyle="1" w:styleId="Glossary">
    <w:name w:val="Glossary"/>
    <w:basedOn w:val="TableNormal"/>
    <w:uiPriority w:val="99"/>
    <w:rsid w:val="002218E7"/>
    <w:pPr>
      <w:spacing w:after="0" w:line="240" w:lineRule="auto"/>
    </w:pPr>
    <w:tblPr>
      <w:tblBorders>
        <w:top w:val="single" w:sz="4" w:space="0" w:color="148A5D"/>
        <w:bottom w:val="single" w:sz="4" w:space="0" w:color="148A5D"/>
        <w:insideH w:val="single" w:sz="4" w:space="0" w:color="148A5D"/>
      </w:tblBorders>
    </w:tblPr>
    <w:tblStylePr w:type="firstRow">
      <w:rPr>
        <w:b/>
        <w:color w:val="FFFFFF" w:themeColor="background2"/>
      </w:rPr>
      <w:tblPr/>
      <w:tcPr>
        <w:shd w:val="clear" w:color="auto" w:fill="148A5D"/>
      </w:tcPr>
    </w:tblStylePr>
  </w:style>
  <w:style w:type="paragraph" w:styleId="TOC2">
    <w:name w:val="toc 2"/>
    <w:basedOn w:val="Normal"/>
    <w:next w:val="Normal"/>
    <w:uiPriority w:val="39"/>
    <w:unhideWhenUsed/>
    <w:locked/>
    <w:rsid w:val="0001391C"/>
    <w:pPr>
      <w:tabs>
        <w:tab w:val="right" w:leader="dot" w:pos="8494"/>
      </w:tabs>
      <w:spacing w:before="180" w:after="180" w:line="276" w:lineRule="auto"/>
      <w:ind w:left="709" w:right="397"/>
    </w:pPr>
    <w:rPr>
      <w:rFonts w:ascii="Calibri Light" w:hAnsi="Calibri Light"/>
      <w:color w:val="4D4D4D" w:themeColor="accent6"/>
      <w:sz w:val="26"/>
    </w:rPr>
  </w:style>
  <w:style w:type="character" w:customStyle="1" w:styleId="Heading1Char">
    <w:name w:val="Heading 1 Char"/>
    <w:basedOn w:val="DefaultParagraphFont"/>
    <w:link w:val="Heading1"/>
    <w:uiPriority w:val="9"/>
    <w:rsid w:val="0038636E"/>
    <w:rPr>
      <w:rFonts w:asciiTheme="majorHAnsi" w:eastAsiaTheme="majorEastAsia" w:hAnsiTheme="majorHAnsi" w:cstheme="majorBidi"/>
      <w:color w:val="1C4C3A" w:themeColor="accent1" w:themeShade="BF"/>
      <w:sz w:val="32"/>
      <w:szCs w:val="32"/>
    </w:rPr>
  </w:style>
  <w:style w:type="character" w:customStyle="1" w:styleId="Heading2Char">
    <w:name w:val="Heading 2 Char"/>
    <w:basedOn w:val="DefaultParagraphFont"/>
    <w:link w:val="Heading2"/>
    <w:uiPriority w:val="9"/>
    <w:semiHidden/>
    <w:rsid w:val="0038636E"/>
    <w:rPr>
      <w:rFonts w:asciiTheme="majorHAnsi" w:eastAsiaTheme="majorEastAsia" w:hAnsiTheme="majorHAnsi" w:cstheme="majorBidi"/>
      <w:color w:val="1C4C3A" w:themeColor="accent1" w:themeShade="BF"/>
      <w:sz w:val="26"/>
      <w:szCs w:val="26"/>
    </w:rPr>
  </w:style>
  <w:style w:type="character" w:customStyle="1" w:styleId="Heading3Char">
    <w:name w:val="Heading 3 Char"/>
    <w:basedOn w:val="DefaultParagraphFont"/>
    <w:link w:val="Heading3"/>
    <w:uiPriority w:val="9"/>
    <w:semiHidden/>
    <w:rsid w:val="0038636E"/>
    <w:rPr>
      <w:rFonts w:asciiTheme="majorHAnsi" w:eastAsiaTheme="majorEastAsia" w:hAnsiTheme="majorHAnsi" w:cstheme="majorBidi"/>
      <w:color w:val="133226" w:themeColor="accent1" w:themeShade="7F"/>
      <w:sz w:val="24"/>
      <w:szCs w:val="24"/>
    </w:rPr>
  </w:style>
  <w:style w:type="paragraph" w:styleId="TOC3">
    <w:name w:val="toc 3"/>
    <w:basedOn w:val="Normal"/>
    <w:next w:val="Normal"/>
    <w:autoRedefine/>
    <w:uiPriority w:val="39"/>
    <w:unhideWhenUsed/>
    <w:locked/>
    <w:rsid w:val="0038636E"/>
    <w:pPr>
      <w:spacing w:after="100"/>
      <w:ind w:left="440"/>
    </w:pPr>
  </w:style>
  <w:style w:type="paragraph" w:customStyle="1" w:styleId="TOClevel1">
    <w:name w:val="TOC level 1"/>
    <w:basedOn w:val="TOC1"/>
    <w:link w:val="TOClevel1Char"/>
    <w:qFormat/>
    <w:rsid w:val="00463B6A"/>
  </w:style>
  <w:style w:type="paragraph" w:styleId="TOC9">
    <w:name w:val="toc 9"/>
    <w:basedOn w:val="Normal"/>
    <w:next w:val="Normal"/>
    <w:autoRedefine/>
    <w:uiPriority w:val="39"/>
    <w:semiHidden/>
    <w:unhideWhenUsed/>
    <w:locked/>
    <w:rsid w:val="0038636E"/>
    <w:pPr>
      <w:spacing w:after="100"/>
      <w:ind w:left="1760"/>
    </w:pPr>
  </w:style>
  <w:style w:type="character" w:customStyle="1" w:styleId="TOC1Char">
    <w:name w:val="TOC 1 Char"/>
    <w:basedOn w:val="DefaultParagraphFont"/>
    <w:link w:val="TOC1"/>
    <w:uiPriority w:val="39"/>
    <w:rsid w:val="0001391C"/>
    <w:rPr>
      <w:rFonts w:ascii="Calibri Light" w:hAnsi="Calibri Light"/>
      <w:b/>
      <w:bCs/>
      <w:noProof/>
      <w:color w:val="4D4D4D" w:themeColor="accent6"/>
      <w:sz w:val="26"/>
    </w:rPr>
  </w:style>
  <w:style w:type="character" w:customStyle="1" w:styleId="TOClevel1Char">
    <w:name w:val="TOC level 1 Char"/>
    <w:basedOn w:val="TOC1Char"/>
    <w:link w:val="TOClevel1"/>
    <w:rsid w:val="00463B6A"/>
    <w:rPr>
      <w:rFonts w:ascii="Calibri Light" w:hAnsi="Calibri Light"/>
      <w:b/>
      <w:bCs/>
      <w:noProof/>
      <w:color w:val="4D4D4D" w:themeColor="accent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780">
      <w:bodyDiv w:val="1"/>
      <w:marLeft w:val="0"/>
      <w:marRight w:val="0"/>
      <w:marTop w:val="0"/>
      <w:marBottom w:val="0"/>
      <w:divBdr>
        <w:top w:val="none" w:sz="0" w:space="0" w:color="auto"/>
        <w:left w:val="none" w:sz="0" w:space="0" w:color="auto"/>
        <w:bottom w:val="none" w:sz="0" w:space="0" w:color="auto"/>
        <w:right w:val="none" w:sz="0" w:space="0" w:color="auto"/>
      </w:divBdr>
      <w:divsChild>
        <w:div w:id="1261838655">
          <w:marLeft w:val="0"/>
          <w:marRight w:val="0"/>
          <w:marTop w:val="0"/>
          <w:marBottom w:val="0"/>
          <w:divBdr>
            <w:top w:val="none" w:sz="0" w:space="0" w:color="auto"/>
            <w:left w:val="none" w:sz="0" w:space="0" w:color="auto"/>
            <w:bottom w:val="none" w:sz="0" w:space="0" w:color="auto"/>
            <w:right w:val="none" w:sz="0" w:space="0" w:color="auto"/>
          </w:divBdr>
        </w:div>
      </w:divsChild>
    </w:div>
    <w:div w:id="303777306">
      <w:bodyDiv w:val="1"/>
      <w:marLeft w:val="0"/>
      <w:marRight w:val="0"/>
      <w:marTop w:val="0"/>
      <w:marBottom w:val="0"/>
      <w:divBdr>
        <w:top w:val="none" w:sz="0" w:space="0" w:color="auto"/>
        <w:left w:val="none" w:sz="0" w:space="0" w:color="auto"/>
        <w:bottom w:val="none" w:sz="0" w:space="0" w:color="auto"/>
        <w:right w:val="none" w:sz="0" w:space="0" w:color="auto"/>
      </w:divBdr>
      <w:divsChild>
        <w:div w:id="647442559">
          <w:marLeft w:val="0"/>
          <w:marRight w:val="0"/>
          <w:marTop w:val="0"/>
          <w:marBottom w:val="0"/>
          <w:divBdr>
            <w:top w:val="none" w:sz="0" w:space="0" w:color="auto"/>
            <w:left w:val="none" w:sz="0" w:space="0" w:color="auto"/>
            <w:bottom w:val="none" w:sz="0" w:space="0" w:color="auto"/>
            <w:right w:val="none" w:sz="0" w:space="0" w:color="auto"/>
          </w:divBdr>
        </w:div>
      </w:divsChild>
    </w:div>
    <w:div w:id="1106924681">
      <w:bodyDiv w:val="1"/>
      <w:marLeft w:val="0"/>
      <w:marRight w:val="0"/>
      <w:marTop w:val="0"/>
      <w:marBottom w:val="0"/>
      <w:divBdr>
        <w:top w:val="none" w:sz="0" w:space="0" w:color="auto"/>
        <w:left w:val="none" w:sz="0" w:space="0" w:color="auto"/>
        <w:bottom w:val="none" w:sz="0" w:space="0" w:color="auto"/>
        <w:right w:val="none" w:sz="0" w:space="0" w:color="auto"/>
      </w:divBdr>
    </w:div>
    <w:div w:id="1306860211">
      <w:bodyDiv w:val="1"/>
      <w:marLeft w:val="0"/>
      <w:marRight w:val="0"/>
      <w:marTop w:val="0"/>
      <w:marBottom w:val="0"/>
      <w:divBdr>
        <w:top w:val="none" w:sz="0" w:space="0" w:color="auto"/>
        <w:left w:val="none" w:sz="0" w:space="0" w:color="auto"/>
        <w:bottom w:val="none" w:sz="0" w:space="0" w:color="auto"/>
        <w:right w:val="none" w:sz="0" w:space="0" w:color="auto"/>
      </w:divBdr>
      <w:divsChild>
        <w:div w:id="271321511">
          <w:marLeft w:val="0"/>
          <w:marRight w:val="0"/>
          <w:marTop w:val="0"/>
          <w:marBottom w:val="0"/>
          <w:divBdr>
            <w:top w:val="none" w:sz="0" w:space="0" w:color="auto"/>
            <w:left w:val="none" w:sz="0" w:space="0" w:color="auto"/>
            <w:bottom w:val="none" w:sz="0" w:space="0" w:color="auto"/>
            <w:right w:val="none" w:sz="0" w:space="0" w:color="auto"/>
          </w:divBdr>
        </w:div>
      </w:divsChild>
    </w:div>
    <w:div w:id="1802460445">
      <w:bodyDiv w:val="1"/>
      <w:marLeft w:val="0"/>
      <w:marRight w:val="0"/>
      <w:marTop w:val="0"/>
      <w:marBottom w:val="0"/>
      <w:divBdr>
        <w:top w:val="none" w:sz="0" w:space="0" w:color="auto"/>
        <w:left w:val="none" w:sz="0" w:space="0" w:color="auto"/>
        <w:bottom w:val="none" w:sz="0" w:space="0" w:color="auto"/>
        <w:right w:val="none" w:sz="0" w:space="0" w:color="auto"/>
      </w:divBdr>
    </w:div>
    <w:div w:id="1939409827">
      <w:bodyDiv w:val="1"/>
      <w:marLeft w:val="0"/>
      <w:marRight w:val="0"/>
      <w:marTop w:val="0"/>
      <w:marBottom w:val="0"/>
      <w:divBdr>
        <w:top w:val="none" w:sz="0" w:space="0" w:color="auto"/>
        <w:left w:val="none" w:sz="0" w:space="0" w:color="auto"/>
        <w:bottom w:val="none" w:sz="0" w:space="0" w:color="auto"/>
        <w:right w:val="none" w:sz="0" w:space="0" w:color="auto"/>
      </w:divBdr>
    </w:div>
    <w:div w:id="2009870586">
      <w:bodyDiv w:val="1"/>
      <w:marLeft w:val="0"/>
      <w:marRight w:val="0"/>
      <w:marTop w:val="0"/>
      <w:marBottom w:val="0"/>
      <w:divBdr>
        <w:top w:val="none" w:sz="0" w:space="0" w:color="auto"/>
        <w:left w:val="none" w:sz="0" w:space="0" w:color="auto"/>
        <w:bottom w:val="none" w:sz="0" w:space="0" w:color="auto"/>
        <w:right w:val="none" w:sz="0" w:space="0" w:color="auto"/>
      </w:divBdr>
      <w:divsChild>
        <w:div w:id="1363021868">
          <w:marLeft w:val="0"/>
          <w:marRight w:val="0"/>
          <w:marTop w:val="0"/>
          <w:marBottom w:val="0"/>
          <w:divBdr>
            <w:top w:val="none" w:sz="0" w:space="0" w:color="auto"/>
            <w:left w:val="none" w:sz="0" w:space="0" w:color="auto"/>
            <w:bottom w:val="none" w:sz="0" w:space="0" w:color="auto"/>
            <w:right w:val="none" w:sz="0" w:space="0" w:color="auto"/>
          </w:divBdr>
        </w:div>
      </w:divsChild>
    </w:div>
    <w:div w:id="2024354464">
      <w:bodyDiv w:val="1"/>
      <w:marLeft w:val="0"/>
      <w:marRight w:val="0"/>
      <w:marTop w:val="0"/>
      <w:marBottom w:val="0"/>
      <w:divBdr>
        <w:top w:val="none" w:sz="0" w:space="0" w:color="auto"/>
        <w:left w:val="none" w:sz="0" w:space="0" w:color="auto"/>
        <w:bottom w:val="none" w:sz="0" w:space="0" w:color="auto"/>
        <w:right w:val="none" w:sz="0" w:space="0" w:color="auto"/>
      </w:divBdr>
    </w:div>
    <w:div w:id="21369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nquiries@remunerationtribunal.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nquiries@remunerationtribunal.vic.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remunerationtribunal.vic.gov.au" TargetMode="External"/><Relationship Id="rId22" Type="http://schemas.openxmlformats.org/officeDocument/2006/relationships/footer" Target="footer3.xml"/><Relationship Id="rId30"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F8F5EC57BE3C42900C2D1C380D62D3" ma:contentTypeVersion="7" ma:contentTypeDescription="Create a new document." ma:contentTypeScope="" ma:versionID="3cd44478ea2907ce53b59e5874067818">
  <xsd:schema xmlns:xsd="http://www.w3.org/2001/XMLSchema" xmlns:xs="http://www.w3.org/2001/XMLSchema" xmlns:p="http://schemas.microsoft.com/office/2006/metadata/properties" xmlns:ns3="bcc863f4-e078-442c-8a56-ce5f82981abc" xmlns:ns4="3c139c9a-2274-4258-8d7c-b469c61b2e23" targetNamespace="http://schemas.microsoft.com/office/2006/metadata/properties" ma:root="true" ma:fieldsID="d2bdd7fa97ec35378ddb83586ce58d6d" ns3:_="" ns4:_="">
    <xsd:import namespace="bcc863f4-e078-442c-8a56-ce5f82981abc"/>
    <xsd:import namespace="3c139c9a-2274-4258-8d7c-b469c61b2e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863f4-e078-442c-8a56-ce5f8298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139c9a-2274-4258-8d7c-b469c61b2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D0F69-3B26-4D83-8BA2-FEF9F8AF7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863f4-e078-442c-8a56-ce5f82981abc"/>
    <ds:schemaRef ds:uri="3c139c9a-2274-4258-8d7c-b469c61b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403B8A-BD6A-4B09-B11B-88D31536F147}">
  <ds:schemaRefs>
    <ds:schemaRef ds:uri="http://schemas.microsoft.com/sharepoint/v3/contenttype/forms"/>
  </ds:schemaRefs>
</ds:datastoreItem>
</file>

<file path=customXml/itemProps3.xml><?xml version="1.0" encoding="utf-8"?>
<ds:datastoreItem xmlns:ds="http://schemas.openxmlformats.org/officeDocument/2006/customXml" ds:itemID="{78EA5016-3A5D-42B9-847B-842ADF7B379B}">
  <ds:schemaRefs>
    <ds:schemaRef ds:uri="http://purl.org/dc/elements/1.1/"/>
    <ds:schemaRef ds:uri="bcc863f4-e078-442c-8a56-ce5f82981abc"/>
    <ds:schemaRef ds:uri="http://schemas.microsoft.com/office/infopath/2007/PartnerControls"/>
    <ds:schemaRef ds:uri="http://www.w3.org/XML/1998/namespace"/>
    <ds:schemaRef ds:uri="http://schemas.microsoft.com/office/2006/documentManagement/types"/>
    <ds:schemaRef ds:uri="3c139c9a-2274-4258-8d7c-b469c61b2e23"/>
    <ds:schemaRef ds:uri="http://purl.org/dc/term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F017C4C-E1B4-4539-A7F1-1476DD0EDF76}">
  <ds:schemaRefs>
    <ds:schemaRef ds:uri="http://www.w3.org/2001/XMLSchema"/>
  </ds:schemaRefs>
</ds:datastoreItem>
</file>

<file path=customXml/itemProps5.xml><?xml version="1.0" encoding="utf-8"?>
<ds:datastoreItem xmlns:ds="http://schemas.openxmlformats.org/officeDocument/2006/customXml" ds:itemID="{C7AD8D32-168A-47DA-A4E7-E29D9EBB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6467</Words>
  <Characters>36867</Characters>
  <Application>Microsoft Office Word</Application>
  <DocSecurity>8</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43248</CharactersWithSpaces>
  <SharedDoc>false</SharedDoc>
  <HLinks>
    <vt:vector size="18" baseType="variant">
      <vt:variant>
        <vt:i4>4784226</vt:i4>
      </vt:variant>
      <vt:variant>
        <vt:i4>6</vt:i4>
      </vt:variant>
      <vt:variant>
        <vt:i4>0</vt:i4>
      </vt:variant>
      <vt:variant>
        <vt:i4>5</vt:i4>
      </vt:variant>
      <vt:variant>
        <vt:lpwstr>mailto:enquiries@remunerationtribunal.vic.gov.au</vt:lpwstr>
      </vt:variant>
      <vt:variant>
        <vt:lpwstr/>
      </vt:variant>
      <vt:variant>
        <vt:i4>4784226</vt:i4>
      </vt:variant>
      <vt:variant>
        <vt:i4>3</vt:i4>
      </vt:variant>
      <vt:variant>
        <vt:i4>0</vt:i4>
      </vt:variant>
      <vt:variant>
        <vt:i4>5</vt:i4>
      </vt:variant>
      <vt:variant>
        <vt:lpwstr>mailto:enquiries@remunerationtribunal.vic.gov.au</vt:lpwstr>
      </vt:variant>
      <vt:variant>
        <vt:lpwstr/>
      </vt:variant>
      <vt:variant>
        <vt:i4>4784226</vt:i4>
      </vt:variant>
      <vt:variant>
        <vt:i4>0</vt:i4>
      </vt:variant>
      <vt:variant>
        <vt:i4>0</vt:i4>
      </vt:variant>
      <vt:variant>
        <vt:i4>5</vt:i4>
      </vt:variant>
      <vt:variant>
        <vt:lpwstr>mailto:enquiries@remunerationtribunal.vic.gov.au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 Foster (DPC)</dc:creator>
  <cp:keywords/>
  <dc:description/>
  <cp:lastModifiedBy>Dannielle Foster (DPC)</cp:lastModifiedBy>
  <cp:revision>3</cp:revision>
  <cp:lastPrinted>2020-03-23T13:07:00Z</cp:lastPrinted>
  <dcterms:created xsi:type="dcterms:W3CDTF">2020-05-21T00:19:00Z</dcterms:created>
  <dcterms:modified xsi:type="dcterms:W3CDTF">2020-05-21T00:20:00Z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dannielle.foster@dpc.vic.gov.au</vt:lpwstr>
  </property>
  <property fmtid="{D5CDD505-2E9C-101B-9397-08002B2CF9AE}" pid="5" name="MSIP_Label_7158ebbd-6c5e-441f-bfc9-4eb8c11e3978_SetDate">
    <vt:lpwstr>2019-10-11T06:31:15.3671432Z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y fmtid="{D5CDD505-2E9C-101B-9397-08002B2CF9AE}" pid="10" name="ZOTERO_PREF_1">
    <vt:lpwstr>&lt;data data-version="3" zotero-version="5.0.74"&gt;&lt;session id="sBtM8wd9"/&gt;&lt;style id="http://www.zotero.org/styles/chicago-fullnote-bibliography" locale="en-GB" hasBibliography="1" bibliographyStyleHasBeenSet="0"/&gt;&lt;prefs&gt;&lt;pref name="fieldType" value="Field"/&gt;</vt:lpwstr>
  </property>
  <property fmtid="{D5CDD505-2E9C-101B-9397-08002B2CF9AE}" pid="11" name="ZOTERO_PREF_2">
    <vt:lpwstr>&lt;pref name="noteType" value="1"/&gt;&lt;/prefs&gt;&lt;/data&gt;</vt:lpwstr>
  </property>
  <property fmtid="{D5CDD505-2E9C-101B-9397-08002B2CF9AE}" pid="12" name="ContentTypeId">
    <vt:lpwstr>0x01010030F8F5EC57BE3C42900C2D1C380D62D3</vt:lpwstr>
  </property>
</Properties>
</file>