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73C4FE" w14:textId="213F43C2" w:rsidR="00DB79F0" w:rsidRDefault="00663DAD" w:rsidP="00DB79F0">
      <w:pPr>
        <w:pStyle w:val="VIRTCoverPageHeading"/>
        <w:ind w:left="-426"/>
        <w:outlineLvl w:val="0"/>
        <w:rPr>
          <w:rFonts w:ascii="Calibri Light" w:hAnsi="Calibri Light" w:cs="Calibri Light"/>
        </w:rPr>
      </w:pPr>
      <w:bookmarkStart w:id="0" w:name="_Toc35006350"/>
      <w:bookmarkStart w:id="1" w:name="_GoBack"/>
      <w:bookmarkEnd w:id="1"/>
      <w:r>
        <w:rPr>
          <w:rFonts w:ascii="Calibri Light" w:hAnsi="Calibri Light" w:cs="Calibri Light"/>
        </w:rPr>
        <w:drawing>
          <wp:anchor distT="0" distB="0" distL="114300" distR="114300" simplePos="0" relativeHeight="251657728" behindDoc="1" locked="0" layoutInCell="1" allowOverlap="1" wp14:anchorId="61BEEF55" wp14:editId="5A74B71B">
            <wp:simplePos x="0" y="0"/>
            <wp:positionH relativeFrom="column">
              <wp:posOffset>-1588297</wp:posOffset>
            </wp:positionH>
            <wp:positionV relativeFrom="paragraph">
              <wp:posOffset>-1349375</wp:posOffset>
            </wp:positionV>
            <wp:extent cx="8081645" cy="23547070"/>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081645" cy="23547070"/>
                    </a:xfrm>
                    <a:prstGeom prst="rect">
                      <a:avLst/>
                    </a:prstGeom>
                    <a:noFill/>
                  </pic:spPr>
                </pic:pic>
              </a:graphicData>
            </a:graphic>
            <wp14:sizeRelH relativeFrom="margin">
              <wp14:pctWidth>0</wp14:pctWidth>
            </wp14:sizeRelH>
            <wp14:sizeRelV relativeFrom="margin">
              <wp14:pctHeight>0</wp14:pctHeight>
            </wp14:sizeRelV>
          </wp:anchor>
        </w:drawing>
      </w:r>
      <w:r w:rsidR="00DB79F0">
        <w:drawing>
          <wp:anchor distT="0" distB="0" distL="114300" distR="114300" simplePos="0" relativeHeight="251660800" behindDoc="0" locked="0" layoutInCell="1" allowOverlap="1" wp14:anchorId="32042E6A" wp14:editId="131732AF">
            <wp:simplePos x="0" y="0"/>
            <wp:positionH relativeFrom="column">
              <wp:posOffset>-189186</wp:posOffset>
            </wp:positionH>
            <wp:positionV relativeFrom="paragraph">
              <wp:posOffset>-217170</wp:posOffset>
            </wp:positionV>
            <wp:extent cx="1733550" cy="143777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1733550" cy="1437770"/>
                    </a:xfrm>
                    <a:prstGeom prst="rect">
                      <a:avLst/>
                    </a:prstGeom>
                  </pic:spPr>
                </pic:pic>
              </a:graphicData>
            </a:graphic>
            <wp14:sizeRelH relativeFrom="margin">
              <wp14:pctWidth>0</wp14:pctWidth>
            </wp14:sizeRelH>
            <wp14:sizeRelV relativeFrom="margin">
              <wp14:pctHeight>0</wp14:pctHeight>
            </wp14:sizeRelV>
          </wp:anchor>
        </w:drawing>
      </w:r>
    </w:p>
    <w:p w14:paraId="343897F8" w14:textId="3F1C14E0" w:rsidR="00DB79F0" w:rsidRDefault="00DB79F0" w:rsidP="00DB79F0">
      <w:pPr>
        <w:pStyle w:val="VIRTCoverPageHeading"/>
        <w:ind w:left="-426"/>
        <w:outlineLvl w:val="0"/>
        <w:rPr>
          <w:rFonts w:ascii="Calibri Light" w:hAnsi="Calibri Light" w:cs="Calibri Light"/>
        </w:rPr>
      </w:pPr>
    </w:p>
    <w:p w14:paraId="5675AE00" w14:textId="2E1A4DC7" w:rsidR="00DB79F0" w:rsidRDefault="00DB79F0" w:rsidP="00DB79F0">
      <w:pPr>
        <w:pStyle w:val="VIRTCoverPageHeading"/>
        <w:ind w:left="-426"/>
        <w:outlineLvl w:val="0"/>
        <w:rPr>
          <w:rFonts w:ascii="Calibri Light" w:hAnsi="Calibri Light" w:cs="Calibri Light"/>
        </w:rPr>
      </w:pPr>
    </w:p>
    <w:p w14:paraId="6DB87377" w14:textId="3A751206" w:rsidR="00DB79F0" w:rsidRDefault="00DB79F0" w:rsidP="00DB79F0">
      <w:pPr>
        <w:pStyle w:val="VIRTCoverPageHeading"/>
        <w:ind w:left="-426"/>
        <w:outlineLvl w:val="0"/>
        <w:rPr>
          <w:rFonts w:ascii="Calibri Light" w:hAnsi="Calibri Light" w:cs="Calibri Light"/>
        </w:rPr>
      </w:pPr>
    </w:p>
    <w:p w14:paraId="2463D138" w14:textId="70A4287F" w:rsidR="00DB79F0" w:rsidRDefault="00DB79F0" w:rsidP="00DB79F0">
      <w:pPr>
        <w:pStyle w:val="VIRTCoverPageHeading"/>
        <w:ind w:left="-426"/>
        <w:outlineLvl w:val="0"/>
        <w:rPr>
          <w:rFonts w:ascii="Calibri Light" w:hAnsi="Calibri Light" w:cs="Calibri Light"/>
        </w:rPr>
      </w:pPr>
    </w:p>
    <w:bookmarkEnd w:id="0"/>
    <w:p w14:paraId="000037B9" w14:textId="6B02B944" w:rsidR="00DB79F0" w:rsidRDefault="00DB79F0" w:rsidP="00DB79F0">
      <w:pPr>
        <w:pStyle w:val="VIRTCoverPageHeading"/>
        <w:ind w:left="-426"/>
        <w:outlineLvl w:val="0"/>
        <w:rPr>
          <w:rFonts w:ascii="Calibri Light" w:hAnsi="Calibri Light" w:cs="Calibri Light"/>
        </w:rPr>
      </w:pPr>
      <w:r>
        <w:rPr>
          <w:rFonts w:ascii="Calibri Light" w:hAnsi="Calibri Light" w:cs="Calibri Light"/>
        </w:rPr>
        <w:t xml:space="preserve">Review of </w:t>
      </w:r>
      <w:r w:rsidR="000E3E1C">
        <w:rPr>
          <w:rFonts w:ascii="Calibri Light" w:hAnsi="Calibri Light" w:cs="Calibri Light"/>
        </w:rPr>
        <w:t>the Tribunal’s Members of Parliament Guidelines</w:t>
      </w:r>
    </w:p>
    <w:p w14:paraId="23666C41" w14:textId="5BB451FE" w:rsidR="00DB79F0" w:rsidRPr="000E3E1C" w:rsidRDefault="00DB79F0" w:rsidP="00DB79F0">
      <w:pPr>
        <w:pStyle w:val="VIRTCoverPageHeading"/>
        <w:ind w:left="-426"/>
        <w:outlineLvl w:val="0"/>
        <w:rPr>
          <w:rFonts w:ascii="Calibri Light" w:hAnsi="Calibri Light" w:cs="Calibri Light"/>
          <w:sz w:val="56"/>
          <w:szCs w:val="56"/>
        </w:rPr>
      </w:pPr>
      <w:r w:rsidRPr="000E3E1C">
        <w:rPr>
          <w:rFonts w:ascii="Calibri Light" w:hAnsi="Calibri Light" w:cs="Calibri Light"/>
          <w:sz w:val="56"/>
          <w:szCs w:val="56"/>
        </w:rPr>
        <w:t>Issues Paper</w:t>
      </w:r>
    </w:p>
    <w:p w14:paraId="567907E7" w14:textId="77777777" w:rsidR="00CE4996" w:rsidRDefault="00CE4996" w:rsidP="00BF0CF4">
      <w:pPr>
        <w:pStyle w:val="VIRTHeading2"/>
        <w:sectPr w:rsidR="00CE4996" w:rsidSect="003216B5">
          <w:headerReference w:type="even" r:id="rId14"/>
          <w:headerReference w:type="default" r:id="rId15"/>
          <w:footerReference w:type="even" r:id="rId16"/>
          <w:footerReference w:type="default" r:id="rId17"/>
          <w:headerReference w:type="first" r:id="rId18"/>
          <w:footerReference w:type="first" r:id="rId19"/>
          <w:type w:val="continuous"/>
          <w:pgSz w:w="11906" w:h="16838"/>
          <w:pgMar w:top="2127" w:right="1701" w:bottom="1559" w:left="1701" w:header="708" w:footer="708" w:gutter="0"/>
          <w:cols w:space="708"/>
          <w:titlePg/>
          <w:docGrid w:linePitch="360"/>
        </w:sectPr>
      </w:pPr>
    </w:p>
    <w:p w14:paraId="34492792" w14:textId="4CB98884" w:rsidR="00B62D18" w:rsidRDefault="00B62D18" w:rsidP="00E25C36">
      <w:pPr>
        <w:pStyle w:val="Sourcefortablesfigures"/>
      </w:pPr>
      <w:r>
        <w:lastRenderedPageBreak/>
        <w:t>Contents</w:t>
      </w:r>
      <w:r w:rsidR="004F1B39">
        <w:tab/>
      </w:r>
    </w:p>
    <w:sdt>
      <w:sdtPr>
        <w:rPr>
          <w:rFonts w:ascii="Arial" w:eastAsia="Rockwell" w:hAnsi="Arial" w:cs="Times New Roman"/>
          <w:noProof/>
          <w:color w:val="7F7F7F"/>
          <w:sz w:val="20"/>
        </w:rPr>
        <w:id w:val="1578161639"/>
        <w:docPartObj>
          <w:docPartGallery w:val="Table of Contents"/>
          <w:docPartUnique/>
        </w:docPartObj>
      </w:sdtPr>
      <w:sdtEndPr>
        <w:rPr>
          <w:rFonts w:ascii="Calibri Light" w:hAnsi="Calibri Light"/>
          <w:b/>
          <w:bCs/>
          <w:color w:val="4D4D4D"/>
          <w:sz w:val="26"/>
          <w:szCs w:val="20"/>
        </w:rPr>
      </w:sdtEndPr>
      <w:sdtContent>
        <w:p w14:paraId="68470FEC" w14:textId="489A2270" w:rsidR="005E680F" w:rsidRPr="005E680F" w:rsidRDefault="00B62D18">
          <w:pPr>
            <w:pStyle w:val="TOC1"/>
            <w:tabs>
              <w:tab w:val="left" w:pos="440"/>
              <w:tab w:val="right" w:leader="dot" w:pos="8494"/>
            </w:tabs>
            <w:rPr>
              <w:rFonts w:asciiTheme="majorHAnsi" w:eastAsiaTheme="minorEastAsia" w:hAnsiTheme="majorHAnsi" w:cstheme="majorHAnsi"/>
              <w:noProof/>
              <w:sz w:val="26"/>
              <w:szCs w:val="26"/>
              <w:lang w:eastAsia="en-AU"/>
            </w:rPr>
          </w:pPr>
          <w:r w:rsidRPr="00CE3932">
            <w:rPr>
              <w:rFonts w:ascii="Tw Cen MT" w:eastAsia="HGPGothicE" w:hAnsi="Tw Cen MT" w:cs="Arial"/>
              <w:b/>
              <w:bCs/>
              <w:color w:val="1C4C3A"/>
              <w:sz w:val="28"/>
              <w:szCs w:val="28"/>
              <w:lang w:val="en-US"/>
            </w:rPr>
            <w:fldChar w:fldCharType="begin"/>
          </w:r>
          <w:r w:rsidRPr="00CE3932">
            <w:rPr>
              <w:rFonts w:ascii="Calibri Light" w:eastAsia="Rockwell" w:hAnsi="Calibri Light" w:cs="Times New Roman"/>
              <w:b/>
              <w:bCs/>
              <w:noProof/>
              <w:color w:val="4D4D4D"/>
              <w:sz w:val="26"/>
              <w:szCs w:val="20"/>
            </w:rPr>
            <w:instrText xml:space="preserve"> TOC \h \z \t "VIRT Heading 2,1,Chapter Heading,1,VIRT heading 1,1" </w:instrText>
          </w:r>
          <w:r w:rsidRPr="00CE3932">
            <w:rPr>
              <w:rFonts w:ascii="Tw Cen MT" w:eastAsia="HGPGothicE" w:hAnsi="Tw Cen MT" w:cs="Arial"/>
              <w:b/>
              <w:bCs/>
              <w:color w:val="1C4C3A"/>
              <w:sz w:val="28"/>
              <w:szCs w:val="28"/>
              <w:lang w:val="en-US"/>
            </w:rPr>
            <w:fldChar w:fldCharType="separate"/>
          </w:r>
          <w:hyperlink w:anchor="_Toc41981513" w:history="1">
            <w:r w:rsidR="005E680F" w:rsidRPr="005E680F">
              <w:rPr>
                <w:rStyle w:val="Hyperlink"/>
                <w:rFonts w:asciiTheme="majorHAnsi" w:hAnsiTheme="majorHAnsi" w:cstheme="majorHAnsi"/>
                <w:noProof/>
                <w:sz w:val="26"/>
                <w:szCs w:val="26"/>
              </w:rPr>
              <w:t>1</w:t>
            </w:r>
            <w:r w:rsidR="005E680F" w:rsidRPr="005E680F">
              <w:rPr>
                <w:rFonts w:asciiTheme="majorHAnsi" w:eastAsiaTheme="minorEastAsia" w:hAnsiTheme="majorHAnsi" w:cstheme="majorHAnsi"/>
                <w:noProof/>
                <w:sz w:val="26"/>
                <w:szCs w:val="26"/>
                <w:lang w:eastAsia="en-AU"/>
              </w:rPr>
              <w:tab/>
            </w:r>
            <w:r w:rsidR="005E680F" w:rsidRPr="005E680F">
              <w:rPr>
                <w:rStyle w:val="Hyperlink"/>
                <w:rFonts w:asciiTheme="majorHAnsi" w:hAnsiTheme="majorHAnsi" w:cstheme="majorHAnsi"/>
                <w:noProof/>
                <w:sz w:val="26"/>
                <w:szCs w:val="26"/>
              </w:rPr>
              <w:t>Purpose of review and making a submission</w:t>
            </w:r>
            <w:r w:rsidR="005E680F" w:rsidRPr="005E680F">
              <w:rPr>
                <w:rFonts w:asciiTheme="majorHAnsi" w:hAnsiTheme="majorHAnsi" w:cstheme="majorHAnsi"/>
                <w:noProof/>
                <w:webHidden/>
                <w:sz w:val="26"/>
                <w:szCs w:val="26"/>
              </w:rPr>
              <w:tab/>
            </w:r>
            <w:r w:rsidR="005E680F" w:rsidRPr="005E680F">
              <w:rPr>
                <w:rFonts w:asciiTheme="majorHAnsi" w:hAnsiTheme="majorHAnsi" w:cstheme="majorHAnsi"/>
                <w:noProof/>
                <w:webHidden/>
                <w:sz w:val="26"/>
                <w:szCs w:val="26"/>
              </w:rPr>
              <w:fldChar w:fldCharType="begin"/>
            </w:r>
            <w:r w:rsidR="005E680F" w:rsidRPr="005E680F">
              <w:rPr>
                <w:rFonts w:asciiTheme="majorHAnsi" w:hAnsiTheme="majorHAnsi" w:cstheme="majorHAnsi"/>
                <w:noProof/>
                <w:webHidden/>
                <w:sz w:val="26"/>
                <w:szCs w:val="26"/>
              </w:rPr>
              <w:instrText xml:space="preserve"> PAGEREF _Toc41981513 \h </w:instrText>
            </w:r>
            <w:r w:rsidR="005E680F" w:rsidRPr="005E680F">
              <w:rPr>
                <w:rFonts w:asciiTheme="majorHAnsi" w:hAnsiTheme="majorHAnsi" w:cstheme="majorHAnsi"/>
                <w:noProof/>
                <w:webHidden/>
                <w:sz w:val="26"/>
                <w:szCs w:val="26"/>
              </w:rPr>
            </w:r>
            <w:r w:rsidR="005E680F" w:rsidRPr="005E680F">
              <w:rPr>
                <w:rFonts w:asciiTheme="majorHAnsi" w:hAnsiTheme="majorHAnsi" w:cstheme="majorHAnsi"/>
                <w:noProof/>
                <w:webHidden/>
                <w:sz w:val="26"/>
                <w:szCs w:val="26"/>
              </w:rPr>
              <w:fldChar w:fldCharType="separate"/>
            </w:r>
            <w:r w:rsidR="00FE5358">
              <w:rPr>
                <w:rFonts w:asciiTheme="majorHAnsi" w:hAnsiTheme="majorHAnsi" w:cstheme="majorHAnsi"/>
                <w:noProof/>
                <w:webHidden/>
                <w:sz w:val="26"/>
                <w:szCs w:val="26"/>
              </w:rPr>
              <w:t>1</w:t>
            </w:r>
            <w:r w:rsidR="005E680F" w:rsidRPr="005E680F">
              <w:rPr>
                <w:rFonts w:asciiTheme="majorHAnsi" w:hAnsiTheme="majorHAnsi" w:cstheme="majorHAnsi"/>
                <w:noProof/>
                <w:webHidden/>
                <w:sz w:val="26"/>
                <w:szCs w:val="26"/>
              </w:rPr>
              <w:fldChar w:fldCharType="end"/>
            </w:r>
          </w:hyperlink>
        </w:p>
        <w:p w14:paraId="093AC1CE" w14:textId="2D73BC7F" w:rsidR="005E680F" w:rsidRPr="005E680F" w:rsidRDefault="0062795B">
          <w:pPr>
            <w:pStyle w:val="TOC1"/>
            <w:tabs>
              <w:tab w:val="left" w:pos="440"/>
              <w:tab w:val="right" w:leader="dot" w:pos="8494"/>
            </w:tabs>
            <w:rPr>
              <w:rFonts w:asciiTheme="majorHAnsi" w:eastAsiaTheme="minorEastAsia" w:hAnsiTheme="majorHAnsi" w:cstheme="majorHAnsi"/>
              <w:noProof/>
              <w:sz w:val="26"/>
              <w:szCs w:val="26"/>
              <w:lang w:eastAsia="en-AU"/>
            </w:rPr>
          </w:pPr>
          <w:hyperlink w:anchor="_Toc41981514" w:history="1">
            <w:r w:rsidR="005E680F" w:rsidRPr="005E680F">
              <w:rPr>
                <w:rStyle w:val="Hyperlink"/>
                <w:rFonts w:asciiTheme="majorHAnsi" w:hAnsiTheme="majorHAnsi" w:cstheme="majorHAnsi"/>
                <w:noProof/>
                <w:sz w:val="26"/>
                <w:szCs w:val="26"/>
              </w:rPr>
              <w:t>2</w:t>
            </w:r>
            <w:r w:rsidR="005E680F" w:rsidRPr="005E680F">
              <w:rPr>
                <w:rFonts w:asciiTheme="majorHAnsi" w:eastAsiaTheme="minorEastAsia" w:hAnsiTheme="majorHAnsi" w:cstheme="majorHAnsi"/>
                <w:noProof/>
                <w:sz w:val="26"/>
                <w:szCs w:val="26"/>
                <w:lang w:eastAsia="en-AU"/>
              </w:rPr>
              <w:tab/>
            </w:r>
            <w:r w:rsidR="005E680F" w:rsidRPr="005E680F">
              <w:rPr>
                <w:rStyle w:val="Hyperlink"/>
                <w:rFonts w:asciiTheme="majorHAnsi" w:hAnsiTheme="majorHAnsi" w:cstheme="majorHAnsi"/>
                <w:noProof/>
                <w:sz w:val="26"/>
                <w:szCs w:val="26"/>
              </w:rPr>
              <w:t>The Guidelines in context</w:t>
            </w:r>
            <w:r w:rsidR="005E680F" w:rsidRPr="005E680F">
              <w:rPr>
                <w:rFonts w:asciiTheme="majorHAnsi" w:hAnsiTheme="majorHAnsi" w:cstheme="majorHAnsi"/>
                <w:noProof/>
                <w:webHidden/>
                <w:sz w:val="26"/>
                <w:szCs w:val="26"/>
              </w:rPr>
              <w:tab/>
            </w:r>
            <w:r w:rsidR="005E680F" w:rsidRPr="005E680F">
              <w:rPr>
                <w:rFonts w:asciiTheme="majorHAnsi" w:hAnsiTheme="majorHAnsi" w:cstheme="majorHAnsi"/>
                <w:noProof/>
                <w:webHidden/>
                <w:sz w:val="26"/>
                <w:szCs w:val="26"/>
              </w:rPr>
              <w:fldChar w:fldCharType="begin"/>
            </w:r>
            <w:r w:rsidR="005E680F" w:rsidRPr="005E680F">
              <w:rPr>
                <w:rFonts w:asciiTheme="majorHAnsi" w:hAnsiTheme="majorHAnsi" w:cstheme="majorHAnsi"/>
                <w:noProof/>
                <w:webHidden/>
                <w:sz w:val="26"/>
                <w:szCs w:val="26"/>
              </w:rPr>
              <w:instrText xml:space="preserve"> PAGEREF _Toc41981514 \h </w:instrText>
            </w:r>
            <w:r w:rsidR="005E680F" w:rsidRPr="005E680F">
              <w:rPr>
                <w:rFonts w:asciiTheme="majorHAnsi" w:hAnsiTheme="majorHAnsi" w:cstheme="majorHAnsi"/>
                <w:noProof/>
                <w:webHidden/>
                <w:sz w:val="26"/>
                <w:szCs w:val="26"/>
              </w:rPr>
            </w:r>
            <w:r w:rsidR="005E680F" w:rsidRPr="005E680F">
              <w:rPr>
                <w:rFonts w:asciiTheme="majorHAnsi" w:hAnsiTheme="majorHAnsi" w:cstheme="majorHAnsi"/>
                <w:noProof/>
                <w:webHidden/>
                <w:sz w:val="26"/>
                <w:szCs w:val="26"/>
              </w:rPr>
              <w:fldChar w:fldCharType="separate"/>
            </w:r>
            <w:r w:rsidR="00FE5358">
              <w:rPr>
                <w:rFonts w:asciiTheme="majorHAnsi" w:hAnsiTheme="majorHAnsi" w:cstheme="majorHAnsi"/>
                <w:noProof/>
                <w:webHidden/>
                <w:sz w:val="26"/>
                <w:szCs w:val="26"/>
              </w:rPr>
              <w:t>3</w:t>
            </w:r>
            <w:r w:rsidR="005E680F" w:rsidRPr="005E680F">
              <w:rPr>
                <w:rFonts w:asciiTheme="majorHAnsi" w:hAnsiTheme="majorHAnsi" w:cstheme="majorHAnsi"/>
                <w:noProof/>
                <w:webHidden/>
                <w:sz w:val="26"/>
                <w:szCs w:val="26"/>
              </w:rPr>
              <w:fldChar w:fldCharType="end"/>
            </w:r>
          </w:hyperlink>
        </w:p>
        <w:p w14:paraId="2E29B2FC" w14:textId="121D77F1" w:rsidR="005E680F" w:rsidRPr="005E680F" w:rsidRDefault="0062795B">
          <w:pPr>
            <w:pStyle w:val="TOC1"/>
            <w:tabs>
              <w:tab w:val="left" w:pos="440"/>
              <w:tab w:val="right" w:leader="dot" w:pos="8494"/>
            </w:tabs>
            <w:rPr>
              <w:rFonts w:asciiTheme="majorHAnsi" w:eastAsiaTheme="minorEastAsia" w:hAnsiTheme="majorHAnsi" w:cstheme="majorHAnsi"/>
              <w:noProof/>
              <w:sz w:val="26"/>
              <w:szCs w:val="26"/>
              <w:lang w:eastAsia="en-AU"/>
            </w:rPr>
          </w:pPr>
          <w:hyperlink w:anchor="_Toc41981515" w:history="1">
            <w:r w:rsidR="005E680F" w:rsidRPr="005E680F">
              <w:rPr>
                <w:rStyle w:val="Hyperlink"/>
                <w:rFonts w:asciiTheme="majorHAnsi" w:hAnsiTheme="majorHAnsi" w:cstheme="majorHAnsi"/>
                <w:noProof/>
                <w:sz w:val="26"/>
                <w:szCs w:val="26"/>
              </w:rPr>
              <w:t>3</w:t>
            </w:r>
            <w:r w:rsidR="005E680F" w:rsidRPr="005E680F">
              <w:rPr>
                <w:rFonts w:asciiTheme="majorHAnsi" w:eastAsiaTheme="minorEastAsia" w:hAnsiTheme="majorHAnsi" w:cstheme="majorHAnsi"/>
                <w:noProof/>
                <w:sz w:val="26"/>
                <w:szCs w:val="26"/>
                <w:lang w:eastAsia="en-AU"/>
              </w:rPr>
              <w:tab/>
            </w:r>
            <w:r w:rsidR="005E680F" w:rsidRPr="005E680F">
              <w:rPr>
                <w:rStyle w:val="Hyperlink"/>
                <w:rFonts w:asciiTheme="majorHAnsi" w:hAnsiTheme="majorHAnsi" w:cstheme="majorHAnsi"/>
                <w:noProof/>
                <w:sz w:val="26"/>
                <w:szCs w:val="26"/>
              </w:rPr>
              <w:t>History of the Guidelines</w:t>
            </w:r>
            <w:r w:rsidR="005E680F" w:rsidRPr="005E680F">
              <w:rPr>
                <w:rFonts w:asciiTheme="majorHAnsi" w:hAnsiTheme="majorHAnsi" w:cstheme="majorHAnsi"/>
                <w:noProof/>
                <w:webHidden/>
                <w:sz w:val="26"/>
                <w:szCs w:val="26"/>
              </w:rPr>
              <w:tab/>
            </w:r>
            <w:r w:rsidR="005E680F" w:rsidRPr="005E680F">
              <w:rPr>
                <w:rFonts w:asciiTheme="majorHAnsi" w:hAnsiTheme="majorHAnsi" w:cstheme="majorHAnsi"/>
                <w:noProof/>
                <w:webHidden/>
                <w:sz w:val="26"/>
                <w:szCs w:val="26"/>
              </w:rPr>
              <w:fldChar w:fldCharType="begin"/>
            </w:r>
            <w:r w:rsidR="005E680F" w:rsidRPr="005E680F">
              <w:rPr>
                <w:rFonts w:asciiTheme="majorHAnsi" w:hAnsiTheme="majorHAnsi" w:cstheme="majorHAnsi"/>
                <w:noProof/>
                <w:webHidden/>
                <w:sz w:val="26"/>
                <w:szCs w:val="26"/>
              </w:rPr>
              <w:instrText xml:space="preserve"> PAGEREF _Toc41981515 \h </w:instrText>
            </w:r>
            <w:r w:rsidR="005E680F" w:rsidRPr="005E680F">
              <w:rPr>
                <w:rFonts w:asciiTheme="majorHAnsi" w:hAnsiTheme="majorHAnsi" w:cstheme="majorHAnsi"/>
                <w:noProof/>
                <w:webHidden/>
                <w:sz w:val="26"/>
                <w:szCs w:val="26"/>
              </w:rPr>
            </w:r>
            <w:r w:rsidR="005E680F" w:rsidRPr="005E680F">
              <w:rPr>
                <w:rFonts w:asciiTheme="majorHAnsi" w:hAnsiTheme="majorHAnsi" w:cstheme="majorHAnsi"/>
                <w:noProof/>
                <w:webHidden/>
                <w:sz w:val="26"/>
                <w:szCs w:val="26"/>
              </w:rPr>
              <w:fldChar w:fldCharType="separate"/>
            </w:r>
            <w:r w:rsidR="00FE5358">
              <w:rPr>
                <w:rFonts w:asciiTheme="majorHAnsi" w:hAnsiTheme="majorHAnsi" w:cstheme="majorHAnsi"/>
                <w:noProof/>
                <w:webHidden/>
                <w:sz w:val="26"/>
                <w:szCs w:val="26"/>
              </w:rPr>
              <w:t>5</w:t>
            </w:r>
            <w:r w:rsidR="005E680F" w:rsidRPr="005E680F">
              <w:rPr>
                <w:rFonts w:asciiTheme="majorHAnsi" w:hAnsiTheme="majorHAnsi" w:cstheme="majorHAnsi"/>
                <w:noProof/>
                <w:webHidden/>
                <w:sz w:val="26"/>
                <w:szCs w:val="26"/>
              </w:rPr>
              <w:fldChar w:fldCharType="end"/>
            </w:r>
          </w:hyperlink>
        </w:p>
        <w:p w14:paraId="10C43B67" w14:textId="7F068C1D" w:rsidR="005E680F" w:rsidRPr="005E680F" w:rsidRDefault="0062795B">
          <w:pPr>
            <w:pStyle w:val="TOC1"/>
            <w:tabs>
              <w:tab w:val="left" w:pos="440"/>
              <w:tab w:val="right" w:leader="dot" w:pos="8494"/>
            </w:tabs>
            <w:rPr>
              <w:rFonts w:asciiTheme="majorHAnsi" w:eastAsiaTheme="minorEastAsia" w:hAnsiTheme="majorHAnsi" w:cstheme="majorHAnsi"/>
              <w:noProof/>
              <w:sz w:val="26"/>
              <w:szCs w:val="26"/>
              <w:lang w:eastAsia="en-AU"/>
            </w:rPr>
          </w:pPr>
          <w:hyperlink w:anchor="_Toc41981516" w:history="1">
            <w:r w:rsidR="005E680F" w:rsidRPr="005E680F">
              <w:rPr>
                <w:rStyle w:val="Hyperlink"/>
                <w:rFonts w:asciiTheme="majorHAnsi" w:hAnsiTheme="majorHAnsi" w:cstheme="majorHAnsi"/>
                <w:noProof/>
                <w:sz w:val="26"/>
                <w:szCs w:val="26"/>
              </w:rPr>
              <w:t>4</w:t>
            </w:r>
            <w:r w:rsidR="005E680F" w:rsidRPr="005E680F">
              <w:rPr>
                <w:rFonts w:asciiTheme="majorHAnsi" w:eastAsiaTheme="minorEastAsia" w:hAnsiTheme="majorHAnsi" w:cstheme="majorHAnsi"/>
                <w:noProof/>
                <w:sz w:val="26"/>
                <w:szCs w:val="26"/>
                <w:lang w:eastAsia="en-AU"/>
              </w:rPr>
              <w:tab/>
            </w:r>
            <w:r w:rsidR="005E680F" w:rsidRPr="005E680F">
              <w:rPr>
                <w:rStyle w:val="Hyperlink"/>
                <w:rFonts w:asciiTheme="majorHAnsi" w:hAnsiTheme="majorHAnsi" w:cstheme="majorHAnsi"/>
                <w:noProof/>
                <w:sz w:val="26"/>
                <w:szCs w:val="26"/>
              </w:rPr>
              <w:t>Snapshot of known issues with the Guidelines</w:t>
            </w:r>
            <w:r w:rsidR="005E680F" w:rsidRPr="005E680F">
              <w:rPr>
                <w:rFonts w:asciiTheme="majorHAnsi" w:hAnsiTheme="majorHAnsi" w:cstheme="majorHAnsi"/>
                <w:noProof/>
                <w:webHidden/>
                <w:sz w:val="26"/>
                <w:szCs w:val="26"/>
              </w:rPr>
              <w:tab/>
            </w:r>
            <w:r w:rsidR="005E680F" w:rsidRPr="005E680F">
              <w:rPr>
                <w:rFonts w:asciiTheme="majorHAnsi" w:hAnsiTheme="majorHAnsi" w:cstheme="majorHAnsi"/>
                <w:noProof/>
                <w:webHidden/>
                <w:sz w:val="26"/>
                <w:szCs w:val="26"/>
              </w:rPr>
              <w:fldChar w:fldCharType="begin"/>
            </w:r>
            <w:r w:rsidR="005E680F" w:rsidRPr="005E680F">
              <w:rPr>
                <w:rFonts w:asciiTheme="majorHAnsi" w:hAnsiTheme="majorHAnsi" w:cstheme="majorHAnsi"/>
                <w:noProof/>
                <w:webHidden/>
                <w:sz w:val="26"/>
                <w:szCs w:val="26"/>
              </w:rPr>
              <w:instrText xml:space="preserve"> PAGEREF _Toc41981516 \h </w:instrText>
            </w:r>
            <w:r w:rsidR="005E680F" w:rsidRPr="005E680F">
              <w:rPr>
                <w:rFonts w:asciiTheme="majorHAnsi" w:hAnsiTheme="majorHAnsi" w:cstheme="majorHAnsi"/>
                <w:noProof/>
                <w:webHidden/>
                <w:sz w:val="26"/>
                <w:szCs w:val="26"/>
              </w:rPr>
            </w:r>
            <w:r w:rsidR="005E680F" w:rsidRPr="005E680F">
              <w:rPr>
                <w:rFonts w:asciiTheme="majorHAnsi" w:hAnsiTheme="majorHAnsi" w:cstheme="majorHAnsi"/>
                <w:noProof/>
                <w:webHidden/>
                <w:sz w:val="26"/>
                <w:szCs w:val="26"/>
              </w:rPr>
              <w:fldChar w:fldCharType="separate"/>
            </w:r>
            <w:r w:rsidR="00FE5358">
              <w:rPr>
                <w:rFonts w:asciiTheme="majorHAnsi" w:hAnsiTheme="majorHAnsi" w:cstheme="majorHAnsi"/>
                <w:noProof/>
                <w:webHidden/>
                <w:sz w:val="26"/>
                <w:szCs w:val="26"/>
              </w:rPr>
              <w:t>7</w:t>
            </w:r>
            <w:r w:rsidR="005E680F" w:rsidRPr="005E680F">
              <w:rPr>
                <w:rFonts w:asciiTheme="majorHAnsi" w:hAnsiTheme="majorHAnsi" w:cstheme="majorHAnsi"/>
                <w:noProof/>
                <w:webHidden/>
                <w:sz w:val="26"/>
                <w:szCs w:val="26"/>
              </w:rPr>
              <w:fldChar w:fldCharType="end"/>
            </w:r>
          </w:hyperlink>
        </w:p>
        <w:p w14:paraId="53278754" w14:textId="0AA115FE" w:rsidR="005E680F" w:rsidRPr="005E680F" w:rsidRDefault="0062795B">
          <w:pPr>
            <w:pStyle w:val="TOC1"/>
            <w:tabs>
              <w:tab w:val="left" w:pos="440"/>
              <w:tab w:val="right" w:leader="dot" w:pos="8494"/>
            </w:tabs>
            <w:rPr>
              <w:rFonts w:asciiTheme="majorHAnsi" w:eastAsiaTheme="minorEastAsia" w:hAnsiTheme="majorHAnsi" w:cstheme="majorHAnsi"/>
              <w:noProof/>
              <w:sz w:val="26"/>
              <w:szCs w:val="26"/>
              <w:lang w:eastAsia="en-AU"/>
            </w:rPr>
          </w:pPr>
          <w:hyperlink w:anchor="_Toc41981517" w:history="1">
            <w:r w:rsidR="005E680F" w:rsidRPr="005E680F">
              <w:rPr>
                <w:rStyle w:val="Hyperlink"/>
                <w:rFonts w:asciiTheme="majorHAnsi" w:hAnsiTheme="majorHAnsi" w:cstheme="majorHAnsi"/>
                <w:noProof/>
                <w:sz w:val="26"/>
                <w:szCs w:val="26"/>
              </w:rPr>
              <w:t>5</w:t>
            </w:r>
            <w:r w:rsidR="005E680F" w:rsidRPr="005E680F">
              <w:rPr>
                <w:rFonts w:asciiTheme="majorHAnsi" w:eastAsiaTheme="minorEastAsia" w:hAnsiTheme="majorHAnsi" w:cstheme="majorHAnsi"/>
                <w:noProof/>
                <w:sz w:val="26"/>
                <w:szCs w:val="26"/>
                <w:lang w:eastAsia="en-AU"/>
              </w:rPr>
              <w:tab/>
            </w:r>
            <w:r w:rsidR="005E680F" w:rsidRPr="005E680F">
              <w:rPr>
                <w:rStyle w:val="Hyperlink"/>
                <w:rFonts w:asciiTheme="majorHAnsi" w:hAnsiTheme="majorHAnsi" w:cstheme="majorHAnsi"/>
                <w:noProof/>
                <w:sz w:val="26"/>
                <w:szCs w:val="26"/>
              </w:rPr>
              <w:t>Other jurisdictions</w:t>
            </w:r>
            <w:r w:rsidR="005E680F" w:rsidRPr="005E680F">
              <w:rPr>
                <w:rFonts w:asciiTheme="majorHAnsi" w:hAnsiTheme="majorHAnsi" w:cstheme="majorHAnsi"/>
                <w:noProof/>
                <w:webHidden/>
                <w:sz w:val="26"/>
                <w:szCs w:val="26"/>
              </w:rPr>
              <w:tab/>
            </w:r>
            <w:r w:rsidR="005E680F" w:rsidRPr="005E680F">
              <w:rPr>
                <w:rFonts w:asciiTheme="majorHAnsi" w:hAnsiTheme="majorHAnsi" w:cstheme="majorHAnsi"/>
                <w:noProof/>
                <w:webHidden/>
                <w:sz w:val="26"/>
                <w:szCs w:val="26"/>
              </w:rPr>
              <w:fldChar w:fldCharType="begin"/>
            </w:r>
            <w:r w:rsidR="005E680F" w:rsidRPr="005E680F">
              <w:rPr>
                <w:rFonts w:asciiTheme="majorHAnsi" w:hAnsiTheme="majorHAnsi" w:cstheme="majorHAnsi"/>
                <w:noProof/>
                <w:webHidden/>
                <w:sz w:val="26"/>
                <w:szCs w:val="26"/>
              </w:rPr>
              <w:instrText xml:space="preserve"> PAGEREF _Toc41981517 \h </w:instrText>
            </w:r>
            <w:r w:rsidR="005E680F" w:rsidRPr="005E680F">
              <w:rPr>
                <w:rFonts w:asciiTheme="majorHAnsi" w:hAnsiTheme="majorHAnsi" w:cstheme="majorHAnsi"/>
                <w:noProof/>
                <w:webHidden/>
                <w:sz w:val="26"/>
                <w:szCs w:val="26"/>
              </w:rPr>
            </w:r>
            <w:r w:rsidR="005E680F" w:rsidRPr="005E680F">
              <w:rPr>
                <w:rFonts w:asciiTheme="majorHAnsi" w:hAnsiTheme="majorHAnsi" w:cstheme="majorHAnsi"/>
                <w:noProof/>
                <w:webHidden/>
                <w:sz w:val="26"/>
                <w:szCs w:val="26"/>
              </w:rPr>
              <w:fldChar w:fldCharType="separate"/>
            </w:r>
            <w:r w:rsidR="00FE5358">
              <w:rPr>
                <w:rFonts w:asciiTheme="majorHAnsi" w:hAnsiTheme="majorHAnsi" w:cstheme="majorHAnsi"/>
                <w:noProof/>
                <w:webHidden/>
                <w:sz w:val="26"/>
                <w:szCs w:val="26"/>
              </w:rPr>
              <w:t>10</w:t>
            </w:r>
            <w:r w:rsidR="005E680F" w:rsidRPr="005E680F">
              <w:rPr>
                <w:rFonts w:asciiTheme="majorHAnsi" w:hAnsiTheme="majorHAnsi" w:cstheme="majorHAnsi"/>
                <w:noProof/>
                <w:webHidden/>
                <w:sz w:val="26"/>
                <w:szCs w:val="26"/>
              </w:rPr>
              <w:fldChar w:fldCharType="end"/>
            </w:r>
          </w:hyperlink>
        </w:p>
        <w:p w14:paraId="2E7F8219" w14:textId="75788C11" w:rsidR="005E680F" w:rsidRPr="005E680F" w:rsidRDefault="0062795B">
          <w:pPr>
            <w:pStyle w:val="TOC1"/>
            <w:tabs>
              <w:tab w:val="left" w:pos="1540"/>
              <w:tab w:val="right" w:leader="dot" w:pos="8494"/>
            </w:tabs>
            <w:rPr>
              <w:rFonts w:asciiTheme="majorHAnsi" w:eastAsiaTheme="minorEastAsia" w:hAnsiTheme="majorHAnsi" w:cstheme="majorHAnsi"/>
              <w:noProof/>
              <w:sz w:val="26"/>
              <w:szCs w:val="26"/>
              <w:lang w:eastAsia="en-AU"/>
            </w:rPr>
          </w:pPr>
          <w:hyperlink w:anchor="_Toc41981518" w:history="1">
            <w:r w:rsidR="005E680F" w:rsidRPr="005E680F">
              <w:rPr>
                <w:rStyle w:val="Hyperlink"/>
                <w:rFonts w:asciiTheme="majorHAnsi" w:hAnsiTheme="majorHAnsi" w:cstheme="majorHAnsi"/>
                <w:noProof/>
                <w:sz w:val="26"/>
                <w:szCs w:val="26"/>
              </w:rPr>
              <w:t xml:space="preserve">Annexure A: </w:t>
            </w:r>
            <w:r w:rsidR="005E680F" w:rsidRPr="005E680F">
              <w:rPr>
                <w:rFonts w:asciiTheme="majorHAnsi" w:eastAsiaTheme="minorEastAsia" w:hAnsiTheme="majorHAnsi" w:cstheme="majorHAnsi"/>
                <w:noProof/>
                <w:sz w:val="26"/>
                <w:szCs w:val="26"/>
                <w:lang w:eastAsia="en-AU"/>
              </w:rPr>
              <w:tab/>
            </w:r>
            <w:r w:rsidR="005E680F" w:rsidRPr="005E680F">
              <w:rPr>
                <w:rStyle w:val="Hyperlink"/>
                <w:rFonts w:asciiTheme="majorHAnsi" w:hAnsiTheme="majorHAnsi" w:cstheme="majorHAnsi"/>
                <w:noProof/>
                <w:sz w:val="26"/>
                <w:szCs w:val="26"/>
              </w:rPr>
              <w:t>S</w:t>
            </w:r>
            <w:r w:rsidR="005E680F" w:rsidRPr="005E680F">
              <w:rPr>
                <w:rStyle w:val="Hyperlink"/>
                <w:rFonts w:asciiTheme="majorHAnsi" w:hAnsiTheme="majorHAnsi" w:cstheme="majorHAnsi"/>
                <w:noProof/>
                <w:sz w:val="26"/>
                <w:szCs w:val="26"/>
                <w:lang w:val="en-US"/>
              </w:rPr>
              <w:t>ummary of resources in scope of the Guidelines</w:t>
            </w:r>
            <w:r w:rsidR="005E680F" w:rsidRPr="005E680F">
              <w:rPr>
                <w:rFonts w:asciiTheme="majorHAnsi" w:hAnsiTheme="majorHAnsi" w:cstheme="majorHAnsi"/>
                <w:noProof/>
                <w:webHidden/>
                <w:sz w:val="26"/>
                <w:szCs w:val="26"/>
              </w:rPr>
              <w:tab/>
            </w:r>
            <w:r w:rsidR="005E680F" w:rsidRPr="005E680F">
              <w:rPr>
                <w:rFonts w:asciiTheme="majorHAnsi" w:hAnsiTheme="majorHAnsi" w:cstheme="majorHAnsi"/>
                <w:noProof/>
                <w:webHidden/>
                <w:sz w:val="26"/>
                <w:szCs w:val="26"/>
              </w:rPr>
              <w:fldChar w:fldCharType="begin"/>
            </w:r>
            <w:r w:rsidR="005E680F" w:rsidRPr="005E680F">
              <w:rPr>
                <w:rFonts w:asciiTheme="majorHAnsi" w:hAnsiTheme="majorHAnsi" w:cstheme="majorHAnsi"/>
                <w:noProof/>
                <w:webHidden/>
                <w:sz w:val="26"/>
                <w:szCs w:val="26"/>
              </w:rPr>
              <w:instrText xml:space="preserve"> PAGEREF _Toc41981518 \h </w:instrText>
            </w:r>
            <w:r w:rsidR="005E680F" w:rsidRPr="005E680F">
              <w:rPr>
                <w:rFonts w:asciiTheme="majorHAnsi" w:hAnsiTheme="majorHAnsi" w:cstheme="majorHAnsi"/>
                <w:noProof/>
                <w:webHidden/>
                <w:sz w:val="26"/>
                <w:szCs w:val="26"/>
              </w:rPr>
            </w:r>
            <w:r w:rsidR="005E680F" w:rsidRPr="005E680F">
              <w:rPr>
                <w:rFonts w:asciiTheme="majorHAnsi" w:hAnsiTheme="majorHAnsi" w:cstheme="majorHAnsi"/>
                <w:noProof/>
                <w:webHidden/>
                <w:sz w:val="26"/>
                <w:szCs w:val="26"/>
              </w:rPr>
              <w:fldChar w:fldCharType="separate"/>
            </w:r>
            <w:r w:rsidR="00FE5358">
              <w:rPr>
                <w:rFonts w:asciiTheme="majorHAnsi" w:hAnsiTheme="majorHAnsi" w:cstheme="majorHAnsi"/>
                <w:noProof/>
                <w:webHidden/>
                <w:sz w:val="26"/>
                <w:szCs w:val="26"/>
              </w:rPr>
              <w:t>11</w:t>
            </w:r>
            <w:r w:rsidR="005E680F" w:rsidRPr="005E680F">
              <w:rPr>
                <w:rFonts w:asciiTheme="majorHAnsi" w:hAnsiTheme="majorHAnsi" w:cstheme="majorHAnsi"/>
                <w:noProof/>
                <w:webHidden/>
                <w:sz w:val="26"/>
                <w:szCs w:val="26"/>
              </w:rPr>
              <w:fldChar w:fldCharType="end"/>
            </w:r>
          </w:hyperlink>
        </w:p>
        <w:p w14:paraId="6CAED817" w14:textId="6AD0A256" w:rsidR="005E680F" w:rsidRPr="005E680F" w:rsidRDefault="0062795B" w:rsidP="005E680F">
          <w:pPr>
            <w:pStyle w:val="TOC1"/>
            <w:tabs>
              <w:tab w:val="left" w:pos="1540"/>
              <w:tab w:val="right" w:leader="dot" w:pos="8494"/>
            </w:tabs>
            <w:ind w:left="1536" w:hanging="1536"/>
            <w:rPr>
              <w:rFonts w:asciiTheme="majorHAnsi" w:eastAsiaTheme="minorEastAsia" w:hAnsiTheme="majorHAnsi" w:cstheme="majorHAnsi"/>
              <w:noProof/>
              <w:sz w:val="26"/>
              <w:szCs w:val="26"/>
              <w:lang w:eastAsia="en-AU"/>
            </w:rPr>
          </w:pPr>
          <w:hyperlink w:anchor="_Toc41981519" w:history="1">
            <w:r w:rsidR="005E680F" w:rsidRPr="005E680F">
              <w:rPr>
                <w:rStyle w:val="Hyperlink"/>
                <w:rFonts w:asciiTheme="majorHAnsi" w:hAnsiTheme="majorHAnsi" w:cstheme="majorHAnsi"/>
                <w:noProof/>
                <w:sz w:val="26"/>
                <w:szCs w:val="26"/>
              </w:rPr>
              <w:t xml:space="preserve">Annexure B: </w:t>
            </w:r>
            <w:r w:rsidR="005E680F" w:rsidRPr="005E680F">
              <w:rPr>
                <w:rFonts w:asciiTheme="majorHAnsi" w:eastAsiaTheme="minorEastAsia" w:hAnsiTheme="majorHAnsi" w:cstheme="majorHAnsi"/>
                <w:noProof/>
                <w:sz w:val="26"/>
                <w:szCs w:val="26"/>
                <w:lang w:eastAsia="en-AU"/>
              </w:rPr>
              <w:tab/>
            </w:r>
            <w:r w:rsidR="005E680F" w:rsidRPr="005E680F">
              <w:rPr>
                <w:rStyle w:val="Hyperlink"/>
                <w:rFonts w:asciiTheme="majorHAnsi" w:hAnsiTheme="majorHAnsi" w:cstheme="majorHAnsi"/>
                <w:noProof/>
                <w:sz w:val="26"/>
                <w:szCs w:val="26"/>
              </w:rPr>
              <w:t>Relevant entities and their responsibilities in relation to the compliance framework</w:t>
            </w:r>
            <w:r w:rsidR="005E680F" w:rsidRPr="005E680F">
              <w:rPr>
                <w:rFonts w:asciiTheme="majorHAnsi" w:hAnsiTheme="majorHAnsi" w:cstheme="majorHAnsi"/>
                <w:noProof/>
                <w:webHidden/>
                <w:sz w:val="26"/>
                <w:szCs w:val="26"/>
              </w:rPr>
              <w:tab/>
            </w:r>
            <w:r w:rsidR="005E680F" w:rsidRPr="005E680F">
              <w:rPr>
                <w:rFonts w:asciiTheme="majorHAnsi" w:hAnsiTheme="majorHAnsi" w:cstheme="majorHAnsi"/>
                <w:noProof/>
                <w:webHidden/>
                <w:sz w:val="26"/>
                <w:szCs w:val="26"/>
              </w:rPr>
              <w:fldChar w:fldCharType="begin"/>
            </w:r>
            <w:r w:rsidR="005E680F" w:rsidRPr="005E680F">
              <w:rPr>
                <w:rFonts w:asciiTheme="majorHAnsi" w:hAnsiTheme="majorHAnsi" w:cstheme="majorHAnsi"/>
                <w:noProof/>
                <w:webHidden/>
                <w:sz w:val="26"/>
                <w:szCs w:val="26"/>
              </w:rPr>
              <w:instrText xml:space="preserve"> PAGEREF _Toc41981519 \h </w:instrText>
            </w:r>
            <w:r w:rsidR="005E680F" w:rsidRPr="005E680F">
              <w:rPr>
                <w:rFonts w:asciiTheme="majorHAnsi" w:hAnsiTheme="majorHAnsi" w:cstheme="majorHAnsi"/>
                <w:noProof/>
                <w:webHidden/>
                <w:sz w:val="26"/>
                <w:szCs w:val="26"/>
              </w:rPr>
            </w:r>
            <w:r w:rsidR="005E680F" w:rsidRPr="005E680F">
              <w:rPr>
                <w:rFonts w:asciiTheme="majorHAnsi" w:hAnsiTheme="majorHAnsi" w:cstheme="majorHAnsi"/>
                <w:noProof/>
                <w:webHidden/>
                <w:sz w:val="26"/>
                <w:szCs w:val="26"/>
              </w:rPr>
              <w:fldChar w:fldCharType="separate"/>
            </w:r>
            <w:r w:rsidR="00FE5358">
              <w:rPr>
                <w:rFonts w:asciiTheme="majorHAnsi" w:hAnsiTheme="majorHAnsi" w:cstheme="majorHAnsi"/>
                <w:noProof/>
                <w:webHidden/>
                <w:sz w:val="26"/>
                <w:szCs w:val="26"/>
              </w:rPr>
              <w:t>12</w:t>
            </w:r>
            <w:r w:rsidR="005E680F" w:rsidRPr="005E680F">
              <w:rPr>
                <w:rFonts w:asciiTheme="majorHAnsi" w:hAnsiTheme="majorHAnsi" w:cstheme="majorHAnsi"/>
                <w:noProof/>
                <w:webHidden/>
                <w:sz w:val="26"/>
                <w:szCs w:val="26"/>
              </w:rPr>
              <w:fldChar w:fldCharType="end"/>
            </w:r>
          </w:hyperlink>
        </w:p>
        <w:p w14:paraId="0AA4D07C" w14:textId="0967EC60" w:rsidR="005E680F" w:rsidRPr="005E680F" w:rsidRDefault="0062795B">
          <w:pPr>
            <w:pStyle w:val="TOC1"/>
            <w:tabs>
              <w:tab w:val="left" w:pos="1540"/>
              <w:tab w:val="right" w:leader="dot" w:pos="8494"/>
            </w:tabs>
            <w:rPr>
              <w:rFonts w:asciiTheme="majorHAnsi" w:eastAsiaTheme="minorEastAsia" w:hAnsiTheme="majorHAnsi" w:cstheme="majorHAnsi"/>
              <w:noProof/>
              <w:sz w:val="26"/>
              <w:szCs w:val="26"/>
              <w:lang w:eastAsia="en-AU"/>
            </w:rPr>
          </w:pPr>
          <w:hyperlink w:anchor="_Toc41981520" w:history="1">
            <w:r w:rsidR="005E680F" w:rsidRPr="005E680F">
              <w:rPr>
                <w:rStyle w:val="Hyperlink"/>
                <w:rFonts w:asciiTheme="majorHAnsi" w:hAnsiTheme="majorHAnsi" w:cstheme="majorHAnsi"/>
                <w:noProof/>
                <w:sz w:val="26"/>
                <w:szCs w:val="26"/>
              </w:rPr>
              <w:t xml:space="preserve">Annexure C: </w:t>
            </w:r>
            <w:r w:rsidR="005E680F" w:rsidRPr="005E680F">
              <w:rPr>
                <w:rFonts w:asciiTheme="majorHAnsi" w:eastAsiaTheme="minorEastAsia" w:hAnsiTheme="majorHAnsi" w:cstheme="majorHAnsi"/>
                <w:noProof/>
                <w:sz w:val="26"/>
                <w:szCs w:val="26"/>
                <w:lang w:eastAsia="en-AU"/>
              </w:rPr>
              <w:tab/>
            </w:r>
            <w:r w:rsidR="005E680F" w:rsidRPr="005E680F">
              <w:rPr>
                <w:rStyle w:val="Hyperlink"/>
                <w:rFonts w:asciiTheme="majorHAnsi" w:hAnsiTheme="majorHAnsi" w:cstheme="majorHAnsi"/>
                <w:noProof/>
                <w:sz w:val="26"/>
                <w:szCs w:val="26"/>
              </w:rPr>
              <w:t>Changes made to the Guidelines No. 01/2019</w:t>
            </w:r>
            <w:r w:rsidR="005E680F" w:rsidRPr="005E680F">
              <w:rPr>
                <w:rFonts w:asciiTheme="majorHAnsi" w:hAnsiTheme="majorHAnsi" w:cstheme="majorHAnsi"/>
                <w:noProof/>
                <w:webHidden/>
                <w:sz w:val="26"/>
                <w:szCs w:val="26"/>
              </w:rPr>
              <w:tab/>
            </w:r>
            <w:r w:rsidR="005E680F" w:rsidRPr="005E680F">
              <w:rPr>
                <w:rFonts w:asciiTheme="majorHAnsi" w:hAnsiTheme="majorHAnsi" w:cstheme="majorHAnsi"/>
                <w:noProof/>
                <w:webHidden/>
                <w:sz w:val="26"/>
                <w:szCs w:val="26"/>
              </w:rPr>
              <w:fldChar w:fldCharType="begin"/>
            </w:r>
            <w:r w:rsidR="005E680F" w:rsidRPr="005E680F">
              <w:rPr>
                <w:rFonts w:asciiTheme="majorHAnsi" w:hAnsiTheme="majorHAnsi" w:cstheme="majorHAnsi"/>
                <w:noProof/>
                <w:webHidden/>
                <w:sz w:val="26"/>
                <w:szCs w:val="26"/>
              </w:rPr>
              <w:instrText xml:space="preserve"> PAGEREF _Toc41981520 \h </w:instrText>
            </w:r>
            <w:r w:rsidR="005E680F" w:rsidRPr="005E680F">
              <w:rPr>
                <w:rFonts w:asciiTheme="majorHAnsi" w:hAnsiTheme="majorHAnsi" w:cstheme="majorHAnsi"/>
                <w:noProof/>
                <w:webHidden/>
                <w:sz w:val="26"/>
                <w:szCs w:val="26"/>
              </w:rPr>
            </w:r>
            <w:r w:rsidR="005E680F" w:rsidRPr="005E680F">
              <w:rPr>
                <w:rFonts w:asciiTheme="majorHAnsi" w:hAnsiTheme="majorHAnsi" w:cstheme="majorHAnsi"/>
                <w:noProof/>
                <w:webHidden/>
                <w:sz w:val="26"/>
                <w:szCs w:val="26"/>
              </w:rPr>
              <w:fldChar w:fldCharType="separate"/>
            </w:r>
            <w:r w:rsidR="00FE5358">
              <w:rPr>
                <w:rFonts w:asciiTheme="majorHAnsi" w:hAnsiTheme="majorHAnsi" w:cstheme="majorHAnsi"/>
                <w:noProof/>
                <w:webHidden/>
                <w:sz w:val="26"/>
                <w:szCs w:val="26"/>
              </w:rPr>
              <w:t>13</w:t>
            </w:r>
            <w:r w:rsidR="005E680F" w:rsidRPr="005E680F">
              <w:rPr>
                <w:rFonts w:asciiTheme="majorHAnsi" w:hAnsiTheme="majorHAnsi" w:cstheme="majorHAnsi"/>
                <w:noProof/>
                <w:webHidden/>
                <w:sz w:val="26"/>
                <w:szCs w:val="26"/>
              </w:rPr>
              <w:fldChar w:fldCharType="end"/>
            </w:r>
          </w:hyperlink>
        </w:p>
        <w:p w14:paraId="11FDBB89" w14:textId="0E803A3E" w:rsidR="00B62D18" w:rsidRPr="007C1A24" w:rsidRDefault="00B62D18" w:rsidP="00B62D18">
          <w:pPr>
            <w:tabs>
              <w:tab w:val="left" w:pos="400"/>
              <w:tab w:val="right" w:leader="dot" w:pos="8488"/>
            </w:tabs>
            <w:spacing w:before="240" w:after="120" w:line="240" w:lineRule="auto"/>
            <w:rPr>
              <w:rFonts w:ascii="Calibri Light" w:eastAsia="Rockwell" w:hAnsi="Calibri Light" w:cs="Times New Roman"/>
              <w:b/>
              <w:bCs/>
              <w:noProof/>
              <w:color w:val="4D4D4D"/>
              <w:sz w:val="26"/>
              <w:szCs w:val="20"/>
            </w:rPr>
          </w:pPr>
          <w:r w:rsidRPr="00CE3932">
            <w:rPr>
              <w:rFonts w:ascii="Calibri Light" w:eastAsia="Rockwell" w:hAnsi="Calibri Light" w:cs="Times New Roman"/>
              <w:b/>
              <w:bCs/>
              <w:noProof/>
              <w:color w:val="4D4D4D"/>
              <w:sz w:val="26"/>
              <w:szCs w:val="20"/>
            </w:rPr>
            <w:fldChar w:fldCharType="end"/>
          </w:r>
        </w:p>
      </w:sdtContent>
    </w:sdt>
    <w:p w14:paraId="21911EBA" w14:textId="77777777" w:rsidR="005B405B" w:rsidRDefault="005B405B" w:rsidP="00517777">
      <w:pPr>
        <w:pStyle w:val="Paragraph"/>
      </w:pPr>
    </w:p>
    <w:p w14:paraId="415FF63C" w14:textId="035D8501" w:rsidR="00F426B0" w:rsidRDefault="00CE3932" w:rsidP="00E25C36">
      <w:pPr>
        <w:pStyle w:val="Sourcefortablesfigures"/>
      </w:pPr>
      <w:r>
        <w:t>Glossary</w:t>
      </w:r>
    </w:p>
    <w:tbl>
      <w:tblPr>
        <w:tblStyle w:val="ListTable3-Accent21"/>
        <w:tblW w:w="8647" w:type="dxa"/>
        <w:tblLayout w:type="fixed"/>
        <w:tblLook w:val="01A0" w:firstRow="1" w:lastRow="0" w:firstColumn="1" w:lastColumn="1" w:noHBand="0" w:noVBand="0"/>
      </w:tblPr>
      <w:tblGrid>
        <w:gridCol w:w="2581"/>
        <w:gridCol w:w="6066"/>
      </w:tblGrid>
      <w:tr w:rsidR="00CE3932" w:rsidRPr="00C03B7A" w14:paraId="1C0E7BA5" w14:textId="77777777" w:rsidTr="003122EB">
        <w:trPr>
          <w:cnfStyle w:val="100000000000" w:firstRow="1" w:lastRow="0" w:firstColumn="0" w:lastColumn="0" w:oddVBand="0" w:evenVBand="0" w:oddHBand="0" w:evenHBand="0" w:firstRowFirstColumn="0" w:firstRowLastColumn="0" w:lastRowFirstColumn="0" w:lastRowLastColumn="0"/>
          <w:trHeight w:val="244"/>
          <w:tblHeader/>
        </w:trPr>
        <w:tc>
          <w:tcPr>
            <w:cnfStyle w:val="001000000100" w:firstRow="0" w:lastRow="0" w:firstColumn="1" w:lastColumn="0" w:oddVBand="0" w:evenVBand="0" w:oddHBand="0" w:evenHBand="0" w:firstRowFirstColumn="1" w:firstRowLastColumn="0" w:lastRowFirstColumn="0" w:lastRowLastColumn="0"/>
            <w:tcW w:w="2581" w:type="dxa"/>
            <w:tcBorders>
              <w:top w:val="single" w:sz="4" w:space="0" w:color="148A5D" w:themeColor="accent2"/>
              <w:left w:val="nil"/>
            </w:tcBorders>
          </w:tcPr>
          <w:p w14:paraId="1A9E0BDF" w14:textId="77777777" w:rsidR="00CE3932" w:rsidRPr="00C03B7A" w:rsidRDefault="00CE3932" w:rsidP="00CE268B">
            <w:pPr>
              <w:pStyle w:val="Tableheaderrow"/>
              <w:rPr>
                <w:b/>
                <w:sz w:val="24"/>
                <w:szCs w:val="24"/>
              </w:rPr>
            </w:pPr>
            <w:r w:rsidRPr="00C03B7A">
              <w:rPr>
                <w:b/>
                <w:sz w:val="24"/>
                <w:szCs w:val="24"/>
              </w:rPr>
              <w:t xml:space="preserve">Term or abbreviation </w:t>
            </w:r>
          </w:p>
        </w:tc>
        <w:tc>
          <w:tcPr>
            <w:cnfStyle w:val="000100001000" w:firstRow="0" w:lastRow="0" w:firstColumn="0" w:lastColumn="1" w:oddVBand="0" w:evenVBand="0" w:oddHBand="0" w:evenHBand="0" w:firstRowFirstColumn="0" w:firstRowLastColumn="1" w:lastRowFirstColumn="0" w:lastRowLastColumn="0"/>
            <w:tcW w:w="6066" w:type="dxa"/>
            <w:tcBorders>
              <w:top w:val="single" w:sz="4" w:space="0" w:color="148A5D" w:themeColor="accent2"/>
              <w:right w:val="nil"/>
            </w:tcBorders>
          </w:tcPr>
          <w:p w14:paraId="3C3A1A44" w14:textId="77777777" w:rsidR="00CE3932" w:rsidRPr="00C03B7A" w:rsidRDefault="00CE3932" w:rsidP="00CE268B">
            <w:pPr>
              <w:pStyle w:val="Tableheaderrow"/>
              <w:rPr>
                <w:rFonts w:eastAsia="Arial Narrow"/>
                <w:b/>
                <w:sz w:val="24"/>
                <w:szCs w:val="24"/>
              </w:rPr>
            </w:pPr>
            <w:r w:rsidRPr="00C03B7A">
              <w:rPr>
                <w:b/>
                <w:sz w:val="24"/>
                <w:szCs w:val="24"/>
              </w:rPr>
              <w:t xml:space="preserve">Definition </w:t>
            </w:r>
          </w:p>
        </w:tc>
      </w:tr>
      <w:tr w:rsidR="000E3E1C" w:rsidRPr="00C03B7A" w14:paraId="5ACEDA41" w14:textId="77777777" w:rsidTr="003122E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581" w:type="dxa"/>
            <w:tcBorders>
              <w:left w:val="nil"/>
            </w:tcBorders>
            <w:vAlign w:val="center"/>
          </w:tcPr>
          <w:p w14:paraId="66B55703" w14:textId="67345951" w:rsidR="000E3E1C" w:rsidRPr="00C03B7A" w:rsidRDefault="000E3E1C" w:rsidP="003E298F">
            <w:pPr>
              <w:pStyle w:val="Textinthetable"/>
              <w:rPr>
                <w:sz w:val="24"/>
                <w:szCs w:val="24"/>
              </w:rPr>
            </w:pPr>
            <w:r w:rsidRPr="00C03B7A">
              <w:rPr>
                <w:sz w:val="24"/>
                <w:szCs w:val="24"/>
              </w:rPr>
              <w:t>Compliance framework</w:t>
            </w:r>
          </w:p>
        </w:tc>
        <w:tc>
          <w:tcPr>
            <w:cnfStyle w:val="000100000000" w:firstRow="0" w:lastRow="0" w:firstColumn="0" w:lastColumn="1" w:oddVBand="0" w:evenVBand="0" w:oddHBand="0" w:evenHBand="0" w:firstRowFirstColumn="0" w:firstRowLastColumn="0" w:lastRowFirstColumn="0" w:lastRowLastColumn="0"/>
            <w:tcW w:w="6066" w:type="dxa"/>
            <w:tcBorders>
              <w:right w:val="nil"/>
            </w:tcBorders>
            <w:vAlign w:val="center"/>
          </w:tcPr>
          <w:p w14:paraId="55D801EE" w14:textId="20C34394" w:rsidR="000E3E1C" w:rsidRPr="00C03B7A" w:rsidRDefault="000E3E1C" w:rsidP="003E298F">
            <w:pPr>
              <w:pStyle w:val="Textinthetable"/>
              <w:rPr>
                <w:sz w:val="24"/>
                <w:szCs w:val="24"/>
              </w:rPr>
            </w:pPr>
            <w:r w:rsidRPr="00C03B7A">
              <w:rPr>
                <w:sz w:val="24"/>
                <w:szCs w:val="24"/>
              </w:rPr>
              <w:t>The monitoring, compliance and enforcement provisions relating to work-related parliamentary allowances and the EO&amp;C Budget under Division 4 of Part 6 of the PSAS Act.</w:t>
            </w:r>
          </w:p>
        </w:tc>
      </w:tr>
      <w:tr w:rsidR="00BE5AD2" w:rsidRPr="00C03B7A" w14:paraId="6E1B4BF9" w14:textId="77777777" w:rsidTr="003122EB">
        <w:trPr>
          <w:trHeight w:val="397"/>
        </w:trPr>
        <w:tc>
          <w:tcPr>
            <w:cnfStyle w:val="001000000000" w:firstRow="0" w:lastRow="0" w:firstColumn="1" w:lastColumn="0" w:oddVBand="0" w:evenVBand="0" w:oddHBand="0" w:evenHBand="0" w:firstRowFirstColumn="0" w:firstRowLastColumn="0" w:lastRowFirstColumn="0" w:lastRowLastColumn="0"/>
            <w:tcW w:w="2581" w:type="dxa"/>
            <w:tcBorders>
              <w:left w:val="nil"/>
            </w:tcBorders>
            <w:vAlign w:val="center"/>
          </w:tcPr>
          <w:p w14:paraId="1DA48AAD" w14:textId="78647FDB" w:rsidR="00BE5AD2" w:rsidRPr="00C03B7A" w:rsidRDefault="00BE5AD2" w:rsidP="003E298F">
            <w:pPr>
              <w:pStyle w:val="Textinthetable"/>
              <w:rPr>
                <w:sz w:val="24"/>
                <w:szCs w:val="24"/>
              </w:rPr>
            </w:pPr>
            <w:r>
              <w:rPr>
                <w:sz w:val="24"/>
                <w:szCs w:val="24"/>
              </w:rPr>
              <w:t>DPS</w:t>
            </w:r>
          </w:p>
        </w:tc>
        <w:tc>
          <w:tcPr>
            <w:cnfStyle w:val="000100000000" w:firstRow="0" w:lastRow="0" w:firstColumn="0" w:lastColumn="1" w:oddVBand="0" w:evenVBand="0" w:oddHBand="0" w:evenHBand="0" w:firstRowFirstColumn="0" w:firstRowLastColumn="0" w:lastRowFirstColumn="0" w:lastRowLastColumn="0"/>
            <w:tcW w:w="6066" w:type="dxa"/>
            <w:tcBorders>
              <w:right w:val="nil"/>
            </w:tcBorders>
            <w:vAlign w:val="center"/>
          </w:tcPr>
          <w:p w14:paraId="4C68DE0C" w14:textId="2D375E1D" w:rsidR="00BE5AD2" w:rsidRPr="00C03B7A" w:rsidRDefault="00BE5AD2" w:rsidP="003E298F">
            <w:pPr>
              <w:pStyle w:val="Textinthetable"/>
              <w:rPr>
                <w:sz w:val="24"/>
                <w:szCs w:val="24"/>
              </w:rPr>
            </w:pPr>
            <w:r>
              <w:rPr>
                <w:sz w:val="24"/>
                <w:szCs w:val="24"/>
              </w:rPr>
              <w:t>Department of Parliamentary Services</w:t>
            </w:r>
          </w:p>
        </w:tc>
      </w:tr>
      <w:tr w:rsidR="000E3E1C" w:rsidRPr="00C03B7A" w14:paraId="6C2E2384" w14:textId="77777777" w:rsidTr="003122E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581" w:type="dxa"/>
            <w:tcBorders>
              <w:left w:val="nil"/>
            </w:tcBorders>
            <w:vAlign w:val="center"/>
          </w:tcPr>
          <w:p w14:paraId="436BFEC4" w14:textId="7514DEED" w:rsidR="000E3E1C" w:rsidRPr="00C03B7A" w:rsidRDefault="000E3E1C" w:rsidP="003E298F">
            <w:pPr>
              <w:pStyle w:val="Textinthetable"/>
              <w:rPr>
                <w:sz w:val="24"/>
                <w:szCs w:val="24"/>
              </w:rPr>
            </w:pPr>
            <w:r w:rsidRPr="00C03B7A">
              <w:rPr>
                <w:sz w:val="24"/>
                <w:szCs w:val="24"/>
              </w:rPr>
              <w:t>EO&amp;C Budget</w:t>
            </w:r>
          </w:p>
        </w:tc>
        <w:tc>
          <w:tcPr>
            <w:cnfStyle w:val="000100000000" w:firstRow="0" w:lastRow="0" w:firstColumn="0" w:lastColumn="1" w:oddVBand="0" w:evenVBand="0" w:oddHBand="0" w:evenHBand="0" w:firstRowFirstColumn="0" w:firstRowLastColumn="0" w:lastRowFirstColumn="0" w:lastRowLastColumn="0"/>
            <w:tcW w:w="6066" w:type="dxa"/>
            <w:tcBorders>
              <w:right w:val="nil"/>
            </w:tcBorders>
            <w:vAlign w:val="center"/>
          </w:tcPr>
          <w:p w14:paraId="21198C75" w14:textId="0585DFA0" w:rsidR="000E3E1C" w:rsidRPr="00C03B7A" w:rsidRDefault="000E3E1C" w:rsidP="003E298F">
            <w:pPr>
              <w:pStyle w:val="Textinthetable"/>
              <w:rPr>
                <w:sz w:val="24"/>
                <w:szCs w:val="24"/>
              </w:rPr>
            </w:pPr>
            <w:r w:rsidRPr="00C03B7A">
              <w:rPr>
                <w:sz w:val="24"/>
                <w:szCs w:val="24"/>
              </w:rPr>
              <w:t>Electorate Office and Communications Budget</w:t>
            </w:r>
          </w:p>
        </w:tc>
      </w:tr>
      <w:tr w:rsidR="003E298F" w:rsidRPr="00C03B7A" w14:paraId="68B951B9" w14:textId="77777777" w:rsidTr="003122EB">
        <w:trPr>
          <w:trHeight w:val="397"/>
        </w:trPr>
        <w:tc>
          <w:tcPr>
            <w:cnfStyle w:val="001000000000" w:firstRow="0" w:lastRow="0" w:firstColumn="1" w:lastColumn="0" w:oddVBand="0" w:evenVBand="0" w:oddHBand="0" w:evenHBand="0" w:firstRowFirstColumn="0" w:firstRowLastColumn="0" w:lastRowFirstColumn="0" w:lastRowLastColumn="0"/>
            <w:tcW w:w="2581" w:type="dxa"/>
            <w:tcBorders>
              <w:left w:val="nil"/>
            </w:tcBorders>
            <w:vAlign w:val="center"/>
          </w:tcPr>
          <w:p w14:paraId="6D3EEA64" w14:textId="77777777" w:rsidR="003E298F" w:rsidRPr="00C03B7A" w:rsidRDefault="003E298F" w:rsidP="003E298F">
            <w:pPr>
              <w:pStyle w:val="Textinthetable"/>
              <w:rPr>
                <w:sz w:val="24"/>
                <w:szCs w:val="24"/>
              </w:rPr>
            </w:pPr>
            <w:r w:rsidRPr="00C03B7A">
              <w:rPr>
                <w:sz w:val="24"/>
                <w:szCs w:val="24"/>
              </w:rPr>
              <w:t>MP</w:t>
            </w:r>
          </w:p>
        </w:tc>
        <w:tc>
          <w:tcPr>
            <w:cnfStyle w:val="000100000000" w:firstRow="0" w:lastRow="0" w:firstColumn="0" w:lastColumn="1" w:oddVBand="0" w:evenVBand="0" w:oddHBand="0" w:evenHBand="0" w:firstRowFirstColumn="0" w:firstRowLastColumn="0" w:lastRowFirstColumn="0" w:lastRowLastColumn="0"/>
            <w:tcW w:w="6066" w:type="dxa"/>
            <w:tcBorders>
              <w:right w:val="nil"/>
            </w:tcBorders>
            <w:vAlign w:val="center"/>
          </w:tcPr>
          <w:p w14:paraId="21B2F04C" w14:textId="77777777" w:rsidR="003E298F" w:rsidRPr="00C03B7A" w:rsidRDefault="003E298F" w:rsidP="003E298F">
            <w:pPr>
              <w:pStyle w:val="Textinthetable"/>
              <w:rPr>
                <w:sz w:val="24"/>
                <w:szCs w:val="24"/>
              </w:rPr>
            </w:pPr>
            <w:r w:rsidRPr="00C03B7A">
              <w:rPr>
                <w:sz w:val="24"/>
                <w:szCs w:val="24"/>
              </w:rPr>
              <w:t>Member of Parliament</w:t>
            </w:r>
          </w:p>
        </w:tc>
      </w:tr>
      <w:tr w:rsidR="000E3E1C" w:rsidRPr="00C03B7A" w14:paraId="65DD8468" w14:textId="77777777" w:rsidTr="003122E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581" w:type="dxa"/>
            <w:tcBorders>
              <w:left w:val="nil"/>
            </w:tcBorders>
            <w:vAlign w:val="center"/>
          </w:tcPr>
          <w:p w14:paraId="174C056C" w14:textId="74B54E0B" w:rsidR="000E3E1C" w:rsidRPr="00C03B7A" w:rsidRDefault="000E3E1C" w:rsidP="003E298F">
            <w:pPr>
              <w:pStyle w:val="Textinthetable"/>
              <w:rPr>
                <w:sz w:val="24"/>
                <w:szCs w:val="24"/>
              </w:rPr>
            </w:pPr>
            <w:r w:rsidRPr="00C03B7A">
              <w:rPr>
                <w:sz w:val="24"/>
                <w:szCs w:val="24"/>
              </w:rPr>
              <w:t>Guidelines</w:t>
            </w:r>
          </w:p>
        </w:tc>
        <w:tc>
          <w:tcPr>
            <w:cnfStyle w:val="000100000000" w:firstRow="0" w:lastRow="0" w:firstColumn="0" w:lastColumn="1" w:oddVBand="0" w:evenVBand="0" w:oddHBand="0" w:evenHBand="0" w:firstRowFirstColumn="0" w:firstRowLastColumn="0" w:lastRowFirstColumn="0" w:lastRowLastColumn="0"/>
            <w:tcW w:w="6066" w:type="dxa"/>
            <w:tcBorders>
              <w:right w:val="nil"/>
            </w:tcBorders>
            <w:vAlign w:val="center"/>
          </w:tcPr>
          <w:p w14:paraId="5A78C2FF" w14:textId="53944A9E" w:rsidR="000E3E1C" w:rsidRPr="00C03B7A" w:rsidRDefault="000E3E1C" w:rsidP="003E298F">
            <w:pPr>
              <w:pStyle w:val="Textinthetable"/>
              <w:rPr>
                <w:sz w:val="24"/>
                <w:szCs w:val="24"/>
              </w:rPr>
            </w:pPr>
            <w:r w:rsidRPr="00C03B7A">
              <w:rPr>
                <w:sz w:val="24"/>
                <w:szCs w:val="24"/>
              </w:rPr>
              <w:t>Members of Parliament (Victoria) Guidelines No. 2/2019</w:t>
            </w:r>
          </w:p>
        </w:tc>
      </w:tr>
      <w:tr w:rsidR="003E298F" w:rsidRPr="00C03B7A" w14:paraId="354E7AA3" w14:textId="77777777" w:rsidTr="003122EB">
        <w:trPr>
          <w:trHeight w:val="397"/>
        </w:trPr>
        <w:tc>
          <w:tcPr>
            <w:cnfStyle w:val="001000000000" w:firstRow="0" w:lastRow="0" w:firstColumn="1" w:lastColumn="0" w:oddVBand="0" w:evenVBand="0" w:oddHBand="0" w:evenHBand="0" w:firstRowFirstColumn="0" w:firstRowLastColumn="0" w:lastRowFirstColumn="0" w:lastRowLastColumn="0"/>
            <w:tcW w:w="2581" w:type="dxa"/>
            <w:tcBorders>
              <w:left w:val="nil"/>
            </w:tcBorders>
            <w:vAlign w:val="center"/>
          </w:tcPr>
          <w:p w14:paraId="2402C051" w14:textId="020A67C9" w:rsidR="003E298F" w:rsidRPr="00C03B7A" w:rsidDel="00CE268B" w:rsidRDefault="003E298F" w:rsidP="003E298F">
            <w:pPr>
              <w:pStyle w:val="Textinthetable"/>
              <w:rPr>
                <w:sz w:val="24"/>
                <w:szCs w:val="24"/>
              </w:rPr>
            </w:pPr>
            <w:r w:rsidRPr="00C03B7A">
              <w:rPr>
                <w:sz w:val="24"/>
                <w:szCs w:val="24"/>
              </w:rPr>
              <w:t>Parliament</w:t>
            </w:r>
          </w:p>
        </w:tc>
        <w:tc>
          <w:tcPr>
            <w:cnfStyle w:val="000100000000" w:firstRow="0" w:lastRow="0" w:firstColumn="0" w:lastColumn="1" w:oddVBand="0" w:evenVBand="0" w:oddHBand="0" w:evenHBand="0" w:firstRowFirstColumn="0" w:firstRowLastColumn="0" w:lastRowFirstColumn="0" w:lastRowLastColumn="0"/>
            <w:tcW w:w="6066" w:type="dxa"/>
            <w:tcBorders>
              <w:right w:val="nil"/>
            </w:tcBorders>
            <w:vAlign w:val="center"/>
          </w:tcPr>
          <w:p w14:paraId="1898B46D" w14:textId="2ADA896C" w:rsidR="003E298F" w:rsidRPr="00C03B7A" w:rsidDel="00CE268B" w:rsidRDefault="003E298F" w:rsidP="003E298F">
            <w:pPr>
              <w:pStyle w:val="Textinthetable"/>
              <w:rPr>
                <w:sz w:val="24"/>
                <w:szCs w:val="24"/>
              </w:rPr>
            </w:pPr>
            <w:r w:rsidRPr="00C03B7A">
              <w:rPr>
                <w:sz w:val="24"/>
                <w:szCs w:val="24"/>
              </w:rPr>
              <w:t>Parliament of Victoria</w:t>
            </w:r>
          </w:p>
        </w:tc>
      </w:tr>
      <w:tr w:rsidR="003E298F" w:rsidRPr="00C03B7A" w14:paraId="2CE78BBF" w14:textId="77777777" w:rsidTr="003122E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581" w:type="dxa"/>
            <w:tcBorders>
              <w:left w:val="nil"/>
            </w:tcBorders>
            <w:vAlign w:val="center"/>
          </w:tcPr>
          <w:p w14:paraId="72892A66" w14:textId="77777777" w:rsidR="003E298F" w:rsidRPr="00C03B7A" w:rsidRDefault="003E298F" w:rsidP="003E298F">
            <w:pPr>
              <w:pStyle w:val="Textinthetable"/>
              <w:rPr>
                <w:rFonts w:eastAsia="Arial Narrow"/>
                <w:sz w:val="24"/>
                <w:szCs w:val="24"/>
              </w:rPr>
            </w:pPr>
            <w:r w:rsidRPr="00C03B7A">
              <w:rPr>
                <w:sz w:val="24"/>
                <w:szCs w:val="24"/>
              </w:rPr>
              <w:t>PSAS Act</w:t>
            </w:r>
          </w:p>
        </w:tc>
        <w:tc>
          <w:tcPr>
            <w:cnfStyle w:val="000100000000" w:firstRow="0" w:lastRow="0" w:firstColumn="0" w:lastColumn="1" w:oddVBand="0" w:evenVBand="0" w:oddHBand="0" w:evenHBand="0" w:firstRowFirstColumn="0" w:firstRowLastColumn="0" w:lastRowFirstColumn="0" w:lastRowLastColumn="0"/>
            <w:tcW w:w="6066" w:type="dxa"/>
            <w:tcBorders>
              <w:right w:val="nil"/>
            </w:tcBorders>
            <w:vAlign w:val="center"/>
          </w:tcPr>
          <w:p w14:paraId="132C7DEC" w14:textId="42BEC66C" w:rsidR="003E298F" w:rsidRPr="00C03B7A" w:rsidRDefault="003E298F" w:rsidP="003E298F">
            <w:pPr>
              <w:pStyle w:val="Textinthetable"/>
              <w:rPr>
                <w:rFonts w:eastAsia="Arial Narrow"/>
                <w:bCs/>
                <w:sz w:val="24"/>
                <w:szCs w:val="24"/>
              </w:rPr>
            </w:pPr>
            <w:r w:rsidRPr="00C03B7A">
              <w:rPr>
                <w:bCs/>
                <w:i/>
                <w:iCs/>
                <w:sz w:val="24"/>
                <w:szCs w:val="24"/>
              </w:rPr>
              <w:t>Parliamentary Salaries, Allowances and Superannuation Act</w:t>
            </w:r>
            <w:r w:rsidRPr="00C03B7A">
              <w:rPr>
                <w:bCs/>
                <w:i/>
                <w:iCs/>
                <w:spacing w:val="-9"/>
                <w:sz w:val="24"/>
                <w:szCs w:val="24"/>
              </w:rPr>
              <w:t xml:space="preserve"> </w:t>
            </w:r>
            <w:r w:rsidRPr="00C03B7A">
              <w:rPr>
                <w:bCs/>
                <w:i/>
                <w:iCs/>
                <w:sz w:val="24"/>
                <w:szCs w:val="24"/>
              </w:rPr>
              <w:t>1968</w:t>
            </w:r>
            <w:r w:rsidRPr="00C03B7A">
              <w:rPr>
                <w:bCs/>
                <w:sz w:val="24"/>
                <w:szCs w:val="24"/>
              </w:rPr>
              <w:t xml:space="preserve"> (Vic)</w:t>
            </w:r>
          </w:p>
        </w:tc>
      </w:tr>
      <w:tr w:rsidR="003E298F" w:rsidRPr="00C03B7A" w14:paraId="2FCBA7F4" w14:textId="77777777" w:rsidTr="003122EB">
        <w:trPr>
          <w:trHeight w:val="397"/>
        </w:trPr>
        <w:tc>
          <w:tcPr>
            <w:cnfStyle w:val="001000000000" w:firstRow="0" w:lastRow="0" w:firstColumn="1" w:lastColumn="0" w:oddVBand="0" w:evenVBand="0" w:oddHBand="0" w:evenHBand="0" w:firstRowFirstColumn="0" w:firstRowLastColumn="0" w:lastRowFirstColumn="0" w:lastRowLastColumn="0"/>
            <w:tcW w:w="2581" w:type="dxa"/>
            <w:tcBorders>
              <w:left w:val="nil"/>
            </w:tcBorders>
            <w:vAlign w:val="center"/>
          </w:tcPr>
          <w:p w14:paraId="18E69A77" w14:textId="656FC26A" w:rsidR="003E298F" w:rsidRPr="00C03B7A" w:rsidRDefault="003E298F" w:rsidP="003E298F">
            <w:pPr>
              <w:pStyle w:val="Textinthetable"/>
              <w:rPr>
                <w:sz w:val="24"/>
                <w:szCs w:val="24"/>
              </w:rPr>
            </w:pPr>
            <w:r w:rsidRPr="00C03B7A">
              <w:rPr>
                <w:sz w:val="24"/>
                <w:szCs w:val="24"/>
              </w:rPr>
              <w:t>Tribunal</w:t>
            </w:r>
          </w:p>
        </w:tc>
        <w:tc>
          <w:tcPr>
            <w:cnfStyle w:val="000100000000" w:firstRow="0" w:lastRow="0" w:firstColumn="0" w:lastColumn="1" w:oddVBand="0" w:evenVBand="0" w:oddHBand="0" w:evenHBand="0" w:firstRowFirstColumn="0" w:firstRowLastColumn="0" w:lastRowFirstColumn="0" w:lastRowLastColumn="0"/>
            <w:tcW w:w="6066" w:type="dxa"/>
            <w:tcBorders>
              <w:right w:val="nil"/>
            </w:tcBorders>
            <w:vAlign w:val="center"/>
          </w:tcPr>
          <w:p w14:paraId="61C07815" w14:textId="721C395F" w:rsidR="003E298F" w:rsidRPr="00C03B7A" w:rsidRDefault="003E298F" w:rsidP="003E298F">
            <w:pPr>
              <w:pStyle w:val="Textinthetable"/>
              <w:rPr>
                <w:sz w:val="24"/>
                <w:szCs w:val="24"/>
              </w:rPr>
            </w:pPr>
            <w:r w:rsidRPr="00C03B7A">
              <w:rPr>
                <w:sz w:val="24"/>
                <w:szCs w:val="24"/>
              </w:rPr>
              <w:t>Victorian Independent Remuneration Tribunal</w:t>
            </w:r>
          </w:p>
        </w:tc>
      </w:tr>
      <w:tr w:rsidR="003E298F" w:rsidRPr="00C03B7A" w14:paraId="416FF84A" w14:textId="77777777" w:rsidTr="003122E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581" w:type="dxa"/>
            <w:tcBorders>
              <w:left w:val="nil"/>
            </w:tcBorders>
            <w:vAlign w:val="center"/>
          </w:tcPr>
          <w:p w14:paraId="54F7EDD7" w14:textId="77777777" w:rsidR="003E298F" w:rsidRPr="00C03B7A" w:rsidRDefault="003E298F" w:rsidP="003E298F">
            <w:pPr>
              <w:pStyle w:val="Textinthetable"/>
              <w:rPr>
                <w:sz w:val="24"/>
                <w:szCs w:val="24"/>
              </w:rPr>
            </w:pPr>
            <w:r w:rsidRPr="00C03B7A">
              <w:rPr>
                <w:sz w:val="24"/>
                <w:szCs w:val="24"/>
              </w:rPr>
              <w:t>VIRTIPS Act</w:t>
            </w:r>
          </w:p>
        </w:tc>
        <w:tc>
          <w:tcPr>
            <w:cnfStyle w:val="000100000000" w:firstRow="0" w:lastRow="0" w:firstColumn="0" w:lastColumn="1" w:oddVBand="0" w:evenVBand="0" w:oddHBand="0" w:evenHBand="0" w:firstRowFirstColumn="0" w:firstRowLastColumn="0" w:lastRowFirstColumn="0" w:lastRowLastColumn="0"/>
            <w:tcW w:w="6066" w:type="dxa"/>
            <w:tcBorders>
              <w:right w:val="nil"/>
            </w:tcBorders>
            <w:vAlign w:val="center"/>
          </w:tcPr>
          <w:p w14:paraId="466C3D14" w14:textId="3D092FA9" w:rsidR="003E298F" w:rsidRPr="00C03B7A" w:rsidRDefault="003E298F" w:rsidP="003E298F">
            <w:pPr>
              <w:pStyle w:val="Textinthetable"/>
              <w:rPr>
                <w:bCs/>
                <w:sz w:val="24"/>
                <w:szCs w:val="24"/>
              </w:rPr>
            </w:pPr>
            <w:r w:rsidRPr="00C03B7A">
              <w:rPr>
                <w:i/>
                <w:iCs/>
                <w:sz w:val="24"/>
                <w:szCs w:val="24"/>
              </w:rPr>
              <w:t>Victorian Independent Remuneration Tribunal and Improving Parliamentary Standards Act 2019</w:t>
            </w:r>
            <w:r w:rsidRPr="00C03B7A">
              <w:rPr>
                <w:bCs/>
                <w:sz w:val="24"/>
                <w:szCs w:val="24"/>
              </w:rPr>
              <w:t xml:space="preserve"> (Vic) </w:t>
            </w:r>
          </w:p>
        </w:tc>
      </w:tr>
    </w:tbl>
    <w:p w14:paraId="51255741" w14:textId="6532B95D" w:rsidR="00786514" w:rsidRDefault="00B62D18" w:rsidP="00BF0CF4">
      <w:pPr>
        <w:pStyle w:val="VIRTHeading2"/>
      </w:pPr>
      <w:r w:rsidRPr="00CE3932">
        <w:br w:type="page"/>
      </w:r>
    </w:p>
    <w:p w14:paraId="430C7334" w14:textId="2F0BD388" w:rsidR="00492E6D" w:rsidRDefault="00492E6D" w:rsidP="00BF0CF4">
      <w:pPr>
        <w:pStyle w:val="VIRTHeading2"/>
        <w:numPr>
          <w:ilvl w:val="0"/>
          <w:numId w:val="2"/>
        </w:numPr>
      </w:pPr>
      <w:bookmarkStart w:id="2" w:name="_Toc41981513"/>
      <w:r>
        <w:lastRenderedPageBreak/>
        <w:t>Purpose of review and m</w:t>
      </w:r>
      <w:r w:rsidRPr="00F24A4B">
        <w:t>aking a submission</w:t>
      </w:r>
      <w:bookmarkEnd w:id="2"/>
    </w:p>
    <w:p w14:paraId="6E68060A" w14:textId="7405A9E7" w:rsidR="00BC1B19" w:rsidRDefault="00426A2A" w:rsidP="00517777">
      <w:pPr>
        <w:pStyle w:val="Paragraph"/>
      </w:pPr>
      <w:r>
        <w:t xml:space="preserve">The </w:t>
      </w:r>
      <w:r w:rsidR="000E3E1C">
        <w:t xml:space="preserve">Tribunal is conducting a comprehensive review of its </w:t>
      </w:r>
      <w:hyperlink r:id="rId20" w:history="1">
        <w:r w:rsidR="000E3E1C" w:rsidRPr="00517777">
          <w:rPr>
            <w:rStyle w:val="Hyperlink"/>
          </w:rPr>
          <w:t>MP Guidelines</w:t>
        </w:r>
      </w:hyperlink>
      <w:r w:rsidR="000E3E1C">
        <w:t xml:space="preserve"> for the use of certain parliamentary allowances and the EO&amp;C Budget.</w:t>
      </w:r>
    </w:p>
    <w:p w14:paraId="244C0F68" w14:textId="0BD95043" w:rsidR="000E3E1C" w:rsidRDefault="000E3E1C" w:rsidP="00517777">
      <w:pPr>
        <w:pStyle w:val="Paragraph"/>
      </w:pPr>
      <w:r>
        <w:t xml:space="preserve">The </w:t>
      </w:r>
      <w:r w:rsidR="00CB5DA1">
        <w:t xml:space="preserve">purpose of the </w:t>
      </w:r>
      <w:r>
        <w:t>Guidelines</w:t>
      </w:r>
      <w:r w:rsidR="00CB5DA1">
        <w:t xml:space="preserve"> is to</w:t>
      </w:r>
      <w:r>
        <w:t xml:space="preserve"> support the operation of the broader compliance framework for MP allowances</w:t>
      </w:r>
      <w:r w:rsidR="00027C69">
        <w:t xml:space="preserve"> by specifying how parliamentary allowances and the EO&amp;C Budget may be used</w:t>
      </w:r>
      <w:r w:rsidR="00E20EA6">
        <w:t xml:space="preserve"> (the resources in scope are summarised at</w:t>
      </w:r>
      <w:r w:rsidR="00E20EA6" w:rsidRPr="00E20EA6">
        <w:t xml:space="preserve"> </w:t>
      </w:r>
      <w:r w:rsidR="00E20EA6" w:rsidRPr="00E20EA6">
        <w:rPr>
          <w:u w:val="single"/>
        </w:rPr>
        <w:t>Annexure A</w:t>
      </w:r>
      <w:r w:rsidR="00E20EA6">
        <w:t>)</w:t>
      </w:r>
      <w:r w:rsidR="00027C69">
        <w:t xml:space="preserve">. </w:t>
      </w:r>
      <w:r w:rsidR="00CB5DA1">
        <w:t>T</w:t>
      </w:r>
      <w:r w:rsidR="00027C69">
        <w:t xml:space="preserve">he Guidelines </w:t>
      </w:r>
      <w:r w:rsidR="00CB5DA1">
        <w:t xml:space="preserve">should also be </w:t>
      </w:r>
      <w:r w:rsidR="00027C69">
        <w:t>informed by</w:t>
      </w:r>
      <w:r w:rsidR="00CB5DA1">
        <w:t>, and consistent with,</w:t>
      </w:r>
      <w:r w:rsidR="00027C69">
        <w:t xml:space="preserve"> the Statement of Principles for the use of public resources by MPs set out in the PSAS Act, a</w:t>
      </w:r>
      <w:r w:rsidR="00D95A55">
        <w:t>s</w:t>
      </w:r>
      <w:r w:rsidR="00027C69">
        <w:t xml:space="preserve"> well as other guiding principles in relation to use, such as value for money and the dominant purpose test. </w:t>
      </w:r>
    </w:p>
    <w:p w14:paraId="74F6E827" w14:textId="37B52859" w:rsidR="000E3E1C" w:rsidRDefault="00027C69" w:rsidP="00517777">
      <w:pPr>
        <w:pStyle w:val="Paragraph"/>
      </w:pPr>
      <w:r>
        <w:t>Th</w:t>
      </w:r>
      <w:r w:rsidR="00B85C13">
        <w:t>e</w:t>
      </w:r>
      <w:r>
        <w:t xml:space="preserve"> review </w:t>
      </w:r>
      <w:r w:rsidR="00CB5DA1">
        <w:t>is intended to be</w:t>
      </w:r>
      <w:r>
        <w:t xml:space="preserve"> holis</w:t>
      </w:r>
      <w:r w:rsidR="00D03CF4">
        <w:t>t</w:t>
      </w:r>
      <w:r>
        <w:t>ic</w:t>
      </w:r>
      <w:r w:rsidR="00ED560E">
        <w:t xml:space="preserve"> </w:t>
      </w:r>
      <w:r>
        <w:t xml:space="preserve">to ensure </w:t>
      </w:r>
      <w:r w:rsidR="00B85C13">
        <w:t xml:space="preserve">the Guidelines </w:t>
      </w:r>
      <w:r>
        <w:t xml:space="preserve">are </w:t>
      </w:r>
      <w:r w:rsidR="003B0E23">
        <w:t xml:space="preserve">modernised and </w:t>
      </w:r>
      <w:r>
        <w:t>designed to support the broader compliance framework within which they operate</w:t>
      </w:r>
      <w:r w:rsidR="00E81AC6">
        <w:t>, noting that the current Guidelines adopted many of the former rules that existed at the time, and have not been comprehensively reviewed</w:t>
      </w:r>
      <w:r>
        <w:t xml:space="preserve">. </w:t>
      </w:r>
      <w:r w:rsidR="000E3E1C">
        <w:t>Any opinion or proposal about the</w:t>
      </w:r>
      <w:r w:rsidR="00B85C13">
        <w:t xml:space="preserve"> </w:t>
      </w:r>
      <w:r w:rsidR="000E3E1C">
        <w:t>Guidelines may be considered</w:t>
      </w:r>
      <w:r w:rsidR="00CB5DA1">
        <w:t xml:space="preserve"> that is consistent with the principles that underpin the framework, and ensures the entire compliance framework operates efficiently, effectively and is easily understood by all parties</w:t>
      </w:r>
      <w:r w:rsidR="000E3E1C">
        <w:t>.</w:t>
      </w:r>
    </w:p>
    <w:p w14:paraId="53AF8697" w14:textId="2A6267E8" w:rsidR="00027C69" w:rsidRDefault="00027C69" w:rsidP="00517777">
      <w:pPr>
        <w:pStyle w:val="Paragraph"/>
      </w:pPr>
      <w:r>
        <w:t>In particular, the review will aim to identify anomalies or areas of ambiguity that should be revised to ensure clarity about the purpose and use of parliamentary allowances and the EO&amp;C Budget. The Tribunal is aware of several specific issues of concern</w:t>
      </w:r>
      <w:r w:rsidR="00ED560E">
        <w:t xml:space="preserve"> </w:t>
      </w:r>
      <w:r w:rsidR="00E77F77">
        <w:t>that</w:t>
      </w:r>
      <w:r>
        <w:t xml:space="preserve"> will be considered</w:t>
      </w:r>
      <w:r w:rsidR="00E77F77">
        <w:t>, which are discussed</w:t>
      </w:r>
      <w:r w:rsidR="00D95A55">
        <w:t xml:space="preserve"> further</w:t>
      </w:r>
      <w:r w:rsidR="00E77F77">
        <w:t xml:space="preserve"> in section </w:t>
      </w:r>
      <w:r w:rsidR="00D95A55">
        <w:t>4 below</w:t>
      </w:r>
      <w:r w:rsidR="00E77F77">
        <w:t>.</w:t>
      </w:r>
    </w:p>
    <w:p w14:paraId="1228FF03" w14:textId="4183E32F" w:rsidR="00ED560E" w:rsidRDefault="00ED560E" w:rsidP="00517777">
      <w:pPr>
        <w:pStyle w:val="Paragraph"/>
      </w:pPr>
      <w:r>
        <w:t xml:space="preserve">The Tribunal invites all interested parties to make a submission </w:t>
      </w:r>
      <w:r w:rsidR="004A6F95">
        <w:t xml:space="preserve">to be considered as part of the review. </w:t>
      </w:r>
      <w:r w:rsidR="00B85C13">
        <w:t>Particular questions for consideration are set out</w:t>
      </w:r>
      <w:r w:rsidR="00E77F77">
        <w:t xml:space="preserve"> on the following page</w:t>
      </w:r>
      <w:r w:rsidR="00B85C13">
        <w:t xml:space="preserve">, however these </w:t>
      </w:r>
      <w:r w:rsidR="00E77F77">
        <w:t xml:space="preserve">are provided as a guide only, and do </w:t>
      </w:r>
      <w:r w:rsidR="00B85C13">
        <w:t xml:space="preserve">not in any way limit what </w:t>
      </w:r>
      <w:r w:rsidR="00E77F77">
        <w:t>may</w:t>
      </w:r>
      <w:r w:rsidR="00B85C13">
        <w:t xml:space="preserve"> be included in a submission</w:t>
      </w:r>
      <w:r w:rsidR="00E77F77">
        <w:t>.</w:t>
      </w:r>
    </w:p>
    <w:p w14:paraId="60B9140A" w14:textId="294A8F5E" w:rsidR="004A6F95" w:rsidRDefault="004A6F95" w:rsidP="00517777">
      <w:pPr>
        <w:pStyle w:val="Paragraph"/>
      </w:pPr>
      <w:r>
        <w:rPr>
          <w:b/>
          <w:bCs/>
        </w:rPr>
        <w:t xml:space="preserve">Written submissions must be made by 5pm on </w:t>
      </w:r>
      <w:r w:rsidR="003B0E23">
        <w:rPr>
          <w:b/>
          <w:bCs/>
        </w:rPr>
        <w:t>Wednesday</w:t>
      </w:r>
      <w:r>
        <w:rPr>
          <w:b/>
          <w:bCs/>
        </w:rPr>
        <w:t xml:space="preserve">, </w:t>
      </w:r>
      <w:r w:rsidR="003B0E23">
        <w:rPr>
          <w:b/>
          <w:bCs/>
        </w:rPr>
        <w:t>1 July</w:t>
      </w:r>
      <w:r>
        <w:rPr>
          <w:b/>
          <w:bCs/>
        </w:rPr>
        <w:t xml:space="preserve"> 2020 </w:t>
      </w:r>
      <w:r w:rsidRPr="004A6F95">
        <w:t>b</w:t>
      </w:r>
      <w:r>
        <w:t xml:space="preserve">y email to </w:t>
      </w:r>
      <w:hyperlink r:id="rId21" w:history="1">
        <w:r w:rsidRPr="00376FEC">
          <w:rPr>
            <w:rStyle w:val="Hyperlink"/>
          </w:rPr>
          <w:t>enquiries@remunerationtribunal.vic.gov.au</w:t>
        </w:r>
      </w:hyperlink>
    </w:p>
    <w:p w14:paraId="2F237F8C" w14:textId="77777777" w:rsidR="00B85C13" w:rsidRDefault="004A6F95" w:rsidP="00517777">
      <w:pPr>
        <w:pStyle w:val="Paragraph"/>
        <w:rPr>
          <w:rStyle w:val="Hyperlink"/>
        </w:rPr>
      </w:pPr>
      <w:r w:rsidRPr="00B647E9">
        <w:rPr>
          <w:b/>
          <w:bCs/>
        </w:rPr>
        <w:t>Those wishing to make an oral submission are to advise the Tribunal by 5pm on Wednesday, 10 June 2020</w:t>
      </w:r>
      <w:r w:rsidRPr="00B647E9">
        <w:t xml:space="preserve"> by email to </w:t>
      </w:r>
      <w:hyperlink r:id="rId22" w:history="1">
        <w:r w:rsidRPr="00B647E9">
          <w:rPr>
            <w:rStyle w:val="Hyperlink"/>
          </w:rPr>
          <w:t>enquiries@remunerationtribunal.vic.gov.au</w:t>
        </w:r>
      </w:hyperlink>
    </w:p>
    <w:p w14:paraId="05775739" w14:textId="2C6ACB03" w:rsidR="004A6F95" w:rsidRDefault="004A6F95" w:rsidP="00517777">
      <w:pPr>
        <w:pStyle w:val="Paragraph"/>
        <w:rPr>
          <w:rStyle w:val="Hyperlink"/>
          <w:u w:val="none"/>
        </w:rPr>
      </w:pPr>
      <w:r w:rsidRPr="004A6F95">
        <w:rPr>
          <w:rStyle w:val="Hyperlink"/>
          <w:u w:val="none"/>
        </w:rPr>
        <w:t>The</w:t>
      </w:r>
      <w:r>
        <w:rPr>
          <w:rStyle w:val="Hyperlink"/>
          <w:u w:val="none"/>
        </w:rPr>
        <w:t xml:space="preserve"> Tribunal </w:t>
      </w:r>
      <w:r w:rsidR="00E81AC6">
        <w:rPr>
          <w:rStyle w:val="Hyperlink"/>
          <w:u w:val="none"/>
        </w:rPr>
        <w:t xml:space="preserve">intends to </w:t>
      </w:r>
      <w:r>
        <w:rPr>
          <w:rStyle w:val="Hyperlink"/>
          <w:u w:val="none"/>
        </w:rPr>
        <w:t>schedule oral submissions to be heard during the period 15 – 26 June 2020, and these may be conducted by teleconference or video conference to comply with the Government’s social distancing directions.</w:t>
      </w:r>
    </w:p>
    <w:p w14:paraId="315F0157" w14:textId="55FD04B5" w:rsidR="00B403F3" w:rsidRDefault="00D932AD" w:rsidP="00B403F3">
      <w:pPr>
        <w:pStyle w:val="Paragraph"/>
      </w:pPr>
      <w:r>
        <w:t>If you require assistance to make a submission, please contact the Tribunal Secretariat at </w:t>
      </w:r>
      <w:hyperlink r:id="rId23" w:history="1">
        <w:r>
          <w:rPr>
            <w:rStyle w:val="Hyperlink"/>
          </w:rPr>
          <w:t>enquiries@remunerationtribunal.vic.gov.au</w:t>
        </w:r>
      </w:hyperlink>
      <w:r w:rsidR="0040350E" w:rsidRPr="0040350E">
        <w:rPr>
          <w:rStyle w:val="Hyperlink"/>
          <w:u w:val="none"/>
        </w:rPr>
        <w:t>.</w:t>
      </w:r>
      <w:r w:rsidR="00B403F3" w:rsidRPr="00B403F3">
        <w:t xml:space="preserve"> </w:t>
      </w:r>
      <w:r w:rsidR="00B403F3">
        <w:t xml:space="preserve">Further information on how to make a submission is also available on the Tribunal’s website. </w:t>
      </w:r>
    </w:p>
    <w:p w14:paraId="36771B56" w14:textId="6620D9A2" w:rsidR="00BC1B19" w:rsidRDefault="00BC1B19" w:rsidP="00517777">
      <w:pPr>
        <w:pStyle w:val="Paragraph"/>
      </w:pPr>
      <w:r>
        <w:t xml:space="preserve">All submissions will be </w:t>
      </w:r>
      <w:r w:rsidRPr="00BC1B19">
        <w:t>published</w:t>
      </w:r>
      <w:r>
        <w:t xml:space="preserve"> in full or in summary form as appropriate on the Tribunal’s website, unless the person making the submission seeks confidentiality or the submission contains information that is identified as commercially sensitive. In this instance, the submission will be published in a form which protects the confidentiality or commercial sensitivity.</w:t>
      </w:r>
    </w:p>
    <w:p w14:paraId="154A043B" w14:textId="7567E5C7" w:rsidR="00B403F3" w:rsidRDefault="00485EA6" w:rsidP="00517777">
      <w:pPr>
        <w:pStyle w:val="Paragraph"/>
      </w:pPr>
      <w:r>
        <w:t xml:space="preserve">Following the Tribunal’s consideration of submissions and the development of new Guidelines, the Tribunal will make the proposed Guidelines available for </w:t>
      </w:r>
      <w:proofErr w:type="gramStart"/>
      <w:r>
        <w:t>review, and</w:t>
      </w:r>
      <w:proofErr w:type="gramEnd"/>
      <w:r>
        <w:t xml:space="preserve"> provide a further opportunity to receive feedback</w:t>
      </w:r>
      <w:r w:rsidR="00B403F3">
        <w:t>.</w:t>
      </w:r>
    </w:p>
    <w:p w14:paraId="3FB937C4" w14:textId="0129A6B5" w:rsidR="00004909" w:rsidRDefault="00004909">
      <w:pPr>
        <w:pStyle w:val="VIRTHeading3"/>
      </w:pPr>
      <w:r>
        <w:t>Particular questions for consideration</w:t>
      </w:r>
    </w:p>
    <w:p w14:paraId="3F9D4128" w14:textId="223B7806" w:rsidR="00004909" w:rsidRDefault="00B3774E" w:rsidP="00517777">
      <w:pPr>
        <w:pStyle w:val="Paragraph"/>
      </w:pPr>
      <w:r>
        <w:t xml:space="preserve">Without limiting the matters on which </w:t>
      </w:r>
      <w:r w:rsidR="00E77F77">
        <w:t>interested</w:t>
      </w:r>
      <w:r>
        <w:t xml:space="preserve"> parties might wish to make submissions, t</w:t>
      </w:r>
      <w:r w:rsidR="00004909" w:rsidRPr="002540FF">
        <w:t>he Tribunal</w:t>
      </w:r>
      <w:r w:rsidR="00004909">
        <w:t xml:space="preserve"> </w:t>
      </w:r>
      <w:r w:rsidR="00E77F77">
        <w:t>is</w:t>
      </w:r>
      <w:r w:rsidR="00004909">
        <w:t xml:space="preserve"> interested in receiving submissions on the following questions</w:t>
      </w:r>
      <w:r w:rsidR="00004909" w:rsidRPr="002540FF">
        <w:t>:</w:t>
      </w:r>
    </w:p>
    <w:p w14:paraId="32711249" w14:textId="70559377" w:rsidR="00E77F77" w:rsidRDefault="00E77F77" w:rsidP="00B403F3">
      <w:pPr>
        <w:pStyle w:val="Paragraph"/>
        <w:numPr>
          <w:ilvl w:val="0"/>
          <w:numId w:val="6"/>
        </w:numPr>
        <w:spacing w:after="120"/>
        <w:ind w:right="-142" w:hanging="357"/>
      </w:pPr>
      <w:r>
        <w:t>Given the new regulatory framework for MP allowances, are there changes required to the Guidelines to support th</w:t>
      </w:r>
      <w:r w:rsidR="00D95A55">
        <w:t>e</w:t>
      </w:r>
      <w:r>
        <w:t xml:space="preserve"> new framework?</w:t>
      </w:r>
    </w:p>
    <w:p w14:paraId="0ED9650A" w14:textId="68FDCCCA" w:rsidR="00004909" w:rsidRDefault="00E77F77" w:rsidP="00B403F3">
      <w:pPr>
        <w:pStyle w:val="Paragraph"/>
        <w:numPr>
          <w:ilvl w:val="0"/>
          <w:numId w:val="6"/>
        </w:numPr>
        <w:spacing w:after="120"/>
        <w:ind w:right="-142" w:hanging="357"/>
      </w:pPr>
      <w:r>
        <w:t>If you are a</w:t>
      </w:r>
      <w:r w:rsidR="00C96942">
        <w:t>n</w:t>
      </w:r>
      <w:r w:rsidR="00B403F3">
        <w:t xml:space="preserve"> MP or a “relevant Officer”,</w:t>
      </w:r>
      <w:r>
        <w:t xml:space="preserve"> how might the</w:t>
      </w:r>
      <w:r w:rsidR="00386679">
        <w:t xml:space="preserve"> </w:t>
      </w:r>
      <w:r>
        <w:t>Guidelines be best designed to support your role?</w:t>
      </w:r>
    </w:p>
    <w:p w14:paraId="4505EB60" w14:textId="08BC11A9" w:rsidR="00004909" w:rsidRDefault="00E77F77" w:rsidP="00B403F3">
      <w:pPr>
        <w:pStyle w:val="Paragraph"/>
        <w:numPr>
          <w:ilvl w:val="0"/>
          <w:numId w:val="6"/>
        </w:numPr>
        <w:spacing w:after="120"/>
        <w:ind w:right="-142" w:hanging="357"/>
      </w:pPr>
      <w:r>
        <w:t>Do you have a view about how prescriptive the Guidelines should be? Should they</w:t>
      </w:r>
      <w:r w:rsidR="003B0E23">
        <w:t xml:space="preserve"> attempt to</w:t>
      </w:r>
      <w:r>
        <w:t xml:space="preserve"> cover every </w:t>
      </w:r>
      <w:r w:rsidR="00386679">
        <w:t>activity or expense</w:t>
      </w:r>
      <w:r>
        <w:t xml:space="preserve"> in detail</w:t>
      </w:r>
      <w:r w:rsidR="00D95A55">
        <w:t>,</w:t>
      </w:r>
      <w:r>
        <w:t xml:space="preserve"> or </w:t>
      </w:r>
      <w:r w:rsidR="003B0E23">
        <w:t xml:space="preserve">should they have a greater reliance on the principles </w:t>
      </w:r>
      <w:r>
        <w:t>set out</w:t>
      </w:r>
      <w:r w:rsidR="00983BCE">
        <w:t xml:space="preserve"> </w:t>
      </w:r>
      <w:r w:rsidR="003B0E23">
        <w:t>in the legislation</w:t>
      </w:r>
      <w:r>
        <w:t xml:space="preserve"> to allow </w:t>
      </w:r>
      <w:r w:rsidR="003B0E23">
        <w:t>a</w:t>
      </w:r>
      <w:r>
        <w:t xml:space="preserve"> degree of interpretation?</w:t>
      </w:r>
    </w:p>
    <w:p w14:paraId="2AD493AC" w14:textId="77777777" w:rsidR="00D95A55" w:rsidRPr="00630FFA" w:rsidRDefault="00D95A55" w:rsidP="00B403F3">
      <w:pPr>
        <w:pStyle w:val="Paragraph"/>
        <w:numPr>
          <w:ilvl w:val="0"/>
          <w:numId w:val="6"/>
        </w:numPr>
        <w:spacing w:after="120"/>
        <w:ind w:right="-142" w:hanging="357"/>
      </w:pPr>
      <w:r>
        <w:t>Are there areas of ambiguity in the Guidelines that should be clarified or require further detail to assist with interpretation?</w:t>
      </w:r>
    </w:p>
    <w:p w14:paraId="1147803E" w14:textId="77777777" w:rsidR="00D95A55" w:rsidRDefault="00D95A55" w:rsidP="00B403F3">
      <w:pPr>
        <w:pStyle w:val="Paragraph"/>
        <w:numPr>
          <w:ilvl w:val="0"/>
          <w:numId w:val="6"/>
        </w:numPr>
        <w:spacing w:after="120"/>
        <w:ind w:right="-142" w:hanging="357"/>
      </w:pPr>
      <w:r>
        <w:t>For the purposes of the EO&amp;C Budget, what do you consider is necessary for an MP to:</w:t>
      </w:r>
    </w:p>
    <w:p w14:paraId="7F0F893C" w14:textId="77777777" w:rsidR="00D95A55" w:rsidRDefault="00D95A55" w:rsidP="00B403F3">
      <w:pPr>
        <w:pStyle w:val="Paragraph"/>
        <w:numPr>
          <w:ilvl w:val="1"/>
          <w:numId w:val="7"/>
        </w:numPr>
        <w:spacing w:after="120"/>
        <w:ind w:left="851" w:right="-142" w:hanging="357"/>
      </w:pPr>
      <w:r>
        <w:t>operate and maintain an electorate office; and</w:t>
      </w:r>
    </w:p>
    <w:p w14:paraId="1210C447" w14:textId="7D215F40" w:rsidR="00D95A55" w:rsidRPr="00C73FF8" w:rsidRDefault="00D95A55" w:rsidP="00B403F3">
      <w:pPr>
        <w:pStyle w:val="Paragraph"/>
        <w:numPr>
          <w:ilvl w:val="1"/>
          <w:numId w:val="7"/>
        </w:numPr>
        <w:spacing w:after="120"/>
        <w:ind w:left="851" w:right="-142" w:hanging="357"/>
      </w:pPr>
      <w:r>
        <w:t>communicate with the electorate in relation to the performance of the MP’s public duties?</w:t>
      </w:r>
    </w:p>
    <w:p w14:paraId="35F56B04" w14:textId="2DAEF571" w:rsidR="00E77F77" w:rsidRDefault="00E77F77" w:rsidP="00B403F3">
      <w:pPr>
        <w:pStyle w:val="Paragraph"/>
        <w:numPr>
          <w:ilvl w:val="0"/>
          <w:numId w:val="6"/>
        </w:numPr>
        <w:spacing w:after="120"/>
        <w:ind w:right="-142" w:hanging="357"/>
      </w:pPr>
      <w:r>
        <w:t xml:space="preserve">Are there any changes you would like to see </w:t>
      </w:r>
      <w:r w:rsidR="00386679">
        <w:t xml:space="preserve">made to </w:t>
      </w:r>
      <w:r>
        <w:t>the Guidelines?</w:t>
      </w:r>
    </w:p>
    <w:p w14:paraId="2C0ABB48" w14:textId="77777777" w:rsidR="00983BCE" w:rsidRDefault="00983BCE" w:rsidP="00983BCE">
      <w:pPr>
        <w:pStyle w:val="Paragraph"/>
        <w:spacing w:after="120"/>
        <w:ind w:left="360" w:right="-142"/>
      </w:pPr>
    </w:p>
    <w:p w14:paraId="0D77CDBF" w14:textId="0AD65C35" w:rsidR="00492E6D" w:rsidRDefault="00492E6D" w:rsidP="00BF0CF4">
      <w:pPr>
        <w:pStyle w:val="VIRTHeading2"/>
        <w:numPr>
          <w:ilvl w:val="0"/>
          <w:numId w:val="2"/>
        </w:numPr>
      </w:pPr>
      <w:bookmarkStart w:id="3" w:name="_Toc41981514"/>
      <w:r>
        <w:t>The Guidelines in context</w:t>
      </w:r>
      <w:bookmarkEnd w:id="3"/>
    </w:p>
    <w:p w14:paraId="66285B1E" w14:textId="31FE342C" w:rsidR="00E81AC6" w:rsidRDefault="00CB4FF8" w:rsidP="00517777">
      <w:pPr>
        <w:pStyle w:val="Paragraph"/>
      </w:pPr>
      <w:r>
        <w:t>The Guidelines support the broader regulatory and compliance framework for parliamentary allowances and the EO&amp;C Budget</w:t>
      </w:r>
      <w:r w:rsidR="005864FD">
        <w:t xml:space="preserve">. </w:t>
      </w:r>
      <w:r w:rsidR="00E81AC6">
        <w:t xml:space="preserve">A summary of relevant entities and their responsibilities in relation to the compliance framework is set out in </w:t>
      </w:r>
      <w:r w:rsidR="003B0E23" w:rsidRPr="005E680F">
        <w:rPr>
          <w:u w:val="single"/>
        </w:rPr>
        <w:t>Annexure B</w:t>
      </w:r>
      <w:r w:rsidR="003B0E23" w:rsidRPr="00B647E9">
        <w:t>.</w:t>
      </w:r>
      <w:r w:rsidR="003B0E23">
        <w:t xml:space="preserve"> </w:t>
      </w:r>
    </w:p>
    <w:p w14:paraId="27BAC801" w14:textId="0024432C" w:rsidR="00E81AC6" w:rsidRDefault="005864FD" w:rsidP="00517777">
      <w:pPr>
        <w:pStyle w:val="Paragraph"/>
      </w:pPr>
      <w:r>
        <w:t>There are number of overarching principles set out in the PSAS Act that a</w:t>
      </w:r>
      <w:r w:rsidR="00B403F3">
        <w:t>n</w:t>
      </w:r>
      <w:r>
        <w:t xml:space="preserve"> MP must comply with in the first instance when using a parliamentary allowance or the EO&amp;C Budget.</w:t>
      </w:r>
    </w:p>
    <w:p w14:paraId="3BEB02BD" w14:textId="50038777" w:rsidR="00CB4FF8" w:rsidRPr="00CB4FF8" w:rsidRDefault="00CB4FF8" w:rsidP="00517777">
      <w:pPr>
        <w:pStyle w:val="Paragraph"/>
      </w:pPr>
      <w:r>
        <w:t xml:space="preserve">The purpose of the Guidelines is to </w:t>
      </w:r>
      <w:r w:rsidR="00517777">
        <w:t xml:space="preserve">provide </w:t>
      </w:r>
      <w:r w:rsidR="005864FD">
        <w:t>further</w:t>
      </w:r>
      <w:r w:rsidR="00517777">
        <w:t xml:space="preserve"> detail</w:t>
      </w:r>
      <w:r w:rsidR="005864FD">
        <w:t xml:space="preserve"> </w:t>
      </w:r>
      <w:r w:rsidR="00D95A55">
        <w:t xml:space="preserve">to </w:t>
      </w:r>
      <w:r>
        <w:t>specify how a</w:t>
      </w:r>
      <w:r w:rsidR="00B403F3">
        <w:t>n</w:t>
      </w:r>
      <w:r>
        <w:t xml:space="preserve"> MP may </w:t>
      </w:r>
      <w:r w:rsidRPr="005864FD">
        <w:t xml:space="preserve">use </w:t>
      </w:r>
      <w:r>
        <w:t>an allowance or the EO&amp;C Budget</w:t>
      </w:r>
      <w:r w:rsidR="008506B1">
        <w:t xml:space="preserve">. This may involve </w:t>
      </w:r>
      <w:r w:rsidR="00517777">
        <w:t xml:space="preserve">defining the purpose or </w:t>
      </w:r>
      <w:proofErr w:type="spellStart"/>
      <w:r w:rsidR="00517777">
        <w:t>eligbility</w:t>
      </w:r>
      <w:proofErr w:type="spellEnd"/>
      <w:r w:rsidR="00517777">
        <w:t xml:space="preserve"> criteria for certain allowances, providing</w:t>
      </w:r>
      <w:r w:rsidR="005864FD">
        <w:t xml:space="preserve"> additional detail to aid in the interpretation </w:t>
      </w:r>
      <w:r w:rsidR="008506B1">
        <w:t>or</w:t>
      </w:r>
      <w:r w:rsidR="005864FD">
        <w:t xml:space="preserve"> implementation of the principles</w:t>
      </w:r>
      <w:r w:rsidR="008506B1">
        <w:t>, or prohibiting allowances from being used for a certain type of activity or expense.</w:t>
      </w:r>
    </w:p>
    <w:p w14:paraId="53FAC443" w14:textId="2D3E6A76" w:rsidR="005864FD" w:rsidRDefault="005864FD" w:rsidP="00517777">
      <w:pPr>
        <w:pStyle w:val="Paragraph"/>
      </w:pPr>
      <w:r>
        <w:t>In this way, t</w:t>
      </w:r>
      <w:r w:rsidR="00CB4FF8" w:rsidRPr="000B4ACD">
        <w:t xml:space="preserve">he Guidelines safeguard the proper use of allowances and </w:t>
      </w:r>
      <w:r w:rsidR="00517777">
        <w:t>the EO&amp;C Bu</w:t>
      </w:r>
      <w:r w:rsidR="00D95A55">
        <w:t>d</w:t>
      </w:r>
      <w:r w:rsidR="00517777">
        <w:t xml:space="preserve">get, and </w:t>
      </w:r>
      <w:r w:rsidR="00CB4FF8">
        <w:t>support</w:t>
      </w:r>
      <w:r w:rsidR="00CB4FF8" w:rsidRPr="000B4ACD">
        <w:t xml:space="preserve"> MPs </w:t>
      </w:r>
      <w:r w:rsidR="00CB4FF8">
        <w:t>and administrators of the compliance framework</w:t>
      </w:r>
      <w:r w:rsidR="00CB4FF8" w:rsidRPr="000B4ACD">
        <w:t xml:space="preserve"> </w:t>
      </w:r>
      <w:r w:rsidR="00517777">
        <w:t>in</w:t>
      </w:r>
      <w:r w:rsidR="00CB4FF8" w:rsidRPr="000B4ACD">
        <w:t xml:space="preserve"> understand</w:t>
      </w:r>
      <w:r w:rsidR="00517777">
        <w:t>ing</w:t>
      </w:r>
      <w:r w:rsidR="00CB4FF8" w:rsidRPr="000B4ACD">
        <w:t xml:space="preserve"> the purposes</w:t>
      </w:r>
      <w:r w:rsidR="00CB4FF8">
        <w:t xml:space="preserve"> of th</w:t>
      </w:r>
      <w:r w:rsidR="008506B1">
        <w:t>e</w:t>
      </w:r>
      <w:r w:rsidR="00CB4FF8">
        <w:t xml:space="preserve"> </w:t>
      </w:r>
      <w:r>
        <w:t xml:space="preserve">public </w:t>
      </w:r>
      <w:r w:rsidR="00CB4FF8">
        <w:t>funding</w:t>
      </w:r>
      <w:r>
        <w:t xml:space="preserve"> </w:t>
      </w:r>
      <w:r w:rsidR="00CB4FF8" w:rsidRPr="000B4ACD">
        <w:t xml:space="preserve">and </w:t>
      </w:r>
      <w:r w:rsidR="00CB4FF8">
        <w:t xml:space="preserve">the permitted </w:t>
      </w:r>
      <w:r w:rsidR="00CB4FF8" w:rsidRPr="000B4ACD">
        <w:t>reasons for</w:t>
      </w:r>
      <w:r w:rsidR="00CB4FF8">
        <w:t xml:space="preserve"> </w:t>
      </w:r>
      <w:r w:rsidR="00CB4FF8" w:rsidRPr="000B4ACD">
        <w:t xml:space="preserve">claiming and approving use. </w:t>
      </w:r>
    </w:p>
    <w:p w14:paraId="08814175" w14:textId="3290C689" w:rsidR="00CB4FF8" w:rsidRDefault="00CB4FF8" w:rsidP="00517777">
      <w:pPr>
        <w:pStyle w:val="Paragraph"/>
      </w:pPr>
      <w:r w:rsidRPr="000B4ACD">
        <w:t>The</w:t>
      </w:r>
      <w:r>
        <w:t xml:space="preserve"> Guidelines</w:t>
      </w:r>
      <w:r w:rsidRPr="000B4ACD">
        <w:t xml:space="preserve"> also assist the Victorian community to understand the ways in which MPs are permitted to use th</w:t>
      </w:r>
      <w:r>
        <w:t xml:space="preserve">is public funding </w:t>
      </w:r>
      <w:r w:rsidRPr="000B4ACD">
        <w:t>to carry out their public duties.</w:t>
      </w:r>
    </w:p>
    <w:p w14:paraId="771D3D53" w14:textId="77777777" w:rsidR="00983BCE" w:rsidRDefault="00983BCE" w:rsidP="00517777">
      <w:pPr>
        <w:pStyle w:val="Paragraph"/>
      </w:pPr>
    </w:p>
    <w:p w14:paraId="697881F2" w14:textId="02F7ADC7" w:rsidR="0044527F" w:rsidRDefault="005864FD" w:rsidP="00B647E9">
      <w:pPr>
        <w:pStyle w:val="VIRTHeading3"/>
      </w:pPr>
      <w:r>
        <w:t>Principles underpinning the Guidelines</w:t>
      </w:r>
    </w:p>
    <w:tbl>
      <w:tblPr>
        <w:tblStyle w:val="ListTable3-Accent21"/>
        <w:tblW w:w="5000" w:type="pct"/>
        <w:tblLook w:val="04A0" w:firstRow="1" w:lastRow="0" w:firstColumn="1" w:lastColumn="0" w:noHBand="0" w:noVBand="1"/>
      </w:tblPr>
      <w:tblGrid>
        <w:gridCol w:w="2376"/>
        <w:gridCol w:w="4963"/>
        <w:gridCol w:w="1381"/>
      </w:tblGrid>
      <w:tr w:rsidR="008506B1" w:rsidRPr="00054E9B" w14:paraId="1ED077DE" w14:textId="77777777" w:rsidTr="00D95A55">
        <w:trPr>
          <w:cnfStyle w:val="100000000000" w:firstRow="1" w:lastRow="0" w:firstColumn="0" w:lastColumn="0" w:oddVBand="0" w:evenVBand="0" w:oddHBand="0" w:evenHBand="0" w:firstRowFirstColumn="0" w:firstRowLastColumn="0" w:lastRowFirstColumn="0" w:lastRowLastColumn="0"/>
          <w:cantSplit/>
          <w:tblHeader/>
        </w:trPr>
        <w:tc>
          <w:tcPr>
            <w:cnfStyle w:val="001000000100" w:firstRow="0" w:lastRow="0" w:firstColumn="1" w:lastColumn="0" w:oddVBand="0" w:evenVBand="0" w:oddHBand="0" w:evenHBand="0" w:firstRowFirstColumn="1" w:firstRowLastColumn="0" w:lastRowFirstColumn="0" w:lastRowLastColumn="0"/>
            <w:tcW w:w="1362" w:type="pct"/>
            <w:tcBorders>
              <w:top w:val="single" w:sz="4" w:space="0" w:color="148A5D" w:themeColor="accent2"/>
            </w:tcBorders>
            <w:shd w:val="clear" w:color="auto" w:fill="148A5D"/>
            <w:vAlign w:val="center"/>
          </w:tcPr>
          <w:p w14:paraId="2E590C9B" w14:textId="790159C3" w:rsidR="008506B1" w:rsidRPr="00054E9B" w:rsidRDefault="008506B1" w:rsidP="00B647E9">
            <w:pPr>
              <w:keepNext/>
              <w:rPr>
                <w:sz w:val="23"/>
                <w:szCs w:val="23"/>
              </w:rPr>
            </w:pPr>
            <w:r w:rsidRPr="00054E9B">
              <w:rPr>
                <w:sz w:val="23"/>
                <w:szCs w:val="23"/>
              </w:rPr>
              <w:t>Principle</w:t>
            </w:r>
          </w:p>
        </w:tc>
        <w:tc>
          <w:tcPr>
            <w:tcW w:w="2846" w:type="pct"/>
            <w:tcBorders>
              <w:top w:val="single" w:sz="4" w:space="0" w:color="148A5D" w:themeColor="accent2"/>
              <w:left w:val="nil"/>
              <w:bottom w:val="nil"/>
            </w:tcBorders>
            <w:shd w:val="clear" w:color="auto" w:fill="148A5D"/>
            <w:vAlign w:val="center"/>
          </w:tcPr>
          <w:p w14:paraId="29454F2E" w14:textId="77777777" w:rsidR="008506B1" w:rsidRPr="00054E9B" w:rsidRDefault="008506B1" w:rsidP="00B647E9">
            <w:pPr>
              <w:keepNext/>
              <w:cnfStyle w:val="100000000000" w:firstRow="1" w:lastRow="0" w:firstColumn="0" w:lastColumn="0" w:oddVBand="0" w:evenVBand="0" w:oddHBand="0" w:evenHBand="0" w:firstRowFirstColumn="0" w:firstRowLastColumn="0" w:lastRowFirstColumn="0" w:lastRowLastColumn="0"/>
              <w:rPr>
                <w:sz w:val="23"/>
                <w:szCs w:val="23"/>
              </w:rPr>
            </w:pPr>
          </w:p>
          <w:p w14:paraId="62FB6C61" w14:textId="75210686" w:rsidR="008506B1" w:rsidRPr="00054E9B" w:rsidRDefault="008506B1" w:rsidP="00B647E9">
            <w:pPr>
              <w:keepNext/>
              <w:cnfStyle w:val="100000000000" w:firstRow="1" w:lastRow="0" w:firstColumn="0" w:lastColumn="0" w:oddVBand="0" w:evenVBand="0" w:oddHBand="0" w:evenHBand="0" w:firstRowFirstColumn="0" w:firstRowLastColumn="0" w:lastRowFirstColumn="0" w:lastRowLastColumn="0"/>
              <w:rPr>
                <w:sz w:val="23"/>
                <w:szCs w:val="23"/>
              </w:rPr>
            </w:pPr>
            <w:r w:rsidRPr="00054E9B">
              <w:rPr>
                <w:sz w:val="23"/>
                <w:szCs w:val="23"/>
              </w:rPr>
              <w:t>Obligation</w:t>
            </w:r>
          </w:p>
          <w:p w14:paraId="6279A8D1" w14:textId="77777777" w:rsidR="008506B1" w:rsidRPr="00054E9B" w:rsidRDefault="008506B1" w:rsidP="00B647E9">
            <w:pPr>
              <w:keepNext/>
              <w:cnfStyle w:val="100000000000" w:firstRow="1" w:lastRow="0" w:firstColumn="0" w:lastColumn="0" w:oddVBand="0" w:evenVBand="0" w:oddHBand="0" w:evenHBand="0" w:firstRowFirstColumn="0" w:firstRowLastColumn="0" w:lastRowFirstColumn="0" w:lastRowLastColumn="0"/>
              <w:rPr>
                <w:sz w:val="23"/>
                <w:szCs w:val="23"/>
              </w:rPr>
            </w:pPr>
          </w:p>
        </w:tc>
        <w:tc>
          <w:tcPr>
            <w:tcW w:w="792" w:type="pct"/>
            <w:tcBorders>
              <w:top w:val="single" w:sz="4" w:space="0" w:color="148A5D" w:themeColor="accent2"/>
            </w:tcBorders>
            <w:shd w:val="clear" w:color="auto" w:fill="148A5D"/>
            <w:vAlign w:val="center"/>
          </w:tcPr>
          <w:p w14:paraId="0111B16E" w14:textId="0B946808" w:rsidR="008506B1" w:rsidRPr="00054E9B" w:rsidRDefault="008506B1" w:rsidP="00B647E9">
            <w:pPr>
              <w:keepNext/>
              <w:jc w:val="center"/>
              <w:cnfStyle w:val="100000000000" w:firstRow="1" w:lastRow="0" w:firstColumn="0" w:lastColumn="0" w:oddVBand="0" w:evenVBand="0" w:oddHBand="0" w:evenHBand="0" w:firstRowFirstColumn="0" w:firstRowLastColumn="0" w:lastRowFirstColumn="0" w:lastRowLastColumn="0"/>
              <w:rPr>
                <w:sz w:val="23"/>
                <w:szCs w:val="23"/>
              </w:rPr>
            </w:pPr>
            <w:r w:rsidRPr="00054E9B">
              <w:rPr>
                <w:sz w:val="23"/>
                <w:szCs w:val="23"/>
              </w:rPr>
              <w:t>PSAS Act reference</w:t>
            </w:r>
          </w:p>
        </w:tc>
      </w:tr>
      <w:tr w:rsidR="008506B1" w:rsidRPr="00054E9B" w14:paraId="2A85F91B" w14:textId="77777777" w:rsidTr="00054E9B">
        <w:trPr>
          <w:cnfStyle w:val="000000100000" w:firstRow="0" w:lastRow="0" w:firstColumn="0" w:lastColumn="0" w:oddVBand="0" w:evenVBand="0" w:oddHBand="1" w:evenHBand="0" w:firstRowFirstColumn="0" w:firstRowLastColumn="0" w:lastRowFirstColumn="0" w:lastRowLastColumn="0"/>
          <w:cantSplit/>
          <w:trHeight w:val="363"/>
        </w:trPr>
        <w:tc>
          <w:tcPr>
            <w:cnfStyle w:val="001000000000" w:firstRow="0" w:lastRow="0" w:firstColumn="1" w:lastColumn="0" w:oddVBand="0" w:evenVBand="0" w:oddHBand="0" w:evenHBand="0" w:firstRowFirstColumn="0" w:firstRowLastColumn="0" w:lastRowFirstColumn="0" w:lastRowLastColumn="0"/>
            <w:tcW w:w="5000" w:type="pct"/>
            <w:gridSpan w:val="3"/>
            <w:tcBorders>
              <w:right w:val="single" w:sz="4" w:space="0" w:color="148A5D" w:themeColor="accent2"/>
            </w:tcBorders>
            <w:shd w:val="clear" w:color="auto" w:fill="E2F1E6" w:themeFill="accent3" w:themeFillTint="33"/>
          </w:tcPr>
          <w:p w14:paraId="50B42897" w14:textId="000E6822" w:rsidR="008506B1" w:rsidRPr="00054E9B" w:rsidRDefault="008506B1" w:rsidP="00B647E9">
            <w:pPr>
              <w:pStyle w:val="Textinthetable"/>
              <w:keepNext/>
              <w:rPr>
                <w:b/>
                <w:bCs/>
                <w:sz w:val="23"/>
                <w:szCs w:val="23"/>
              </w:rPr>
            </w:pPr>
            <w:r w:rsidRPr="00054E9B">
              <w:rPr>
                <w:b/>
                <w:bCs/>
                <w:sz w:val="23"/>
                <w:szCs w:val="23"/>
              </w:rPr>
              <w:t>Statement of Principles</w:t>
            </w:r>
          </w:p>
        </w:tc>
      </w:tr>
      <w:tr w:rsidR="008506B1" w:rsidRPr="00054E9B" w14:paraId="46A25994" w14:textId="77777777" w:rsidTr="00517777">
        <w:trPr>
          <w:cantSplit/>
          <w:trHeight w:val="363"/>
        </w:trPr>
        <w:tc>
          <w:tcPr>
            <w:cnfStyle w:val="001000000000" w:firstRow="0" w:lastRow="0" w:firstColumn="1" w:lastColumn="0" w:oddVBand="0" w:evenVBand="0" w:oddHBand="0" w:evenHBand="0" w:firstRowFirstColumn="0" w:firstRowLastColumn="0" w:lastRowFirstColumn="0" w:lastRowLastColumn="0"/>
            <w:tcW w:w="1362" w:type="pct"/>
          </w:tcPr>
          <w:p w14:paraId="342DC0FC" w14:textId="78413DA5" w:rsidR="008506B1" w:rsidRPr="00054E9B" w:rsidRDefault="008506B1" w:rsidP="00C207D4">
            <w:pPr>
              <w:pStyle w:val="Textinthetable"/>
              <w:rPr>
                <w:sz w:val="23"/>
                <w:szCs w:val="23"/>
              </w:rPr>
            </w:pPr>
            <w:r w:rsidRPr="00054E9B">
              <w:rPr>
                <w:sz w:val="23"/>
                <w:szCs w:val="23"/>
              </w:rPr>
              <w:t>Fair and reasonable recompense for public duties</w:t>
            </w:r>
          </w:p>
        </w:tc>
        <w:tc>
          <w:tcPr>
            <w:tcW w:w="2846" w:type="pct"/>
          </w:tcPr>
          <w:p w14:paraId="3B4C30A3" w14:textId="29AC0270" w:rsidR="008506B1" w:rsidRPr="00054E9B" w:rsidRDefault="008506B1" w:rsidP="007D36E0">
            <w:pPr>
              <w:pStyle w:val="Textinthetable"/>
              <w:numPr>
                <w:ilvl w:val="0"/>
                <w:numId w:val="8"/>
              </w:numPr>
              <w:ind w:left="442"/>
              <w:cnfStyle w:val="000000000000" w:firstRow="0" w:lastRow="0" w:firstColumn="0" w:lastColumn="0" w:oddVBand="0" w:evenVBand="0" w:oddHBand="0" w:evenHBand="0" w:firstRowFirstColumn="0" w:firstRowLastColumn="0" w:lastRowFirstColumn="0" w:lastRowLastColumn="0"/>
              <w:rPr>
                <w:b w:val="0"/>
                <w:bCs w:val="0"/>
                <w:sz w:val="23"/>
                <w:szCs w:val="23"/>
              </w:rPr>
            </w:pPr>
            <w:r w:rsidRPr="00054E9B">
              <w:rPr>
                <w:b w:val="0"/>
                <w:bCs w:val="0"/>
                <w:sz w:val="23"/>
                <w:szCs w:val="23"/>
              </w:rPr>
              <w:t>A Member should receive fair and reasonable</w:t>
            </w:r>
            <w:r w:rsidR="00F527FA" w:rsidRPr="00054E9B">
              <w:rPr>
                <w:b w:val="0"/>
                <w:bCs w:val="0"/>
                <w:sz w:val="23"/>
                <w:szCs w:val="23"/>
              </w:rPr>
              <w:t xml:space="preserve"> </w:t>
            </w:r>
            <w:r w:rsidRPr="00054E9B">
              <w:rPr>
                <w:b w:val="0"/>
                <w:bCs w:val="0"/>
                <w:sz w:val="23"/>
                <w:szCs w:val="23"/>
              </w:rPr>
              <w:t>recompense for performing their public duties.</w:t>
            </w:r>
          </w:p>
          <w:p w14:paraId="5A514987" w14:textId="0FBF2502" w:rsidR="008506B1" w:rsidRPr="00054E9B" w:rsidRDefault="008506B1" w:rsidP="007D36E0">
            <w:pPr>
              <w:pStyle w:val="Textinthetable"/>
              <w:numPr>
                <w:ilvl w:val="0"/>
                <w:numId w:val="8"/>
              </w:numPr>
              <w:ind w:left="442"/>
              <w:cnfStyle w:val="000000000000" w:firstRow="0" w:lastRow="0" w:firstColumn="0" w:lastColumn="0" w:oddVBand="0" w:evenVBand="0" w:oddHBand="0" w:evenHBand="0" w:firstRowFirstColumn="0" w:firstRowLastColumn="0" w:lastRowFirstColumn="0" w:lastRowLastColumn="0"/>
              <w:rPr>
                <w:b w:val="0"/>
                <w:bCs w:val="0"/>
                <w:sz w:val="23"/>
                <w:szCs w:val="23"/>
              </w:rPr>
            </w:pPr>
            <w:r w:rsidRPr="00054E9B">
              <w:rPr>
                <w:b w:val="0"/>
                <w:bCs w:val="0"/>
                <w:sz w:val="23"/>
                <w:szCs w:val="23"/>
              </w:rPr>
              <w:t>Public resources are provided to a Member to</w:t>
            </w:r>
            <w:r w:rsidR="00F527FA" w:rsidRPr="00054E9B">
              <w:rPr>
                <w:b w:val="0"/>
                <w:bCs w:val="0"/>
                <w:sz w:val="23"/>
                <w:szCs w:val="23"/>
              </w:rPr>
              <w:t xml:space="preserve"> </w:t>
            </w:r>
            <w:r w:rsidRPr="00054E9B">
              <w:rPr>
                <w:b w:val="0"/>
                <w:bCs w:val="0"/>
                <w:sz w:val="23"/>
                <w:szCs w:val="23"/>
              </w:rPr>
              <w:t>support them in performing their public duties.</w:t>
            </w:r>
          </w:p>
        </w:tc>
        <w:tc>
          <w:tcPr>
            <w:tcW w:w="792" w:type="pct"/>
          </w:tcPr>
          <w:p w14:paraId="7B7EB2E8" w14:textId="2B3DC6FB" w:rsidR="008506B1" w:rsidRPr="00054E9B" w:rsidRDefault="008506B1" w:rsidP="008506B1">
            <w:pPr>
              <w:pStyle w:val="Textinthetable"/>
              <w:jc w:val="center"/>
              <w:cnfStyle w:val="000000000000" w:firstRow="0" w:lastRow="0" w:firstColumn="0" w:lastColumn="0" w:oddVBand="0" w:evenVBand="0" w:oddHBand="0" w:evenHBand="0" w:firstRowFirstColumn="0" w:firstRowLastColumn="0" w:lastRowFirstColumn="0" w:lastRowLastColumn="0"/>
              <w:rPr>
                <w:b w:val="0"/>
                <w:bCs w:val="0"/>
                <w:sz w:val="23"/>
                <w:szCs w:val="23"/>
              </w:rPr>
            </w:pPr>
            <w:r w:rsidRPr="00054E9B">
              <w:rPr>
                <w:b w:val="0"/>
                <w:bCs w:val="0"/>
                <w:sz w:val="23"/>
                <w:szCs w:val="23"/>
              </w:rPr>
              <w:t>s 4A</w:t>
            </w:r>
          </w:p>
        </w:tc>
      </w:tr>
      <w:tr w:rsidR="008506B1" w:rsidRPr="00054E9B" w14:paraId="37B462E8" w14:textId="77777777" w:rsidTr="005177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62" w:type="pct"/>
          </w:tcPr>
          <w:p w14:paraId="5D5360CD" w14:textId="3DDAF634" w:rsidR="008506B1" w:rsidRPr="00054E9B" w:rsidRDefault="008506B1" w:rsidP="00C207D4">
            <w:pPr>
              <w:pStyle w:val="Textinthetable"/>
              <w:rPr>
                <w:sz w:val="23"/>
                <w:szCs w:val="23"/>
              </w:rPr>
            </w:pPr>
            <w:r w:rsidRPr="00054E9B">
              <w:rPr>
                <w:sz w:val="23"/>
                <w:szCs w:val="23"/>
              </w:rPr>
              <w:t>Good faith and integrity</w:t>
            </w:r>
          </w:p>
          <w:p w14:paraId="62B570BD" w14:textId="77777777" w:rsidR="008506B1" w:rsidRPr="00054E9B" w:rsidRDefault="008506B1" w:rsidP="00C207D4">
            <w:pPr>
              <w:pStyle w:val="Textinthetable"/>
              <w:rPr>
                <w:sz w:val="23"/>
                <w:szCs w:val="23"/>
              </w:rPr>
            </w:pPr>
          </w:p>
        </w:tc>
        <w:tc>
          <w:tcPr>
            <w:tcW w:w="2846" w:type="pct"/>
          </w:tcPr>
          <w:p w14:paraId="65B2DB73" w14:textId="18D3C6BC" w:rsidR="008506B1" w:rsidRPr="00054E9B" w:rsidRDefault="008506B1" w:rsidP="007D36E0">
            <w:pPr>
              <w:pStyle w:val="Textinthetable"/>
              <w:numPr>
                <w:ilvl w:val="0"/>
                <w:numId w:val="9"/>
              </w:numPr>
              <w:ind w:left="442"/>
              <w:cnfStyle w:val="000000100000" w:firstRow="0" w:lastRow="0" w:firstColumn="0" w:lastColumn="0" w:oddVBand="0" w:evenVBand="0" w:oddHBand="1" w:evenHBand="0" w:firstRowFirstColumn="0" w:firstRowLastColumn="0" w:lastRowFirstColumn="0" w:lastRowLastColumn="0"/>
              <w:rPr>
                <w:b w:val="0"/>
                <w:bCs w:val="0"/>
                <w:sz w:val="23"/>
                <w:szCs w:val="23"/>
              </w:rPr>
            </w:pPr>
            <w:r w:rsidRPr="00054E9B">
              <w:rPr>
                <w:b w:val="0"/>
                <w:bCs w:val="0"/>
                <w:sz w:val="23"/>
                <w:szCs w:val="23"/>
              </w:rPr>
              <w:t>A Member must act ethically, reasonably and in</w:t>
            </w:r>
            <w:r w:rsidR="00F527FA" w:rsidRPr="00054E9B">
              <w:rPr>
                <w:b w:val="0"/>
                <w:bCs w:val="0"/>
                <w:sz w:val="23"/>
                <w:szCs w:val="23"/>
              </w:rPr>
              <w:t xml:space="preserve"> </w:t>
            </w:r>
            <w:r w:rsidRPr="00054E9B">
              <w:rPr>
                <w:b w:val="0"/>
                <w:bCs w:val="0"/>
                <w:sz w:val="23"/>
                <w:szCs w:val="23"/>
              </w:rPr>
              <w:t>good faith when using, and accounting for the use</w:t>
            </w:r>
            <w:r w:rsidR="00F527FA" w:rsidRPr="00054E9B">
              <w:rPr>
                <w:b w:val="0"/>
                <w:bCs w:val="0"/>
                <w:sz w:val="23"/>
                <w:szCs w:val="23"/>
              </w:rPr>
              <w:t xml:space="preserve"> </w:t>
            </w:r>
            <w:r w:rsidRPr="00054E9B">
              <w:rPr>
                <w:b w:val="0"/>
                <w:bCs w:val="0"/>
                <w:sz w:val="23"/>
                <w:szCs w:val="23"/>
              </w:rPr>
              <w:t>of, public resources in relation to the performance of their public duties.</w:t>
            </w:r>
          </w:p>
        </w:tc>
        <w:tc>
          <w:tcPr>
            <w:tcW w:w="792" w:type="pct"/>
          </w:tcPr>
          <w:p w14:paraId="1999ADFC" w14:textId="622FF407" w:rsidR="008506B1" w:rsidRPr="00054E9B" w:rsidRDefault="008506B1" w:rsidP="008506B1">
            <w:pPr>
              <w:pStyle w:val="Textinthetable"/>
              <w:jc w:val="center"/>
              <w:cnfStyle w:val="000000100000" w:firstRow="0" w:lastRow="0" w:firstColumn="0" w:lastColumn="0" w:oddVBand="0" w:evenVBand="0" w:oddHBand="1" w:evenHBand="0" w:firstRowFirstColumn="0" w:firstRowLastColumn="0" w:lastRowFirstColumn="0" w:lastRowLastColumn="0"/>
              <w:rPr>
                <w:b w:val="0"/>
                <w:bCs w:val="0"/>
                <w:sz w:val="23"/>
                <w:szCs w:val="23"/>
              </w:rPr>
            </w:pPr>
            <w:r w:rsidRPr="00054E9B">
              <w:rPr>
                <w:b w:val="0"/>
                <w:bCs w:val="0"/>
                <w:sz w:val="23"/>
                <w:szCs w:val="23"/>
              </w:rPr>
              <w:t>s 4B</w:t>
            </w:r>
          </w:p>
        </w:tc>
      </w:tr>
      <w:tr w:rsidR="008506B1" w:rsidRPr="00054E9B" w14:paraId="08CC4EFC" w14:textId="77777777" w:rsidTr="00517777">
        <w:trPr>
          <w:cantSplit/>
        </w:trPr>
        <w:tc>
          <w:tcPr>
            <w:cnfStyle w:val="001000000000" w:firstRow="0" w:lastRow="0" w:firstColumn="1" w:lastColumn="0" w:oddVBand="0" w:evenVBand="0" w:oddHBand="0" w:evenHBand="0" w:firstRowFirstColumn="0" w:firstRowLastColumn="0" w:lastRowFirstColumn="0" w:lastRowLastColumn="0"/>
            <w:tcW w:w="1362" w:type="pct"/>
          </w:tcPr>
          <w:p w14:paraId="11460C09" w14:textId="1DCD18CA" w:rsidR="008506B1" w:rsidRPr="00054E9B" w:rsidRDefault="008506B1" w:rsidP="00C207D4">
            <w:pPr>
              <w:pStyle w:val="Textinthetable"/>
              <w:rPr>
                <w:sz w:val="23"/>
                <w:szCs w:val="23"/>
              </w:rPr>
            </w:pPr>
            <w:r w:rsidRPr="00054E9B">
              <w:rPr>
                <w:sz w:val="23"/>
                <w:szCs w:val="23"/>
              </w:rPr>
              <w:t>Personal responsibility and accountability</w:t>
            </w:r>
          </w:p>
        </w:tc>
        <w:tc>
          <w:tcPr>
            <w:tcW w:w="2846" w:type="pct"/>
          </w:tcPr>
          <w:p w14:paraId="0FE7C150" w14:textId="208B0248" w:rsidR="008506B1" w:rsidRPr="00054E9B" w:rsidRDefault="00F527FA" w:rsidP="007D36E0">
            <w:pPr>
              <w:pStyle w:val="Textinthetable"/>
              <w:numPr>
                <w:ilvl w:val="0"/>
                <w:numId w:val="9"/>
              </w:numPr>
              <w:ind w:left="442"/>
              <w:cnfStyle w:val="000000000000" w:firstRow="0" w:lastRow="0" w:firstColumn="0" w:lastColumn="0" w:oddVBand="0" w:evenVBand="0" w:oddHBand="0" w:evenHBand="0" w:firstRowFirstColumn="0" w:firstRowLastColumn="0" w:lastRowFirstColumn="0" w:lastRowLastColumn="0"/>
              <w:rPr>
                <w:b w:val="0"/>
                <w:bCs w:val="0"/>
                <w:sz w:val="23"/>
                <w:szCs w:val="23"/>
              </w:rPr>
            </w:pPr>
            <w:r w:rsidRPr="00054E9B">
              <w:rPr>
                <w:b w:val="0"/>
                <w:bCs w:val="0"/>
                <w:sz w:val="23"/>
                <w:szCs w:val="23"/>
              </w:rPr>
              <w:t>A Member must be responsible and accountable for their use of public resources.</w:t>
            </w:r>
          </w:p>
          <w:p w14:paraId="4AD7F27D" w14:textId="6F4E26A6" w:rsidR="00F527FA" w:rsidRPr="00054E9B" w:rsidRDefault="00F527FA" w:rsidP="007D36E0">
            <w:pPr>
              <w:pStyle w:val="Textinthetable"/>
              <w:numPr>
                <w:ilvl w:val="0"/>
                <w:numId w:val="9"/>
              </w:numPr>
              <w:ind w:left="442"/>
              <w:cnfStyle w:val="000000000000" w:firstRow="0" w:lastRow="0" w:firstColumn="0" w:lastColumn="0" w:oddVBand="0" w:evenVBand="0" w:oddHBand="0" w:evenHBand="0" w:firstRowFirstColumn="0" w:firstRowLastColumn="0" w:lastRowFirstColumn="0" w:lastRowLastColumn="0"/>
              <w:rPr>
                <w:b w:val="0"/>
                <w:bCs w:val="0"/>
                <w:sz w:val="23"/>
                <w:szCs w:val="23"/>
              </w:rPr>
            </w:pPr>
            <w:r w:rsidRPr="00054E9B">
              <w:rPr>
                <w:b w:val="0"/>
                <w:bCs w:val="0"/>
                <w:sz w:val="23"/>
                <w:szCs w:val="23"/>
              </w:rPr>
              <w:t>A Member must be prepared for their claims to be made publicly available.</w:t>
            </w:r>
          </w:p>
          <w:p w14:paraId="47486ED0" w14:textId="189A2290" w:rsidR="00F527FA" w:rsidRPr="00054E9B" w:rsidRDefault="00F527FA" w:rsidP="007D36E0">
            <w:pPr>
              <w:pStyle w:val="Textinthetable"/>
              <w:numPr>
                <w:ilvl w:val="0"/>
                <w:numId w:val="9"/>
              </w:numPr>
              <w:ind w:left="442"/>
              <w:cnfStyle w:val="000000000000" w:firstRow="0" w:lastRow="0" w:firstColumn="0" w:lastColumn="0" w:oddVBand="0" w:evenVBand="0" w:oddHBand="0" w:evenHBand="0" w:firstRowFirstColumn="0" w:firstRowLastColumn="0" w:lastRowFirstColumn="0" w:lastRowLastColumn="0"/>
              <w:rPr>
                <w:b w:val="0"/>
                <w:bCs w:val="0"/>
                <w:sz w:val="23"/>
                <w:szCs w:val="23"/>
              </w:rPr>
            </w:pPr>
            <w:r w:rsidRPr="00054E9B">
              <w:rPr>
                <w:b w:val="0"/>
                <w:bCs w:val="0"/>
                <w:sz w:val="23"/>
                <w:szCs w:val="23"/>
              </w:rPr>
              <w:t>A Member must be able to publicly justify their use of public resources.</w:t>
            </w:r>
          </w:p>
        </w:tc>
        <w:tc>
          <w:tcPr>
            <w:tcW w:w="792" w:type="pct"/>
          </w:tcPr>
          <w:p w14:paraId="40D00E95" w14:textId="6F2EF3A0" w:rsidR="008506B1" w:rsidRPr="00054E9B" w:rsidRDefault="008506B1" w:rsidP="008506B1">
            <w:pPr>
              <w:pStyle w:val="Textinthetable"/>
              <w:jc w:val="center"/>
              <w:cnfStyle w:val="000000000000" w:firstRow="0" w:lastRow="0" w:firstColumn="0" w:lastColumn="0" w:oddVBand="0" w:evenVBand="0" w:oddHBand="0" w:evenHBand="0" w:firstRowFirstColumn="0" w:firstRowLastColumn="0" w:lastRowFirstColumn="0" w:lastRowLastColumn="0"/>
              <w:rPr>
                <w:b w:val="0"/>
                <w:bCs w:val="0"/>
                <w:sz w:val="23"/>
                <w:szCs w:val="23"/>
              </w:rPr>
            </w:pPr>
            <w:r w:rsidRPr="00054E9B">
              <w:rPr>
                <w:b w:val="0"/>
                <w:bCs w:val="0"/>
                <w:sz w:val="23"/>
                <w:szCs w:val="23"/>
              </w:rPr>
              <w:t>s 4C</w:t>
            </w:r>
          </w:p>
        </w:tc>
      </w:tr>
      <w:tr w:rsidR="008506B1" w:rsidRPr="00054E9B" w14:paraId="41AC4CB7" w14:textId="77777777" w:rsidTr="00054E9B">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000" w:type="pct"/>
            <w:gridSpan w:val="3"/>
            <w:tcBorders>
              <w:right w:val="single" w:sz="4" w:space="0" w:color="148A5D" w:themeColor="accent2"/>
            </w:tcBorders>
            <w:shd w:val="clear" w:color="auto" w:fill="E2F1E6" w:themeFill="accent3" w:themeFillTint="33"/>
            <w:vAlign w:val="center"/>
          </w:tcPr>
          <w:p w14:paraId="07CC3F7D" w14:textId="2D2D9E2E" w:rsidR="008506B1" w:rsidRPr="00054E9B" w:rsidRDefault="008506B1" w:rsidP="00054E9B">
            <w:pPr>
              <w:pStyle w:val="Textinthetable"/>
              <w:rPr>
                <w:b/>
                <w:bCs/>
                <w:sz w:val="23"/>
                <w:szCs w:val="23"/>
              </w:rPr>
            </w:pPr>
            <w:r w:rsidRPr="00054E9B">
              <w:rPr>
                <w:b/>
                <w:bCs/>
                <w:sz w:val="23"/>
                <w:szCs w:val="23"/>
              </w:rPr>
              <w:t>Compliance framework principles and tests</w:t>
            </w:r>
          </w:p>
        </w:tc>
      </w:tr>
      <w:tr w:rsidR="008506B1" w:rsidRPr="00054E9B" w14:paraId="7DC34F8E" w14:textId="77777777" w:rsidTr="00517777">
        <w:trPr>
          <w:cantSplit/>
        </w:trPr>
        <w:tc>
          <w:tcPr>
            <w:cnfStyle w:val="001000000000" w:firstRow="0" w:lastRow="0" w:firstColumn="1" w:lastColumn="0" w:oddVBand="0" w:evenVBand="0" w:oddHBand="0" w:evenHBand="0" w:firstRowFirstColumn="0" w:firstRowLastColumn="0" w:lastRowFirstColumn="0" w:lastRowLastColumn="0"/>
            <w:tcW w:w="1362" w:type="pct"/>
          </w:tcPr>
          <w:p w14:paraId="6CF7E4A5" w14:textId="0F3CFFD9" w:rsidR="008506B1" w:rsidRPr="00054E9B" w:rsidRDefault="00F527FA" w:rsidP="00C207D4">
            <w:pPr>
              <w:pStyle w:val="Textinthetable"/>
              <w:rPr>
                <w:sz w:val="23"/>
                <w:szCs w:val="23"/>
              </w:rPr>
            </w:pPr>
            <w:r w:rsidRPr="00054E9B">
              <w:rPr>
                <w:sz w:val="23"/>
                <w:szCs w:val="23"/>
              </w:rPr>
              <w:t>Value for money</w:t>
            </w:r>
          </w:p>
        </w:tc>
        <w:tc>
          <w:tcPr>
            <w:tcW w:w="2846" w:type="pct"/>
          </w:tcPr>
          <w:p w14:paraId="7D0B8F0A" w14:textId="54A1527F" w:rsidR="008506B1" w:rsidRPr="00054E9B" w:rsidRDefault="00054E9B" w:rsidP="007D36E0">
            <w:pPr>
              <w:pStyle w:val="Textinthetable"/>
              <w:numPr>
                <w:ilvl w:val="0"/>
                <w:numId w:val="10"/>
              </w:numPr>
              <w:ind w:left="442"/>
              <w:cnfStyle w:val="000000000000" w:firstRow="0" w:lastRow="0" w:firstColumn="0" w:lastColumn="0" w:oddVBand="0" w:evenVBand="0" w:oddHBand="0" w:evenHBand="0" w:firstRowFirstColumn="0" w:firstRowLastColumn="0" w:lastRowFirstColumn="0" w:lastRowLastColumn="0"/>
              <w:rPr>
                <w:b w:val="0"/>
                <w:bCs w:val="0"/>
                <w:sz w:val="23"/>
                <w:szCs w:val="23"/>
              </w:rPr>
            </w:pPr>
            <w:r w:rsidRPr="00054E9B">
              <w:rPr>
                <w:b w:val="0"/>
                <w:bCs w:val="0"/>
                <w:sz w:val="23"/>
                <w:szCs w:val="23"/>
              </w:rPr>
              <w:t>A Member must provide value for money in using their work-related parliamentary allowances and Budget by ensuring that the costs incurred are reasonable and proportionate to the costs of performing their public duties.</w:t>
            </w:r>
          </w:p>
        </w:tc>
        <w:tc>
          <w:tcPr>
            <w:tcW w:w="792" w:type="pct"/>
          </w:tcPr>
          <w:p w14:paraId="3F7B71A3" w14:textId="7CD39B90" w:rsidR="008506B1" w:rsidRPr="00054E9B" w:rsidRDefault="00F527FA" w:rsidP="008506B1">
            <w:pPr>
              <w:pStyle w:val="Textinthetable"/>
              <w:jc w:val="center"/>
              <w:cnfStyle w:val="000000000000" w:firstRow="0" w:lastRow="0" w:firstColumn="0" w:lastColumn="0" w:oddVBand="0" w:evenVBand="0" w:oddHBand="0" w:evenHBand="0" w:firstRowFirstColumn="0" w:firstRowLastColumn="0" w:lastRowFirstColumn="0" w:lastRowLastColumn="0"/>
              <w:rPr>
                <w:b w:val="0"/>
                <w:bCs w:val="0"/>
                <w:sz w:val="23"/>
                <w:szCs w:val="23"/>
              </w:rPr>
            </w:pPr>
            <w:r w:rsidRPr="00054E9B">
              <w:rPr>
                <w:b w:val="0"/>
                <w:bCs w:val="0"/>
                <w:sz w:val="23"/>
                <w:szCs w:val="23"/>
              </w:rPr>
              <w:t>s 9A</w:t>
            </w:r>
          </w:p>
        </w:tc>
      </w:tr>
      <w:tr w:rsidR="008506B1" w:rsidRPr="00054E9B" w14:paraId="7B15BFB9" w14:textId="77777777" w:rsidTr="005177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62" w:type="pct"/>
          </w:tcPr>
          <w:p w14:paraId="6D311093" w14:textId="177C0160" w:rsidR="008506B1" w:rsidRPr="00054E9B" w:rsidRDefault="00F527FA" w:rsidP="00C207D4">
            <w:pPr>
              <w:pStyle w:val="Textinthetable"/>
              <w:rPr>
                <w:sz w:val="23"/>
                <w:szCs w:val="23"/>
              </w:rPr>
            </w:pPr>
            <w:r w:rsidRPr="00054E9B">
              <w:rPr>
                <w:sz w:val="23"/>
                <w:szCs w:val="23"/>
              </w:rPr>
              <w:t>Dominant purpose test</w:t>
            </w:r>
          </w:p>
        </w:tc>
        <w:tc>
          <w:tcPr>
            <w:tcW w:w="2846" w:type="pct"/>
          </w:tcPr>
          <w:p w14:paraId="71B7D249" w14:textId="0D4C27D1" w:rsidR="00054E9B" w:rsidRPr="00054E9B" w:rsidRDefault="00054E9B" w:rsidP="007D36E0">
            <w:pPr>
              <w:pStyle w:val="Textinthetable"/>
              <w:numPr>
                <w:ilvl w:val="0"/>
                <w:numId w:val="10"/>
              </w:numPr>
              <w:ind w:left="442"/>
              <w:cnfStyle w:val="000000100000" w:firstRow="0" w:lastRow="0" w:firstColumn="0" w:lastColumn="0" w:oddVBand="0" w:evenVBand="0" w:oddHBand="1" w:evenHBand="0" w:firstRowFirstColumn="0" w:firstRowLastColumn="0" w:lastRowFirstColumn="0" w:lastRowLastColumn="0"/>
              <w:rPr>
                <w:b w:val="0"/>
                <w:bCs w:val="0"/>
                <w:sz w:val="23"/>
                <w:szCs w:val="23"/>
              </w:rPr>
            </w:pPr>
            <w:r w:rsidRPr="00054E9B">
              <w:rPr>
                <w:b w:val="0"/>
                <w:bCs w:val="0"/>
                <w:sz w:val="23"/>
                <w:szCs w:val="23"/>
              </w:rPr>
              <w:t>A Member must not claim or use a work-related parliamentary allowance or their Budget unless it is claimed for the dominant purpose of performing their public duties.</w:t>
            </w:r>
          </w:p>
          <w:p w14:paraId="0E55C374" w14:textId="5DF73F79" w:rsidR="008506B1" w:rsidRPr="00054E9B" w:rsidRDefault="00054E9B" w:rsidP="007D36E0">
            <w:pPr>
              <w:pStyle w:val="Textinthetable"/>
              <w:numPr>
                <w:ilvl w:val="0"/>
                <w:numId w:val="10"/>
              </w:numPr>
              <w:ind w:left="442"/>
              <w:cnfStyle w:val="000000100000" w:firstRow="0" w:lastRow="0" w:firstColumn="0" w:lastColumn="0" w:oddVBand="0" w:evenVBand="0" w:oddHBand="1" w:evenHBand="0" w:firstRowFirstColumn="0" w:firstRowLastColumn="0" w:lastRowFirstColumn="0" w:lastRowLastColumn="0"/>
              <w:rPr>
                <w:b w:val="0"/>
                <w:bCs w:val="0"/>
                <w:sz w:val="23"/>
                <w:szCs w:val="23"/>
              </w:rPr>
            </w:pPr>
            <w:r w:rsidRPr="00054E9B">
              <w:rPr>
                <w:b w:val="0"/>
                <w:bCs w:val="0"/>
                <w:sz w:val="23"/>
                <w:szCs w:val="23"/>
              </w:rPr>
              <w:t>A Member can only claim or use a work-related parliamentary allowance or their Budget for the travel expenses of another individual if that individual's travel is essential to support and execute the Member's public duties.</w:t>
            </w:r>
          </w:p>
        </w:tc>
        <w:tc>
          <w:tcPr>
            <w:tcW w:w="792" w:type="pct"/>
          </w:tcPr>
          <w:p w14:paraId="0B37E9EC" w14:textId="1712E3FB" w:rsidR="008506B1" w:rsidRPr="00054E9B" w:rsidRDefault="00F527FA" w:rsidP="008506B1">
            <w:pPr>
              <w:pStyle w:val="Textinthetable"/>
              <w:jc w:val="center"/>
              <w:cnfStyle w:val="000000100000" w:firstRow="0" w:lastRow="0" w:firstColumn="0" w:lastColumn="0" w:oddVBand="0" w:evenVBand="0" w:oddHBand="1" w:evenHBand="0" w:firstRowFirstColumn="0" w:firstRowLastColumn="0" w:lastRowFirstColumn="0" w:lastRowLastColumn="0"/>
              <w:rPr>
                <w:b w:val="0"/>
                <w:bCs w:val="0"/>
                <w:sz w:val="23"/>
                <w:szCs w:val="23"/>
              </w:rPr>
            </w:pPr>
            <w:r w:rsidRPr="00054E9B">
              <w:rPr>
                <w:b w:val="0"/>
                <w:bCs w:val="0"/>
                <w:sz w:val="23"/>
                <w:szCs w:val="23"/>
              </w:rPr>
              <w:t>s 9B</w:t>
            </w:r>
          </w:p>
        </w:tc>
      </w:tr>
      <w:tr w:rsidR="00F527FA" w:rsidRPr="00054E9B" w14:paraId="68CDCAC3" w14:textId="77777777" w:rsidTr="00517777">
        <w:trPr>
          <w:cantSplit/>
        </w:trPr>
        <w:tc>
          <w:tcPr>
            <w:cnfStyle w:val="001000000000" w:firstRow="0" w:lastRow="0" w:firstColumn="1" w:lastColumn="0" w:oddVBand="0" w:evenVBand="0" w:oddHBand="0" w:evenHBand="0" w:firstRowFirstColumn="0" w:firstRowLastColumn="0" w:lastRowFirstColumn="0" w:lastRowLastColumn="0"/>
            <w:tcW w:w="1362" w:type="pct"/>
          </w:tcPr>
          <w:p w14:paraId="15043F22" w14:textId="5E6EC6C1" w:rsidR="00F527FA" w:rsidRPr="00054E9B" w:rsidRDefault="00054E9B" w:rsidP="00C207D4">
            <w:pPr>
              <w:pStyle w:val="Textinthetable"/>
              <w:rPr>
                <w:sz w:val="23"/>
                <w:szCs w:val="23"/>
              </w:rPr>
            </w:pPr>
            <w:r w:rsidRPr="00054E9B">
              <w:rPr>
                <w:sz w:val="23"/>
                <w:szCs w:val="23"/>
              </w:rPr>
              <w:t>Responsible and legitimate use in connection with public duties</w:t>
            </w:r>
          </w:p>
        </w:tc>
        <w:tc>
          <w:tcPr>
            <w:tcW w:w="2846" w:type="pct"/>
          </w:tcPr>
          <w:p w14:paraId="5EF6CAA0" w14:textId="09BAA5CB" w:rsidR="00F527FA" w:rsidRPr="00054E9B" w:rsidRDefault="00054E9B" w:rsidP="007D36E0">
            <w:pPr>
              <w:pStyle w:val="Textinthetable"/>
              <w:numPr>
                <w:ilvl w:val="0"/>
                <w:numId w:val="11"/>
              </w:numPr>
              <w:ind w:left="442"/>
              <w:cnfStyle w:val="000000000000" w:firstRow="0" w:lastRow="0" w:firstColumn="0" w:lastColumn="0" w:oddVBand="0" w:evenVBand="0" w:oddHBand="0" w:evenHBand="0" w:firstRowFirstColumn="0" w:firstRowLastColumn="0" w:lastRowFirstColumn="0" w:lastRowLastColumn="0"/>
              <w:rPr>
                <w:b w:val="0"/>
                <w:bCs w:val="0"/>
                <w:sz w:val="23"/>
                <w:szCs w:val="23"/>
              </w:rPr>
            </w:pPr>
            <w:r w:rsidRPr="00054E9B">
              <w:rPr>
                <w:b w:val="0"/>
                <w:bCs w:val="0"/>
                <w:sz w:val="23"/>
                <w:szCs w:val="23"/>
              </w:rPr>
              <w:t>A Member must claim or use work-related parliamentary allowances and the Budget provided to them responsibly and only for legitimate purposes in connection with their public duties.</w:t>
            </w:r>
          </w:p>
        </w:tc>
        <w:tc>
          <w:tcPr>
            <w:tcW w:w="792" w:type="pct"/>
          </w:tcPr>
          <w:p w14:paraId="3CC83CB5" w14:textId="2673DA0E" w:rsidR="00F527FA" w:rsidRPr="00054E9B" w:rsidRDefault="00F527FA" w:rsidP="008506B1">
            <w:pPr>
              <w:pStyle w:val="Textinthetable"/>
              <w:jc w:val="center"/>
              <w:cnfStyle w:val="000000000000" w:firstRow="0" w:lastRow="0" w:firstColumn="0" w:lastColumn="0" w:oddVBand="0" w:evenVBand="0" w:oddHBand="0" w:evenHBand="0" w:firstRowFirstColumn="0" w:firstRowLastColumn="0" w:lastRowFirstColumn="0" w:lastRowLastColumn="0"/>
              <w:rPr>
                <w:b w:val="0"/>
                <w:bCs w:val="0"/>
                <w:sz w:val="23"/>
                <w:szCs w:val="23"/>
              </w:rPr>
            </w:pPr>
            <w:r w:rsidRPr="00054E9B">
              <w:rPr>
                <w:b w:val="0"/>
                <w:bCs w:val="0"/>
                <w:sz w:val="23"/>
                <w:szCs w:val="23"/>
              </w:rPr>
              <w:t>s 9C</w:t>
            </w:r>
            <w:r w:rsidR="00054E9B" w:rsidRPr="00054E9B">
              <w:rPr>
                <w:b w:val="0"/>
                <w:bCs w:val="0"/>
                <w:sz w:val="23"/>
                <w:szCs w:val="23"/>
              </w:rPr>
              <w:t>(1)</w:t>
            </w:r>
          </w:p>
        </w:tc>
      </w:tr>
      <w:tr w:rsidR="00054E9B" w:rsidRPr="00054E9B" w14:paraId="49953D50" w14:textId="77777777" w:rsidTr="005177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362" w:type="pct"/>
          </w:tcPr>
          <w:p w14:paraId="11199DBB" w14:textId="099F75B6" w:rsidR="00054E9B" w:rsidRPr="00054E9B" w:rsidRDefault="00054E9B" w:rsidP="00C207D4">
            <w:pPr>
              <w:pStyle w:val="Textinthetable"/>
              <w:rPr>
                <w:sz w:val="23"/>
                <w:szCs w:val="23"/>
              </w:rPr>
            </w:pPr>
            <w:r w:rsidRPr="00054E9B">
              <w:rPr>
                <w:sz w:val="23"/>
                <w:szCs w:val="23"/>
              </w:rPr>
              <w:t>Compliance with the Guidelines</w:t>
            </w:r>
          </w:p>
        </w:tc>
        <w:tc>
          <w:tcPr>
            <w:tcW w:w="2846" w:type="pct"/>
          </w:tcPr>
          <w:p w14:paraId="1EC4BD9E" w14:textId="1BFA69BD" w:rsidR="00054E9B" w:rsidRPr="00054E9B" w:rsidRDefault="00054E9B" w:rsidP="007D36E0">
            <w:pPr>
              <w:pStyle w:val="Textinthetable"/>
              <w:numPr>
                <w:ilvl w:val="0"/>
                <w:numId w:val="11"/>
              </w:numPr>
              <w:ind w:left="442"/>
              <w:cnfStyle w:val="000000100000" w:firstRow="0" w:lastRow="0" w:firstColumn="0" w:lastColumn="0" w:oddVBand="0" w:evenVBand="0" w:oddHBand="1" w:evenHBand="0" w:firstRowFirstColumn="0" w:firstRowLastColumn="0" w:lastRowFirstColumn="0" w:lastRowLastColumn="0"/>
              <w:rPr>
                <w:b w:val="0"/>
                <w:bCs w:val="0"/>
                <w:sz w:val="23"/>
                <w:szCs w:val="23"/>
              </w:rPr>
            </w:pPr>
            <w:r w:rsidRPr="00054E9B">
              <w:rPr>
                <w:b w:val="0"/>
                <w:bCs w:val="0"/>
                <w:sz w:val="23"/>
                <w:szCs w:val="23"/>
              </w:rPr>
              <w:t>A Member must be aware of, and comply with, the Tribunal Guidelines and the terms and conditions that apply to the provision, claim and use of the work-related parliamentary allowances and the Budget.</w:t>
            </w:r>
          </w:p>
        </w:tc>
        <w:tc>
          <w:tcPr>
            <w:tcW w:w="792" w:type="pct"/>
          </w:tcPr>
          <w:p w14:paraId="7CAB1017" w14:textId="5677DFF5" w:rsidR="00054E9B" w:rsidRPr="00054E9B" w:rsidRDefault="00054E9B" w:rsidP="008506B1">
            <w:pPr>
              <w:pStyle w:val="Textinthetable"/>
              <w:jc w:val="center"/>
              <w:cnfStyle w:val="000000100000" w:firstRow="0" w:lastRow="0" w:firstColumn="0" w:lastColumn="0" w:oddVBand="0" w:evenVBand="0" w:oddHBand="1" w:evenHBand="0" w:firstRowFirstColumn="0" w:firstRowLastColumn="0" w:lastRowFirstColumn="0" w:lastRowLastColumn="0"/>
              <w:rPr>
                <w:b w:val="0"/>
                <w:bCs w:val="0"/>
                <w:sz w:val="23"/>
                <w:szCs w:val="23"/>
              </w:rPr>
            </w:pPr>
            <w:r w:rsidRPr="00054E9B">
              <w:rPr>
                <w:b w:val="0"/>
                <w:bCs w:val="0"/>
                <w:sz w:val="23"/>
                <w:szCs w:val="23"/>
              </w:rPr>
              <w:t>s 9C(3)</w:t>
            </w:r>
          </w:p>
        </w:tc>
      </w:tr>
    </w:tbl>
    <w:p w14:paraId="2949BB70" w14:textId="39C13B44" w:rsidR="00054E9B" w:rsidRDefault="00054E9B" w:rsidP="00054E9B">
      <w:pPr>
        <w:pStyle w:val="VIRTHeading3"/>
      </w:pPr>
      <w:r>
        <w:t>Other aspects of the compliance framework</w:t>
      </w:r>
    </w:p>
    <w:p w14:paraId="2105E2E3" w14:textId="31AAC77F" w:rsidR="00054E9B" w:rsidRDefault="000163FE" w:rsidP="00517777">
      <w:pPr>
        <w:pStyle w:val="Paragraph"/>
      </w:pPr>
      <w:r w:rsidRPr="00562AF4">
        <w:t xml:space="preserve">The </w:t>
      </w:r>
      <w:r w:rsidR="00054E9B">
        <w:t>broader compliance framework is designed to ensure that public resources made available to MPs are used responsibly, transparently and in accordance with legal obligations.</w:t>
      </w:r>
    </w:p>
    <w:p w14:paraId="7FB41346" w14:textId="126CC662" w:rsidR="00054E9B" w:rsidRDefault="00054E9B" w:rsidP="00517777">
      <w:pPr>
        <w:pStyle w:val="Paragraph"/>
      </w:pPr>
      <w:r>
        <w:t>In addition to the principles and tests set out above, the compliance framework under the PSAS Act</w:t>
      </w:r>
      <w:r w:rsidR="00CF3236">
        <w:t xml:space="preserve"> also</w:t>
      </w:r>
      <w:r>
        <w:t xml:space="preserve"> includes:</w:t>
      </w:r>
    </w:p>
    <w:p w14:paraId="17C7D329" w14:textId="057279FD" w:rsidR="00054E9B" w:rsidRDefault="00054E9B" w:rsidP="00517777">
      <w:pPr>
        <w:pStyle w:val="VIRTBulletpoints"/>
      </w:pPr>
      <w:r>
        <w:t xml:space="preserve">the ability for the Clerks of </w:t>
      </w:r>
      <w:r w:rsidR="0045394B">
        <w:t xml:space="preserve">the </w:t>
      </w:r>
      <w:r>
        <w:t>Parliament and the Secretary of DPS to impose terms and conditions for the provision, claim and use of allowances and the EO&amp;C Budget</w:t>
      </w:r>
      <w:r w:rsidR="009D084A">
        <w:t xml:space="preserve"> (noting that the Guidelines will prevail in relation to any inconsistency)</w:t>
      </w:r>
      <w:r>
        <w:t xml:space="preserve"> (s 9C)</w:t>
      </w:r>
      <w:r w:rsidR="009D084A">
        <w:t xml:space="preserve"> </w:t>
      </w:r>
    </w:p>
    <w:p w14:paraId="1876A5C9" w14:textId="29EA2CDD" w:rsidR="00054E9B" w:rsidRDefault="00054E9B" w:rsidP="00517777">
      <w:pPr>
        <w:pStyle w:val="VIRTBulletpoints"/>
      </w:pPr>
      <w:r>
        <w:t xml:space="preserve">oversight and approval requirements (ss 9E to 9H) </w:t>
      </w:r>
    </w:p>
    <w:p w14:paraId="1AC2DE06" w14:textId="77777777" w:rsidR="00054E9B" w:rsidRDefault="00054E9B" w:rsidP="00517777">
      <w:pPr>
        <w:pStyle w:val="VIRTBulletpoints"/>
      </w:pPr>
      <w:r>
        <w:t xml:space="preserve">public reporting requirements (ss 9I and 9J) </w:t>
      </w:r>
    </w:p>
    <w:p w14:paraId="40CC4307" w14:textId="32BF7AB8" w:rsidR="00054E9B" w:rsidRDefault="00054E9B" w:rsidP="00517777">
      <w:pPr>
        <w:pStyle w:val="VIRTBulletpoints"/>
      </w:pPr>
      <w:r>
        <w:t>financial penalties for non-compliance (ss 9G and 9H).</w:t>
      </w:r>
    </w:p>
    <w:p w14:paraId="76D3BC35" w14:textId="77777777" w:rsidR="00983BCE" w:rsidRDefault="00983BCE" w:rsidP="00983BCE">
      <w:pPr>
        <w:pStyle w:val="VIRTBulletpoints"/>
        <w:numPr>
          <w:ilvl w:val="0"/>
          <w:numId w:val="0"/>
        </w:numPr>
        <w:ind w:left="360"/>
      </w:pPr>
    </w:p>
    <w:p w14:paraId="284CF0DE" w14:textId="2C0C2450" w:rsidR="00492E6D" w:rsidRDefault="00492E6D" w:rsidP="00BF0CF4">
      <w:pPr>
        <w:pStyle w:val="VIRTHeading2"/>
        <w:numPr>
          <w:ilvl w:val="0"/>
          <w:numId w:val="2"/>
        </w:numPr>
      </w:pPr>
      <w:bookmarkStart w:id="4" w:name="_Toc41981515"/>
      <w:r>
        <w:t>History of the Guidelines</w:t>
      </w:r>
      <w:bookmarkEnd w:id="4"/>
    </w:p>
    <w:p w14:paraId="52A848CB" w14:textId="0062BEDC" w:rsidR="000163FE" w:rsidRDefault="00C03B7A" w:rsidP="00517777">
      <w:pPr>
        <w:pStyle w:val="Paragraph"/>
      </w:pPr>
      <w:bookmarkStart w:id="5" w:name="_Hlk40872756"/>
      <w:r w:rsidRPr="005B4221">
        <w:t>The Tri</w:t>
      </w:r>
      <w:r w:rsidRPr="00C03B7A">
        <w:t xml:space="preserve">bunal issued the first version of the Guidelines on 16 September 2019. </w:t>
      </w:r>
      <w:r w:rsidR="000163FE" w:rsidRPr="00C03B7A">
        <w:t xml:space="preserve">These Guidelines were subsequently amended in December 2019 following a period of consultation. The current enforceable Guidelines were made on </w:t>
      </w:r>
      <w:r w:rsidR="001B31E6">
        <w:br/>
      </w:r>
      <w:r w:rsidR="000163FE" w:rsidRPr="00C03B7A">
        <w:t>20 December 2019</w:t>
      </w:r>
      <w:r w:rsidRPr="00C03B7A">
        <w:t>.</w:t>
      </w:r>
    </w:p>
    <w:bookmarkEnd w:id="5"/>
    <w:p w14:paraId="423EB441" w14:textId="02222EC7" w:rsidR="000163FE" w:rsidRDefault="000163FE" w:rsidP="000163FE">
      <w:pPr>
        <w:pStyle w:val="VIRTHeading3"/>
        <w:ind w:left="851" w:hanging="851"/>
      </w:pPr>
      <w:r w:rsidRPr="00B04795">
        <w:t>Guidelines No.01/2019</w:t>
      </w:r>
    </w:p>
    <w:p w14:paraId="7A9607BD" w14:textId="12B7DBF4" w:rsidR="000163FE" w:rsidRDefault="000163FE" w:rsidP="00517777">
      <w:pPr>
        <w:pStyle w:val="Paragraph"/>
      </w:pPr>
      <w:r w:rsidRPr="005B4221">
        <w:t>The Tribunal issued the first Guidelines on 16 September 2019. Prior to the making of the Tribunal’s Guidelines, the rules and conditions for using the allowances provided to MPs were either contained in regulations made under the </w:t>
      </w:r>
      <w:r w:rsidR="00C03B7A" w:rsidRPr="00C03B7A">
        <w:t>PSAS Act</w:t>
      </w:r>
      <w:r w:rsidRPr="005B4221">
        <w:t> or in the </w:t>
      </w:r>
      <w:r w:rsidRPr="00921195">
        <w:rPr>
          <w:i/>
          <w:iCs/>
        </w:rPr>
        <w:t>Members Guide</w:t>
      </w:r>
      <w:r w:rsidRPr="005B4221">
        <w:t> which was published by DPS and approved by the Presiding Officers of the Parliament</w:t>
      </w:r>
      <w:r>
        <w:t xml:space="preserve"> but not available to the public</w:t>
      </w:r>
      <w:r w:rsidRPr="005B4221">
        <w:t>.</w:t>
      </w:r>
    </w:p>
    <w:p w14:paraId="68B3CD9A" w14:textId="77777777" w:rsidR="000163FE" w:rsidRDefault="000163FE" w:rsidP="00517777">
      <w:pPr>
        <w:pStyle w:val="Paragraph"/>
      </w:pPr>
      <w:r w:rsidRPr="005B4221">
        <w:t>At the time of making the Guidelines, the Tribunal was cognisant that the operation of the VIRTIPS Act meant that in some instances, the existing regulatory framework would fall away with the intention that the Tribunal’s Determination and Guidelines would ‘fill the gap’. The Tribunal considered and drew on many of the existing terms and conditions set by regulations and also the </w:t>
      </w:r>
      <w:r w:rsidRPr="00921195">
        <w:rPr>
          <w:i/>
          <w:iCs/>
        </w:rPr>
        <w:t>Members Guide</w:t>
      </w:r>
      <w:r w:rsidRPr="005B4221">
        <w:t> relating to many of the allowances</w:t>
      </w:r>
      <w:r>
        <w:t xml:space="preserve"> when making the first set of Guidelines</w:t>
      </w:r>
      <w:r w:rsidRPr="005B4221">
        <w:t xml:space="preserve">. </w:t>
      </w:r>
    </w:p>
    <w:p w14:paraId="54E3752B" w14:textId="15F6570C" w:rsidR="000163FE" w:rsidRDefault="000163FE" w:rsidP="00517777">
      <w:pPr>
        <w:pStyle w:val="Paragraph"/>
      </w:pPr>
      <w:r w:rsidRPr="005B4221">
        <w:t xml:space="preserve">In particular, the Tribunal chose to adopt the rules relating to the </w:t>
      </w:r>
      <w:r w:rsidR="00C03B7A">
        <w:t xml:space="preserve">EO&amp;C </w:t>
      </w:r>
      <w:r w:rsidRPr="005B4221">
        <w:t>Budget as they were written in the </w:t>
      </w:r>
      <w:r w:rsidRPr="00921195">
        <w:rPr>
          <w:i/>
          <w:iCs/>
        </w:rPr>
        <w:t>Members Guide</w:t>
      </w:r>
      <w:r w:rsidRPr="005B4221">
        <w:t>.</w:t>
      </w:r>
      <w:r>
        <w:t xml:space="preserve"> </w:t>
      </w:r>
      <w:r w:rsidRPr="005B4221">
        <w:t>However, some changes were made to ensure that the Guidelines operated in the context of the Determination, including removing the terms and conditions relating to travel from the</w:t>
      </w:r>
      <w:r w:rsidR="00C03B7A">
        <w:t xml:space="preserve"> EO&amp;C</w:t>
      </w:r>
      <w:r w:rsidRPr="005B4221">
        <w:t xml:space="preserve"> Budget and incorporating those into the </w:t>
      </w:r>
      <w:r w:rsidR="00C03B7A">
        <w:t>g</w:t>
      </w:r>
      <w:r w:rsidRPr="005B4221">
        <w:t xml:space="preserve">uidelines </w:t>
      </w:r>
      <w:r w:rsidR="008135D6">
        <w:t>for</w:t>
      </w:r>
      <w:r w:rsidR="0045394B">
        <w:t xml:space="preserve"> </w:t>
      </w:r>
      <w:r w:rsidRPr="005B4221">
        <w:t>travel</w:t>
      </w:r>
      <w:r w:rsidR="008135D6">
        <w:t>-related</w:t>
      </w:r>
      <w:r w:rsidR="0045394B">
        <w:t xml:space="preserve"> allowances</w:t>
      </w:r>
      <w:r w:rsidRPr="005B4221">
        <w:t>.</w:t>
      </w:r>
    </w:p>
    <w:p w14:paraId="04D05E9D" w14:textId="0E7DA4F7" w:rsidR="00F979BF" w:rsidRDefault="00F979BF" w:rsidP="00F979BF">
      <w:pPr>
        <w:pStyle w:val="VIRTHeading3"/>
        <w:ind w:left="851" w:hanging="851"/>
      </w:pPr>
      <w:r w:rsidRPr="00B04795">
        <w:t>Guidelines No.0</w:t>
      </w:r>
      <w:r>
        <w:t>2</w:t>
      </w:r>
      <w:r w:rsidRPr="00B04795">
        <w:t>/2019</w:t>
      </w:r>
      <w:r>
        <w:t xml:space="preserve"> (current)</w:t>
      </w:r>
    </w:p>
    <w:p w14:paraId="310910B3" w14:textId="6B401207" w:rsidR="000163FE" w:rsidRDefault="000163FE" w:rsidP="00517777">
      <w:pPr>
        <w:pStyle w:val="Paragraph"/>
      </w:pPr>
      <w:r w:rsidRPr="00921195">
        <w:t xml:space="preserve">Following the publication of the </w:t>
      </w:r>
      <w:r w:rsidR="00C03B7A">
        <w:t>first version of the Guidelines</w:t>
      </w:r>
      <w:r w:rsidRPr="00921195">
        <w:t xml:space="preserve">, the Tribunal received </w:t>
      </w:r>
      <w:hyperlink r:id="rId24" w:history="1">
        <w:r w:rsidRPr="00FC5F86">
          <w:rPr>
            <w:rStyle w:val="Hyperlink"/>
          </w:rPr>
          <w:t>letters</w:t>
        </w:r>
      </w:hyperlink>
      <w:r w:rsidRPr="00921195">
        <w:t xml:space="preserve"> from the Special Minister of State and the Clerks of the Parliament requesting it clarify some aspects.</w:t>
      </w:r>
    </w:p>
    <w:p w14:paraId="43D26C75" w14:textId="0A319188" w:rsidR="000163FE" w:rsidRDefault="000163FE" w:rsidP="00517777">
      <w:pPr>
        <w:pStyle w:val="Paragraph"/>
      </w:pPr>
      <w:r w:rsidRPr="00921195">
        <w:t>Following consultation</w:t>
      </w:r>
      <w:r>
        <w:t xml:space="preserve"> on the issues for consideration</w:t>
      </w:r>
      <w:r w:rsidRPr="00921195">
        <w:t>, the Tribunal made a number of changes to the Guidelines (</w:t>
      </w:r>
      <w:r>
        <w:t xml:space="preserve">summarised in </w:t>
      </w:r>
      <w:r w:rsidRPr="00E20EA6">
        <w:rPr>
          <w:u w:val="single"/>
        </w:rPr>
        <w:t xml:space="preserve">Annexure </w:t>
      </w:r>
      <w:r w:rsidR="007D3757">
        <w:rPr>
          <w:u w:val="single"/>
        </w:rPr>
        <w:t>C</w:t>
      </w:r>
      <w:r w:rsidRPr="00921195">
        <w:t>) and published the</w:t>
      </w:r>
      <w:r w:rsidR="00C03B7A">
        <w:t xml:space="preserve"> second version of the Guidelines</w:t>
      </w:r>
      <w:r w:rsidR="008135D6">
        <w:t>,</w:t>
      </w:r>
      <w:r w:rsidRPr="00921195">
        <w:t xml:space="preserve"> which took effect on 20 December 2019.</w:t>
      </w:r>
    </w:p>
    <w:p w14:paraId="7A979EA4" w14:textId="39EFD483" w:rsidR="000163FE" w:rsidRDefault="000163FE" w:rsidP="00517777">
      <w:pPr>
        <w:pStyle w:val="Paragraph"/>
      </w:pPr>
      <w:r>
        <w:t xml:space="preserve">The Tribunal has received several other suggestions or requests for amendment and clarification to the Guidelines. Most notably, the Compliance Officer has completed the first appeal of a decision </w:t>
      </w:r>
      <w:r w:rsidR="00C03B7A">
        <w:t>to reject a claim under</w:t>
      </w:r>
      <w:r>
        <w:t xml:space="preserve"> the</w:t>
      </w:r>
      <w:r w:rsidR="00E92EDD">
        <w:t xml:space="preserve"> EO&amp;C</w:t>
      </w:r>
      <w:r>
        <w:t xml:space="preserve"> Budget. In her </w:t>
      </w:r>
      <w:hyperlink r:id="rId25" w:history="1">
        <w:r w:rsidRPr="00517777">
          <w:rPr>
            <w:rStyle w:val="Hyperlink"/>
          </w:rPr>
          <w:t>Statement of Findings</w:t>
        </w:r>
      </w:hyperlink>
      <w:r>
        <w:t xml:space="preserve"> the Compliance Officer noted that the Tribunal may wish to consider clarifying some aspects of the Guidelines relating to the</w:t>
      </w:r>
      <w:r w:rsidR="00C03B7A">
        <w:t xml:space="preserve"> prohibition on using the EO&amp;C Budget for political communication</w:t>
      </w:r>
      <w:r>
        <w:t>.</w:t>
      </w:r>
    </w:p>
    <w:p w14:paraId="25ADE720" w14:textId="50A20BA5" w:rsidR="000163FE" w:rsidRPr="00F24A4B" w:rsidRDefault="000163FE" w:rsidP="00517777">
      <w:pPr>
        <w:pStyle w:val="Paragraph"/>
      </w:pPr>
      <w:r w:rsidRPr="008F6C1C">
        <w:t xml:space="preserve">Rather than continue to consider each issue in isolation and on an ad hoc basis, the Tribunal has decided to review each allowance and the associated Guidelines comprehensively. </w:t>
      </w:r>
      <w:bookmarkStart w:id="6" w:name="_Hlk38983391"/>
    </w:p>
    <w:p w14:paraId="2D1D494F" w14:textId="026DABD3" w:rsidR="00492E6D" w:rsidRPr="00F24A4B" w:rsidRDefault="0064181D" w:rsidP="00983BCE">
      <w:pPr>
        <w:pStyle w:val="VIRTHeading2"/>
        <w:numPr>
          <w:ilvl w:val="0"/>
          <w:numId w:val="2"/>
        </w:numPr>
      </w:pPr>
      <w:bookmarkStart w:id="7" w:name="_Toc41981516"/>
      <w:bookmarkEnd w:id="6"/>
      <w:r>
        <w:t>Snapshot of k</w:t>
      </w:r>
      <w:r w:rsidR="00492E6D">
        <w:t>nown issues with the Guidelines</w:t>
      </w:r>
      <w:bookmarkEnd w:id="7"/>
    </w:p>
    <w:p w14:paraId="2D68200E" w14:textId="570DC858" w:rsidR="00054E9B" w:rsidRDefault="00BE5AD2" w:rsidP="00983BCE">
      <w:pPr>
        <w:pStyle w:val="Paragraph"/>
        <w:keepNext/>
      </w:pPr>
      <w:r>
        <w:t xml:space="preserve">The Tribunal is aware of several specific issues of concern based on feedback received from stakeholders. These issues </w:t>
      </w:r>
      <w:r w:rsidR="00CB5AB7">
        <w:t xml:space="preserve">and others </w:t>
      </w:r>
      <w:r>
        <w:t>will be considered as part of the review.</w:t>
      </w:r>
    </w:p>
    <w:p w14:paraId="5C04A9EA" w14:textId="22B36202" w:rsidR="00BE5AD2" w:rsidRPr="00F24A4B" w:rsidRDefault="00BE5AD2" w:rsidP="00517777">
      <w:pPr>
        <w:pStyle w:val="VIRTheading4"/>
      </w:pPr>
      <w:r>
        <w:t>Restrictions on using the</w:t>
      </w:r>
      <w:r w:rsidR="00E92EDD">
        <w:t xml:space="preserve"> EO&amp;C</w:t>
      </w:r>
      <w:r>
        <w:t xml:space="preserve"> Budget for ‘party political</w:t>
      </w:r>
      <w:r w:rsidRPr="00A912CB">
        <w:t xml:space="preserve"> communication</w:t>
      </w:r>
      <w:r>
        <w:t>’</w:t>
      </w:r>
    </w:p>
    <w:p w14:paraId="39F762F4" w14:textId="21F9404D" w:rsidR="00BE5AD2" w:rsidRDefault="00BE5AD2" w:rsidP="00517777">
      <w:pPr>
        <w:pStyle w:val="Paragraph"/>
      </w:pPr>
      <w:r>
        <w:t>Paragraph 4.10 of the Guidelines says that use of the</w:t>
      </w:r>
      <w:r w:rsidR="00E92EDD">
        <w:t xml:space="preserve"> EO&amp;C</w:t>
      </w:r>
      <w:r>
        <w:t xml:space="preserve"> Budget for party political communication, including party logos, is prohibited. </w:t>
      </w:r>
    </w:p>
    <w:p w14:paraId="629C0886" w14:textId="493013F3" w:rsidR="00BE5AD2" w:rsidRDefault="00BE5AD2" w:rsidP="00517777">
      <w:pPr>
        <w:pStyle w:val="Paragraph"/>
      </w:pPr>
      <w:r>
        <w:t xml:space="preserve">To provide greater guidance on that general principle, the Guidelines also include rules about what can and cannot be included in communications funded from the </w:t>
      </w:r>
      <w:r w:rsidR="00E92EDD">
        <w:t xml:space="preserve">EO&amp;C </w:t>
      </w:r>
      <w:r>
        <w:t>Budget:</w:t>
      </w:r>
    </w:p>
    <w:p w14:paraId="16FFED60" w14:textId="3F7962C5" w:rsidR="00BE5AD2" w:rsidRPr="00E82A0E" w:rsidRDefault="00BE5AD2" w:rsidP="00287AAB">
      <w:pPr>
        <w:pStyle w:val="VIRTBulletpoints"/>
      </w:pPr>
      <w:r w:rsidRPr="00E82A0E">
        <w:t>MPs may include their party name in their title as well as use their official parliamentary office title (para. 4.10)</w:t>
      </w:r>
    </w:p>
    <w:p w14:paraId="7342368B" w14:textId="30D2104C" w:rsidR="00BE5AD2" w:rsidRPr="00E82A0E" w:rsidRDefault="00D83C26" w:rsidP="00287AAB">
      <w:pPr>
        <w:pStyle w:val="VIRTBulletpoints"/>
      </w:pPr>
      <w:r>
        <w:t>t</w:t>
      </w:r>
      <w:r w:rsidR="00BE5AD2" w:rsidRPr="00E82A0E">
        <w:t>he</w:t>
      </w:r>
      <w:r w:rsidR="00E92EDD">
        <w:t xml:space="preserve"> EO&amp;C</w:t>
      </w:r>
      <w:r w:rsidR="00BE5AD2" w:rsidRPr="00E82A0E">
        <w:t xml:space="preserve"> Budget cannot be used to survey for voting intention, preferred leader or preferred political party (para 4.11 and 4.12)</w:t>
      </w:r>
    </w:p>
    <w:p w14:paraId="4E3354F4" w14:textId="77777777" w:rsidR="00BE5AD2" w:rsidRPr="00E82A0E" w:rsidRDefault="00BE5AD2" w:rsidP="00287AAB">
      <w:pPr>
        <w:pStyle w:val="VIRTBulletpoints"/>
      </w:pPr>
      <w:r w:rsidRPr="00E82A0E">
        <w:t>content must not include any oral or written content that attacks or makes non-factual, derogative or personalised statements against political opponents (para 4.12 (a))</w:t>
      </w:r>
    </w:p>
    <w:p w14:paraId="224EE232" w14:textId="77777777" w:rsidR="00BE5AD2" w:rsidRPr="00E82A0E" w:rsidRDefault="00BE5AD2" w:rsidP="00287AAB">
      <w:pPr>
        <w:pStyle w:val="VIRTBulletpoints"/>
      </w:pPr>
      <w:r w:rsidRPr="00E82A0E">
        <w:t>content may include positive and non-election party slogans that are not connected to, or replicate, an election campaign slogan (para 4.12 (b))</w:t>
      </w:r>
    </w:p>
    <w:p w14:paraId="47484B91" w14:textId="77777777" w:rsidR="00BE5AD2" w:rsidRPr="00E82A0E" w:rsidRDefault="00BE5AD2" w:rsidP="00287AAB">
      <w:pPr>
        <w:pStyle w:val="VIRTBulletpoints"/>
      </w:pPr>
      <w:r w:rsidRPr="00E82A0E">
        <w:t>content must not request donations for the Member, his or her party or other persons or organisations (para 4.12 (f)).</w:t>
      </w:r>
    </w:p>
    <w:p w14:paraId="3B87C461" w14:textId="25F204ED" w:rsidR="00BE5AD2" w:rsidRDefault="00BE5AD2" w:rsidP="00517777">
      <w:pPr>
        <w:pStyle w:val="Paragraph"/>
      </w:pPr>
      <w:r>
        <w:t>The first appeal heard by the Compliance Officer concerned the prohibition in the Guidelines on using the</w:t>
      </w:r>
      <w:r w:rsidR="00E92EDD">
        <w:t xml:space="preserve"> EO&amp;C</w:t>
      </w:r>
      <w:r>
        <w:t xml:space="preserve"> Budget for party political communication. In particular, it considered a claim that was rejected on the basis of:</w:t>
      </w:r>
    </w:p>
    <w:p w14:paraId="62859ABF" w14:textId="77777777" w:rsidR="00BE5AD2" w:rsidRDefault="00BE5AD2" w:rsidP="00517777">
      <w:pPr>
        <w:pStyle w:val="VIRTBulletpoints"/>
      </w:pPr>
      <w:r>
        <w:t>use of a party name other than in the MP’s title</w:t>
      </w:r>
    </w:p>
    <w:p w14:paraId="3A8E859A" w14:textId="77777777" w:rsidR="00BE5AD2" w:rsidRDefault="00BE5AD2" w:rsidP="00517777">
      <w:pPr>
        <w:pStyle w:val="VIRTBulletpoints"/>
      </w:pPr>
      <w:r>
        <w:t>use of a non-recognised party name or official parliamentary office title.</w:t>
      </w:r>
    </w:p>
    <w:p w14:paraId="37E828ED" w14:textId="2D1887E7" w:rsidR="00BE5AD2" w:rsidRDefault="00BE5AD2" w:rsidP="00517777">
      <w:pPr>
        <w:pStyle w:val="Paragraph"/>
      </w:pPr>
      <w:r>
        <w:t xml:space="preserve">The Compliance Officer recommended that the Tribunal clarify </w:t>
      </w:r>
      <w:r w:rsidR="0045394B">
        <w:t>paragraph</w:t>
      </w:r>
      <w:r>
        <w:t xml:space="preserve"> 4.10, specifically the meaning of the terms “party political” and “party name”.</w:t>
      </w:r>
    </w:p>
    <w:p w14:paraId="6076EB1B" w14:textId="54EEEC40" w:rsidR="00BE5AD2" w:rsidRDefault="00BE5AD2" w:rsidP="00517777">
      <w:pPr>
        <w:pStyle w:val="VIRTheading4"/>
      </w:pPr>
      <w:r>
        <w:t>Other restrictions on the use of the</w:t>
      </w:r>
      <w:r w:rsidR="00E92EDD">
        <w:t xml:space="preserve"> EO&amp;C</w:t>
      </w:r>
      <w:r>
        <w:t xml:space="preserve"> Budget for communications</w:t>
      </w:r>
    </w:p>
    <w:p w14:paraId="51FBD0C4" w14:textId="09EFE1D4" w:rsidR="00BE5AD2" w:rsidRDefault="00BE5AD2" w:rsidP="00517777">
      <w:pPr>
        <w:pStyle w:val="Paragraph"/>
      </w:pPr>
      <w:r w:rsidRPr="1E431EA8">
        <w:t xml:space="preserve">The Tribunal has received feedback that </w:t>
      </w:r>
      <w:r w:rsidRPr="002C4AA2">
        <w:t xml:space="preserve">some claims to use the </w:t>
      </w:r>
      <w:r w:rsidR="00E92EDD">
        <w:t xml:space="preserve">EO&amp;C </w:t>
      </w:r>
      <w:r w:rsidRPr="002C4AA2">
        <w:t>Budget for communications content have been rejected because the content in question did not specifically relate to the MP’s electorate. For example, the communication may discuss a proposed event or activity (e.g. native forest logging) that does not take place in the MP’s electorate.</w:t>
      </w:r>
    </w:p>
    <w:p w14:paraId="4484D747" w14:textId="50DF11D1" w:rsidR="00BE5AD2" w:rsidRPr="006307E1" w:rsidRDefault="00BE5AD2" w:rsidP="00517777">
      <w:pPr>
        <w:pStyle w:val="Paragraph"/>
      </w:pPr>
      <w:r w:rsidRPr="1E431EA8">
        <w:t>In addition, MP</w:t>
      </w:r>
      <w:r w:rsidRPr="006307E1">
        <w:t>s have been unable to use the</w:t>
      </w:r>
      <w:r w:rsidR="00E92EDD">
        <w:t xml:space="preserve"> EO&amp;C</w:t>
      </w:r>
      <w:r w:rsidRPr="006307E1">
        <w:t xml:space="preserve"> Budget for communication materials indicating support or sponsorship of community groups or sporting clubs (e.g. a sign at a sporting club that says ‘proudly supported by [name of MP]). That is as a result of the interaction of two rules in </w:t>
      </w:r>
      <w:r>
        <w:t xml:space="preserve">the </w:t>
      </w:r>
      <w:r w:rsidRPr="006307E1">
        <w:t xml:space="preserve">Guidelines, which say that communication content claimed under the </w:t>
      </w:r>
      <w:r w:rsidR="00E92EDD">
        <w:t>EO&amp;C Budget</w:t>
      </w:r>
      <w:r w:rsidRPr="006307E1">
        <w:t>:</w:t>
      </w:r>
    </w:p>
    <w:p w14:paraId="3743A419" w14:textId="77777777" w:rsidR="00BE5AD2" w:rsidRPr="00DE171A" w:rsidRDefault="00BE5AD2" w:rsidP="00517777">
      <w:pPr>
        <w:pStyle w:val="VIRTBulletpoints"/>
        <w:rPr>
          <w:b/>
        </w:rPr>
      </w:pPr>
      <w:r w:rsidRPr="00DE171A">
        <w:t>must contain the words ‘funded from Parliamentary Budget</w:t>
      </w:r>
      <w:r>
        <w:t xml:space="preserve">’ </w:t>
      </w:r>
      <w:r w:rsidRPr="00DE171A">
        <w:t>(subject to limited exceptions)</w:t>
      </w:r>
      <w:r>
        <w:t xml:space="preserve"> (para 4.8)</w:t>
      </w:r>
    </w:p>
    <w:p w14:paraId="38FB1CBD" w14:textId="77777777" w:rsidR="00BE5AD2" w:rsidRPr="005E680F" w:rsidRDefault="00BE5AD2" w:rsidP="00517777">
      <w:pPr>
        <w:pStyle w:val="VIRTBulletpoints"/>
        <w:rPr>
          <w:b/>
        </w:rPr>
      </w:pPr>
      <w:r>
        <w:t xml:space="preserve">must </w:t>
      </w:r>
      <w:r w:rsidRPr="005E680F">
        <w:t xml:space="preserve">not imply Parliament support or endorsement of commercial organisations or other bodies (para 4.11). </w:t>
      </w:r>
    </w:p>
    <w:p w14:paraId="17DFB5CA" w14:textId="6292FD79" w:rsidR="00BE5AD2" w:rsidRPr="005E680F" w:rsidRDefault="00BE5AD2" w:rsidP="00517777">
      <w:pPr>
        <w:pStyle w:val="VIRTheading4"/>
      </w:pPr>
      <w:r w:rsidRPr="005E680F">
        <w:t xml:space="preserve">Use of the </w:t>
      </w:r>
      <w:r w:rsidR="00E92EDD" w:rsidRPr="005E680F">
        <w:t>EO&amp;C Budget</w:t>
      </w:r>
      <w:r w:rsidRPr="005E680F">
        <w:t xml:space="preserve"> for printing or photocopying for community groups</w:t>
      </w:r>
    </w:p>
    <w:p w14:paraId="504137AA" w14:textId="74A7C18B" w:rsidR="00BE5AD2" w:rsidRPr="005E680F" w:rsidRDefault="00BE5AD2" w:rsidP="00517777">
      <w:pPr>
        <w:pStyle w:val="Paragraph"/>
      </w:pPr>
      <w:r w:rsidRPr="005E680F">
        <w:t xml:space="preserve">The Tribunal understands there is uncertainty as to whether MPs can use the </w:t>
      </w:r>
      <w:r w:rsidR="00E92EDD" w:rsidRPr="005E680F">
        <w:t>EO&amp;C Budget</w:t>
      </w:r>
      <w:r w:rsidRPr="005E680F">
        <w:t xml:space="preserve"> for printing or photocopying expenses to support community groups.</w:t>
      </w:r>
      <w:r w:rsidR="005E680F">
        <w:t xml:space="preserve"> </w:t>
      </w:r>
      <w:r w:rsidRPr="005E680F">
        <w:t>The Tribunal understands that MPs are often approached by not-for-profit and non-political community groups in their electorates for assistance with small photocopying jobs (e.g. newsletters and meeting documents).</w:t>
      </w:r>
    </w:p>
    <w:p w14:paraId="710167C5" w14:textId="30695E4C" w:rsidR="00BE5AD2" w:rsidRDefault="00BE5AD2" w:rsidP="00517777">
      <w:pPr>
        <w:pStyle w:val="Paragraph"/>
        <w:rPr>
          <w:rFonts w:eastAsiaTheme="minorHAnsi"/>
        </w:rPr>
      </w:pPr>
      <w:r w:rsidRPr="005E680F">
        <w:t>Related Guidelines</w:t>
      </w:r>
      <w:r>
        <w:t xml:space="preserve"> requiring communications content claimed under the </w:t>
      </w:r>
      <w:r w:rsidR="00E92EDD">
        <w:t>EO&amp;C Budget</w:t>
      </w:r>
      <w:r>
        <w:t xml:space="preserve"> to identify the MP as the author and to acknowledge funding from the Parliamentary budget will also be considered. </w:t>
      </w:r>
    </w:p>
    <w:p w14:paraId="5DF6E9CD" w14:textId="132AE10A" w:rsidR="00BE5AD2" w:rsidRPr="00613D34" w:rsidRDefault="00BE5AD2" w:rsidP="00517777">
      <w:pPr>
        <w:pStyle w:val="VIRTheading4"/>
      </w:pPr>
      <w:r w:rsidRPr="00613D34">
        <w:t xml:space="preserve">Clarity about expenses funded by the Parliament and through the </w:t>
      </w:r>
      <w:r w:rsidR="00E92EDD">
        <w:t>EO&amp;C Budget</w:t>
      </w:r>
    </w:p>
    <w:p w14:paraId="6474336A" w14:textId="21DA8E15" w:rsidR="00BE5AD2" w:rsidRPr="005E680F" w:rsidRDefault="00BE5AD2" w:rsidP="00517777">
      <w:pPr>
        <w:pStyle w:val="Paragraph"/>
      </w:pPr>
      <w:r>
        <w:t xml:space="preserve">The Parliament pays rental costs for MP electorate offices and for some other matters related to the upkeep of those offices. However, some of the costs paid for by the Parliament are automatically deducted from an MP’s </w:t>
      </w:r>
      <w:r w:rsidR="00E92EDD">
        <w:t>EO&amp;C Budget</w:t>
      </w:r>
      <w:r>
        <w:t xml:space="preserve"> (e.g. air </w:t>
      </w:r>
      <w:r w:rsidRPr="005E680F">
        <w:t>conditioning servicing costs and recycling costs, para 4.16 of the Guidelines) while other costs are not (e.g. utility costs and security equipment).</w:t>
      </w:r>
    </w:p>
    <w:p w14:paraId="704C885F" w14:textId="77777777" w:rsidR="00BE5AD2" w:rsidRDefault="00BE5AD2" w:rsidP="00517777">
      <w:pPr>
        <w:pStyle w:val="VIRTheading4"/>
      </w:pPr>
      <w:r w:rsidRPr="0001000D">
        <w:t>Use of parliamentary committee budgets for travel</w:t>
      </w:r>
    </w:p>
    <w:p w14:paraId="4318859E" w14:textId="21A79AE9" w:rsidR="00BE5AD2" w:rsidRDefault="00BE5AD2" w:rsidP="00517777">
      <w:pPr>
        <w:pStyle w:val="Paragraph"/>
      </w:pPr>
      <w:r w:rsidRPr="0059150B">
        <w:t>The Parliament has a number of parliamentary committees</w:t>
      </w:r>
      <w:r>
        <w:t xml:space="preserve"> made up of sitting MPs</w:t>
      </w:r>
      <w:r w:rsidRPr="0059150B">
        <w:t>. These committees are provided with budgets that are used for staffing costs, operational expenses and in some cases travel (e.g. accommodation expenses arising from international travel).</w:t>
      </w:r>
    </w:p>
    <w:p w14:paraId="1ECAE7D3" w14:textId="1022ACA3" w:rsidR="00BE5AD2" w:rsidRDefault="00BE5AD2" w:rsidP="00517777">
      <w:pPr>
        <w:pStyle w:val="Paragraph"/>
      </w:pPr>
      <w:r w:rsidRPr="0059150B">
        <w:t>However, the Tribunal’s Determination also provides a travel allowance, commercial transport allowance and international travel allowance to support MPs undertaking travel related to their parliamentary business</w:t>
      </w:r>
      <w:r>
        <w:t>, which includes committee attendances</w:t>
      </w:r>
      <w:r w:rsidRPr="0059150B">
        <w:t>.</w:t>
      </w:r>
    </w:p>
    <w:p w14:paraId="692C52EE" w14:textId="60E58C90" w:rsidR="00BE5AD2" w:rsidRPr="005E680F" w:rsidRDefault="00BE5AD2" w:rsidP="00517777">
      <w:pPr>
        <w:pStyle w:val="Paragraph"/>
      </w:pPr>
      <w:r>
        <w:t xml:space="preserve">As a result, there is a potential overlap between committee budgets and MP </w:t>
      </w:r>
      <w:r w:rsidRPr="005E680F">
        <w:t xml:space="preserve">allowances, and a lack of guidance as to when one source of funds should be used instead of another. </w:t>
      </w:r>
    </w:p>
    <w:p w14:paraId="64766706" w14:textId="215D4710" w:rsidR="00BE5AD2" w:rsidRPr="005E680F" w:rsidRDefault="00BE5AD2" w:rsidP="00517777">
      <w:pPr>
        <w:pStyle w:val="VIRTheading4"/>
      </w:pPr>
      <w:r w:rsidRPr="005E680F">
        <w:t xml:space="preserve">Distinction between the purpose of the electorate allowance, the </w:t>
      </w:r>
      <w:r w:rsidR="00E92EDD" w:rsidRPr="005E680F">
        <w:t>EO&amp;C Budget</w:t>
      </w:r>
      <w:r w:rsidRPr="005E680F">
        <w:t xml:space="preserve"> and other allowances</w:t>
      </w:r>
    </w:p>
    <w:p w14:paraId="5DE4D525" w14:textId="16BB7D9A" w:rsidR="00434833" w:rsidRPr="005E680F" w:rsidRDefault="00BE5AD2" w:rsidP="00434833">
      <w:pPr>
        <w:pStyle w:val="Paragraph"/>
      </w:pPr>
      <w:r w:rsidRPr="005E680F">
        <w:t>All MPs are provided with an electorate allowance</w:t>
      </w:r>
      <w:r w:rsidRPr="0002111A">
        <w:t xml:space="preserve"> to cover costs associated with MPs providing services to their constituents (s</w:t>
      </w:r>
      <w:r w:rsidR="0045394B">
        <w:t xml:space="preserve"> </w:t>
      </w:r>
      <w:r w:rsidRPr="0002111A">
        <w:t xml:space="preserve">17(3)(e) of the VIRTIPS Act). </w:t>
      </w:r>
      <w:r w:rsidR="00434833" w:rsidRPr="0002111A">
        <w:t>While the Tribunal cannot make Guidelines for the use of the electorate allowance</w:t>
      </w:r>
      <w:r w:rsidR="00434833">
        <w:t>,</w:t>
      </w:r>
      <w:r w:rsidR="00434833" w:rsidRPr="0002111A">
        <w:t xml:space="preserve"> it is required to set the value of the electorate allowance in its </w:t>
      </w:r>
      <w:r w:rsidR="00434833" w:rsidRPr="005E680F">
        <w:t xml:space="preserve">Determination. </w:t>
      </w:r>
    </w:p>
    <w:p w14:paraId="21BE6040" w14:textId="4BC4E450" w:rsidR="00BE5AD2" w:rsidRPr="005E680F" w:rsidRDefault="00BE5AD2" w:rsidP="00517777">
      <w:pPr>
        <w:pStyle w:val="Paragraph"/>
      </w:pPr>
      <w:r w:rsidRPr="005E680F">
        <w:t xml:space="preserve">There is </w:t>
      </w:r>
      <w:r w:rsidR="00434833" w:rsidRPr="005E680F">
        <w:t xml:space="preserve">said to be </w:t>
      </w:r>
      <w:r w:rsidRPr="005E680F">
        <w:t>a lack of clarity about what expenses the electorate allowance is meant to cover and which electorate related expenses should be met using other allowances</w:t>
      </w:r>
      <w:r w:rsidR="006B6EB8" w:rsidRPr="005E680F">
        <w:t xml:space="preserve"> provide</w:t>
      </w:r>
      <w:r w:rsidR="0045394B" w:rsidRPr="005E680F">
        <w:t>d</w:t>
      </w:r>
      <w:r w:rsidR="006B6EB8" w:rsidRPr="005E680F">
        <w:t xml:space="preserve"> for electorate business</w:t>
      </w:r>
      <w:r w:rsidRPr="005E680F">
        <w:t xml:space="preserve"> or the </w:t>
      </w:r>
      <w:r w:rsidR="006B6EB8" w:rsidRPr="005E680F">
        <w:t xml:space="preserve">EO&amp;C </w:t>
      </w:r>
      <w:r w:rsidRPr="005E680F">
        <w:t>Budget.</w:t>
      </w:r>
    </w:p>
    <w:p w14:paraId="7F01457D" w14:textId="57E17681" w:rsidR="006B6EB8" w:rsidRPr="005E680F" w:rsidRDefault="006B6EB8" w:rsidP="00517777">
      <w:pPr>
        <w:pStyle w:val="VIRTheading4"/>
      </w:pPr>
      <w:r w:rsidRPr="005E680F">
        <w:t>Monetary limits in the EO&amp;C Budget</w:t>
      </w:r>
    </w:p>
    <w:p w14:paraId="5F8C6AC7" w14:textId="31B22560" w:rsidR="00BE5AD2" w:rsidRPr="005E680F" w:rsidRDefault="006B6EB8" w:rsidP="00517777">
      <w:pPr>
        <w:pStyle w:val="Paragraph"/>
      </w:pPr>
      <w:r w:rsidRPr="005E680F">
        <w:t>The Guidelines for the EO&amp;C Budget include some monetary limits, such as a unit price limit of $2 for promotional items, and a $25 per day remuneration limit for engaging secondary or tertiary students on work experience</w:t>
      </w:r>
      <w:r w:rsidR="004E5A0A" w:rsidRPr="005E680F">
        <w:t>, which are said to be not fit-for-purpose.</w:t>
      </w:r>
    </w:p>
    <w:p w14:paraId="28E944C3" w14:textId="102D5EAC" w:rsidR="00BE5AD2" w:rsidRPr="005E680F" w:rsidRDefault="00BE5AD2" w:rsidP="00517777">
      <w:pPr>
        <w:pStyle w:val="VIRTheading4"/>
      </w:pPr>
      <w:r w:rsidRPr="005E680F">
        <w:t xml:space="preserve">Requirement to include a funding declaration for expenses claimed under the </w:t>
      </w:r>
      <w:r w:rsidR="00E92EDD" w:rsidRPr="005E680F">
        <w:t>EO&amp;C Budget</w:t>
      </w:r>
    </w:p>
    <w:p w14:paraId="51749502" w14:textId="422F19DE" w:rsidR="00BE5AD2" w:rsidRDefault="0064181D" w:rsidP="00517777">
      <w:pPr>
        <w:pStyle w:val="Paragraph"/>
      </w:pPr>
      <w:r w:rsidRPr="005E680F">
        <w:t>The funding declaration</w:t>
      </w:r>
      <w:r w:rsidR="00A91B85" w:rsidRPr="005E680F">
        <w:t xml:space="preserve"> and other identifying details of </w:t>
      </w:r>
      <w:r w:rsidR="005E680F" w:rsidRPr="005E680F">
        <w:t>an</w:t>
      </w:r>
      <w:r w:rsidR="00A91B85" w:rsidRPr="005E680F">
        <w:t xml:space="preserve"> MP are</w:t>
      </w:r>
      <w:r w:rsidRPr="005E680F">
        <w:t xml:space="preserve"> said to</w:t>
      </w:r>
      <w:r w:rsidR="00A91B85" w:rsidRPr="005E680F">
        <w:t xml:space="preserve"> be difficult to apply to certain methods of communication, such as</w:t>
      </w:r>
      <w:r w:rsidR="00A91B85">
        <w:t xml:space="preserve"> </w:t>
      </w:r>
      <w:r w:rsidR="005E680F">
        <w:t xml:space="preserve">on </w:t>
      </w:r>
      <w:r w:rsidR="00A91B85">
        <w:t>social media platforms</w:t>
      </w:r>
      <w:r w:rsidR="005E680F">
        <w:t xml:space="preserve"> or on small items</w:t>
      </w:r>
      <w:r>
        <w:t>.</w:t>
      </w:r>
    </w:p>
    <w:p w14:paraId="3AC9D0BB" w14:textId="77777777" w:rsidR="00983BCE" w:rsidRDefault="00983BCE" w:rsidP="00517777">
      <w:pPr>
        <w:pStyle w:val="Paragraph"/>
      </w:pPr>
    </w:p>
    <w:p w14:paraId="5DB206CD" w14:textId="7FD7D001" w:rsidR="00492E6D" w:rsidRDefault="00492E6D" w:rsidP="00BF0CF4">
      <w:pPr>
        <w:pStyle w:val="VIRTHeading2"/>
        <w:numPr>
          <w:ilvl w:val="0"/>
          <w:numId w:val="2"/>
        </w:numPr>
      </w:pPr>
      <w:bookmarkStart w:id="8" w:name="_Toc41981517"/>
      <w:r>
        <w:t>Other jurisdictions</w:t>
      </w:r>
      <w:bookmarkEnd w:id="8"/>
    </w:p>
    <w:p w14:paraId="5E89EAB0" w14:textId="7295EFD0" w:rsidR="00996628" w:rsidRPr="00492E6D" w:rsidRDefault="009C2EA2" w:rsidP="00517777">
      <w:pPr>
        <w:pStyle w:val="Paragraph"/>
        <w:rPr>
          <w:highlight w:val="yellow"/>
        </w:rPr>
      </w:pPr>
      <w:r w:rsidRPr="00031DE1">
        <w:t xml:space="preserve">In conducting the review, the Tribunal </w:t>
      </w:r>
      <w:r w:rsidR="007F6C3D" w:rsidRPr="00031DE1">
        <w:t xml:space="preserve">intends to </w:t>
      </w:r>
      <w:r w:rsidRPr="00031DE1">
        <w:t xml:space="preserve">consider the </w:t>
      </w:r>
      <w:r w:rsidR="0002540A">
        <w:t xml:space="preserve">arrangements </w:t>
      </w:r>
      <w:r w:rsidRPr="00031DE1">
        <w:t>in other</w:t>
      </w:r>
      <w:r w:rsidR="00764AFB" w:rsidRPr="00031DE1">
        <w:t xml:space="preserve"> Australian</w:t>
      </w:r>
      <w:r w:rsidRPr="00031DE1">
        <w:t xml:space="preserve"> jurisdictions</w:t>
      </w:r>
      <w:r w:rsidR="00073524" w:rsidRPr="00031DE1">
        <w:t>.</w:t>
      </w:r>
      <w:r w:rsidR="0002540A">
        <w:t xml:space="preserve"> The Commonwealth and</w:t>
      </w:r>
      <w:r w:rsidR="005D178F">
        <w:t xml:space="preserve"> </w:t>
      </w:r>
      <w:r w:rsidR="0002540A">
        <w:t>all other</w:t>
      </w:r>
      <w:r w:rsidR="005D178F" w:rsidRPr="00E65591">
        <w:t xml:space="preserve"> states and territories</w:t>
      </w:r>
      <w:r w:rsidR="0002540A">
        <w:t xml:space="preserve"> have relevant frameworks that may be useful to inform the Tribunal’s development of the Guidelines</w:t>
      </w:r>
      <w:r w:rsidR="005D178F" w:rsidRPr="00E65591">
        <w:t>.</w:t>
      </w:r>
      <w:r w:rsidR="005D178F" w:rsidRPr="00C86F9E">
        <w:t xml:space="preserve"> </w:t>
      </w:r>
    </w:p>
    <w:p w14:paraId="3295D5D0" w14:textId="6732B108" w:rsidR="005D178F" w:rsidRDefault="005D178F">
      <w:pPr>
        <w:rPr>
          <w:rFonts w:ascii="Calibri Light" w:eastAsiaTheme="minorEastAsia" w:hAnsi="Calibri Light" w:cs="Arial"/>
          <w:color w:val="4D4D4D" w:themeColor="accent6"/>
          <w:sz w:val="26"/>
          <w:szCs w:val="20"/>
        </w:rPr>
      </w:pPr>
      <w:r>
        <w:br w:type="page"/>
      </w:r>
    </w:p>
    <w:p w14:paraId="5C47E2D2" w14:textId="4A348E5A" w:rsidR="005D178F" w:rsidRPr="00B8279D" w:rsidRDefault="005D178F" w:rsidP="00BF0CF4">
      <w:pPr>
        <w:pStyle w:val="VIRTHeading2"/>
      </w:pPr>
      <w:bookmarkStart w:id="9" w:name="_Toc41981518"/>
      <w:r>
        <w:rPr>
          <w:rStyle w:val="normaltextrun"/>
        </w:rPr>
        <w:t>Annexure A</w:t>
      </w:r>
      <w:r w:rsidRPr="00B8279D">
        <w:t xml:space="preserve">: </w:t>
      </w:r>
      <w:r w:rsidR="00757DBD">
        <w:tab/>
      </w:r>
      <w:r>
        <w:t>S</w:t>
      </w:r>
      <w:proofErr w:type="spellStart"/>
      <w:r w:rsidRPr="00B8279D">
        <w:rPr>
          <w:lang w:val="en-US"/>
        </w:rPr>
        <w:t>ummary</w:t>
      </w:r>
      <w:proofErr w:type="spellEnd"/>
      <w:r w:rsidRPr="00B8279D">
        <w:rPr>
          <w:lang w:val="en-US"/>
        </w:rPr>
        <w:t xml:space="preserve"> of resources in scope of the Guidelines</w:t>
      </w:r>
      <w:bookmarkEnd w:id="9"/>
    </w:p>
    <w:tbl>
      <w:tblPr>
        <w:tblStyle w:val="ListTable3-Accent21"/>
        <w:tblW w:w="5284" w:type="pct"/>
        <w:tblInd w:w="-318" w:type="dxa"/>
        <w:tblBorders>
          <w:left w:val="none" w:sz="0" w:space="0" w:color="auto"/>
          <w:right w:val="none" w:sz="0" w:space="0" w:color="auto"/>
          <w:insideH w:val="single" w:sz="4" w:space="0" w:color="148A5D" w:themeColor="accent2"/>
        </w:tblBorders>
        <w:tblLook w:val="04A0" w:firstRow="1" w:lastRow="0" w:firstColumn="1" w:lastColumn="0" w:noHBand="0" w:noVBand="1"/>
      </w:tblPr>
      <w:tblGrid>
        <w:gridCol w:w="1972"/>
        <w:gridCol w:w="2849"/>
        <w:gridCol w:w="4394"/>
      </w:tblGrid>
      <w:tr w:rsidR="007D36E0" w:rsidRPr="00B8279D" w14:paraId="4991C128" w14:textId="77777777" w:rsidTr="007D36E0">
        <w:trPr>
          <w:cnfStyle w:val="100000000000" w:firstRow="1" w:lastRow="0" w:firstColumn="0" w:lastColumn="0" w:oddVBand="0" w:evenVBand="0" w:oddHBand="0" w:evenHBand="0" w:firstRowFirstColumn="0" w:firstRowLastColumn="0" w:lastRowFirstColumn="0" w:lastRowLastColumn="0"/>
          <w:trHeight w:val="419"/>
        </w:trPr>
        <w:tc>
          <w:tcPr>
            <w:cnfStyle w:val="001000000100" w:firstRow="0" w:lastRow="0" w:firstColumn="1" w:lastColumn="0" w:oddVBand="0" w:evenVBand="0" w:oddHBand="0" w:evenHBand="0" w:firstRowFirstColumn="1" w:firstRowLastColumn="0" w:lastRowFirstColumn="0" w:lastRowLastColumn="0"/>
            <w:tcW w:w="1070" w:type="pct"/>
          </w:tcPr>
          <w:p w14:paraId="4CD573B3" w14:textId="77777777" w:rsidR="005D178F" w:rsidRPr="00B8279D" w:rsidRDefault="005D178F" w:rsidP="008B312D">
            <w:pPr>
              <w:jc w:val="center"/>
              <w:rPr>
                <w:szCs w:val="24"/>
              </w:rPr>
            </w:pPr>
            <w:r w:rsidRPr="00B8279D">
              <w:rPr>
                <w:szCs w:val="24"/>
              </w:rPr>
              <w:t>Resource</w:t>
            </w:r>
          </w:p>
        </w:tc>
        <w:tc>
          <w:tcPr>
            <w:tcW w:w="1546" w:type="pct"/>
          </w:tcPr>
          <w:p w14:paraId="33C4699A" w14:textId="77777777" w:rsidR="005D178F" w:rsidRPr="00B8279D" w:rsidRDefault="005D178F" w:rsidP="008B312D">
            <w:pPr>
              <w:jc w:val="center"/>
              <w:cnfStyle w:val="100000000000" w:firstRow="1" w:lastRow="0" w:firstColumn="0" w:lastColumn="0" w:oddVBand="0" w:evenVBand="0" w:oddHBand="0" w:evenHBand="0" w:firstRowFirstColumn="0" w:firstRowLastColumn="0" w:lastRowFirstColumn="0" w:lastRowLastColumn="0"/>
              <w:rPr>
                <w:szCs w:val="24"/>
              </w:rPr>
            </w:pPr>
            <w:r w:rsidRPr="00B8279D">
              <w:rPr>
                <w:szCs w:val="24"/>
              </w:rPr>
              <w:t>Purpose</w:t>
            </w:r>
          </w:p>
        </w:tc>
        <w:tc>
          <w:tcPr>
            <w:tcW w:w="2384" w:type="pct"/>
          </w:tcPr>
          <w:p w14:paraId="11140F0B" w14:textId="77777777" w:rsidR="005D178F" w:rsidRPr="00B8279D" w:rsidRDefault="005D178F" w:rsidP="008B312D">
            <w:pPr>
              <w:jc w:val="center"/>
              <w:cnfStyle w:val="100000000000" w:firstRow="1" w:lastRow="0" w:firstColumn="0" w:lastColumn="0" w:oddVBand="0" w:evenVBand="0" w:oddHBand="0" w:evenHBand="0" w:firstRowFirstColumn="0" w:firstRowLastColumn="0" w:lastRowFirstColumn="0" w:lastRowLastColumn="0"/>
              <w:rPr>
                <w:szCs w:val="24"/>
              </w:rPr>
            </w:pPr>
            <w:r w:rsidRPr="00B8279D">
              <w:rPr>
                <w:szCs w:val="24"/>
              </w:rPr>
              <w:t>Features</w:t>
            </w:r>
          </w:p>
        </w:tc>
      </w:tr>
      <w:tr w:rsidR="007D36E0" w:rsidRPr="00B8279D" w14:paraId="66F87A15" w14:textId="77777777" w:rsidTr="007D36E0">
        <w:trPr>
          <w:cnfStyle w:val="000000100000" w:firstRow="0" w:lastRow="0" w:firstColumn="0" w:lastColumn="0" w:oddVBand="0" w:evenVBand="0" w:oddHBand="1" w:evenHBand="0" w:firstRowFirstColumn="0" w:firstRowLastColumn="0" w:lastRowFirstColumn="0" w:lastRowLastColumn="0"/>
          <w:trHeight w:val="419"/>
        </w:trPr>
        <w:tc>
          <w:tcPr>
            <w:cnfStyle w:val="001000000000" w:firstRow="0" w:lastRow="0" w:firstColumn="1" w:lastColumn="0" w:oddVBand="0" w:evenVBand="0" w:oddHBand="0" w:evenHBand="0" w:firstRowFirstColumn="0" w:firstRowLastColumn="0" w:lastRowFirstColumn="0" w:lastRowLastColumn="0"/>
            <w:tcW w:w="1070" w:type="pct"/>
          </w:tcPr>
          <w:p w14:paraId="77AC0327" w14:textId="77777777" w:rsidR="005D178F" w:rsidRPr="00B8279D" w:rsidRDefault="005D178F" w:rsidP="008B312D">
            <w:pPr>
              <w:rPr>
                <w:rFonts w:ascii="Calibri Light" w:hAnsi="Calibri Light"/>
                <w:szCs w:val="24"/>
              </w:rPr>
            </w:pPr>
            <w:r w:rsidRPr="00B8279D">
              <w:rPr>
                <w:rFonts w:ascii="Calibri Light" w:hAnsi="Calibri Light"/>
                <w:szCs w:val="24"/>
              </w:rPr>
              <w:t>Parliamentary accommodation sitting allowance</w:t>
            </w:r>
          </w:p>
        </w:tc>
        <w:tc>
          <w:tcPr>
            <w:tcW w:w="1546" w:type="pct"/>
          </w:tcPr>
          <w:p w14:paraId="1D01F764" w14:textId="77777777" w:rsidR="005D178F" w:rsidRPr="00B8279D" w:rsidRDefault="005D178F" w:rsidP="008B312D">
            <w:pPr>
              <w:cnfStyle w:val="000000100000" w:firstRow="0" w:lastRow="0" w:firstColumn="0" w:lastColumn="0" w:oddVBand="0" w:evenVBand="0" w:oddHBand="1" w:evenHBand="0" w:firstRowFirstColumn="0" w:firstRowLastColumn="0" w:lastRowFirstColumn="0" w:lastRowLastColumn="0"/>
              <w:rPr>
                <w:rFonts w:ascii="Calibri Light" w:hAnsi="Calibri Light"/>
              </w:rPr>
            </w:pPr>
            <w:r w:rsidRPr="00B8279D">
              <w:rPr>
                <w:rFonts w:ascii="Calibri Light" w:hAnsi="Calibri Light"/>
              </w:rPr>
              <w:t>To cover the cost of regional MPs maintaining a metropolitan residence, to help them carry out their parliamentary duties while in Melbourne.</w:t>
            </w:r>
          </w:p>
        </w:tc>
        <w:tc>
          <w:tcPr>
            <w:tcW w:w="2384" w:type="pct"/>
          </w:tcPr>
          <w:p w14:paraId="6F7C737E" w14:textId="677DAC42" w:rsidR="005D178F" w:rsidRPr="000017F0" w:rsidRDefault="005D178F" w:rsidP="007D36E0">
            <w:pPr>
              <w:pStyle w:val="ListParagraph"/>
              <w:numPr>
                <w:ilvl w:val="0"/>
                <w:numId w:val="13"/>
              </w:numPr>
              <w:ind w:left="334" w:hanging="258"/>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0017F0">
              <w:rPr>
                <w:rFonts w:asciiTheme="majorHAnsi" w:hAnsiTheme="majorHAnsi" w:cstheme="majorHAnsi"/>
              </w:rPr>
              <w:t>Available to regional MPs whose home base is at least 80km from the Melbourne centre and</w:t>
            </w:r>
            <w:r w:rsidR="0025235E">
              <w:rPr>
                <w:rFonts w:asciiTheme="majorHAnsi" w:hAnsiTheme="majorHAnsi" w:cstheme="majorHAnsi"/>
              </w:rPr>
              <w:t xml:space="preserve"> who</w:t>
            </w:r>
            <w:r w:rsidRPr="000017F0">
              <w:rPr>
                <w:rFonts w:asciiTheme="majorHAnsi" w:hAnsiTheme="majorHAnsi" w:cstheme="majorHAnsi"/>
              </w:rPr>
              <w:t xml:space="preserve"> maintain a second residence in metropolitan Melbourne.</w:t>
            </w:r>
          </w:p>
          <w:p w14:paraId="1467A382" w14:textId="77777777" w:rsidR="005D178F" w:rsidRPr="000017F0" w:rsidRDefault="005D178F" w:rsidP="007D36E0">
            <w:pPr>
              <w:pStyle w:val="ListParagraph"/>
              <w:numPr>
                <w:ilvl w:val="0"/>
                <w:numId w:val="13"/>
              </w:numPr>
              <w:ind w:left="334" w:hanging="258"/>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0017F0">
              <w:rPr>
                <w:rFonts w:asciiTheme="majorHAnsi" w:hAnsiTheme="majorHAnsi" w:cstheme="majorHAnsi"/>
              </w:rPr>
              <w:t>Amount of allowance varies depending on office held (if any).</w:t>
            </w:r>
          </w:p>
        </w:tc>
      </w:tr>
      <w:tr w:rsidR="007D36E0" w:rsidRPr="00B8279D" w14:paraId="194760D7" w14:textId="77777777" w:rsidTr="007D36E0">
        <w:trPr>
          <w:trHeight w:val="419"/>
        </w:trPr>
        <w:tc>
          <w:tcPr>
            <w:cnfStyle w:val="001000000000" w:firstRow="0" w:lastRow="0" w:firstColumn="1" w:lastColumn="0" w:oddVBand="0" w:evenVBand="0" w:oddHBand="0" w:evenHBand="0" w:firstRowFirstColumn="0" w:firstRowLastColumn="0" w:lastRowFirstColumn="0" w:lastRowLastColumn="0"/>
            <w:tcW w:w="1070" w:type="pct"/>
          </w:tcPr>
          <w:p w14:paraId="657058E2" w14:textId="77777777" w:rsidR="005D178F" w:rsidRPr="00B8279D" w:rsidRDefault="005D178F" w:rsidP="008B312D">
            <w:pPr>
              <w:rPr>
                <w:rFonts w:ascii="Calibri Light" w:hAnsi="Calibri Light"/>
                <w:szCs w:val="24"/>
              </w:rPr>
            </w:pPr>
            <w:r w:rsidRPr="00B8279D">
              <w:rPr>
                <w:rFonts w:ascii="Calibri Light" w:hAnsi="Calibri Light"/>
                <w:szCs w:val="24"/>
              </w:rPr>
              <w:t>Travel allowance</w:t>
            </w:r>
          </w:p>
        </w:tc>
        <w:tc>
          <w:tcPr>
            <w:tcW w:w="1546" w:type="pct"/>
          </w:tcPr>
          <w:p w14:paraId="220ECD77" w14:textId="77777777" w:rsidR="005D178F" w:rsidRPr="00B8279D" w:rsidRDefault="005D178F" w:rsidP="008B312D">
            <w:pPr>
              <w:cnfStyle w:val="000000000000" w:firstRow="0" w:lastRow="0" w:firstColumn="0" w:lastColumn="0" w:oddVBand="0" w:evenVBand="0" w:oddHBand="0" w:evenHBand="0" w:firstRowFirstColumn="0" w:firstRowLastColumn="0" w:lastRowFirstColumn="0" w:lastRowLastColumn="0"/>
              <w:rPr>
                <w:rFonts w:ascii="Calibri Light" w:hAnsi="Calibri Light"/>
              </w:rPr>
            </w:pPr>
            <w:r w:rsidRPr="00B8279D">
              <w:rPr>
                <w:rFonts w:ascii="Calibri Light" w:hAnsi="Calibri Light"/>
              </w:rPr>
              <w:t>To cover the cost of accommodation, meals and incidentals when MPs are required to stay overnight, within Australia, away from their home base to undertake parliamentary or electorate business.</w:t>
            </w:r>
          </w:p>
        </w:tc>
        <w:tc>
          <w:tcPr>
            <w:tcW w:w="2384" w:type="pct"/>
          </w:tcPr>
          <w:p w14:paraId="2CED0F45" w14:textId="77777777" w:rsidR="005D178F" w:rsidRPr="000017F0" w:rsidRDefault="005D178F" w:rsidP="007D36E0">
            <w:pPr>
              <w:pStyle w:val="ListParagraph"/>
              <w:numPr>
                <w:ilvl w:val="0"/>
                <w:numId w:val="16"/>
              </w:numPr>
              <w:ind w:left="334" w:hanging="258"/>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017F0">
              <w:rPr>
                <w:rFonts w:asciiTheme="majorHAnsi" w:hAnsiTheme="majorHAnsi" w:cstheme="majorHAnsi"/>
              </w:rPr>
              <w:t xml:space="preserve">MPs claiming the parliamentary accommodation sitting allowance cannot claim the travel allowance for stays within the metropolitan area. </w:t>
            </w:r>
          </w:p>
          <w:p w14:paraId="1D6F9705" w14:textId="77777777" w:rsidR="005D178F" w:rsidRPr="000017F0" w:rsidRDefault="005D178F" w:rsidP="007D36E0">
            <w:pPr>
              <w:pStyle w:val="ListParagraph"/>
              <w:numPr>
                <w:ilvl w:val="0"/>
                <w:numId w:val="16"/>
              </w:numPr>
              <w:ind w:left="334" w:hanging="258"/>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017F0">
              <w:rPr>
                <w:rFonts w:asciiTheme="majorHAnsi" w:hAnsiTheme="majorHAnsi" w:cstheme="majorHAnsi"/>
              </w:rPr>
              <w:t>MPs may only claim costs actually incurred, subject to nightly limits which vary depending on location.</w:t>
            </w:r>
          </w:p>
          <w:p w14:paraId="5D016332" w14:textId="77777777" w:rsidR="005D178F" w:rsidRPr="000017F0" w:rsidRDefault="005D178F" w:rsidP="007D36E0">
            <w:pPr>
              <w:pStyle w:val="ListParagraph"/>
              <w:numPr>
                <w:ilvl w:val="0"/>
                <w:numId w:val="16"/>
              </w:numPr>
              <w:ind w:left="334" w:hanging="258"/>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017F0">
              <w:rPr>
                <w:rFonts w:asciiTheme="majorHAnsi" w:hAnsiTheme="majorHAnsi" w:cstheme="majorHAnsi"/>
              </w:rPr>
              <w:t>Different eligibility rules apply under the Guidelines depending on whether the MP is undertaking parliamentary business or electorate business.</w:t>
            </w:r>
          </w:p>
        </w:tc>
      </w:tr>
      <w:tr w:rsidR="007D36E0" w:rsidRPr="00B8279D" w14:paraId="11FB9951" w14:textId="77777777" w:rsidTr="007D36E0">
        <w:trPr>
          <w:cnfStyle w:val="000000100000" w:firstRow="0" w:lastRow="0" w:firstColumn="0" w:lastColumn="0" w:oddVBand="0" w:evenVBand="0" w:oddHBand="1" w:evenHBand="0" w:firstRowFirstColumn="0" w:firstRowLastColumn="0" w:lastRowFirstColumn="0" w:lastRowLastColumn="0"/>
          <w:trHeight w:val="419"/>
        </w:trPr>
        <w:tc>
          <w:tcPr>
            <w:cnfStyle w:val="001000000000" w:firstRow="0" w:lastRow="0" w:firstColumn="1" w:lastColumn="0" w:oddVBand="0" w:evenVBand="0" w:oddHBand="0" w:evenHBand="0" w:firstRowFirstColumn="0" w:firstRowLastColumn="0" w:lastRowFirstColumn="0" w:lastRowLastColumn="0"/>
            <w:tcW w:w="1070" w:type="pct"/>
          </w:tcPr>
          <w:p w14:paraId="625ACC41" w14:textId="77777777" w:rsidR="005D178F" w:rsidRPr="00B8279D" w:rsidRDefault="005D178F" w:rsidP="008B312D">
            <w:pPr>
              <w:rPr>
                <w:rFonts w:ascii="Calibri Light" w:hAnsi="Calibri Light"/>
                <w:szCs w:val="24"/>
              </w:rPr>
            </w:pPr>
            <w:r w:rsidRPr="00B8279D">
              <w:rPr>
                <w:rFonts w:ascii="Calibri Light" w:hAnsi="Calibri Light"/>
                <w:szCs w:val="24"/>
              </w:rPr>
              <w:t>Commercial transport allowance</w:t>
            </w:r>
          </w:p>
        </w:tc>
        <w:tc>
          <w:tcPr>
            <w:tcW w:w="1546" w:type="pct"/>
          </w:tcPr>
          <w:p w14:paraId="505AC3A3" w14:textId="38C8BEF3" w:rsidR="005D178F" w:rsidRPr="008135D6" w:rsidRDefault="005D178F" w:rsidP="008B312D">
            <w:pPr>
              <w:cnfStyle w:val="000000100000" w:firstRow="0" w:lastRow="0" w:firstColumn="0" w:lastColumn="0" w:oddVBand="0" w:evenVBand="0" w:oddHBand="1" w:evenHBand="0" w:firstRowFirstColumn="0" w:firstRowLastColumn="0" w:lastRowFirstColumn="0" w:lastRowLastColumn="0"/>
              <w:rPr>
                <w:rFonts w:ascii="Calibri Light" w:hAnsi="Calibri Light"/>
                <w:szCs w:val="24"/>
              </w:rPr>
            </w:pPr>
            <w:r w:rsidRPr="008135D6">
              <w:rPr>
                <w:rFonts w:ascii="Calibri Light" w:hAnsi="Calibri Light"/>
                <w:szCs w:val="24"/>
              </w:rPr>
              <w:t>To cover transport costs of</w:t>
            </w:r>
            <w:r w:rsidR="0025235E" w:rsidRPr="008135D6">
              <w:rPr>
                <w:rFonts w:ascii="Calibri Light" w:hAnsi="Calibri Light"/>
                <w:szCs w:val="24"/>
              </w:rPr>
              <w:t xml:space="preserve"> </w:t>
            </w:r>
            <w:r w:rsidRPr="008135D6">
              <w:rPr>
                <w:rFonts w:ascii="Calibri Light" w:hAnsi="Calibri Light"/>
                <w:szCs w:val="24"/>
              </w:rPr>
              <w:t>travelling within</w:t>
            </w:r>
          </w:p>
          <w:p w14:paraId="45101EE1" w14:textId="77777777" w:rsidR="005D178F" w:rsidRPr="008135D6" w:rsidRDefault="005D178F" w:rsidP="008B312D">
            <w:pPr>
              <w:cnfStyle w:val="000000100000" w:firstRow="0" w:lastRow="0" w:firstColumn="0" w:lastColumn="0" w:oddVBand="0" w:evenVBand="0" w:oddHBand="1" w:evenHBand="0" w:firstRowFirstColumn="0" w:firstRowLastColumn="0" w:lastRowFirstColumn="0" w:lastRowLastColumn="0"/>
              <w:rPr>
                <w:rFonts w:ascii="Calibri Light" w:hAnsi="Calibri Light"/>
                <w:szCs w:val="24"/>
              </w:rPr>
            </w:pPr>
            <w:r w:rsidRPr="008135D6">
              <w:rPr>
                <w:rFonts w:ascii="Calibri Light" w:hAnsi="Calibri Light"/>
                <w:szCs w:val="24"/>
              </w:rPr>
              <w:t>Australia to undertake</w:t>
            </w:r>
          </w:p>
          <w:p w14:paraId="167D6F57" w14:textId="77777777" w:rsidR="005D178F" w:rsidRPr="008135D6" w:rsidRDefault="005D178F" w:rsidP="008B312D">
            <w:pPr>
              <w:cnfStyle w:val="000000100000" w:firstRow="0" w:lastRow="0" w:firstColumn="0" w:lastColumn="0" w:oddVBand="0" w:evenVBand="0" w:oddHBand="1" w:evenHBand="0" w:firstRowFirstColumn="0" w:firstRowLastColumn="0" w:lastRowFirstColumn="0" w:lastRowLastColumn="0"/>
              <w:rPr>
                <w:rFonts w:ascii="Calibri Light" w:hAnsi="Calibri Light"/>
                <w:szCs w:val="24"/>
              </w:rPr>
            </w:pPr>
            <w:r w:rsidRPr="008135D6">
              <w:rPr>
                <w:rFonts w:ascii="Calibri Light" w:hAnsi="Calibri Light"/>
                <w:szCs w:val="24"/>
              </w:rPr>
              <w:t>parliamentary or electorate business, in circumstances where a Victorian motor vehicle cannot reasonably</w:t>
            </w:r>
          </w:p>
          <w:p w14:paraId="58CA341A" w14:textId="40D3D9FF" w:rsidR="005D178F" w:rsidRPr="008135D6" w:rsidRDefault="005D178F" w:rsidP="00B647E9">
            <w:pPr>
              <w:cnfStyle w:val="000000100000" w:firstRow="0" w:lastRow="0" w:firstColumn="0" w:lastColumn="0" w:oddVBand="0" w:evenVBand="0" w:oddHBand="1" w:evenHBand="0" w:firstRowFirstColumn="0" w:firstRowLastColumn="0" w:lastRowFirstColumn="0" w:lastRowLastColumn="0"/>
              <w:rPr>
                <w:rFonts w:ascii="Calibri Light" w:hAnsi="Calibri Light"/>
                <w:szCs w:val="24"/>
              </w:rPr>
            </w:pPr>
            <w:r w:rsidRPr="008135D6">
              <w:rPr>
                <w:rFonts w:ascii="Calibri Light" w:hAnsi="Calibri Light"/>
                <w:szCs w:val="24"/>
              </w:rPr>
              <w:t>be used</w:t>
            </w:r>
            <w:r w:rsidR="00B647E9">
              <w:rPr>
                <w:rFonts w:ascii="Calibri Light" w:hAnsi="Calibri Light"/>
                <w:szCs w:val="24"/>
              </w:rPr>
              <w:t>.</w:t>
            </w:r>
          </w:p>
        </w:tc>
        <w:tc>
          <w:tcPr>
            <w:tcW w:w="2384" w:type="pct"/>
          </w:tcPr>
          <w:p w14:paraId="603DBB2F" w14:textId="77777777" w:rsidR="005D178F" w:rsidRPr="000017F0" w:rsidRDefault="005D178F" w:rsidP="007D36E0">
            <w:pPr>
              <w:pStyle w:val="ListParagraph"/>
              <w:numPr>
                <w:ilvl w:val="0"/>
                <w:numId w:val="17"/>
              </w:numPr>
              <w:ind w:left="334" w:hanging="218"/>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0017F0">
              <w:rPr>
                <w:rFonts w:asciiTheme="majorHAnsi" w:hAnsiTheme="majorHAnsi" w:cstheme="majorHAnsi"/>
              </w:rPr>
              <w:t xml:space="preserve">MPs may only claim costs actually incurred, subject to annual limits. </w:t>
            </w:r>
          </w:p>
          <w:p w14:paraId="3B42EFF0" w14:textId="77777777" w:rsidR="005D178F" w:rsidRPr="000017F0" w:rsidRDefault="005D178F" w:rsidP="007D36E0">
            <w:pPr>
              <w:pStyle w:val="ListParagraph"/>
              <w:numPr>
                <w:ilvl w:val="0"/>
                <w:numId w:val="17"/>
              </w:numPr>
              <w:ind w:left="334" w:hanging="218"/>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0017F0">
              <w:rPr>
                <w:rFonts w:asciiTheme="majorHAnsi" w:hAnsiTheme="majorHAnsi" w:cstheme="majorHAnsi"/>
              </w:rPr>
              <w:t xml:space="preserve">MPs cannot claim the commercial transport allowance for parliamentary business at Parliament unless their home base is at least 80km from the Melbourne centre. </w:t>
            </w:r>
          </w:p>
        </w:tc>
      </w:tr>
      <w:tr w:rsidR="007D36E0" w:rsidRPr="00B8279D" w14:paraId="7EF767CB" w14:textId="77777777" w:rsidTr="007D36E0">
        <w:trPr>
          <w:trHeight w:val="419"/>
        </w:trPr>
        <w:tc>
          <w:tcPr>
            <w:cnfStyle w:val="001000000000" w:firstRow="0" w:lastRow="0" w:firstColumn="1" w:lastColumn="0" w:oddVBand="0" w:evenVBand="0" w:oddHBand="0" w:evenHBand="0" w:firstRowFirstColumn="0" w:firstRowLastColumn="0" w:lastRowFirstColumn="0" w:lastRowLastColumn="0"/>
            <w:tcW w:w="1070" w:type="pct"/>
          </w:tcPr>
          <w:p w14:paraId="7C3564B4" w14:textId="77777777" w:rsidR="005D178F" w:rsidRPr="00B8279D" w:rsidRDefault="005D178F" w:rsidP="008B312D">
            <w:pPr>
              <w:rPr>
                <w:rFonts w:ascii="Calibri Light" w:hAnsi="Calibri Light"/>
                <w:szCs w:val="24"/>
              </w:rPr>
            </w:pPr>
            <w:r w:rsidRPr="00B8279D">
              <w:rPr>
                <w:rFonts w:ascii="Calibri Light" w:hAnsi="Calibri Light"/>
                <w:szCs w:val="24"/>
              </w:rPr>
              <w:t>International travel allowance</w:t>
            </w:r>
          </w:p>
        </w:tc>
        <w:tc>
          <w:tcPr>
            <w:tcW w:w="1546" w:type="pct"/>
          </w:tcPr>
          <w:p w14:paraId="27655B02" w14:textId="2B14BB5A" w:rsidR="005D178F" w:rsidRPr="008135D6" w:rsidRDefault="005D178F" w:rsidP="008B312D">
            <w:pPr>
              <w:cnfStyle w:val="000000000000" w:firstRow="0" w:lastRow="0" w:firstColumn="0" w:lastColumn="0" w:oddVBand="0" w:evenVBand="0" w:oddHBand="0" w:evenHBand="0" w:firstRowFirstColumn="0" w:firstRowLastColumn="0" w:lastRowFirstColumn="0" w:lastRowLastColumn="0"/>
              <w:rPr>
                <w:rFonts w:ascii="Calibri Light" w:hAnsi="Calibri Light"/>
                <w:szCs w:val="24"/>
              </w:rPr>
            </w:pPr>
            <w:r w:rsidRPr="008135D6">
              <w:rPr>
                <w:rFonts w:ascii="Calibri Light" w:hAnsi="Calibri Light"/>
              </w:rPr>
              <w:t>To cover the cost of transport, accommodation, meals and incidentals for</w:t>
            </w:r>
            <w:r w:rsidR="0025235E" w:rsidRPr="008135D6">
              <w:rPr>
                <w:rFonts w:ascii="Calibri Light" w:hAnsi="Calibri Light"/>
              </w:rPr>
              <w:t xml:space="preserve"> </w:t>
            </w:r>
            <w:r w:rsidRPr="008135D6">
              <w:rPr>
                <w:rFonts w:ascii="Calibri Light" w:hAnsi="Calibri Light"/>
              </w:rPr>
              <w:t>travel outside of Australia for parliamentary or electorate business.</w:t>
            </w:r>
          </w:p>
        </w:tc>
        <w:tc>
          <w:tcPr>
            <w:tcW w:w="2384" w:type="pct"/>
          </w:tcPr>
          <w:p w14:paraId="76611AE3" w14:textId="77777777" w:rsidR="005D178F" w:rsidRPr="000017F0" w:rsidRDefault="005D178F" w:rsidP="007D36E0">
            <w:pPr>
              <w:pStyle w:val="ListParagraph"/>
              <w:numPr>
                <w:ilvl w:val="0"/>
                <w:numId w:val="18"/>
              </w:numPr>
              <w:ind w:left="334" w:hanging="258"/>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017F0">
              <w:rPr>
                <w:rFonts w:asciiTheme="majorHAnsi" w:hAnsiTheme="majorHAnsi" w:cstheme="majorHAnsi"/>
              </w:rPr>
              <w:t xml:space="preserve">MPs may only claim costs actually incurred, subject to annual limits. </w:t>
            </w:r>
          </w:p>
          <w:p w14:paraId="06517B64" w14:textId="77777777" w:rsidR="005D178F" w:rsidRPr="000017F0" w:rsidRDefault="005D178F" w:rsidP="007D36E0">
            <w:pPr>
              <w:pStyle w:val="ListParagraph"/>
              <w:numPr>
                <w:ilvl w:val="0"/>
                <w:numId w:val="18"/>
              </w:numPr>
              <w:ind w:left="334" w:hanging="258"/>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017F0">
              <w:rPr>
                <w:rFonts w:asciiTheme="majorHAnsi" w:hAnsiTheme="majorHAnsi" w:cstheme="majorHAnsi"/>
              </w:rPr>
              <w:t>Under the Guidelines, nightly limits apply to accommodation costs that may be claimed, which vary based on location.</w:t>
            </w:r>
          </w:p>
        </w:tc>
      </w:tr>
      <w:tr w:rsidR="007D36E0" w:rsidRPr="00B8279D" w14:paraId="1154AEF0" w14:textId="77777777" w:rsidTr="007D36E0">
        <w:trPr>
          <w:cnfStyle w:val="000000100000" w:firstRow="0" w:lastRow="0" w:firstColumn="0" w:lastColumn="0" w:oddVBand="0" w:evenVBand="0" w:oddHBand="1" w:evenHBand="0" w:firstRowFirstColumn="0" w:firstRowLastColumn="0" w:lastRowFirstColumn="0" w:lastRowLastColumn="0"/>
          <w:trHeight w:val="419"/>
        </w:trPr>
        <w:tc>
          <w:tcPr>
            <w:cnfStyle w:val="001000000000" w:firstRow="0" w:lastRow="0" w:firstColumn="1" w:lastColumn="0" w:oddVBand="0" w:evenVBand="0" w:oddHBand="0" w:evenHBand="0" w:firstRowFirstColumn="0" w:firstRowLastColumn="0" w:lastRowFirstColumn="0" w:lastRowLastColumn="0"/>
            <w:tcW w:w="1070" w:type="pct"/>
          </w:tcPr>
          <w:p w14:paraId="7455C6FC" w14:textId="13F02A28" w:rsidR="005D178F" w:rsidRPr="00B8279D" w:rsidRDefault="00E92EDD" w:rsidP="008B312D">
            <w:pPr>
              <w:rPr>
                <w:rFonts w:ascii="Calibri Light" w:hAnsi="Calibri Light"/>
                <w:szCs w:val="24"/>
              </w:rPr>
            </w:pPr>
            <w:r>
              <w:rPr>
                <w:rFonts w:ascii="Calibri Light" w:hAnsi="Calibri Light"/>
                <w:szCs w:val="24"/>
              </w:rPr>
              <w:t>EO&amp;C Budget</w:t>
            </w:r>
          </w:p>
        </w:tc>
        <w:tc>
          <w:tcPr>
            <w:tcW w:w="1546" w:type="pct"/>
          </w:tcPr>
          <w:p w14:paraId="19BFB5A6" w14:textId="77777777" w:rsidR="005D178F" w:rsidRPr="00B8279D" w:rsidRDefault="005D178F" w:rsidP="008B312D">
            <w:pPr>
              <w:cnfStyle w:val="000000100000" w:firstRow="0" w:lastRow="0" w:firstColumn="0" w:lastColumn="0" w:oddVBand="0" w:evenVBand="0" w:oddHBand="1" w:evenHBand="0" w:firstRowFirstColumn="0" w:firstRowLastColumn="0" w:lastRowFirstColumn="0" w:lastRowLastColumn="0"/>
              <w:rPr>
                <w:rFonts w:ascii="Calibri Light" w:hAnsi="Calibri Light"/>
              </w:rPr>
            </w:pPr>
            <w:r w:rsidRPr="00B8279D">
              <w:rPr>
                <w:rFonts w:ascii="Calibri Light" w:hAnsi="Calibri Light"/>
              </w:rPr>
              <w:t>Available to MPs to:</w:t>
            </w:r>
          </w:p>
          <w:p w14:paraId="6AA85DC5" w14:textId="77777777" w:rsidR="005D178F" w:rsidRPr="000017F0" w:rsidRDefault="005D178F" w:rsidP="007D36E0">
            <w:pPr>
              <w:pStyle w:val="ListParagraph"/>
              <w:numPr>
                <w:ilvl w:val="0"/>
                <w:numId w:val="13"/>
              </w:numPr>
              <w:ind w:left="328" w:hanging="284"/>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0017F0">
              <w:rPr>
                <w:rFonts w:asciiTheme="majorHAnsi" w:hAnsiTheme="majorHAnsi" w:cstheme="majorHAnsi"/>
              </w:rPr>
              <w:t xml:space="preserve">fund the operating costs and maintenance of their electorate office </w:t>
            </w:r>
          </w:p>
          <w:p w14:paraId="58223ECF" w14:textId="77777777" w:rsidR="005D178F" w:rsidRPr="000017F0" w:rsidRDefault="005D178F" w:rsidP="007D36E0">
            <w:pPr>
              <w:pStyle w:val="ListParagraph"/>
              <w:numPr>
                <w:ilvl w:val="0"/>
                <w:numId w:val="13"/>
              </w:numPr>
              <w:ind w:left="328" w:hanging="284"/>
              <w:cnfStyle w:val="000000100000" w:firstRow="0" w:lastRow="0" w:firstColumn="0" w:lastColumn="0" w:oddVBand="0" w:evenVBand="0" w:oddHBand="1" w:evenHBand="0" w:firstRowFirstColumn="0" w:firstRowLastColumn="0" w:lastRowFirstColumn="0" w:lastRowLastColumn="0"/>
              <w:rPr>
                <w:rFonts w:ascii="Calibri Light" w:hAnsi="Calibri Light"/>
              </w:rPr>
            </w:pPr>
            <w:r w:rsidRPr="000017F0">
              <w:rPr>
                <w:rFonts w:asciiTheme="majorHAnsi" w:hAnsiTheme="majorHAnsi" w:cstheme="majorHAnsi"/>
              </w:rPr>
              <w:t>communicate with their electorate in relation to the performance of their public duties.</w:t>
            </w:r>
          </w:p>
        </w:tc>
        <w:tc>
          <w:tcPr>
            <w:tcW w:w="2384" w:type="pct"/>
          </w:tcPr>
          <w:p w14:paraId="34D068C9" w14:textId="77777777" w:rsidR="005D178F" w:rsidRPr="000017F0" w:rsidRDefault="005D178F" w:rsidP="007D36E0">
            <w:pPr>
              <w:pStyle w:val="ListParagraph"/>
              <w:numPr>
                <w:ilvl w:val="0"/>
                <w:numId w:val="13"/>
              </w:numPr>
              <w:ind w:left="334" w:hanging="258"/>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0017F0">
              <w:rPr>
                <w:rFonts w:asciiTheme="majorHAnsi" w:hAnsiTheme="majorHAnsi" w:cstheme="majorHAnsi"/>
              </w:rPr>
              <w:t xml:space="preserve">Allocated to MPs each financial year, except for election years where it is determined on a pro rata basis for the periods before and after the election. </w:t>
            </w:r>
          </w:p>
          <w:p w14:paraId="3A50BBD7" w14:textId="77777777" w:rsidR="005D178F" w:rsidRPr="000017F0" w:rsidRDefault="005D178F" w:rsidP="007D36E0">
            <w:pPr>
              <w:pStyle w:val="ListParagraph"/>
              <w:numPr>
                <w:ilvl w:val="0"/>
                <w:numId w:val="13"/>
              </w:numPr>
              <w:ind w:left="334" w:hanging="258"/>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0017F0">
              <w:rPr>
                <w:rFonts w:asciiTheme="majorHAnsi" w:hAnsiTheme="majorHAnsi" w:cstheme="majorHAnsi"/>
              </w:rPr>
              <w:t xml:space="preserve">For Members of the Assembly, size of the EO&amp;C Budget varies depending on the number of voters in the electorate. </w:t>
            </w:r>
          </w:p>
          <w:p w14:paraId="4642F242" w14:textId="1E059887" w:rsidR="005D178F" w:rsidRPr="000017F0" w:rsidRDefault="005D178F" w:rsidP="007D36E0">
            <w:pPr>
              <w:pStyle w:val="ListParagraph"/>
              <w:numPr>
                <w:ilvl w:val="0"/>
                <w:numId w:val="13"/>
              </w:numPr>
              <w:ind w:left="334" w:hanging="258"/>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0017F0">
              <w:rPr>
                <w:rFonts w:asciiTheme="majorHAnsi" w:hAnsiTheme="majorHAnsi" w:cstheme="majorHAnsi"/>
              </w:rPr>
              <w:t>Tribunal Guidelines specify which goods and services can and cannot be purchased</w:t>
            </w:r>
            <w:r w:rsidR="0025235E">
              <w:rPr>
                <w:rFonts w:asciiTheme="majorHAnsi" w:hAnsiTheme="majorHAnsi" w:cstheme="majorHAnsi"/>
              </w:rPr>
              <w:t>.</w:t>
            </w:r>
          </w:p>
        </w:tc>
      </w:tr>
    </w:tbl>
    <w:p w14:paraId="4886E2C3" w14:textId="77777777" w:rsidR="00AE65BD" w:rsidRDefault="00AE65BD">
      <w:pPr>
        <w:rPr>
          <w:rStyle w:val="normaltextrun"/>
        </w:rPr>
        <w:sectPr w:rsidR="00AE65BD" w:rsidSect="00CE4996">
          <w:headerReference w:type="first" r:id="rId26"/>
          <w:pgSz w:w="11906" w:h="16838"/>
          <w:pgMar w:top="2127" w:right="1701" w:bottom="1559" w:left="1701" w:header="708" w:footer="708" w:gutter="0"/>
          <w:pgNumType w:start="0"/>
          <w:cols w:space="708"/>
          <w:titlePg/>
          <w:docGrid w:linePitch="360"/>
        </w:sectPr>
      </w:pPr>
    </w:p>
    <w:p w14:paraId="7A901354" w14:textId="13EEC62B" w:rsidR="00AE65BD" w:rsidRPr="00B8279D" w:rsidRDefault="00AE65BD" w:rsidP="00BF0CF4">
      <w:pPr>
        <w:pStyle w:val="VIRTHeading2"/>
      </w:pPr>
      <w:bookmarkStart w:id="10" w:name="_Toc41981519"/>
      <w:r>
        <w:rPr>
          <w:rStyle w:val="normaltextrun"/>
        </w:rPr>
        <w:t>Annexure B</w:t>
      </w:r>
      <w:r w:rsidRPr="00B8279D">
        <w:t xml:space="preserve">: </w:t>
      </w:r>
      <w:r>
        <w:tab/>
      </w:r>
      <w:r w:rsidR="00726E59">
        <w:t>R</w:t>
      </w:r>
      <w:r w:rsidR="00726E59" w:rsidRPr="00726E59">
        <w:t>elevant entities and their responsibilities in relation to the compliance framework</w:t>
      </w:r>
      <w:bookmarkEnd w:id="10"/>
      <w:r w:rsidR="00726E59" w:rsidRPr="00726E59">
        <w:t xml:space="preserve"> </w:t>
      </w:r>
    </w:p>
    <w:tbl>
      <w:tblPr>
        <w:tblStyle w:val="TableGrid"/>
        <w:tblW w:w="14884" w:type="dxa"/>
        <w:tblInd w:w="-601" w:type="dxa"/>
        <w:tblBorders>
          <w:top w:val="single" w:sz="12" w:space="0" w:color="808080" w:themeColor="background1" w:themeShade="80"/>
          <w:left w:val="none" w:sz="0" w:space="0" w:color="auto"/>
          <w:bottom w:val="single" w:sz="12" w:space="0" w:color="808080" w:themeColor="background1" w:themeShade="80"/>
          <w:right w:val="none" w:sz="0" w:space="0" w:color="auto"/>
          <w:insideH w:val="single" w:sz="12" w:space="0" w:color="808080" w:themeColor="background1" w:themeShade="80"/>
          <w:insideV w:val="none" w:sz="0" w:space="0" w:color="auto"/>
        </w:tblBorders>
        <w:tblLook w:val="04A0" w:firstRow="1" w:lastRow="0" w:firstColumn="1" w:lastColumn="0" w:noHBand="0" w:noVBand="1"/>
      </w:tblPr>
      <w:tblGrid>
        <w:gridCol w:w="2410"/>
        <w:gridCol w:w="2552"/>
        <w:gridCol w:w="9922"/>
      </w:tblGrid>
      <w:tr w:rsidR="00726E59" w14:paraId="217DC028" w14:textId="77777777" w:rsidTr="00BF0CF4">
        <w:tc>
          <w:tcPr>
            <w:tcW w:w="2410" w:type="dxa"/>
            <w:vAlign w:val="center"/>
          </w:tcPr>
          <w:p w14:paraId="6698AF12" w14:textId="002E2BC1" w:rsidR="00726E59" w:rsidRDefault="00726E59" w:rsidP="00726E59">
            <w:pPr>
              <w:rPr>
                <w:rStyle w:val="normaltextrun"/>
              </w:rPr>
            </w:pPr>
            <w:r w:rsidRPr="00E105B5">
              <w:rPr>
                <w:rFonts w:ascii="Calibri Light" w:hAnsi="Calibri Light" w:cs="Calibri Light"/>
                <w:b/>
                <w:sz w:val="24"/>
              </w:rPr>
              <w:t>Victorian Independent Remuneration Tribunal</w:t>
            </w:r>
          </w:p>
        </w:tc>
        <w:tc>
          <w:tcPr>
            <w:tcW w:w="2552" w:type="dxa"/>
            <w:vAlign w:val="center"/>
          </w:tcPr>
          <w:p w14:paraId="0A813749" w14:textId="667F4B3D" w:rsidR="00726E59" w:rsidRDefault="00726E59" w:rsidP="00726E59">
            <w:pPr>
              <w:rPr>
                <w:rStyle w:val="normaltextrun"/>
              </w:rPr>
            </w:pPr>
            <w:r w:rsidRPr="00E105B5">
              <w:rPr>
                <w:rFonts w:ascii="Calibri Light" w:hAnsi="Calibri Light" w:cs="Calibri Light"/>
                <w:i/>
              </w:rPr>
              <w:t xml:space="preserve">sets the value of salaries </w:t>
            </w:r>
            <w:r w:rsidRPr="00E105B5">
              <w:rPr>
                <w:rFonts w:ascii="Calibri Light" w:hAnsi="Calibri Light" w:cs="Calibri Light"/>
                <w:i/>
              </w:rPr>
              <w:br/>
              <w:t>and provides for allowances that M</w:t>
            </w:r>
            <w:r>
              <w:rPr>
                <w:rFonts w:ascii="Calibri Light" w:hAnsi="Calibri Light" w:cs="Calibri Light"/>
                <w:i/>
              </w:rPr>
              <w:t>Ps</w:t>
            </w:r>
            <w:r w:rsidRPr="00E105B5">
              <w:rPr>
                <w:rFonts w:ascii="Calibri Light" w:hAnsi="Calibri Light" w:cs="Calibri Light"/>
                <w:i/>
              </w:rPr>
              <w:t xml:space="preserve"> will receive</w:t>
            </w:r>
          </w:p>
        </w:tc>
        <w:tc>
          <w:tcPr>
            <w:tcW w:w="9922" w:type="dxa"/>
            <w:vAlign w:val="center"/>
          </w:tcPr>
          <w:p w14:paraId="72B8FC9C" w14:textId="77777777" w:rsidR="00726E59" w:rsidRPr="000A6F42" w:rsidRDefault="00726E59" w:rsidP="00BF0CF4">
            <w:pPr>
              <w:pStyle w:val="ListParagraph"/>
              <w:numPr>
                <w:ilvl w:val="0"/>
                <w:numId w:val="19"/>
              </w:numPr>
              <w:spacing w:before="80" w:after="80"/>
              <w:ind w:left="470" w:hanging="357"/>
              <w:rPr>
                <w:rFonts w:ascii="Calibri Light" w:hAnsi="Calibri Light" w:cs="Calibri Light"/>
              </w:rPr>
            </w:pPr>
            <w:r w:rsidRPr="000A6F42">
              <w:rPr>
                <w:rFonts w:ascii="Calibri Light" w:hAnsi="Calibri Light" w:cs="Calibri Light"/>
              </w:rPr>
              <w:t xml:space="preserve">The Tribunal issues the determination that sets the value of salaries, allowances and the Electorate Office and Communications Budget </w:t>
            </w:r>
            <w:r>
              <w:rPr>
                <w:rFonts w:ascii="Calibri Light" w:hAnsi="Calibri Light" w:cs="Calibri Light"/>
              </w:rPr>
              <w:t>(EO&amp;C</w:t>
            </w:r>
            <w:r w:rsidRPr="000A6F42">
              <w:rPr>
                <w:rFonts w:ascii="Calibri Light" w:hAnsi="Calibri Light" w:cs="Calibri Light"/>
              </w:rPr>
              <w:t xml:space="preserve"> Budget)</w:t>
            </w:r>
            <w:r>
              <w:rPr>
                <w:rFonts w:ascii="Calibri Light" w:hAnsi="Calibri Light" w:cs="Calibri Light"/>
              </w:rPr>
              <w:t>.</w:t>
            </w:r>
          </w:p>
          <w:p w14:paraId="72413035" w14:textId="77777777" w:rsidR="00726E59" w:rsidRDefault="00726E59" w:rsidP="00BF0CF4">
            <w:pPr>
              <w:pStyle w:val="ListParagraph"/>
              <w:numPr>
                <w:ilvl w:val="0"/>
                <w:numId w:val="19"/>
              </w:numPr>
              <w:spacing w:before="80" w:after="80"/>
              <w:ind w:left="470" w:hanging="357"/>
              <w:rPr>
                <w:rFonts w:ascii="Calibri Light" w:hAnsi="Calibri Light" w:cs="Calibri Light"/>
              </w:rPr>
            </w:pPr>
            <w:r w:rsidRPr="000A6F42">
              <w:rPr>
                <w:rFonts w:ascii="Calibri Light" w:hAnsi="Calibri Light" w:cs="Calibri Light"/>
              </w:rPr>
              <w:t xml:space="preserve">The Tribunal may also issue guidelines regarding the </w:t>
            </w:r>
            <w:r w:rsidRPr="000A6F42">
              <w:rPr>
                <w:rFonts w:ascii="Calibri Light" w:hAnsi="Calibri Light" w:cs="Calibri Light"/>
                <w:i/>
              </w:rPr>
              <w:t>use</w:t>
            </w:r>
            <w:r w:rsidRPr="000A6F42">
              <w:rPr>
                <w:rFonts w:ascii="Calibri Light" w:hAnsi="Calibri Light" w:cs="Calibri Light"/>
              </w:rPr>
              <w:t xml:space="preserve"> of </w:t>
            </w:r>
            <w:r>
              <w:rPr>
                <w:rFonts w:ascii="Calibri Light" w:hAnsi="Calibri Light" w:cs="Calibri Light"/>
              </w:rPr>
              <w:t>‘</w:t>
            </w:r>
            <w:r w:rsidRPr="000A6F42">
              <w:rPr>
                <w:rFonts w:ascii="Calibri Light" w:hAnsi="Calibri Light" w:cs="Calibri Light"/>
              </w:rPr>
              <w:t>work-related parliamentary allowances</w:t>
            </w:r>
            <w:r>
              <w:rPr>
                <w:rFonts w:ascii="Calibri Light" w:hAnsi="Calibri Light" w:cs="Calibri Light"/>
              </w:rPr>
              <w:t>’</w:t>
            </w:r>
            <w:r w:rsidRPr="000A6F42">
              <w:rPr>
                <w:rFonts w:ascii="Calibri Light" w:hAnsi="Calibri Light" w:cs="Calibri Light"/>
              </w:rPr>
              <w:t xml:space="preserve"> and the</w:t>
            </w:r>
            <w:r>
              <w:rPr>
                <w:rFonts w:ascii="Calibri Light" w:hAnsi="Calibri Light" w:cs="Calibri Light"/>
              </w:rPr>
              <w:t xml:space="preserve"> EO&amp;C</w:t>
            </w:r>
            <w:r w:rsidRPr="000A6F42">
              <w:rPr>
                <w:rFonts w:ascii="Calibri Light" w:hAnsi="Calibri Light" w:cs="Calibri Light"/>
              </w:rPr>
              <w:t xml:space="preserve"> Budget.</w:t>
            </w:r>
          </w:p>
          <w:p w14:paraId="1A3294A8" w14:textId="2BF50803" w:rsidR="00726E59" w:rsidRPr="00726E59" w:rsidRDefault="00726E59" w:rsidP="00BF0CF4">
            <w:pPr>
              <w:pStyle w:val="ListParagraph"/>
              <w:numPr>
                <w:ilvl w:val="0"/>
                <w:numId w:val="19"/>
              </w:numPr>
              <w:spacing w:before="80" w:after="80"/>
              <w:ind w:left="470" w:hanging="357"/>
              <w:rPr>
                <w:rStyle w:val="normaltextrun"/>
                <w:rFonts w:ascii="Calibri Light" w:hAnsi="Calibri Light" w:cs="Calibri Light"/>
              </w:rPr>
            </w:pPr>
            <w:r w:rsidRPr="00726E59">
              <w:rPr>
                <w:rFonts w:ascii="Calibri Light" w:hAnsi="Calibri Light" w:cs="Calibri Light"/>
              </w:rPr>
              <w:t>MPs should look to these documents to understand what they are eligible to receive or claim.</w:t>
            </w:r>
          </w:p>
        </w:tc>
      </w:tr>
      <w:tr w:rsidR="00726E59" w14:paraId="1EC2AB65" w14:textId="77777777" w:rsidTr="00BF0CF4">
        <w:tc>
          <w:tcPr>
            <w:tcW w:w="2410" w:type="dxa"/>
            <w:vAlign w:val="center"/>
          </w:tcPr>
          <w:p w14:paraId="2DCBFD9E" w14:textId="2C6C0D65" w:rsidR="00726E59" w:rsidRDefault="00726E59" w:rsidP="00726E59">
            <w:pPr>
              <w:rPr>
                <w:rStyle w:val="normaltextrun"/>
              </w:rPr>
            </w:pPr>
            <w:r w:rsidRPr="00E105B5">
              <w:rPr>
                <w:rFonts w:ascii="Calibri Light" w:hAnsi="Calibri Light" w:cs="Calibri Light"/>
                <w:b/>
                <w:sz w:val="24"/>
              </w:rPr>
              <w:t>Parliamentary Integrity Adviser</w:t>
            </w:r>
          </w:p>
        </w:tc>
        <w:tc>
          <w:tcPr>
            <w:tcW w:w="2552" w:type="dxa"/>
            <w:vAlign w:val="center"/>
          </w:tcPr>
          <w:p w14:paraId="05CD5258" w14:textId="21426153" w:rsidR="00726E59" w:rsidRDefault="00726E59" w:rsidP="00726E59">
            <w:pPr>
              <w:rPr>
                <w:rStyle w:val="normaltextrun"/>
              </w:rPr>
            </w:pPr>
            <w:r w:rsidRPr="00D14A19">
              <w:rPr>
                <w:rFonts w:ascii="Calibri Light" w:hAnsi="Calibri Light" w:cs="Calibri Light"/>
                <w:i/>
              </w:rPr>
              <w:t>available to provide confidential advice to MPs about ethical issues, integrity matters, and parliamentary matters (including the use of entitlements)</w:t>
            </w:r>
          </w:p>
        </w:tc>
        <w:tc>
          <w:tcPr>
            <w:tcW w:w="9922" w:type="dxa"/>
            <w:vAlign w:val="center"/>
          </w:tcPr>
          <w:p w14:paraId="6D0D976F" w14:textId="77777777" w:rsidR="00BF0CF4" w:rsidRDefault="00726E59" w:rsidP="00BF0CF4">
            <w:pPr>
              <w:pStyle w:val="ListParagraph"/>
              <w:numPr>
                <w:ilvl w:val="0"/>
                <w:numId w:val="20"/>
              </w:numPr>
              <w:spacing w:before="80" w:after="80"/>
              <w:ind w:left="470" w:hanging="357"/>
              <w:rPr>
                <w:rFonts w:ascii="Calibri Light" w:hAnsi="Calibri Light" w:cs="Calibri Light"/>
              </w:rPr>
            </w:pPr>
            <w:r w:rsidRPr="00D14A19">
              <w:rPr>
                <w:rFonts w:ascii="Calibri Light" w:hAnsi="Calibri Light" w:cs="Calibri Light"/>
              </w:rPr>
              <w:t>The Parliamentary Integrity Adviser is available to provide advice to MPs on ethical issues and integrity matters concerning an MP’s role, as well as broader advice on parliamentary matters. This includes the application of any legislation relevant to MPs and the use of MP entitlements.</w:t>
            </w:r>
          </w:p>
          <w:p w14:paraId="30DCB96F" w14:textId="49556B99" w:rsidR="00726E59" w:rsidRPr="00BF0CF4" w:rsidRDefault="00726E59" w:rsidP="00BF0CF4">
            <w:pPr>
              <w:pStyle w:val="ListParagraph"/>
              <w:numPr>
                <w:ilvl w:val="0"/>
                <w:numId w:val="20"/>
              </w:numPr>
              <w:spacing w:before="80" w:after="80"/>
              <w:ind w:left="470" w:hanging="357"/>
              <w:rPr>
                <w:rStyle w:val="normaltextrun"/>
                <w:rFonts w:ascii="Calibri Light" w:hAnsi="Calibri Light" w:cs="Calibri Light"/>
              </w:rPr>
            </w:pPr>
            <w:r w:rsidRPr="00BF0CF4">
              <w:rPr>
                <w:rFonts w:ascii="Calibri Light" w:hAnsi="Calibri Light" w:cs="Calibri Light"/>
              </w:rPr>
              <w:t>If MPs have questions about whether it would be appropriate to make a claim for a certain type of expense, or whether their conduct in relation to a claim is appropriate, and the MP does not want to raise these questions with the Relevant Officers, then they should seek the confidential advice of the Parliamentary Integrity Adviser.</w:t>
            </w:r>
          </w:p>
        </w:tc>
      </w:tr>
      <w:tr w:rsidR="00726E59" w14:paraId="65A08167" w14:textId="77777777" w:rsidTr="00BF0CF4">
        <w:tc>
          <w:tcPr>
            <w:tcW w:w="2410" w:type="dxa"/>
            <w:vAlign w:val="center"/>
          </w:tcPr>
          <w:p w14:paraId="1F7EB118" w14:textId="0A0FB408" w:rsidR="00726E59" w:rsidRDefault="00726E59" w:rsidP="00726E59">
            <w:pPr>
              <w:rPr>
                <w:rStyle w:val="normaltextrun"/>
              </w:rPr>
            </w:pPr>
            <w:r w:rsidRPr="00E105B5">
              <w:rPr>
                <w:rFonts w:ascii="Calibri Light" w:hAnsi="Calibri Light" w:cs="Calibri Light"/>
                <w:b/>
                <w:sz w:val="24"/>
              </w:rPr>
              <w:t xml:space="preserve">Relevant Officers </w:t>
            </w:r>
            <w:r w:rsidRPr="00E105B5">
              <w:rPr>
                <w:rFonts w:ascii="Calibri Light" w:hAnsi="Calibri Light" w:cs="Calibri Light"/>
                <w:b/>
                <w:sz w:val="24"/>
              </w:rPr>
              <w:br/>
            </w:r>
            <w:r w:rsidRPr="00D407A8">
              <w:rPr>
                <w:rFonts w:ascii="Calibri Light" w:hAnsi="Calibri Light" w:cs="Calibri Light"/>
                <w:b/>
              </w:rPr>
              <w:t xml:space="preserve">(Clerks or </w:t>
            </w:r>
            <w:r w:rsidR="00BF0CF4">
              <w:rPr>
                <w:rFonts w:ascii="Calibri Light" w:hAnsi="Calibri Light" w:cs="Calibri Light"/>
                <w:b/>
              </w:rPr>
              <w:br/>
            </w:r>
            <w:r w:rsidRPr="00D407A8">
              <w:rPr>
                <w:rFonts w:ascii="Calibri Light" w:hAnsi="Calibri Light" w:cs="Calibri Light"/>
                <w:b/>
              </w:rPr>
              <w:t>Secretary of DPS)</w:t>
            </w:r>
          </w:p>
        </w:tc>
        <w:tc>
          <w:tcPr>
            <w:tcW w:w="2552" w:type="dxa"/>
            <w:vAlign w:val="center"/>
          </w:tcPr>
          <w:p w14:paraId="5A5CA974" w14:textId="6D6C6B1F" w:rsidR="00726E59" w:rsidRDefault="00726E59" w:rsidP="00726E59">
            <w:pPr>
              <w:rPr>
                <w:rStyle w:val="normaltextrun"/>
              </w:rPr>
            </w:pPr>
            <w:r w:rsidRPr="00E105B5">
              <w:rPr>
                <w:rFonts w:ascii="Calibri Light" w:hAnsi="Calibri Light" w:cs="Calibri Light"/>
                <w:i/>
              </w:rPr>
              <w:t xml:space="preserve">determines whether a claim and the conduct in relation to </w:t>
            </w:r>
            <w:r w:rsidR="00BF0CF4">
              <w:rPr>
                <w:rFonts w:ascii="Calibri Light" w:hAnsi="Calibri Light" w:cs="Calibri Light"/>
                <w:i/>
              </w:rPr>
              <w:t>t</w:t>
            </w:r>
            <w:r w:rsidRPr="00E105B5">
              <w:rPr>
                <w:rFonts w:ascii="Calibri Light" w:hAnsi="Calibri Light" w:cs="Calibri Light"/>
                <w:i/>
              </w:rPr>
              <w:t>he claim is compliant and may be paid</w:t>
            </w:r>
          </w:p>
        </w:tc>
        <w:tc>
          <w:tcPr>
            <w:tcW w:w="9922" w:type="dxa"/>
            <w:vAlign w:val="center"/>
          </w:tcPr>
          <w:p w14:paraId="0B617911" w14:textId="77777777" w:rsidR="00726E59" w:rsidRPr="000A6F42" w:rsidRDefault="00726E59" w:rsidP="00BF0CF4">
            <w:pPr>
              <w:pStyle w:val="ListParagraph"/>
              <w:numPr>
                <w:ilvl w:val="0"/>
                <w:numId w:val="21"/>
              </w:numPr>
              <w:spacing w:before="80" w:after="80"/>
              <w:ind w:left="470" w:hanging="357"/>
              <w:rPr>
                <w:rFonts w:ascii="Calibri Light" w:hAnsi="Calibri Light" w:cs="Calibri Light"/>
              </w:rPr>
            </w:pPr>
            <w:r w:rsidRPr="000A6F42">
              <w:rPr>
                <w:rFonts w:ascii="Calibri Light" w:hAnsi="Calibri Light" w:cs="Calibri Light"/>
              </w:rPr>
              <w:t>The Relevant Officers are responsible for determining whether a</w:t>
            </w:r>
            <w:r>
              <w:rPr>
                <w:rFonts w:ascii="Calibri Light" w:hAnsi="Calibri Light" w:cs="Calibri Light"/>
              </w:rPr>
              <w:t>n</w:t>
            </w:r>
            <w:r w:rsidRPr="000A6F42">
              <w:rPr>
                <w:rFonts w:ascii="Calibri Light" w:hAnsi="Calibri Light" w:cs="Calibri Light"/>
              </w:rPr>
              <w:t xml:space="preserve"> </w:t>
            </w:r>
            <w:r>
              <w:rPr>
                <w:rFonts w:ascii="Calibri Light" w:hAnsi="Calibri Light" w:cs="Calibri Light"/>
              </w:rPr>
              <w:t>MP</w:t>
            </w:r>
            <w:r w:rsidRPr="000A6F42">
              <w:rPr>
                <w:rFonts w:ascii="Calibri Light" w:hAnsi="Calibri Light" w:cs="Calibri Light"/>
              </w:rPr>
              <w:t xml:space="preserve">’s claim for a work-related parliamentary allowance or under the </w:t>
            </w:r>
            <w:r>
              <w:rPr>
                <w:rFonts w:ascii="Calibri Light" w:hAnsi="Calibri Light" w:cs="Calibri Light"/>
              </w:rPr>
              <w:t xml:space="preserve">EO&amp;C </w:t>
            </w:r>
            <w:r w:rsidRPr="000A6F42">
              <w:rPr>
                <w:rFonts w:ascii="Calibri Light" w:hAnsi="Calibri Light" w:cs="Calibri Light"/>
              </w:rPr>
              <w:t xml:space="preserve">Budget, and their conduct in relation to the allowance or the </w:t>
            </w:r>
            <w:r>
              <w:rPr>
                <w:rFonts w:ascii="Calibri Light" w:hAnsi="Calibri Light" w:cs="Calibri Light"/>
              </w:rPr>
              <w:t xml:space="preserve">EO&amp;C </w:t>
            </w:r>
            <w:r w:rsidRPr="000A6F42">
              <w:rPr>
                <w:rFonts w:ascii="Calibri Light" w:hAnsi="Calibri Light" w:cs="Calibri Light"/>
              </w:rPr>
              <w:t>Budget, is compliant and can be paid.</w:t>
            </w:r>
          </w:p>
          <w:p w14:paraId="652D8716" w14:textId="77777777" w:rsidR="00BF0CF4" w:rsidRDefault="00726E59" w:rsidP="00BF0CF4">
            <w:pPr>
              <w:pStyle w:val="ListParagraph"/>
              <w:numPr>
                <w:ilvl w:val="0"/>
                <w:numId w:val="21"/>
              </w:numPr>
              <w:spacing w:before="80" w:after="80"/>
              <w:ind w:left="470" w:hanging="357"/>
              <w:rPr>
                <w:rFonts w:ascii="Calibri Light" w:hAnsi="Calibri Light" w:cs="Calibri Light"/>
              </w:rPr>
            </w:pPr>
            <w:r w:rsidRPr="000A6F42">
              <w:rPr>
                <w:rFonts w:ascii="Calibri Light" w:hAnsi="Calibri Light" w:cs="Calibri Light"/>
              </w:rPr>
              <w:t>The Clerks</w:t>
            </w:r>
            <w:r>
              <w:rPr>
                <w:rFonts w:ascii="Calibri Light" w:hAnsi="Calibri Light" w:cs="Calibri Light"/>
              </w:rPr>
              <w:t xml:space="preserve"> of each House of the Parliament</w:t>
            </w:r>
            <w:r w:rsidRPr="000A6F42">
              <w:rPr>
                <w:rFonts w:ascii="Calibri Light" w:hAnsi="Calibri Light" w:cs="Calibri Light"/>
              </w:rPr>
              <w:t xml:space="preserve"> are responsible for claims for work-related parliamentary allowances, and the Secretary of DPS is responsible for claims under the</w:t>
            </w:r>
            <w:r>
              <w:rPr>
                <w:rFonts w:ascii="Calibri Light" w:hAnsi="Calibri Light" w:cs="Calibri Light"/>
              </w:rPr>
              <w:t xml:space="preserve"> EO&amp;C</w:t>
            </w:r>
            <w:r w:rsidRPr="000A6F42">
              <w:rPr>
                <w:rFonts w:ascii="Calibri Light" w:hAnsi="Calibri Light" w:cs="Calibri Light"/>
              </w:rPr>
              <w:t xml:space="preserve"> Budget.</w:t>
            </w:r>
          </w:p>
          <w:p w14:paraId="2FDDA8C6" w14:textId="70F79574" w:rsidR="00726E59" w:rsidRPr="00BF0CF4" w:rsidRDefault="00726E59" w:rsidP="00BF0CF4">
            <w:pPr>
              <w:pStyle w:val="ListParagraph"/>
              <w:numPr>
                <w:ilvl w:val="0"/>
                <w:numId w:val="21"/>
              </w:numPr>
              <w:spacing w:before="80" w:after="80"/>
              <w:ind w:left="470" w:hanging="357"/>
              <w:rPr>
                <w:rStyle w:val="normaltextrun"/>
                <w:rFonts w:ascii="Calibri Light" w:hAnsi="Calibri Light" w:cs="Calibri Light"/>
              </w:rPr>
            </w:pPr>
            <w:r w:rsidRPr="00BF0CF4">
              <w:rPr>
                <w:rFonts w:ascii="Calibri Light" w:hAnsi="Calibri Light" w:cs="Calibri Light"/>
              </w:rPr>
              <w:t>The Clerks will also determine whether an MP is ineligible to receive a separation payment as a result of committing a significant and wilful breach of the Code of Conduct while an MP.</w:t>
            </w:r>
          </w:p>
        </w:tc>
      </w:tr>
      <w:tr w:rsidR="00726E59" w14:paraId="2E857292" w14:textId="77777777" w:rsidTr="00BF0CF4">
        <w:tc>
          <w:tcPr>
            <w:tcW w:w="2410" w:type="dxa"/>
            <w:vAlign w:val="center"/>
          </w:tcPr>
          <w:p w14:paraId="1218C0D3" w14:textId="7F2EC424" w:rsidR="00726E59" w:rsidRDefault="00726E59" w:rsidP="00726E59">
            <w:pPr>
              <w:rPr>
                <w:rStyle w:val="normaltextrun"/>
              </w:rPr>
            </w:pPr>
            <w:r w:rsidRPr="00C2518A">
              <w:rPr>
                <w:rFonts w:ascii="Calibri Light" w:hAnsi="Calibri Light" w:cs="Calibri Light"/>
                <w:b/>
                <w:sz w:val="24"/>
              </w:rPr>
              <w:t>Compliance Officer</w:t>
            </w:r>
          </w:p>
        </w:tc>
        <w:tc>
          <w:tcPr>
            <w:tcW w:w="2552" w:type="dxa"/>
            <w:vAlign w:val="center"/>
          </w:tcPr>
          <w:p w14:paraId="5AAA1712" w14:textId="3191D458" w:rsidR="00726E59" w:rsidRDefault="00726E59" w:rsidP="00726E59">
            <w:pPr>
              <w:rPr>
                <w:rStyle w:val="normaltextrun"/>
              </w:rPr>
            </w:pPr>
            <w:r w:rsidRPr="00C2518A">
              <w:rPr>
                <w:rFonts w:ascii="Calibri Light" w:hAnsi="Calibri Light" w:cs="Calibri Light"/>
                <w:i/>
              </w:rPr>
              <w:t xml:space="preserve">hears appeals from </w:t>
            </w:r>
            <w:r>
              <w:rPr>
                <w:rFonts w:ascii="Calibri Light" w:hAnsi="Calibri Light" w:cs="Calibri Light"/>
                <w:i/>
              </w:rPr>
              <w:t>MP</w:t>
            </w:r>
            <w:r w:rsidRPr="00C2518A">
              <w:rPr>
                <w:rFonts w:ascii="Calibri Light" w:hAnsi="Calibri Light" w:cs="Calibri Light"/>
                <w:i/>
              </w:rPr>
              <w:t>s about decisions made by the Relevant Officers</w:t>
            </w:r>
          </w:p>
        </w:tc>
        <w:tc>
          <w:tcPr>
            <w:tcW w:w="9922" w:type="dxa"/>
            <w:vAlign w:val="center"/>
          </w:tcPr>
          <w:p w14:paraId="237936A9" w14:textId="77777777" w:rsidR="00BF0CF4" w:rsidRDefault="00726E59" w:rsidP="00BF0CF4">
            <w:pPr>
              <w:pStyle w:val="ListParagraph"/>
              <w:numPr>
                <w:ilvl w:val="0"/>
                <w:numId w:val="22"/>
              </w:numPr>
              <w:spacing w:before="80" w:after="80"/>
              <w:ind w:left="470" w:hanging="357"/>
              <w:rPr>
                <w:rFonts w:ascii="Calibri Light" w:hAnsi="Calibri Light" w:cs="Calibri Light"/>
              </w:rPr>
            </w:pPr>
            <w:r w:rsidRPr="000A6F42">
              <w:rPr>
                <w:rFonts w:ascii="Calibri Light" w:hAnsi="Calibri Light" w:cs="Calibri Light"/>
              </w:rPr>
              <w:t>If a</w:t>
            </w:r>
            <w:r>
              <w:rPr>
                <w:rFonts w:ascii="Calibri Light" w:hAnsi="Calibri Light" w:cs="Calibri Light"/>
              </w:rPr>
              <w:t>n</w:t>
            </w:r>
            <w:r w:rsidRPr="000A6F42">
              <w:rPr>
                <w:rFonts w:ascii="Calibri Light" w:hAnsi="Calibri Light" w:cs="Calibri Light"/>
              </w:rPr>
              <w:t xml:space="preserve"> </w:t>
            </w:r>
            <w:r>
              <w:rPr>
                <w:rFonts w:ascii="Calibri Light" w:hAnsi="Calibri Light" w:cs="Calibri Light"/>
              </w:rPr>
              <w:t>MP</w:t>
            </w:r>
            <w:r w:rsidRPr="000A6F42">
              <w:rPr>
                <w:rFonts w:ascii="Calibri Light" w:hAnsi="Calibri Light" w:cs="Calibri Light"/>
              </w:rPr>
              <w:t xml:space="preserve"> is not satisfied with a decision of </w:t>
            </w:r>
            <w:r>
              <w:rPr>
                <w:rFonts w:ascii="Calibri Light" w:hAnsi="Calibri Light" w:cs="Calibri Light"/>
              </w:rPr>
              <w:t>a</w:t>
            </w:r>
            <w:r w:rsidRPr="000A6F42">
              <w:rPr>
                <w:rFonts w:ascii="Calibri Light" w:hAnsi="Calibri Light" w:cs="Calibri Light"/>
              </w:rPr>
              <w:t xml:space="preserve"> Relevant </w:t>
            </w:r>
            <w:proofErr w:type="gramStart"/>
            <w:r w:rsidRPr="000A6F42">
              <w:rPr>
                <w:rFonts w:ascii="Calibri Light" w:hAnsi="Calibri Light" w:cs="Calibri Light"/>
              </w:rPr>
              <w:t>Officer</w:t>
            </w:r>
            <w:proofErr w:type="gramEnd"/>
            <w:r w:rsidRPr="000A6F42">
              <w:rPr>
                <w:rFonts w:ascii="Calibri Light" w:hAnsi="Calibri Light" w:cs="Calibri Light"/>
              </w:rPr>
              <w:t xml:space="preserve"> they may appeal to the Compliance Officer.</w:t>
            </w:r>
          </w:p>
          <w:p w14:paraId="17BF17B9" w14:textId="1AD61F3D" w:rsidR="00BF0CF4" w:rsidRPr="00BF0CF4" w:rsidRDefault="00726E59" w:rsidP="00BF0CF4">
            <w:pPr>
              <w:pStyle w:val="ListParagraph"/>
              <w:numPr>
                <w:ilvl w:val="0"/>
                <w:numId w:val="22"/>
              </w:numPr>
              <w:spacing w:before="80" w:after="80"/>
              <w:ind w:left="470" w:hanging="357"/>
              <w:rPr>
                <w:rFonts w:ascii="Calibri Light" w:hAnsi="Calibri Light" w:cs="Calibri Light"/>
              </w:rPr>
            </w:pPr>
            <w:r w:rsidRPr="00BF0CF4">
              <w:rPr>
                <w:rFonts w:ascii="Calibri Light" w:hAnsi="Calibri Light" w:cs="Calibri Light"/>
              </w:rPr>
              <w:t>The Compliance Officer will hold a proceeding to determine the appeal and may request information and written or oral statements.</w:t>
            </w:r>
          </w:p>
          <w:p w14:paraId="4A440520" w14:textId="27AFA0F8" w:rsidR="00726E59" w:rsidRPr="00BF0CF4" w:rsidRDefault="00726E59" w:rsidP="00BF0CF4">
            <w:pPr>
              <w:pStyle w:val="ListParagraph"/>
              <w:numPr>
                <w:ilvl w:val="0"/>
                <w:numId w:val="22"/>
              </w:numPr>
              <w:spacing w:before="80" w:after="80"/>
              <w:ind w:left="470" w:hanging="357"/>
              <w:rPr>
                <w:rStyle w:val="normaltextrun"/>
                <w:rFonts w:ascii="Calibri Light" w:hAnsi="Calibri Light" w:cs="Calibri Light"/>
              </w:rPr>
            </w:pPr>
            <w:r w:rsidRPr="00BF0CF4">
              <w:rPr>
                <w:rFonts w:ascii="Calibri Light" w:hAnsi="Calibri Light" w:cs="Calibri Light"/>
              </w:rPr>
              <w:t>Given the appeal function performed by the Compliance Officer, they are not available to offer advice like the Parliamentary Integrity Adviser or Relevant Officers.</w:t>
            </w:r>
          </w:p>
        </w:tc>
      </w:tr>
    </w:tbl>
    <w:p w14:paraId="270190AF" w14:textId="02185CC0" w:rsidR="00AE65BD" w:rsidRDefault="00AE65BD">
      <w:pPr>
        <w:rPr>
          <w:rStyle w:val="normaltextrun"/>
        </w:rPr>
      </w:pPr>
    </w:p>
    <w:p w14:paraId="312831B4" w14:textId="77777777" w:rsidR="00AE65BD" w:rsidRDefault="00AE65BD">
      <w:pPr>
        <w:rPr>
          <w:rStyle w:val="normaltextrun"/>
        </w:rPr>
        <w:sectPr w:rsidR="00AE65BD" w:rsidSect="00BF0CF4">
          <w:footerReference w:type="first" r:id="rId27"/>
          <w:pgSz w:w="16838" w:h="11906" w:orient="landscape"/>
          <w:pgMar w:top="1701" w:right="2126" w:bottom="993" w:left="1559" w:header="709" w:footer="709" w:gutter="0"/>
          <w:cols w:space="708"/>
          <w:titlePg/>
          <w:docGrid w:linePitch="360"/>
        </w:sectPr>
      </w:pPr>
    </w:p>
    <w:p w14:paraId="13F79632" w14:textId="05B1DA41" w:rsidR="005D178F" w:rsidRPr="009F072E" w:rsidRDefault="005D178F" w:rsidP="00BF0CF4">
      <w:pPr>
        <w:pStyle w:val="VIRTHeading2"/>
        <w:rPr>
          <w:rStyle w:val="normaltextrun"/>
        </w:rPr>
      </w:pPr>
      <w:bookmarkStart w:id="11" w:name="_Toc41981520"/>
      <w:r>
        <w:rPr>
          <w:rStyle w:val="normaltextrun"/>
        </w:rPr>
        <w:t xml:space="preserve">Annexure </w:t>
      </w:r>
      <w:r w:rsidR="00FC5F86">
        <w:rPr>
          <w:rStyle w:val="normaltextrun"/>
        </w:rPr>
        <w:t>C</w:t>
      </w:r>
      <w:r>
        <w:rPr>
          <w:rStyle w:val="normaltextrun"/>
        </w:rPr>
        <w:t xml:space="preserve">: </w:t>
      </w:r>
      <w:r w:rsidR="00757DBD">
        <w:rPr>
          <w:rStyle w:val="normaltextrun"/>
        </w:rPr>
        <w:tab/>
      </w:r>
      <w:r>
        <w:rPr>
          <w:rStyle w:val="normaltextrun"/>
        </w:rPr>
        <w:t>Changes</w:t>
      </w:r>
      <w:r w:rsidRPr="4074B526">
        <w:rPr>
          <w:rStyle w:val="normaltextrun"/>
        </w:rPr>
        <w:t xml:space="preserve"> made to the </w:t>
      </w:r>
      <w:r w:rsidRPr="00F770B9">
        <w:rPr>
          <w:rStyle w:val="normaltextrun"/>
        </w:rPr>
        <w:t>Guidelines</w:t>
      </w:r>
      <w:r w:rsidRPr="4074B526">
        <w:rPr>
          <w:rStyle w:val="normaltextrun"/>
        </w:rPr>
        <w:t xml:space="preserve"> No.</w:t>
      </w:r>
      <w:r>
        <w:rPr>
          <w:rStyle w:val="normaltextrun"/>
        </w:rPr>
        <w:t xml:space="preserve"> </w:t>
      </w:r>
      <w:r w:rsidRPr="4074B526">
        <w:rPr>
          <w:rStyle w:val="normaltextrun"/>
        </w:rPr>
        <w:t>01/2019</w:t>
      </w:r>
      <w:bookmarkEnd w:id="11"/>
    </w:p>
    <w:tbl>
      <w:tblPr>
        <w:tblW w:w="850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18"/>
        <w:gridCol w:w="417"/>
        <w:gridCol w:w="5669"/>
      </w:tblGrid>
      <w:tr w:rsidR="00AE65BD" w:rsidRPr="00A40468" w14:paraId="29FCDB47" w14:textId="77777777" w:rsidTr="00AE65BD">
        <w:tc>
          <w:tcPr>
            <w:tcW w:w="2418" w:type="dxa"/>
            <w:tcBorders>
              <w:top w:val="single" w:sz="6" w:space="0" w:color="148A5D" w:themeColor="accent2"/>
              <w:left w:val="nil"/>
              <w:bottom w:val="single" w:sz="6" w:space="0" w:color="148A5D" w:themeColor="accent2"/>
              <w:right w:val="nil"/>
            </w:tcBorders>
            <w:shd w:val="clear" w:color="auto" w:fill="148A5D" w:themeFill="accent2"/>
            <w:hideMark/>
          </w:tcPr>
          <w:p w14:paraId="1C49A9B9" w14:textId="77777777" w:rsidR="00AE65BD" w:rsidRPr="00A40468" w:rsidRDefault="00AE65BD" w:rsidP="008B312D">
            <w:pPr>
              <w:spacing w:after="0" w:line="240" w:lineRule="auto"/>
              <w:textAlignment w:val="baseline"/>
              <w:rPr>
                <w:rFonts w:ascii="Segoe UI" w:eastAsia="Times New Roman" w:hAnsi="Segoe UI" w:cs="Segoe UI"/>
                <w:b/>
                <w:bCs/>
                <w:color w:val="4D4D4D"/>
                <w:sz w:val="18"/>
                <w:szCs w:val="18"/>
                <w:lang w:eastAsia="en-AU"/>
              </w:rPr>
            </w:pPr>
            <w:r w:rsidRPr="4074B526">
              <w:rPr>
                <w:rFonts w:ascii="Calibri Light" w:eastAsia="Times New Roman" w:hAnsi="Calibri Light" w:cs="Segoe UI"/>
                <w:b/>
                <w:bCs/>
                <w:color w:val="FFFFFF" w:themeColor="background2"/>
                <w:lang w:eastAsia="en-AU"/>
              </w:rPr>
              <w:t>Guideline that was changed</w:t>
            </w:r>
            <w:r w:rsidRPr="4074B526">
              <w:rPr>
                <w:rFonts w:ascii="Calibri Light" w:eastAsia="Times New Roman" w:hAnsi="Calibri Light" w:cs="Segoe UI"/>
                <w:b/>
                <w:bCs/>
                <w:color w:val="4D4D4D" w:themeColor="accent6"/>
                <w:lang w:eastAsia="en-AU"/>
              </w:rPr>
              <w:t> </w:t>
            </w:r>
          </w:p>
        </w:tc>
        <w:tc>
          <w:tcPr>
            <w:tcW w:w="417" w:type="dxa"/>
            <w:tcBorders>
              <w:top w:val="single" w:sz="6" w:space="0" w:color="148A5D" w:themeColor="accent2"/>
              <w:left w:val="nil"/>
              <w:bottom w:val="single" w:sz="6" w:space="0" w:color="148A5D" w:themeColor="accent2"/>
              <w:right w:val="nil"/>
            </w:tcBorders>
            <w:shd w:val="clear" w:color="auto" w:fill="148A5D" w:themeFill="accent2"/>
          </w:tcPr>
          <w:p w14:paraId="6094A173" w14:textId="77777777" w:rsidR="00AE65BD" w:rsidRPr="00A40468" w:rsidRDefault="00AE65BD" w:rsidP="008B312D">
            <w:pPr>
              <w:spacing w:after="0" w:line="240" w:lineRule="auto"/>
              <w:textAlignment w:val="baseline"/>
              <w:rPr>
                <w:rFonts w:ascii="Calibri Light" w:eastAsia="Times New Roman" w:hAnsi="Calibri Light" w:cs="Segoe UI"/>
                <w:b/>
                <w:bCs/>
                <w:color w:val="FFFFFF"/>
                <w:lang w:eastAsia="en-AU"/>
              </w:rPr>
            </w:pPr>
          </w:p>
        </w:tc>
        <w:tc>
          <w:tcPr>
            <w:tcW w:w="5669" w:type="dxa"/>
            <w:tcBorders>
              <w:top w:val="single" w:sz="6" w:space="0" w:color="148A5D" w:themeColor="accent2"/>
              <w:left w:val="nil"/>
              <w:bottom w:val="single" w:sz="6" w:space="0" w:color="148A5D" w:themeColor="accent2"/>
              <w:right w:val="nil"/>
            </w:tcBorders>
            <w:shd w:val="clear" w:color="auto" w:fill="148A5D" w:themeFill="accent2"/>
            <w:hideMark/>
          </w:tcPr>
          <w:p w14:paraId="5100E277" w14:textId="3EF538E6" w:rsidR="00AE65BD" w:rsidRPr="00A40468" w:rsidRDefault="00AE65BD" w:rsidP="008B312D">
            <w:pPr>
              <w:spacing w:after="0" w:line="240" w:lineRule="auto"/>
              <w:textAlignment w:val="baseline"/>
              <w:rPr>
                <w:rFonts w:ascii="Segoe UI" w:eastAsia="Times New Roman" w:hAnsi="Segoe UI" w:cs="Segoe UI"/>
                <w:b/>
                <w:bCs/>
                <w:color w:val="4D4D4D"/>
                <w:sz w:val="18"/>
                <w:szCs w:val="18"/>
                <w:lang w:eastAsia="en-AU"/>
              </w:rPr>
            </w:pPr>
            <w:r w:rsidRPr="00A40468">
              <w:rPr>
                <w:rFonts w:ascii="Calibri Light" w:eastAsia="Times New Roman" w:hAnsi="Calibri Light" w:cs="Segoe UI"/>
                <w:b/>
                <w:bCs/>
                <w:color w:val="FFFFFF"/>
                <w:lang w:eastAsia="en-AU"/>
              </w:rPr>
              <w:t>Description of the change</w:t>
            </w:r>
            <w:r w:rsidRPr="00A40468">
              <w:rPr>
                <w:rFonts w:ascii="Calibri Light" w:eastAsia="Times New Roman" w:hAnsi="Calibri Light" w:cs="Segoe UI"/>
                <w:b/>
                <w:bCs/>
                <w:color w:val="4D4D4D"/>
                <w:lang w:eastAsia="en-AU"/>
              </w:rPr>
              <w:t> </w:t>
            </w:r>
          </w:p>
        </w:tc>
      </w:tr>
      <w:tr w:rsidR="00AE65BD" w:rsidRPr="00A40468" w14:paraId="58795A39" w14:textId="77777777" w:rsidTr="00AE65BD">
        <w:tc>
          <w:tcPr>
            <w:tcW w:w="2418" w:type="dxa"/>
            <w:tcBorders>
              <w:top w:val="nil"/>
              <w:left w:val="nil"/>
              <w:bottom w:val="single" w:sz="6" w:space="0" w:color="148A5D" w:themeColor="accent2"/>
              <w:right w:val="nil"/>
            </w:tcBorders>
            <w:shd w:val="clear" w:color="auto" w:fill="FFFFFF" w:themeFill="background2"/>
            <w:hideMark/>
          </w:tcPr>
          <w:p w14:paraId="647509C8" w14:textId="77777777" w:rsidR="00AE65BD" w:rsidRPr="00A40468" w:rsidRDefault="00AE65BD" w:rsidP="008B312D">
            <w:pPr>
              <w:spacing w:after="0" w:line="240" w:lineRule="auto"/>
              <w:textAlignment w:val="baseline"/>
              <w:rPr>
                <w:rFonts w:ascii="Segoe UI" w:eastAsia="Times New Roman" w:hAnsi="Segoe UI" w:cs="Segoe UI"/>
                <w:b/>
                <w:bCs/>
                <w:color w:val="4D4D4D"/>
                <w:sz w:val="18"/>
                <w:szCs w:val="18"/>
                <w:lang w:eastAsia="en-AU"/>
              </w:rPr>
            </w:pPr>
            <w:r w:rsidRPr="00A40468">
              <w:rPr>
                <w:rFonts w:ascii="Calibri Light" w:eastAsia="Times New Roman" w:hAnsi="Calibri Light" w:cs="Segoe UI"/>
                <w:b/>
                <w:bCs/>
                <w:color w:val="4D4D4D"/>
                <w:lang w:eastAsia="en-AU"/>
              </w:rPr>
              <w:t>Paragraph 3.2 - </w:t>
            </w:r>
            <w:r w:rsidRPr="00A40468">
              <w:rPr>
                <w:rFonts w:ascii="Calibri Light" w:eastAsia="Times New Roman" w:hAnsi="Calibri Light" w:cs="Segoe UI"/>
                <w:color w:val="4D4D4D"/>
                <w:lang w:eastAsia="en-AU"/>
              </w:rPr>
              <w:t>Definition of parliamentary business</w:t>
            </w:r>
            <w:r w:rsidRPr="00A40468">
              <w:rPr>
                <w:rFonts w:ascii="Calibri Light" w:eastAsia="Times New Roman" w:hAnsi="Calibri Light" w:cs="Segoe UI"/>
                <w:b/>
                <w:bCs/>
                <w:color w:val="4D4D4D"/>
                <w:lang w:eastAsia="en-AU"/>
              </w:rPr>
              <w:t> </w:t>
            </w:r>
          </w:p>
        </w:tc>
        <w:tc>
          <w:tcPr>
            <w:tcW w:w="417" w:type="dxa"/>
            <w:tcBorders>
              <w:top w:val="nil"/>
              <w:left w:val="nil"/>
              <w:bottom w:val="single" w:sz="6" w:space="0" w:color="148A5D" w:themeColor="accent2"/>
              <w:right w:val="nil"/>
            </w:tcBorders>
          </w:tcPr>
          <w:p w14:paraId="1DD045C4" w14:textId="77777777" w:rsidR="00AE65BD" w:rsidRPr="00A40468" w:rsidRDefault="00AE65BD" w:rsidP="008B312D">
            <w:pPr>
              <w:spacing w:after="0" w:line="240" w:lineRule="auto"/>
              <w:textAlignment w:val="baseline"/>
              <w:rPr>
                <w:rFonts w:ascii="Calibri Light" w:eastAsia="Times New Roman" w:hAnsi="Calibri Light" w:cs="Segoe UI"/>
                <w:color w:val="4D4D4D"/>
                <w:lang w:eastAsia="en-AU"/>
              </w:rPr>
            </w:pPr>
          </w:p>
        </w:tc>
        <w:tc>
          <w:tcPr>
            <w:tcW w:w="5669" w:type="dxa"/>
            <w:tcBorders>
              <w:top w:val="nil"/>
              <w:left w:val="nil"/>
              <w:bottom w:val="single" w:sz="6" w:space="0" w:color="148A5D" w:themeColor="accent2"/>
              <w:right w:val="nil"/>
            </w:tcBorders>
            <w:shd w:val="clear" w:color="auto" w:fill="auto"/>
            <w:hideMark/>
          </w:tcPr>
          <w:p w14:paraId="7905396F" w14:textId="4102A712" w:rsidR="00AE65BD" w:rsidRPr="00A40468" w:rsidRDefault="00AE65BD" w:rsidP="008B312D">
            <w:pPr>
              <w:spacing w:after="0" w:line="240" w:lineRule="auto"/>
              <w:textAlignment w:val="baseline"/>
              <w:rPr>
                <w:rFonts w:ascii="Segoe UI" w:eastAsia="Times New Roman" w:hAnsi="Segoe UI" w:cs="Segoe UI"/>
                <w:color w:val="4D4D4D"/>
                <w:sz w:val="18"/>
                <w:szCs w:val="18"/>
                <w:lang w:eastAsia="en-AU"/>
              </w:rPr>
            </w:pPr>
            <w:r w:rsidRPr="00A40468">
              <w:rPr>
                <w:rFonts w:ascii="Calibri Light" w:eastAsia="Times New Roman" w:hAnsi="Calibri Light" w:cs="Segoe UI"/>
                <w:color w:val="4D4D4D"/>
                <w:lang w:eastAsia="en-AU"/>
              </w:rPr>
              <w:t>Shadow Ministers and Parliamentary Secretaries added to the list of office holders in the definition of parliamentary business. </w:t>
            </w:r>
          </w:p>
        </w:tc>
      </w:tr>
      <w:tr w:rsidR="00AE65BD" w:rsidRPr="00A40468" w14:paraId="3A341A6E" w14:textId="77777777" w:rsidTr="00AE65BD">
        <w:tc>
          <w:tcPr>
            <w:tcW w:w="2418" w:type="dxa"/>
            <w:tcBorders>
              <w:top w:val="nil"/>
              <w:left w:val="nil"/>
              <w:bottom w:val="single" w:sz="6" w:space="0" w:color="148A5D" w:themeColor="accent2"/>
              <w:right w:val="nil"/>
            </w:tcBorders>
            <w:shd w:val="clear" w:color="auto" w:fill="FFFFFF" w:themeFill="background2"/>
            <w:hideMark/>
          </w:tcPr>
          <w:p w14:paraId="42872322" w14:textId="77777777" w:rsidR="00AE65BD" w:rsidRPr="00A40468" w:rsidRDefault="00AE65BD" w:rsidP="008B312D">
            <w:pPr>
              <w:spacing w:after="0" w:line="240" w:lineRule="auto"/>
              <w:textAlignment w:val="baseline"/>
              <w:rPr>
                <w:rFonts w:ascii="Segoe UI" w:eastAsia="Times New Roman" w:hAnsi="Segoe UI" w:cs="Segoe UI"/>
                <w:b/>
                <w:bCs/>
                <w:color w:val="4D4D4D"/>
                <w:sz w:val="18"/>
                <w:szCs w:val="18"/>
                <w:lang w:eastAsia="en-AU"/>
              </w:rPr>
            </w:pPr>
            <w:r w:rsidRPr="00A40468">
              <w:rPr>
                <w:rFonts w:ascii="Calibri Light" w:eastAsia="Times New Roman" w:hAnsi="Calibri Light" w:cs="Segoe UI"/>
                <w:b/>
                <w:bCs/>
                <w:color w:val="4D4D4D"/>
                <w:lang w:eastAsia="en-AU"/>
              </w:rPr>
              <w:t>Paragraph 6.1 - </w:t>
            </w:r>
            <w:r w:rsidRPr="00A40468">
              <w:rPr>
                <w:rFonts w:ascii="Calibri Light" w:eastAsia="Times New Roman" w:hAnsi="Calibri Light" w:cs="Segoe UI"/>
                <w:color w:val="4D4D4D"/>
                <w:lang w:eastAsia="en-AU"/>
              </w:rPr>
              <w:t>Clarification of how the travel allowance is calculated </w:t>
            </w:r>
            <w:r w:rsidRPr="00A40468">
              <w:rPr>
                <w:rFonts w:ascii="Calibri Light" w:eastAsia="Times New Roman" w:hAnsi="Calibri Light" w:cs="Segoe UI"/>
                <w:b/>
                <w:bCs/>
                <w:color w:val="4D4D4D"/>
                <w:lang w:eastAsia="en-AU"/>
              </w:rPr>
              <w:t> </w:t>
            </w:r>
          </w:p>
        </w:tc>
        <w:tc>
          <w:tcPr>
            <w:tcW w:w="417" w:type="dxa"/>
            <w:tcBorders>
              <w:top w:val="nil"/>
              <w:left w:val="nil"/>
              <w:bottom w:val="single" w:sz="6" w:space="0" w:color="148A5D" w:themeColor="accent2"/>
              <w:right w:val="nil"/>
            </w:tcBorders>
          </w:tcPr>
          <w:p w14:paraId="6261100A" w14:textId="77777777" w:rsidR="00AE65BD" w:rsidRPr="00A40468" w:rsidRDefault="00AE65BD" w:rsidP="008B312D">
            <w:pPr>
              <w:spacing w:after="0" w:line="240" w:lineRule="auto"/>
              <w:textAlignment w:val="baseline"/>
              <w:rPr>
                <w:rFonts w:ascii="Calibri Light" w:eastAsia="Times New Roman" w:hAnsi="Calibri Light" w:cs="Segoe UI"/>
                <w:color w:val="4D4D4D"/>
                <w:lang w:eastAsia="en-AU"/>
              </w:rPr>
            </w:pPr>
          </w:p>
        </w:tc>
        <w:tc>
          <w:tcPr>
            <w:tcW w:w="5669" w:type="dxa"/>
            <w:tcBorders>
              <w:top w:val="nil"/>
              <w:left w:val="nil"/>
              <w:bottom w:val="single" w:sz="6" w:space="0" w:color="148A5D" w:themeColor="accent2"/>
              <w:right w:val="nil"/>
            </w:tcBorders>
            <w:shd w:val="clear" w:color="auto" w:fill="auto"/>
            <w:hideMark/>
          </w:tcPr>
          <w:p w14:paraId="555BB4CE" w14:textId="5A113D14" w:rsidR="00AE65BD" w:rsidRPr="00A40468" w:rsidRDefault="00AE65BD" w:rsidP="008B312D">
            <w:pPr>
              <w:spacing w:after="0" w:line="240" w:lineRule="auto"/>
              <w:textAlignment w:val="baseline"/>
              <w:rPr>
                <w:rFonts w:ascii="Segoe UI" w:eastAsia="Times New Roman" w:hAnsi="Segoe UI" w:cs="Segoe UI"/>
                <w:color w:val="4D4D4D"/>
                <w:sz w:val="18"/>
                <w:szCs w:val="18"/>
                <w:lang w:eastAsia="en-AU"/>
              </w:rPr>
            </w:pPr>
            <w:r w:rsidRPr="00A40468">
              <w:rPr>
                <w:rFonts w:ascii="Calibri Light" w:eastAsia="Times New Roman" w:hAnsi="Calibri Light" w:cs="Segoe UI"/>
                <w:color w:val="4D4D4D"/>
                <w:lang w:eastAsia="en-AU"/>
              </w:rPr>
              <w:t>Amended to clarify which values in the Commonwealth Remuneration Tribunal (Members of Parliament) Determination are to be used to determine the travelling allowance rate.  </w:t>
            </w:r>
          </w:p>
        </w:tc>
      </w:tr>
      <w:tr w:rsidR="00AE65BD" w:rsidRPr="00A40468" w14:paraId="0B3E8CF9" w14:textId="77777777" w:rsidTr="00AE65BD">
        <w:tc>
          <w:tcPr>
            <w:tcW w:w="2418" w:type="dxa"/>
            <w:tcBorders>
              <w:top w:val="nil"/>
              <w:left w:val="nil"/>
              <w:bottom w:val="single" w:sz="6" w:space="0" w:color="148A5D" w:themeColor="accent2"/>
              <w:right w:val="nil"/>
            </w:tcBorders>
            <w:shd w:val="clear" w:color="auto" w:fill="FFFFFF" w:themeFill="background2"/>
            <w:hideMark/>
          </w:tcPr>
          <w:p w14:paraId="7BE6AE65" w14:textId="77777777" w:rsidR="00AE65BD" w:rsidRPr="00A40468" w:rsidRDefault="00AE65BD" w:rsidP="008B312D">
            <w:pPr>
              <w:spacing w:after="0" w:line="240" w:lineRule="auto"/>
              <w:textAlignment w:val="baseline"/>
              <w:rPr>
                <w:rFonts w:ascii="Segoe UI" w:eastAsia="Times New Roman" w:hAnsi="Segoe UI" w:cs="Segoe UI"/>
                <w:b/>
                <w:bCs/>
                <w:color w:val="4D4D4D"/>
                <w:sz w:val="18"/>
                <w:szCs w:val="18"/>
                <w:lang w:eastAsia="en-AU"/>
              </w:rPr>
            </w:pPr>
            <w:r w:rsidRPr="00A40468">
              <w:rPr>
                <w:rFonts w:ascii="Calibri Light" w:eastAsia="Times New Roman" w:hAnsi="Calibri Light" w:cs="Segoe UI"/>
                <w:b/>
                <w:bCs/>
                <w:color w:val="4D4D4D"/>
                <w:lang w:eastAsia="en-AU"/>
              </w:rPr>
              <w:t>Paragraph 6.2 - </w:t>
            </w:r>
            <w:r w:rsidRPr="00A40468">
              <w:rPr>
                <w:rFonts w:ascii="Calibri Light" w:eastAsia="Times New Roman" w:hAnsi="Calibri Light" w:cs="Segoe UI"/>
                <w:color w:val="4D4D4D"/>
                <w:lang w:eastAsia="en-AU"/>
              </w:rPr>
              <w:t>Change to how the threshold for claiming the travel allowance is determined</w:t>
            </w:r>
            <w:r w:rsidRPr="00A40468">
              <w:rPr>
                <w:rFonts w:ascii="Calibri Light" w:eastAsia="Times New Roman" w:hAnsi="Calibri Light" w:cs="Segoe UI"/>
                <w:b/>
                <w:bCs/>
                <w:color w:val="4D4D4D"/>
                <w:lang w:eastAsia="en-AU"/>
              </w:rPr>
              <w:t> </w:t>
            </w:r>
          </w:p>
        </w:tc>
        <w:tc>
          <w:tcPr>
            <w:tcW w:w="417" w:type="dxa"/>
            <w:tcBorders>
              <w:top w:val="nil"/>
              <w:left w:val="nil"/>
              <w:bottom w:val="single" w:sz="6" w:space="0" w:color="148A5D" w:themeColor="accent2"/>
              <w:right w:val="nil"/>
            </w:tcBorders>
          </w:tcPr>
          <w:p w14:paraId="6ADB12BC" w14:textId="77777777" w:rsidR="00AE65BD" w:rsidRPr="00A40468" w:rsidRDefault="00AE65BD" w:rsidP="008B312D">
            <w:pPr>
              <w:spacing w:after="0" w:line="240" w:lineRule="auto"/>
              <w:textAlignment w:val="baseline"/>
              <w:rPr>
                <w:rFonts w:ascii="Calibri Light" w:eastAsia="Times New Roman" w:hAnsi="Calibri Light" w:cs="Segoe UI"/>
                <w:color w:val="4D4D4D"/>
                <w:lang w:eastAsia="en-AU"/>
              </w:rPr>
            </w:pPr>
          </w:p>
        </w:tc>
        <w:tc>
          <w:tcPr>
            <w:tcW w:w="5669" w:type="dxa"/>
            <w:tcBorders>
              <w:top w:val="nil"/>
              <w:left w:val="nil"/>
              <w:bottom w:val="single" w:sz="6" w:space="0" w:color="148A5D" w:themeColor="accent2"/>
              <w:right w:val="nil"/>
            </w:tcBorders>
            <w:shd w:val="clear" w:color="auto" w:fill="auto"/>
            <w:hideMark/>
          </w:tcPr>
          <w:p w14:paraId="5BBD60FC" w14:textId="40B13F6D" w:rsidR="00AE65BD" w:rsidRPr="00A40468" w:rsidRDefault="00AE65BD" w:rsidP="008B312D">
            <w:pPr>
              <w:spacing w:after="0" w:line="240" w:lineRule="auto"/>
              <w:textAlignment w:val="baseline"/>
              <w:rPr>
                <w:rFonts w:ascii="Segoe UI" w:eastAsia="Times New Roman" w:hAnsi="Segoe UI" w:cs="Segoe UI"/>
                <w:color w:val="4D4D4D"/>
                <w:sz w:val="18"/>
                <w:szCs w:val="18"/>
                <w:lang w:eastAsia="en-AU"/>
              </w:rPr>
            </w:pPr>
            <w:r w:rsidRPr="00A40468">
              <w:rPr>
                <w:rFonts w:ascii="Calibri Light" w:eastAsia="Times New Roman" w:hAnsi="Calibri Light" w:cs="Segoe UI"/>
                <w:color w:val="4D4D4D"/>
                <w:lang w:eastAsia="en-AU"/>
              </w:rPr>
              <w:t>Amended to allow MPs to claim the travel allowance if they can demonstrate that the shortest practicable route by road between their home base and the location of the stay satisfies the applicable distance threshold.  </w:t>
            </w:r>
          </w:p>
        </w:tc>
      </w:tr>
      <w:tr w:rsidR="00AE65BD" w:rsidRPr="00A40468" w14:paraId="0AF530CA" w14:textId="77777777" w:rsidTr="00AE65BD">
        <w:tc>
          <w:tcPr>
            <w:tcW w:w="2418" w:type="dxa"/>
            <w:tcBorders>
              <w:top w:val="nil"/>
              <w:left w:val="nil"/>
              <w:bottom w:val="single" w:sz="6" w:space="0" w:color="148A5D" w:themeColor="accent2"/>
              <w:right w:val="nil"/>
            </w:tcBorders>
            <w:shd w:val="clear" w:color="auto" w:fill="FFFFFF" w:themeFill="background2"/>
            <w:hideMark/>
          </w:tcPr>
          <w:p w14:paraId="79B2F5BC" w14:textId="77777777" w:rsidR="00AE65BD" w:rsidRPr="00A40468" w:rsidRDefault="00AE65BD" w:rsidP="008B312D">
            <w:pPr>
              <w:spacing w:after="0" w:line="240" w:lineRule="auto"/>
              <w:textAlignment w:val="baseline"/>
              <w:rPr>
                <w:rFonts w:ascii="Segoe UI" w:eastAsia="Times New Roman" w:hAnsi="Segoe UI" w:cs="Segoe UI"/>
                <w:b/>
                <w:bCs/>
                <w:color w:val="4D4D4D"/>
                <w:sz w:val="18"/>
                <w:szCs w:val="18"/>
                <w:lang w:eastAsia="en-AU"/>
              </w:rPr>
            </w:pPr>
            <w:r w:rsidRPr="00A40468">
              <w:rPr>
                <w:rFonts w:ascii="Calibri Light" w:eastAsia="Times New Roman" w:hAnsi="Calibri Light" w:cs="Segoe UI"/>
                <w:b/>
                <w:bCs/>
                <w:color w:val="4D4D4D"/>
                <w:lang w:eastAsia="en-AU"/>
              </w:rPr>
              <w:t>Paragraph 6.3 - </w:t>
            </w:r>
            <w:r w:rsidRPr="00A40468">
              <w:rPr>
                <w:rFonts w:ascii="Calibri Light" w:eastAsia="Times New Roman" w:hAnsi="Calibri Light" w:cs="Segoe UI"/>
                <w:color w:val="4D4D4D"/>
                <w:lang w:eastAsia="en-AU"/>
              </w:rPr>
              <w:t>Travel allowance may be claimed when there is a break of less than 10 hours between parliamentary sittings</w:t>
            </w:r>
            <w:r w:rsidRPr="00A40468">
              <w:rPr>
                <w:rFonts w:ascii="Calibri Light" w:eastAsia="Times New Roman" w:hAnsi="Calibri Light" w:cs="Segoe UI"/>
                <w:b/>
                <w:bCs/>
                <w:color w:val="4D4D4D"/>
                <w:lang w:eastAsia="en-AU"/>
              </w:rPr>
              <w:t> </w:t>
            </w:r>
          </w:p>
        </w:tc>
        <w:tc>
          <w:tcPr>
            <w:tcW w:w="417" w:type="dxa"/>
            <w:tcBorders>
              <w:top w:val="nil"/>
              <w:left w:val="nil"/>
              <w:bottom w:val="single" w:sz="6" w:space="0" w:color="148A5D" w:themeColor="accent2"/>
              <w:right w:val="nil"/>
            </w:tcBorders>
          </w:tcPr>
          <w:p w14:paraId="231C5E87" w14:textId="77777777" w:rsidR="00AE65BD" w:rsidRPr="4074B526" w:rsidRDefault="00AE65BD" w:rsidP="008B312D">
            <w:pPr>
              <w:spacing w:after="0" w:line="240" w:lineRule="auto"/>
              <w:textAlignment w:val="baseline"/>
              <w:rPr>
                <w:rFonts w:ascii="Calibri Light" w:eastAsia="Times New Roman" w:hAnsi="Calibri Light" w:cs="Segoe UI"/>
                <w:color w:val="4D4D4D" w:themeColor="accent6"/>
                <w:lang w:eastAsia="en-AU"/>
              </w:rPr>
            </w:pPr>
          </w:p>
        </w:tc>
        <w:tc>
          <w:tcPr>
            <w:tcW w:w="5669" w:type="dxa"/>
            <w:tcBorders>
              <w:top w:val="nil"/>
              <w:left w:val="nil"/>
              <w:bottom w:val="single" w:sz="6" w:space="0" w:color="148A5D" w:themeColor="accent2"/>
              <w:right w:val="nil"/>
            </w:tcBorders>
            <w:shd w:val="clear" w:color="auto" w:fill="auto"/>
            <w:hideMark/>
          </w:tcPr>
          <w:p w14:paraId="618A1FDC" w14:textId="716AA3D7" w:rsidR="00AE65BD" w:rsidRPr="00A40468" w:rsidRDefault="00AE65BD" w:rsidP="008B312D">
            <w:pPr>
              <w:spacing w:after="0" w:line="240" w:lineRule="auto"/>
              <w:textAlignment w:val="baseline"/>
              <w:rPr>
                <w:rFonts w:ascii="Segoe UI" w:eastAsia="Times New Roman" w:hAnsi="Segoe UI" w:cs="Segoe UI"/>
                <w:color w:val="4D4D4D"/>
                <w:sz w:val="18"/>
                <w:szCs w:val="18"/>
                <w:lang w:eastAsia="en-AU"/>
              </w:rPr>
            </w:pPr>
            <w:r w:rsidRPr="4074B526">
              <w:rPr>
                <w:rFonts w:ascii="Calibri Light" w:eastAsia="Times New Roman" w:hAnsi="Calibri Light" w:cs="Segoe UI"/>
                <w:color w:val="4D4D4D" w:themeColor="accent6"/>
                <w:lang w:eastAsia="en-AU"/>
              </w:rPr>
              <w:t>Amended to allow MPs to claim the travel allowance for occasions when they stay in the metropolitan area as a result of there being a break of less than 10 hours between sittings of their House of Parliament, or when the relevant Clerk anticipated there would be a break of less than 10 hours. </w:t>
            </w:r>
          </w:p>
        </w:tc>
      </w:tr>
      <w:tr w:rsidR="00AE65BD" w:rsidRPr="00A40468" w14:paraId="17652752" w14:textId="77777777" w:rsidTr="00AE65BD">
        <w:tc>
          <w:tcPr>
            <w:tcW w:w="2418" w:type="dxa"/>
            <w:tcBorders>
              <w:top w:val="nil"/>
              <w:left w:val="nil"/>
              <w:bottom w:val="single" w:sz="6" w:space="0" w:color="148A5D" w:themeColor="accent2"/>
              <w:right w:val="nil"/>
            </w:tcBorders>
            <w:shd w:val="clear" w:color="auto" w:fill="FFFFFF" w:themeFill="background2"/>
            <w:hideMark/>
          </w:tcPr>
          <w:p w14:paraId="7B5D5E24" w14:textId="77777777" w:rsidR="00AE65BD" w:rsidRPr="00A40468" w:rsidRDefault="00AE65BD" w:rsidP="008B312D">
            <w:pPr>
              <w:spacing w:after="0" w:line="240" w:lineRule="auto"/>
              <w:textAlignment w:val="baseline"/>
              <w:rPr>
                <w:rFonts w:ascii="Segoe UI" w:eastAsia="Times New Roman" w:hAnsi="Segoe UI" w:cs="Segoe UI"/>
                <w:b/>
                <w:bCs/>
                <w:color w:val="4D4D4D"/>
                <w:sz w:val="18"/>
                <w:szCs w:val="18"/>
                <w:lang w:eastAsia="en-AU"/>
              </w:rPr>
            </w:pPr>
            <w:r w:rsidRPr="00A40468">
              <w:rPr>
                <w:rFonts w:ascii="Calibri Light" w:eastAsia="Times New Roman" w:hAnsi="Calibri Light" w:cs="Segoe UI"/>
                <w:b/>
                <w:bCs/>
                <w:color w:val="4D4D4D"/>
                <w:lang w:eastAsia="en-AU"/>
              </w:rPr>
              <w:t>Paragraph 8.1 - </w:t>
            </w:r>
            <w:r w:rsidRPr="00A40468">
              <w:rPr>
                <w:rFonts w:ascii="Calibri Light" w:eastAsia="Times New Roman" w:hAnsi="Calibri Light" w:cs="Segoe UI"/>
                <w:color w:val="4D4D4D"/>
                <w:lang w:eastAsia="en-AU"/>
              </w:rPr>
              <w:t>Use of the international travel allowance for electorate business </w:t>
            </w:r>
            <w:r w:rsidRPr="00A40468">
              <w:rPr>
                <w:rFonts w:ascii="Calibri Light" w:eastAsia="Times New Roman" w:hAnsi="Calibri Light" w:cs="Segoe UI"/>
                <w:b/>
                <w:bCs/>
                <w:color w:val="4D4D4D"/>
                <w:lang w:eastAsia="en-AU"/>
              </w:rPr>
              <w:t> </w:t>
            </w:r>
          </w:p>
        </w:tc>
        <w:tc>
          <w:tcPr>
            <w:tcW w:w="417" w:type="dxa"/>
            <w:tcBorders>
              <w:top w:val="nil"/>
              <w:left w:val="nil"/>
              <w:bottom w:val="single" w:sz="6" w:space="0" w:color="148A5D" w:themeColor="accent2"/>
              <w:right w:val="nil"/>
            </w:tcBorders>
          </w:tcPr>
          <w:p w14:paraId="7EAC7D43" w14:textId="77777777" w:rsidR="00AE65BD" w:rsidRPr="00A40468" w:rsidRDefault="00AE65BD" w:rsidP="008B312D">
            <w:pPr>
              <w:spacing w:after="0" w:line="240" w:lineRule="auto"/>
              <w:textAlignment w:val="baseline"/>
              <w:rPr>
                <w:rFonts w:ascii="Calibri Light" w:eastAsia="Times New Roman" w:hAnsi="Calibri Light" w:cs="Segoe UI"/>
                <w:color w:val="4D4D4D"/>
                <w:lang w:eastAsia="en-AU"/>
              </w:rPr>
            </w:pPr>
          </w:p>
        </w:tc>
        <w:tc>
          <w:tcPr>
            <w:tcW w:w="5669" w:type="dxa"/>
            <w:tcBorders>
              <w:top w:val="nil"/>
              <w:left w:val="nil"/>
              <w:bottom w:val="single" w:sz="6" w:space="0" w:color="148A5D" w:themeColor="accent2"/>
              <w:right w:val="nil"/>
            </w:tcBorders>
            <w:shd w:val="clear" w:color="auto" w:fill="auto"/>
            <w:hideMark/>
          </w:tcPr>
          <w:p w14:paraId="47F18416" w14:textId="1263186B" w:rsidR="00AE65BD" w:rsidRPr="00A40468" w:rsidRDefault="00AE65BD" w:rsidP="008B312D">
            <w:pPr>
              <w:spacing w:after="0" w:line="240" w:lineRule="auto"/>
              <w:textAlignment w:val="baseline"/>
              <w:rPr>
                <w:rFonts w:ascii="Segoe UI" w:eastAsia="Times New Roman" w:hAnsi="Segoe UI" w:cs="Segoe UI"/>
                <w:color w:val="4D4D4D"/>
                <w:sz w:val="18"/>
                <w:szCs w:val="18"/>
                <w:lang w:eastAsia="en-AU"/>
              </w:rPr>
            </w:pPr>
            <w:r w:rsidRPr="00A40468">
              <w:rPr>
                <w:rFonts w:ascii="Calibri Light" w:eastAsia="Times New Roman" w:hAnsi="Calibri Light" w:cs="Segoe UI"/>
                <w:color w:val="4D4D4D"/>
                <w:lang w:eastAsia="en-AU"/>
              </w:rPr>
              <w:t>Amended to allow MPs to claim the international travel allowance for both parliamentary business and electorate business outside of Australia. </w:t>
            </w:r>
          </w:p>
        </w:tc>
      </w:tr>
      <w:tr w:rsidR="00AE65BD" w:rsidRPr="00A40468" w14:paraId="5F8C8942" w14:textId="77777777" w:rsidTr="00AE65BD">
        <w:tc>
          <w:tcPr>
            <w:tcW w:w="2418" w:type="dxa"/>
            <w:tcBorders>
              <w:top w:val="nil"/>
              <w:left w:val="nil"/>
              <w:bottom w:val="single" w:sz="6" w:space="0" w:color="148A5D" w:themeColor="accent2"/>
              <w:right w:val="nil"/>
            </w:tcBorders>
            <w:shd w:val="clear" w:color="auto" w:fill="FFFFFF" w:themeFill="background2"/>
            <w:hideMark/>
          </w:tcPr>
          <w:p w14:paraId="1EA23AC6" w14:textId="77777777" w:rsidR="00AE65BD" w:rsidRPr="00A40468" w:rsidRDefault="00AE65BD" w:rsidP="008B312D">
            <w:pPr>
              <w:spacing w:after="0" w:line="240" w:lineRule="auto"/>
              <w:textAlignment w:val="baseline"/>
              <w:rPr>
                <w:rFonts w:ascii="Segoe UI" w:eastAsia="Times New Roman" w:hAnsi="Segoe UI" w:cs="Segoe UI"/>
                <w:b/>
                <w:bCs/>
                <w:color w:val="4D4D4D"/>
                <w:sz w:val="18"/>
                <w:szCs w:val="18"/>
                <w:lang w:eastAsia="en-AU"/>
              </w:rPr>
            </w:pPr>
            <w:r w:rsidRPr="00A40468">
              <w:rPr>
                <w:rFonts w:ascii="Calibri Light" w:eastAsia="Times New Roman" w:hAnsi="Calibri Light" w:cs="Segoe UI"/>
                <w:b/>
                <w:bCs/>
                <w:color w:val="4D4D4D"/>
                <w:lang w:eastAsia="en-AU"/>
              </w:rPr>
              <w:t>Paragraph 7 - </w:t>
            </w:r>
            <w:r w:rsidRPr="00A40468">
              <w:rPr>
                <w:rFonts w:ascii="Calibri Light" w:eastAsia="Times New Roman" w:hAnsi="Calibri Light" w:cs="Segoe UI"/>
                <w:color w:val="4D4D4D"/>
                <w:lang w:eastAsia="en-AU"/>
              </w:rPr>
              <w:t>Limits on claims for the commercial transport allowance for parliamentary and electorate business</w:t>
            </w:r>
            <w:r w:rsidRPr="00A40468">
              <w:rPr>
                <w:rFonts w:ascii="Calibri Light" w:eastAsia="Times New Roman" w:hAnsi="Calibri Light" w:cs="Segoe UI"/>
                <w:b/>
                <w:bCs/>
                <w:color w:val="4D4D4D"/>
                <w:lang w:eastAsia="en-AU"/>
              </w:rPr>
              <w:t> </w:t>
            </w:r>
          </w:p>
        </w:tc>
        <w:tc>
          <w:tcPr>
            <w:tcW w:w="417" w:type="dxa"/>
            <w:tcBorders>
              <w:top w:val="nil"/>
              <w:left w:val="nil"/>
              <w:bottom w:val="single" w:sz="6" w:space="0" w:color="148A5D" w:themeColor="accent2"/>
              <w:right w:val="nil"/>
            </w:tcBorders>
          </w:tcPr>
          <w:p w14:paraId="6B43D4D0" w14:textId="77777777" w:rsidR="00AE65BD" w:rsidRPr="00A40468" w:rsidRDefault="00AE65BD" w:rsidP="008B312D">
            <w:pPr>
              <w:spacing w:after="0" w:line="240" w:lineRule="auto"/>
              <w:textAlignment w:val="baseline"/>
              <w:rPr>
                <w:rFonts w:ascii="Calibri Light" w:eastAsia="Times New Roman" w:hAnsi="Calibri Light" w:cs="Segoe UI"/>
                <w:color w:val="4D4D4D"/>
                <w:lang w:eastAsia="en-AU"/>
              </w:rPr>
            </w:pPr>
          </w:p>
        </w:tc>
        <w:tc>
          <w:tcPr>
            <w:tcW w:w="5669" w:type="dxa"/>
            <w:tcBorders>
              <w:top w:val="nil"/>
              <w:left w:val="nil"/>
              <w:bottom w:val="single" w:sz="6" w:space="0" w:color="148A5D" w:themeColor="accent2"/>
              <w:right w:val="nil"/>
            </w:tcBorders>
            <w:shd w:val="clear" w:color="auto" w:fill="auto"/>
            <w:hideMark/>
          </w:tcPr>
          <w:p w14:paraId="50B58A6E" w14:textId="3A4E5C9D" w:rsidR="00AE65BD" w:rsidRPr="00A40468" w:rsidRDefault="00AE65BD" w:rsidP="008B312D">
            <w:pPr>
              <w:spacing w:after="0" w:line="240" w:lineRule="auto"/>
              <w:textAlignment w:val="baseline"/>
              <w:rPr>
                <w:rFonts w:ascii="Segoe UI" w:eastAsia="Times New Roman" w:hAnsi="Segoe UI" w:cs="Segoe UI"/>
                <w:color w:val="4D4D4D"/>
                <w:sz w:val="18"/>
                <w:szCs w:val="18"/>
                <w:lang w:eastAsia="en-AU"/>
              </w:rPr>
            </w:pPr>
            <w:r w:rsidRPr="00A40468">
              <w:rPr>
                <w:rFonts w:ascii="Calibri Light" w:eastAsia="Times New Roman" w:hAnsi="Calibri Light" w:cs="Segoe UI"/>
                <w:color w:val="4D4D4D"/>
                <w:lang w:eastAsia="en-AU"/>
              </w:rPr>
              <w:t>Removal of limits on how much MPs can claim per financial year under the commercial transport allowance for each of parliamentary business and electorate business. The overall limit in the Tribunal’s Determination</w:t>
            </w:r>
            <w:r>
              <w:rPr>
                <w:rFonts w:ascii="Calibri Light" w:eastAsia="Times New Roman" w:hAnsi="Calibri Light" w:cs="Segoe UI"/>
                <w:color w:val="4D4D4D"/>
                <w:lang w:eastAsia="en-AU"/>
              </w:rPr>
              <w:t xml:space="preserve"> </w:t>
            </w:r>
            <w:r w:rsidRPr="00A40468">
              <w:rPr>
                <w:rFonts w:ascii="Calibri Light" w:eastAsia="Times New Roman" w:hAnsi="Calibri Light" w:cs="Segoe UI"/>
                <w:color w:val="4D4D4D"/>
                <w:lang w:eastAsia="en-AU"/>
              </w:rPr>
              <w:t>continue</w:t>
            </w:r>
            <w:r>
              <w:rPr>
                <w:rFonts w:ascii="Calibri Light" w:eastAsia="Times New Roman" w:hAnsi="Calibri Light" w:cs="Segoe UI"/>
                <w:color w:val="4D4D4D"/>
                <w:lang w:eastAsia="en-AU"/>
              </w:rPr>
              <w:t>s</w:t>
            </w:r>
            <w:r w:rsidRPr="00A40468">
              <w:rPr>
                <w:rFonts w:ascii="Calibri Light" w:eastAsia="Times New Roman" w:hAnsi="Calibri Light" w:cs="Segoe UI"/>
                <w:color w:val="4D4D4D"/>
                <w:lang w:eastAsia="en-AU"/>
              </w:rPr>
              <w:t xml:space="preserve"> to apply. </w:t>
            </w:r>
          </w:p>
        </w:tc>
      </w:tr>
      <w:tr w:rsidR="00AE65BD" w:rsidRPr="00A40468" w14:paraId="4BEFB9D9" w14:textId="77777777" w:rsidTr="00AE65BD">
        <w:tc>
          <w:tcPr>
            <w:tcW w:w="2418" w:type="dxa"/>
            <w:tcBorders>
              <w:top w:val="single" w:sz="6" w:space="0" w:color="148A5D" w:themeColor="accent2"/>
              <w:left w:val="nil"/>
              <w:bottom w:val="single" w:sz="6" w:space="0" w:color="148A5D" w:themeColor="accent2"/>
              <w:right w:val="nil"/>
            </w:tcBorders>
            <w:shd w:val="clear" w:color="auto" w:fill="FFFFFF" w:themeFill="background2"/>
            <w:hideMark/>
          </w:tcPr>
          <w:p w14:paraId="2D7A8703" w14:textId="0432BE44" w:rsidR="00AE65BD" w:rsidRPr="00A40468" w:rsidRDefault="00AE65BD" w:rsidP="008B312D">
            <w:pPr>
              <w:spacing w:after="0" w:line="240" w:lineRule="auto"/>
              <w:textAlignment w:val="baseline"/>
              <w:rPr>
                <w:rFonts w:ascii="Segoe UI" w:eastAsia="Times New Roman" w:hAnsi="Segoe UI" w:cs="Segoe UI"/>
                <w:b/>
                <w:bCs/>
                <w:color w:val="4D4D4D"/>
                <w:sz w:val="18"/>
                <w:szCs w:val="18"/>
                <w:lang w:eastAsia="en-AU"/>
              </w:rPr>
            </w:pPr>
            <w:r w:rsidRPr="00A40468">
              <w:rPr>
                <w:rFonts w:ascii="Calibri Light" w:eastAsia="Times New Roman" w:hAnsi="Calibri Light" w:cs="Segoe UI"/>
                <w:b/>
                <w:bCs/>
                <w:color w:val="4D4D4D"/>
                <w:lang w:eastAsia="en-AU"/>
              </w:rPr>
              <w:t>Paragraph 4.1 - </w:t>
            </w:r>
            <w:r w:rsidRPr="00A40468">
              <w:rPr>
                <w:rFonts w:ascii="Calibri Light" w:eastAsia="Times New Roman" w:hAnsi="Calibri Light" w:cs="Segoe UI"/>
                <w:color w:val="4D4D4D"/>
                <w:lang w:eastAsia="en-AU"/>
              </w:rPr>
              <w:t xml:space="preserve">Description of the purpose of the </w:t>
            </w:r>
            <w:r>
              <w:rPr>
                <w:rFonts w:ascii="Calibri Light" w:eastAsia="Times New Roman" w:hAnsi="Calibri Light" w:cs="Segoe UI"/>
                <w:color w:val="4D4D4D"/>
                <w:lang w:eastAsia="en-AU"/>
              </w:rPr>
              <w:t>EO&amp;C Budget</w:t>
            </w:r>
            <w:r w:rsidRPr="00A40468">
              <w:rPr>
                <w:rFonts w:ascii="Calibri Light" w:eastAsia="Times New Roman" w:hAnsi="Calibri Light" w:cs="Segoe UI"/>
                <w:b/>
                <w:bCs/>
                <w:color w:val="4D4D4D"/>
                <w:lang w:eastAsia="en-AU"/>
              </w:rPr>
              <w:t> </w:t>
            </w:r>
          </w:p>
        </w:tc>
        <w:tc>
          <w:tcPr>
            <w:tcW w:w="417" w:type="dxa"/>
            <w:tcBorders>
              <w:top w:val="single" w:sz="6" w:space="0" w:color="148A5D" w:themeColor="accent2"/>
              <w:left w:val="nil"/>
              <w:bottom w:val="single" w:sz="6" w:space="0" w:color="148A5D" w:themeColor="accent2"/>
              <w:right w:val="nil"/>
            </w:tcBorders>
          </w:tcPr>
          <w:p w14:paraId="0099A12A" w14:textId="77777777" w:rsidR="00AE65BD" w:rsidRPr="00A40468" w:rsidRDefault="00AE65BD" w:rsidP="008B312D">
            <w:pPr>
              <w:spacing w:after="0" w:line="240" w:lineRule="auto"/>
              <w:textAlignment w:val="baseline"/>
              <w:rPr>
                <w:rFonts w:ascii="Calibri Light" w:eastAsia="Times New Roman" w:hAnsi="Calibri Light" w:cs="Segoe UI"/>
                <w:color w:val="4D4D4D"/>
                <w:lang w:eastAsia="en-AU"/>
              </w:rPr>
            </w:pPr>
          </w:p>
        </w:tc>
        <w:tc>
          <w:tcPr>
            <w:tcW w:w="5669" w:type="dxa"/>
            <w:tcBorders>
              <w:top w:val="single" w:sz="6" w:space="0" w:color="148A5D" w:themeColor="accent2"/>
              <w:left w:val="nil"/>
              <w:bottom w:val="single" w:sz="6" w:space="0" w:color="148A5D" w:themeColor="accent2"/>
              <w:right w:val="nil"/>
            </w:tcBorders>
            <w:shd w:val="clear" w:color="auto" w:fill="auto"/>
            <w:hideMark/>
          </w:tcPr>
          <w:p w14:paraId="509A565B" w14:textId="24483157" w:rsidR="00AE65BD" w:rsidRPr="00A40468" w:rsidRDefault="00AE65BD" w:rsidP="008B312D">
            <w:pPr>
              <w:spacing w:after="0" w:line="240" w:lineRule="auto"/>
              <w:textAlignment w:val="baseline"/>
              <w:rPr>
                <w:rFonts w:ascii="Segoe UI" w:eastAsia="Times New Roman" w:hAnsi="Segoe UI" w:cs="Segoe UI"/>
                <w:color w:val="4D4D4D"/>
                <w:sz w:val="18"/>
                <w:szCs w:val="18"/>
                <w:lang w:eastAsia="en-AU"/>
              </w:rPr>
            </w:pPr>
            <w:r w:rsidRPr="00A40468">
              <w:rPr>
                <w:rFonts w:ascii="Calibri Light" w:eastAsia="Times New Roman" w:hAnsi="Calibri Light" w:cs="Segoe UI"/>
                <w:color w:val="4D4D4D"/>
                <w:lang w:eastAsia="en-AU"/>
              </w:rPr>
              <w:t>Amended the description of the purpose of the Budget in the Guidelines</w:t>
            </w:r>
            <w:r>
              <w:rPr>
                <w:rFonts w:ascii="Calibri Light" w:eastAsia="Times New Roman" w:hAnsi="Calibri Light" w:cs="Segoe UI"/>
                <w:color w:val="4D4D4D"/>
                <w:lang w:eastAsia="en-AU"/>
              </w:rPr>
              <w:t xml:space="preserve"> to</w:t>
            </w:r>
            <w:r w:rsidRPr="00A40468">
              <w:rPr>
                <w:rFonts w:ascii="Calibri Light" w:eastAsia="Times New Roman" w:hAnsi="Calibri Light" w:cs="Segoe UI"/>
                <w:color w:val="4D4D4D"/>
                <w:lang w:eastAsia="en-AU"/>
              </w:rPr>
              <w:t xml:space="preserve"> alig</w:t>
            </w:r>
            <w:r>
              <w:rPr>
                <w:rFonts w:ascii="Calibri Light" w:eastAsia="Times New Roman" w:hAnsi="Calibri Light" w:cs="Segoe UI"/>
                <w:color w:val="4D4D4D"/>
                <w:lang w:eastAsia="en-AU"/>
              </w:rPr>
              <w:t>n it</w:t>
            </w:r>
            <w:r w:rsidRPr="00A40468">
              <w:rPr>
                <w:rFonts w:ascii="Calibri Light" w:eastAsia="Times New Roman" w:hAnsi="Calibri Light" w:cs="Segoe UI"/>
                <w:color w:val="4D4D4D"/>
                <w:lang w:eastAsia="en-AU"/>
              </w:rPr>
              <w:t> with section 7F(2) of the PSAS Act. </w:t>
            </w:r>
          </w:p>
        </w:tc>
      </w:tr>
      <w:tr w:rsidR="00AE65BD" w:rsidRPr="00A40468" w14:paraId="41452F41" w14:textId="77777777" w:rsidTr="00AE65BD">
        <w:tc>
          <w:tcPr>
            <w:tcW w:w="2418" w:type="dxa"/>
            <w:tcBorders>
              <w:top w:val="nil"/>
              <w:left w:val="nil"/>
              <w:bottom w:val="single" w:sz="6" w:space="0" w:color="148A5D" w:themeColor="accent2"/>
              <w:right w:val="nil"/>
            </w:tcBorders>
            <w:shd w:val="clear" w:color="auto" w:fill="FFFFFF" w:themeFill="background2"/>
            <w:hideMark/>
          </w:tcPr>
          <w:p w14:paraId="46B99D09" w14:textId="59CA55DE" w:rsidR="00AE65BD" w:rsidRPr="00A40468" w:rsidRDefault="00AE65BD" w:rsidP="008B312D">
            <w:pPr>
              <w:spacing w:after="0" w:line="240" w:lineRule="auto"/>
              <w:textAlignment w:val="baseline"/>
              <w:rPr>
                <w:rFonts w:ascii="Segoe UI" w:eastAsia="Times New Roman" w:hAnsi="Segoe UI" w:cs="Segoe UI"/>
                <w:b/>
                <w:bCs/>
                <w:color w:val="4D4D4D"/>
                <w:sz w:val="18"/>
                <w:szCs w:val="18"/>
                <w:lang w:eastAsia="en-AU"/>
              </w:rPr>
            </w:pPr>
            <w:r w:rsidRPr="00A40468">
              <w:rPr>
                <w:rFonts w:ascii="Calibri Light" w:eastAsia="Times New Roman" w:hAnsi="Calibri Light" w:cs="Segoe UI"/>
                <w:b/>
                <w:bCs/>
                <w:color w:val="4D4D4D"/>
                <w:lang w:eastAsia="en-AU"/>
              </w:rPr>
              <w:t>Paragraph 4.18 - </w:t>
            </w:r>
            <w:r w:rsidRPr="00A40468">
              <w:rPr>
                <w:rFonts w:ascii="Calibri Light" w:eastAsia="Times New Roman" w:hAnsi="Calibri Light" w:cs="Segoe UI"/>
                <w:color w:val="4D4D4D"/>
                <w:lang w:eastAsia="en-AU"/>
              </w:rPr>
              <w:t xml:space="preserve">Use of the </w:t>
            </w:r>
            <w:r>
              <w:rPr>
                <w:rFonts w:ascii="Calibri Light" w:eastAsia="Times New Roman" w:hAnsi="Calibri Light" w:cs="Segoe UI"/>
                <w:color w:val="4D4D4D"/>
                <w:lang w:eastAsia="en-AU"/>
              </w:rPr>
              <w:t>EO&amp;C Budget</w:t>
            </w:r>
            <w:r w:rsidRPr="00A40468">
              <w:rPr>
                <w:rFonts w:ascii="Calibri Light" w:eastAsia="Times New Roman" w:hAnsi="Calibri Light" w:cs="Segoe UI"/>
                <w:color w:val="4D4D4D"/>
                <w:lang w:eastAsia="en-AU"/>
              </w:rPr>
              <w:t xml:space="preserve"> for travel</w:t>
            </w:r>
            <w:r w:rsidRPr="00A40468">
              <w:rPr>
                <w:rFonts w:ascii="Calibri Light" w:eastAsia="Times New Roman" w:hAnsi="Calibri Light" w:cs="Segoe UI"/>
                <w:b/>
                <w:bCs/>
                <w:color w:val="4D4D4D"/>
                <w:lang w:eastAsia="en-AU"/>
              </w:rPr>
              <w:t> </w:t>
            </w:r>
          </w:p>
        </w:tc>
        <w:tc>
          <w:tcPr>
            <w:tcW w:w="417" w:type="dxa"/>
            <w:tcBorders>
              <w:top w:val="nil"/>
              <w:left w:val="nil"/>
              <w:bottom w:val="single" w:sz="6" w:space="0" w:color="148A5D" w:themeColor="accent2"/>
              <w:right w:val="nil"/>
            </w:tcBorders>
          </w:tcPr>
          <w:p w14:paraId="44B5DEB0" w14:textId="77777777" w:rsidR="00AE65BD" w:rsidRPr="00A40468" w:rsidRDefault="00AE65BD" w:rsidP="008B312D">
            <w:pPr>
              <w:spacing w:after="0" w:line="240" w:lineRule="auto"/>
              <w:textAlignment w:val="baseline"/>
              <w:rPr>
                <w:rFonts w:ascii="Calibri Light" w:eastAsia="Times New Roman" w:hAnsi="Calibri Light" w:cs="Segoe UI"/>
                <w:color w:val="4D4D4D"/>
                <w:lang w:eastAsia="en-AU"/>
              </w:rPr>
            </w:pPr>
          </w:p>
        </w:tc>
        <w:tc>
          <w:tcPr>
            <w:tcW w:w="5669" w:type="dxa"/>
            <w:tcBorders>
              <w:top w:val="nil"/>
              <w:left w:val="nil"/>
              <w:bottom w:val="single" w:sz="6" w:space="0" w:color="148A5D" w:themeColor="accent2"/>
              <w:right w:val="nil"/>
            </w:tcBorders>
            <w:shd w:val="clear" w:color="auto" w:fill="auto"/>
            <w:hideMark/>
          </w:tcPr>
          <w:p w14:paraId="59CA4EFD" w14:textId="20C87178" w:rsidR="00AE65BD" w:rsidRPr="00A40468" w:rsidRDefault="00AE65BD" w:rsidP="008B312D">
            <w:pPr>
              <w:spacing w:after="0" w:line="240" w:lineRule="auto"/>
              <w:textAlignment w:val="baseline"/>
              <w:rPr>
                <w:rFonts w:ascii="Segoe UI" w:eastAsia="Times New Roman" w:hAnsi="Segoe UI" w:cs="Segoe UI"/>
                <w:color w:val="4D4D4D"/>
                <w:sz w:val="18"/>
                <w:szCs w:val="18"/>
                <w:lang w:eastAsia="en-AU"/>
              </w:rPr>
            </w:pPr>
            <w:r w:rsidRPr="00A40468">
              <w:rPr>
                <w:rFonts w:ascii="Calibri Light" w:eastAsia="Times New Roman" w:hAnsi="Calibri Light" w:cs="Segoe UI"/>
                <w:color w:val="4D4D4D"/>
                <w:lang w:eastAsia="en-AU"/>
              </w:rPr>
              <w:t xml:space="preserve">Amended to clarify that the </w:t>
            </w:r>
            <w:r>
              <w:rPr>
                <w:rFonts w:ascii="Calibri Light" w:eastAsia="Times New Roman" w:hAnsi="Calibri Light" w:cs="Segoe UI"/>
                <w:color w:val="4D4D4D"/>
                <w:lang w:eastAsia="en-AU"/>
              </w:rPr>
              <w:t>EO&amp;C Budget</w:t>
            </w:r>
            <w:r w:rsidRPr="00A40468">
              <w:rPr>
                <w:rFonts w:ascii="Calibri Light" w:eastAsia="Times New Roman" w:hAnsi="Calibri Light" w:cs="Segoe UI"/>
                <w:color w:val="4D4D4D"/>
                <w:lang w:eastAsia="en-AU"/>
              </w:rPr>
              <w:t xml:space="preserve"> cannot be used in respect of an MP’s travel costs or transport cost.  </w:t>
            </w:r>
          </w:p>
        </w:tc>
      </w:tr>
      <w:tr w:rsidR="00AE65BD" w:rsidRPr="00A40468" w14:paraId="0472A68C" w14:textId="77777777" w:rsidTr="00AE65BD">
        <w:tc>
          <w:tcPr>
            <w:tcW w:w="2418" w:type="dxa"/>
            <w:tcBorders>
              <w:top w:val="single" w:sz="6" w:space="0" w:color="148A5D" w:themeColor="accent2"/>
              <w:left w:val="nil"/>
              <w:bottom w:val="single" w:sz="6" w:space="0" w:color="148A5D" w:themeColor="accent2"/>
              <w:right w:val="nil"/>
            </w:tcBorders>
            <w:shd w:val="clear" w:color="auto" w:fill="FFFFFF" w:themeFill="background2"/>
            <w:hideMark/>
          </w:tcPr>
          <w:p w14:paraId="1632A74F" w14:textId="38DAE7DF" w:rsidR="00AE65BD" w:rsidRPr="00A40468" w:rsidRDefault="00AE65BD" w:rsidP="008B312D">
            <w:pPr>
              <w:spacing w:after="0" w:line="240" w:lineRule="auto"/>
              <w:textAlignment w:val="baseline"/>
              <w:rPr>
                <w:rFonts w:ascii="Segoe UI" w:eastAsia="Times New Roman" w:hAnsi="Segoe UI" w:cs="Segoe UI"/>
                <w:b/>
                <w:bCs/>
                <w:color w:val="4D4D4D"/>
                <w:sz w:val="18"/>
                <w:szCs w:val="18"/>
                <w:lang w:eastAsia="en-AU"/>
              </w:rPr>
            </w:pPr>
            <w:r w:rsidRPr="00A40468">
              <w:rPr>
                <w:rFonts w:ascii="Calibri Light" w:eastAsia="Times New Roman" w:hAnsi="Calibri Light" w:cs="Segoe UI"/>
                <w:b/>
                <w:bCs/>
                <w:color w:val="4D4D4D"/>
                <w:lang w:eastAsia="en-AU"/>
              </w:rPr>
              <w:t>Paragraphs 5.1(c)(ii) and 7.2(b) -</w:t>
            </w:r>
            <w:r w:rsidRPr="00A40468">
              <w:rPr>
                <w:rFonts w:ascii="Calibri Light" w:eastAsia="Times New Roman" w:hAnsi="Calibri Light" w:cs="Segoe UI"/>
                <w:color w:val="4D4D4D"/>
                <w:lang w:eastAsia="en-AU"/>
              </w:rPr>
              <w:t xml:space="preserve">Distance thresholds for the parliamentary accommodation </w:t>
            </w:r>
            <w:r>
              <w:rPr>
                <w:rFonts w:ascii="Calibri Light" w:eastAsia="Times New Roman" w:hAnsi="Calibri Light" w:cs="Segoe UI"/>
                <w:color w:val="4D4D4D"/>
                <w:lang w:eastAsia="en-AU"/>
              </w:rPr>
              <w:t xml:space="preserve"> </w:t>
            </w:r>
            <w:r w:rsidRPr="00A40468">
              <w:rPr>
                <w:rFonts w:ascii="Calibri Light" w:eastAsia="Times New Roman" w:hAnsi="Calibri Light" w:cs="Segoe UI"/>
                <w:color w:val="4D4D4D"/>
                <w:lang w:eastAsia="en-AU"/>
              </w:rPr>
              <w:t>sitting allowance and commercial transport allowance</w:t>
            </w:r>
            <w:r w:rsidRPr="00A40468">
              <w:rPr>
                <w:rFonts w:ascii="Calibri Light" w:eastAsia="Times New Roman" w:hAnsi="Calibri Light" w:cs="Segoe UI"/>
                <w:b/>
                <w:bCs/>
                <w:color w:val="4D4D4D"/>
                <w:lang w:eastAsia="en-AU"/>
              </w:rPr>
              <w:t> </w:t>
            </w:r>
          </w:p>
        </w:tc>
        <w:tc>
          <w:tcPr>
            <w:tcW w:w="417" w:type="dxa"/>
            <w:tcBorders>
              <w:top w:val="single" w:sz="6" w:space="0" w:color="148A5D" w:themeColor="accent2"/>
              <w:left w:val="nil"/>
              <w:bottom w:val="single" w:sz="6" w:space="0" w:color="148A5D" w:themeColor="accent2"/>
              <w:right w:val="nil"/>
            </w:tcBorders>
          </w:tcPr>
          <w:p w14:paraId="2498D69B" w14:textId="77777777" w:rsidR="00AE65BD" w:rsidRPr="00A40468" w:rsidRDefault="00AE65BD" w:rsidP="008B312D">
            <w:pPr>
              <w:spacing w:after="0" w:line="240" w:lineRule="auto"/>
              <w:textAlignment w:val="baseline"/>
              <w:rPr>
                <w:rFonts w:ascii="Calibri Light" w:eastAsia="Times New Roman" w:hAnsi="Calibri Light" w:cs="Segoe UI"/>
                <w:color w:val="4D4D4D"/>
                <w:lang w:eastAsia="en-AU"/>
              </w:rPr>
            </w:pPr>
          </w:p>
        </w:tc>
        <w:tc>
          <w:tcPr>
            <w:tcW w:w="5669" w:type="dxa"/>
            <w:tcBorders>
              <w:top w:val="single" w:sz="6" w:space="0" w:color="148A5D" w:themeColor="accent2"/>
              <w:left w:val="nil"/>
              <w:bottom w:val="single" w:sz="6" w:space="0" w:color="148A5D" w:themeColor="accent2"/>
              <w:right w:val="nil"/>
            </w:tcBorders>
            <w:shd w:val="clear" w:color="auto" w:fill="auto"/>
            <w:hideMark/>
          </w:tcPr>
          <w:p w14:paraId="30493B3F" w14:textId="102CDFF8" w:rsidR="00AE65BD" w:rsidRPr="00A40468" w:rsidRDefault="00AE65BD" w:rsidP="008B312D">
            <w:pPr>
              <w:spacing w:after="0" w:line="240" w:lineRule="auto"/>
              <w:textAlignment w:val="baseline"/>
              <w:rPr>
                <w:rFonts w:ascii="Segoe UI" w:eastAsia="Times New Roman" w:hAnsi="Segoe UI" w:cs="Segoe UI"/>
                <w:color w:val="4D4D4D"/>
                <w:sz w:val="18"/>
                <w:szCs w:val="18"/>
                <w:lang w:eastAsia="en-AU"/>
              </w:rPr>
            </w:pPr>
            <w:r w:rsidRPr="00A40468">
              <w:rPr>
                <w:rFonts w:ascii="Calibri Light" w:eastAsia="Times New Roman" w:hAnsi="Calibri Light" w:cs="Segoe UI"/>
                <w:color w:val="4D4D4D"/>
                <w:lang w:eastAsia="en-AU"/>
              </w:rPr>
              <w:t>Amended the distance thresholds for claiming the parliamentary accommodation sitting allowance and commercial transport allowance to be based on the shortest practicable route, instead of the shortest route. </w:t>
            </w:r>
          </w:p>
        </w:tc>
      </w:tr>
    </w:tbl>
    <w:p w14:paraId="46465362" w14:textId="77777777" w:rsidR="005D178F" w:rsidRPr="00F979BF" w:rsidRDefault="005D178F" w:rsidP="00517777">
      <w:pPr>
        <w:pStyle w:val="Paragraph"/>
      </w:pPr>
    </w:p>
    <w:sectPr w:rsidR="005D178F" w:rsidRPr="00F979BF" w:rsidSect="00AE65BD">
      <w:headerReference w:type="first" r:id="rId28"/>
      <w:pgSz w:w="11906" w:h="16838"/>
      <w:pgMar w:top="2126" w:right="1701" w:bottom="1559" w:left="1701"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595A7E" w16cex:dateUtc="2020-05-03T04:58:00Z"/>
  <w16cex:commentExtensible w16cex:durableId="22596DCF" w16cex:dateUtc="2020-05-03T06:20:00Z"/>
  <w16cex:commentExtensible w16cex:durableId="22596E98" w16cex:dateUtc="2020-05-03T06:23:00Z"/>
  <w16cex:commentExtensible w16cex:durableId="22596EE4" w16cex:dateUtc="2020-05-03T06:25:00Z"/>
  <w16cex:commentExtensible w16cex:durableId="22596F99" w16cex:dateUtc="2020-05-03T06:2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81C657" w14:textId="77777777" w:rsidR="0023250E" w:rsidRDefault="0023250E" w:rsidP="00B5328A">
      <w:pPr>
        <w:spacing w:after="0" w:line="240" w:lineRule="auto"/>
      </w:pPr>
      <w:r>
        <w:separator/>
      </w:r>
    </w:p>
  </w:endnote>
  <w:endnote w:type="continuationSeparator" w:id="0">
    <w:p w14:paraId="359D952E" w14:textId="77777777" w:rsidR="0023250E" w:rsidRDefault="0023250E" w:rsidP="00B5328A">
      <w:pPr>
        <w:spacing w:after="0" w:line="240" w:lineRule="auto"/>
      </w:pPr>
      <w:r>
        <w:continuationSeparator/>
      </w:r>
    </w:p>
  </w:endnote>
  <w:endnote w:type="continuationNotice" w:id="1">
    <w:p w14:paraId="7A47057A" w14:textId="77777777" w:rsidR="0023250E" w:rsidRDefault="002325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ckwell">
    <w:panose1 w:val="02060603020205020403"/>
    <w:charset w:val="00"/>
    <w:family w:val="roman"/>
    <w:pitch w:val="variable"/>
    <w:sig w:usb0="00000007" w:usb1="00000000" w:usb2="00000000" w:usb3="00000000" w:csb0="00000003" w:csb1="00000000"/>
  </w:font>
  <w:font w:name="Times New Roman (Body CS)">
    <w:altName w:val="Times New Roman"/>
    <w:charset w:val="00"/>
    <w:family w:val="roman"/>
    <w:pitch w:val="variable"/>
    <w:sig w:usb0="E0002AE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Tw Cen MT">
    <w:panose1 w:val="020B0602020104020603"/>
    <w:charset w:val="00"/>
    <w:family w:val="swiss"/>
    <w:pitch w:val="variable"/>
    <w:sig w:usb0="00000007" w:usb1="00000000" w:usb2="00000000" w:usb3="00000000" w:csb0="00000003" w:csb1="00000000"/>
  </w:font>
  <w:font w:name="HGPGothicE">
    <w:altName w:val="HGPｺﾞｼｯｸE"/>
    <w:charset w:val="80"/>
    <w:family w:val="swiss"/>
    <w:pitch w:val="variable"/>
    <w:sig w:usb0="E00002FF" w:usb1="2AC7EDFE" w:usb2="00000012" w:usb3="00000000" w:csb0="00020001" w:csb1="00000000"/>
  </w:font>
  <w:font w:name="Arial Narrow">
    <w:panose1 w:val="020B0606020202030204"/>
    <w:charset w:val="00"/>
    <w:family w:val="swiss"/>
    <w:pitch w:val="variable"/>
    <w:sig w:usb0="00000287" w:usb1="000008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D1FA41" w14:textId="77777777" w:rsidR="00E77F77" w:rsidRDefault="00E77F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B0BE5F" w14:textId="47380ED0" w:rsidR="00E77F77" w:rsidRDefault="00C01EEE" w:rsidP="00B5328A">
    <w:pPr>
      <w:pStyle w:val="Footer"/>
      <w:jc w:val="center"/>
    </w:pPr>
    <w:r>
      <w:rPr>
        <w:noProof/>
      </w:rPr>
      <mc:AlternateContent>
        <mc:Choice Requires="wps">
          <w:drawing>
            <wp:anchor distT="0" distB="0" distL="114300" distR="114300" simplePos="0" relativeHeight="251663360" behindDoc="0" locked="0" layoutInCell="0" allowOverlap="1" wp14:anchorId="4C9D2238" wp14:editId="5B97F72A">
              <wp:simplePos x="0" y="0"/>
              <wp:positionH relativeFrom="page">
                <wp:align>left</wp:align>
              </wp:positionH>
              <wp:positionV relativeFrom="page">
                <wp:align>bottom</wp:align>
              </wp:positionV>
              <wp:extent cx="7772400" cy="266700"/>
              <wp:effectExtent l="0" t="0" r="0" b="0"/>
              <wp:wrapNone/>
              <wp:docPr id="1" name="MSIPCM40f44df88b9c1c6a59824f9f" descr="{&quot;HashCode&quot;:-1267603503,&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62AAD5F" w14:textId="3F84B062" w:rsidR="00C01EEE" w:rsidRPr="00C01EEE" w:rsidRDefault="00C01EEE" w:rsidP="00C01EEE">
                          <w:pPr>
                            <w:spacing w:after="0"/>
                            <w:rPr>
                              <w:rFonts w:ascii="Calibri" w:hAnsi="Calibri" w:cs="Calibri"/>
                              <w:color w:val="000000"/>
                            </w:rPr>
                          </w:pPr>
                          <w:r w:rsidRPr="00C01EEE">
                            <w:rPr>
                              <w:rFonts w:ascii="Calibri" w:hAnsi="Calibri" w:cs="Calibri"/>
                              <w:color w:val="000000"/>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C9D2238" id="_x0000_t202" coordsize="21600,21600" o:spt="202" path="m,l,21600r21600,l21600,xe">
              <v:stroke joinstyle="miter"/>
              <v:path gradientshapeok="t" o:connecttype="rect"/>
            </v:shapetype>
            <v:shape id="MSIPCM40f44df88b9c1c6a59824f9f" o:spid="_x0000_s1026" type="#_x0000_t202" alt="{&quot;HashCode&quot;:-1267603503,&quot;Height&quot;:9999999.0,&quot;Width&quot;:9999999.0,&quot;Placement&quot;:&quot;Footer&quot;,&quot;Index&quot;:&quot;Primary&quot;,&quot;Section&quot;:1,&quot;Top&quot;:0.0,&quot;Left&quot;:0.0}" style="position:absolute;left:0;text-align:left;margin-left:0;margin-top:0;width:612pt;height:21pt;z-index:251663360;visibility:visible;mso-wrap-style:square;mso-wrap-distance-left:9pt;mso-wrap-distance-top:0;mso-wrap-distance-right:9pt;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" o:allowincell="f" filled="f" stroked="f" strokeweight=".5pt">
              <v:fill o:detectmouseclick="t"/>
              <v:textbox inset="20pt,0,,0">
                <w:txbxContent>
                  <w:p w14:paraId="062AAD5F" w14:textId="3F84B062" w:rsidR="00C01EEE" w:rsidRPr="00C01EEE" w:rsidRDefault="00C01EEE" w:rsidP="00C01EEE">
                    <w:pPr>
                      <w:spacing w:after="0"/>
                      <w:rPr>
                        <w:rFonts w:ascii="Calibri" w:hAnsi="Calibri" w:cs="Calibri"/>
                        <w:color w:val="000000"/>
                      </w:rPr>
                    </w:pPr>
                    <w:r w:rsidRPr="00C01EEE">
                      <w:rPr>
                        <w:rFonts w:ascii="Calibri" w:hAnsi="Calibri" w:cs="Calibri"/>
                        <w:color w:val="000000"/>
                      </w:rPr>
                      <w:t>OFFICIAL</w:t>
                    </w:r>
                  </w:p>
                </w:txbxContent>
              </v:textbox>
              <w10:wrap anchorx="page" anchory="page"/>
            </v:shape>
          </w:pict>
        </mc:Fallback>
      </mc:AlternateContent>
    </w:r>
    <w:sdt>
      <w:sdtPr>
        <w:id w:val="-830684218"/>
        <w:docPartObj>
          <w:docPartGallery w:val="Page Numbers (Bottom of Page)"/>
          <w:docPartUnique/>
        </w:docPartObj>
      </w:sdtPr>
      <w:sdtEndPr>
        <w:rPr>
          <w:noProof/>
        </w:rPr>
      </w:sdtEndPr>
      <w:sdtContent>
        <w:r w:rsidR="00E77F77">
          <w:fldChar w:fldCharType="begin"/>
        </w:r>
        <w:r w:rsidR="00E77F77">
          <w:instrText xml:space="preserve"> PAGE   \* MERGEFORMAT </w:instrText>
        </w:r>
        <w:r w:rsidR="00E77F77">
          <w:fldChar w:fldCharType="separate"/>
        </w:r>
        <w:r w:rsidR="00E77F77">
          <w:rPr>
            <w:noProof/>
          </w:rPr>
          <w:t>32</w:t>
        </w:r>
        <w:r w:rsidR="00E77F77">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CE684A" w14:textId="2F933535" w:rsidR="00E77F77" w:rsidRPr="00B5328A" w:rsidRDefault="00C01EEE" w:rsidP="00B5328A">
    <w:pPr>
      <w:pStyle w:val="Footer"/>
      <w:jc w:val="center"/>
    </w:pPr>
    <w:r>
      <w:rPr>
        <w:rFonts w:cs="Times New Roman (Body CS)"/>
        <w:noProof/>
        <w:sz w:val="16"/>
        <w:lang w:val="en-US"/>
      </w:rPr>
      <mc:AlternateContent>
        <mc:Choice Requires="wps">
          <w:drawing>
            <wp:anchor distT="0" distB="0" distL="114300" distR="114300" simplePos="0" relativeHeight="251664384" behindDoc="0" locked="0" layoutInCell="0" allowOverlap="1" wp14:anchorId="3D6D104A" wp14:editId="3F5A9438">
              <wp:simplePos x="0" y="0"/>
              <wp:positionH relativeFrom="page">
                <wp:align>left</wp:align>
              </wp:positionH>
              <wp:positionV relativeFrom="page">
                <wp:align>bottom</wp:align>
              </wp:positionV>
              <wp:extent cx="7772400" cy="266700"/>
              <wp:effectExtent l="0" t="0" r="0" b="0"/>
              <wp:wrapNone/>
              <wp:docPr id="2" name="MSIPCMf0604f94935365971d9d25de" descr="{&quot;HashCode&quot;:-1267603503,&quot;Height&quot;:9999999.0,&quot;Width&quot;:9999999.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B3AC36D" w14:textId="20EEA0E9" w:rsidR="00C01EEE" w:rsidRPr="00C01EEE" w:rsidRDefault="00C01EEE" w:rsidP="00C01EEE">
                          <w:pPr>
                            <w:spacing w:after="0"/>
                            <w:rPr>
                              <w:rFonts w:ascii="Calibri" w:hAnsi="Calibri" w:cs="Calibri"/>
                              <w:color w:val="000000"/>
                            </w:rPr>
                          </w:pPr>
                          <w:r w:rsidRPr="00C01EEE">
                            <w:rPr>
                              <w:rFonts w:ascii="Calibri" w:hAnsi="Calibri" w:cs="Calibri"/>
                              <w:color w:val="000000"/>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D6D104A" id="_x0000_t202" coordsize="21600,21600" o:spt="202" path="m,l,21600r21600,l21600,xe">
              <v:stroke joinstyle="miter"/>
              <v:path gradientshapeok="t" o:connecttype="rect"/>
            </v:shapetype>
            <v:shape id="MSIPCMf0604f94935365971d9d25de" o:spid="_x0000_s1027" type="#_x0000_t202" alt="{&quot;HashCode&quot;:-1267603503,&quot;Height&quot;:9999999.0,&quot;Width&quot;:9999999.0,&quot;Placement&quot;:&quot;Footer&quot;,&quot;Index&quot;:&quot;FirstPage&quot;,&quot;Section&quot;:1,&quot;Top&quot;:0.0,&quot;Left&quot;:0.0}" style="position:absolute;left:0;text-align:left;margin-left:0;margin-top:0;width:612pt;height:21pt;z-index:251664384;visibility:visible;mso-wrap-style:square;mso-wrap-distance-left:9pt;mso-wrap-distance-top:0;mso-wrap-distance-right:9pt;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" o:allowincell="f" filled="f" stroked="f" strokeweight=".5pt">
              <v:fill o:detectmouseclick="t"/>
              <v:textbox inset="20pt,0,,0">
                <w:txbxContent>
                  <w:p w14:paraId="0B3AC36D" w14:textId="20EEA0E9" w:rsidR="00C01EEE" w:rsidRPr="00C01EEE" w:rsidRDefault="00C01EEE" w:rsidP="00C01EEE">
                    <w:pPr>
                      <w:spacing w:after="0"/>
                      <w:rPr>
                        <w:rFonts w:ascii="Calibri" w:hAnsi="Calibri" w:cs="Calibri"/>
                        <w:color w:val="000000"/>
                      </w:rPr>
                    </w:pPr>
                    <w:r w:rsidRPr="00C01EEE">
                      <w:rPr>
                        <w:rFonts w:ascii="Calibri" w:hAnsi="Calibri" w:cs="Calibri"/>
                        <w:color w:val="000000"/>
                      </w:rPr>
                      <w:t>OFFICIAL</w:t>
                    </w:r>
                  </w:p>
                </w:txbxContent>
              </v:textbox>
              <w10:wrap anchorx="page" anchory="page"/>
            </v:shape>
          </w:pict>
        </mc:Fallback>
      </mc:AlternateContent>
    </w:r>
    <w:r w:rsidR="00AE65BD">
      <w:rPr>
        <w:rFonts w:cs="Times New Roman (Body CS)"/>
        <w:noProof/>
        <w:sz w:val="16"/>
        <w:lang w:val="en-US"/>
      </w:rPr>
      <w:drawing>
        <wp:anchor distT="0" distB="0" distL="114300" distR="114300" simplePos="0" relativeHeight="251654144" behindDoc="1" locked="0" layoutInCell="1" allowOverlap="1" wp14:anchorId="4A6CC72A" wp14:editId="3CA3CE1F">
          <wp:simplePos x="0" y="0"/>
          <wp:positionH relativeFrom="column">
            <wp:posOffset>8821420</wp:posOffset>
          </wp:positionH>
          <wp:positionV relativeFrom="paragraph">
            <wp:posOffset>-1487170</wp:posOffset>
          </wp:positionV>
          <wp:extent cx="548640" cy="2286000"/>
          <wp:effectExtent l="0" t="0" r="3810" b="0"/>
          <wp:wrapTight wrapText="bothSides">
            <wp:wrapPolygon edited="0">
              <wp:start x="0" y="0"/>
              <wp:lineTo x="0" y="21420"/>
              <wp:lineTo x="21000" y="21420"/>
              <wp:lineTo x="21000"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640" cy="2286000"/>
                  </a:xfrm>
                  <a:prstGeom prst="rect">
                    <a:avLst/>
                  </a:prstGeom>
                  <a:noFill/>
                  <a:ln>
                    <a:noFill/>
                  </a:ln>
                </pic:spPr>
              </pic:pic>
            </a:graphicData>
          </a:graphic>
        </wp:anchor>
      </w:drawing>
    </w:r>
    <w:sdt>
      <w:sdtPr>
        <w:id w:val="983277041"/>
        <w:docPartObj>
          <w:docPartGallery w:val="Page Numbers (Bottom of Page)"/>
          <w:docPartUnique/>
        </w:docPartObj>
      </w:sdtPr>
      <w:sdtEndPr>
        <w:rPr>
          <w:noProof/>
        </w:rPr>
      </w:sdtEndP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9B3763" w14:textId="249ABD24" w:rsidR="00AE65BD" w:rsidRPr="00B5328A" w:rsidRDefault="00C01EEE" w:rsidP="00AE65BD">
    <w:pPr>
      <w:pStyle w:val="Footer"/>
      <w:jc w:val="center"/>
    </w:pPr>
    <w:r>
      <w:rPr>
        <w:noProof/>
      </w:rPr>
      <mc:AlternateContent>
        <mc:Choice Requires="wps">
          <w:drawing>
            <wp:anchor distT="0" distB="0" distL="114300" distR="114300" simplePos="0" relativeHeight="251665408" behindDoc="0" locked="0" layoutInCell="0" allowOverlap="1" wp14:anchorId="5F56DD20" wp14:editId="56FA1C22">
              <wp:simplePos x="0" y="0"/>
              <wp:positionH relativeFrom="page">
                <wp:align>left</wp:align>
              </wp:positionH>
              <wp:positionV relativeFrom="page">
                <wp:align>bottom</wp:align>
              </wp:positionV>
              <wp:extent cx="7772400" cy="266700"/>
              <wp:effectExtent l="0" t="0" r="0" b="0"/>
              <wp:wrapNone/>
              <wp:docPr id="7" name="MSIPCM2ad4439dade96adeccdbd306" descr="{&quot;HashCode&quot;:-1267603503,&quot;Height&quot;:9999999.0,&quot;Width&quot;:9999999.0,&quot;Placement&quot;:&quot;Footer&quot;,&quot;Index&quot;:&quot;FirstPage&quot;,&quot;Section&quot;:3,&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7D33DFD" w14:textId="63F715F6" w:rsidR="00C01EEE" w:rsidRPr="00C01EEE" w:rsidRDefault="00C01EEE" w:rsidP="00C01EEE">
                          <w:pPr>
                            <w:spacing w:after="0"/>
                            <w:rPr>
                              <w:rFonts w:ascii="Calibri" w:hAnsi="Calibri" w:cs="Calibri"/>
                              <w:color w:val="000000"/>
                            </w:rPr>
                          </w:pPr>
                          <w:r w:rsidRPr="00C01EEE">
                            <w:rPr>
                              <w:rFonts w:ascii="Calibri" w:hAnsi="Calibri" w:cs="Calibri"/>
                              <w:color w:val="000000"/>
                            </w:rPr>
                            <w:t>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F56DD20" id="_x0000_t202" coordsize="21600,21600" o:spt="202" path="m,l,21600r21600,l21600,xe">
              <v:stroke joinstyle="miter"/>
              <v:path gradientshapeok="t" o:connecttype="rect"/>
            </v:shapetype>
            <v:shape id="MSIPCM2ad4439dade96adeccdbd306" o:spid="_x0000_s1028" type="#_x0000_t202" alt="{&quot;HashCode&quot;:-1267603503,&quot;Height&quot;:9999999.0,&quot;Width&quot;:9999999.0,&quot;Placement&quot;:&quot;Footer&quot;,&quot;Index&quot;:&quot;FirstPage&quot;,&quot;Section&quot;:3,&quot;Top&quot;:0.0,&quot;Left&quot;:0.0}" style="position:absolute;left:0;text-align:left;margin-left:0;margin-top:0;width:612pt;height:21pt;z-index:251665408;visibility:visible;mso-wrap-style:square;mso-wrap-distance-left:9pt;mso-wrap-distance-top:0;mso-wrap-distance-right:9pt;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" o:allowincell="f" filled="f" stroked="f" strokeweight=".5pt">
              <v:fill o:detectmouseclick="t"/>
              <v:textbox inset="20pt,0,,0">
                <w:txbxContent>
                  <w:p w14:paraId="67D33DFD" w14:textId="63F715F6" w:rsidR="00C01EEE" w:rsidRPr="00C01EEE" w:rsidRDefault="00C01EEE" w:rsidP="00C01EEE">
                    <w:pPr>
                      <w:spacing w:after="0"/>
                      <w:rPr>
                        <w:rFonts w:ascii="Calibri" w:hAnsi="Calibri" w:cs="Calibri"/>
                        <w:color w:val="000000"/>
                      </w:rPr>
                    </w:pPr>
                    <w:r w:rsidRPr="00C01EEE">
                      <w:rPr>
                        <w:rFonts w:ascii="Calibri" w:hAnsi="Calibri" w:cs="Calibri"/>
                        <w:color w:val="000000"/>
                      </w:rPr>
                      <w:t>OFFICIAL</w:t>
                    </w:r>
                  </w:p>
                </w:txbxContent>
              </v:textbox>
              <w10:wrap anchorx="page" anchory="page"/>
            </v:shape>
          </w:pict>
        </mc:Fallback>
      </mc:AlternateContent>
    </w:r>
    <w:r w:rsidR="00AE65BD" w:rsidRPr="00AE65BD">
      <w:t xml:space="preserve"> </w:t>
    </w:r>
    <w:sdt>
      <w:sdtPr>
        <w:id w:val="-1535804922"/>
        <w:docPartObj>
          <w:docPartGallery w:val="Page Numbers (Bottom of Page)"/>
          <w:docPartUnique/>
        </w:docPartObj>
      </w:sdtPr>
      <w:sdtEndPr>
        <w:rPr>
          <w:noProof/>
        </w:rPr>
      </w:sdtEndPr>
      <w:sdtContent>
        <w:r w:rsidR="00AE65BD">
          <w:fldChar w:fldCharType="begin"/>
        </w:r>
        <w:r w:rsidR="00AE65BD">
          <w:instrText xml:space="preserve"> PAGE   \* MERGEFORMAT </w:instrText>
        </w:r>
        <w:r w:rsidR="00AE65BD">
          <w:fldChar w:fldCharType="separate"/>
        </w:r>
        <w:r w:rsidR="00AE65BD">
          <w:t>12</w:t>
        </w:r>
        <w:r w:rsidR="00AE65BD">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5B1F9B" w14:textId="77777777" w:rsidR="0023250E" w:rsidRDefault="0023250E" w:rsidP="00B5328A">
      <w:pPr>
        <w:spacing w:after="0" w:line="240" w:lineRule="auto"/>
      </w:pPr>
      <w:r>
        <w:separator/>
      </w:r>
    </w:p>
  </w:footnote>
  <w:footnote w:type="continuationSeparator" w:id="0">
    <w:p w14:paraId="7A631529" w14:textId="77777777" w:rsidR="0023250E" w:rsidRDefault="0023250E" w:rsidP="00B5328A">
      <w:pPr>
        <w:spacing w:after="0" w:line="240" w:lineRule="auto"/>
      </w:pPr>
      <w:r>
        <w:continuationSeparator/>
      </w:r>
    </w:p>
  </w:footnote>
  <w:footnote w:type="continuationNotice" w:id="1">
    <w:p w14:paraId="33452E04" w14:textId="77777777" w:rsidR="0023250E" w:rsidRDefault="0023250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47AFB3" w14:textId="49008C60" w:rsidR="00E77F77" w:rsidRDefault="00E77F77">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060293" w14:textId="716288CC" w:rsidR="00E77F77" w:rsidRDefault="00E77F77">
    <w:pPr>
      <w:spacing w:after="0" w:line="240" w:lineRule="auto"/>
    </w:pPr>
    <w:r w:rsidRPr="00333B58">
      <w:rPr>
        <w:noProof/>
        <w:lang w:val="en-US"/>
      </w:rPr>
      <w:drawing>
        <wp:anchor distT="0" distB="0" distL="114300" distR="114300" simplePos="0" relativeHeight="251660288" behindDoc="0" locked="0" layoutInCell="1" allowOverlap="1" wp14:anchorId="1B46744F" wp14:editId="6B5C95A3">
          <wp:simplePos x="0" y="0"/>
          <wp:positionH relativeFrom="column">
            <wp:posOffset>-425553</wp:posOffset>
          </wp:positionH>
          <wp:positionV relativeFrom="page">
            <wp:posOffset>395382</wp:posOffset>
          </wp:positionV>
          <wp:extent cx="846306" cy="70741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RT Logo CMYK Reversed.eps"/>
                  <pic:cNvPicPr/>
                </pic:nvPicPr>
                <pic:blipFill>
                  <a:blip r:embed="rId1">
                    <a:extLst>
                      <a:ext uri="{28A0092B-C50C-407E-A947-70E740481C1C}">
                        <a14:useLocalDpi xmlns:a14="http://schemas.microsoft.com/office/drawing/2010/main" val="0"/>
                      </a:ext>
                    </a:extLst>
                  </a:blip>
                  <a:stretch>
                    <a:fillRect/>
                  </a:stretch>
                </pic:blipFill>
                <pic:spPr>
                  <a:xfrm>
                    <a:off x="0" y="0"/>
                    <a:ext cx="846306" cy="707410"/>
                  </a:xfrm>
                  <a:prstGeom prst="rect">
                    <a:avLst/>
                  </a:prstGeom>
                </pic:spPr>
              </pic:pic>
            </a:graphicData>
          </a:graphic>
          <wp14:sizeRelH relativeFrom="margin">
            <wp14:pctWidth>0</wp14:pctWidth>
          </wp14:sizeRelH>
          <wp14:sizeRelV relativeFrom="margin">
            <wp14:pctHeight>0</wp14:pctHeight>
          </wp14:sizeRelV>
        </wp:anchor>
      </w:drawing>
    </w:r>
    <w:r w:rsidRPr="00333B58">
      <w:rPr>
        <w:noProof/>
        <w:lang w:val="en-US"/>
      </w:rPr>
      <mc:AlternateContent>
        <mc:Choice Requires="wps">
          <w:drawing>
            <wp:anchor distT="0" distB="0" distL="114300" distR="114300" simplePos="0" relativeHeight="251655168" behindDoc="1" locked="0" layoutInCell="1" allowOverlap="1" wp14:anchorId="11EA6076" wp14:editId="59E5783D">
              <wp:simplePos x="0" y="0"/>
              <wp:positionH relativeFrom="page">
                <wp:posOffset>-1905</wp:posOffset>
              </wp:positionH>
              <wp:positionV relativeFrom="page">
                <wp:posOffset>289886</wp:posOffset>
              </wp:positionV>
              <wp:extent cx="7560310" cy="885190"/>
              <wp:effectExtent l="3175" t="0" r="0" b="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60310" cy="885190"/>
                      </a:xfrm>
                      <a:prstGeom prst="rect">
                        <a:avLst/>
                      </a:prstGeom>
                      <a:solidFill>
                        <a:srgbClr val="4B4B4B"/>
                      </a:solidFill>
                      <a:ln>
                        <a:noFill/>
                      </a:ln>
                      <a:effectLst/>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19050">
                            <a:solidFill>
                              <a:srgbClr val="4A7EBB"/>
                            </a:solidFill>
                            <a:miter lim="800000"/>
                            <a:headEnd/>
                            <a:tailEnd/>
                          </a14:hiddenLine>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33C689" id="Rectangle 17" o:spid="_x0000_s1026" style="position:absolute;margin-left:-.15pt;margin-top:22.85pt;width:595.3pt;height:69.7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" fillcolor="#4b4b4b" stroked="f">
              <v:textbox inset=",7.2pt,,7.2pt"/>
              <w10:wrap anchorx="page" anchory="page"/>
            </v:rect>
          </w:pict>
        </mc:Fallback>
      </mc:AlternateContent>
    </w:r>
    <w:r w:rsidRPr="00333B58">
      <w:rPr>
        <w:noProof/>
        <w:lang w:val="en-US"/>
      </w:rPr>
      <w:drawing>
        <wp:anchor distT="0" distB="0" distL="114300" distR="114300" simplePos="0" relativeHeight="251657216" behindDoc="0" locked="0" layoutInCell="1" allowOverlap="1" wp14:anchorId="33B72312" wp14:editId="534296E6">
          <wp:simplePos x="0" y="0"/>
          <wp:positionH relativeFrom="page">
            <wp:posOffset>4353560</wp:posOffset>
          </wp:positionH>
          <wp:positionV relativeFrom="page">
            <wp:posOffset>296237</wp:posOffset>
          </wp:positionV>
          <wp:extent cx="3205480" cy="875030"/>
          <wp:effectExtent l="0" t="0" r="0" b="1270"/>
          <wp:wrapNone/>
          <wp:docPr id="4" name="Picture 4" descr="VIRT_ColourBars_to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RT_ColourBars_top.png"/>
                  <pic:cNvPicPr/>
                </pic:nvPicPr>
                <pic:blipFill rotWithShape="1">
                  <a:blip r:embed="rId2">
                    <a:alphaModFix/>
                  </a:blip>
                  <a:srcRect b="37968"/>
                  <a:stretch/>
                </pic:blipFill>
                <pic:spPr bwMode="auto">
                  <a:xfrm>
                    <a:off x="0" y="0"/>
                    <a:ext cx="3205480" cy="875030"/>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DB9A0F" w14:textId="77777777" w:rsidR="00C01EEE" w:rsidRDefault="00C01EE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46519D" w14:textId="681152D3" w:rsidR="00CE4996" w:rsidRDefault="00BF0CF4">
    <w:pPr>
      <w:pStyle w:val="Header"/>
    </w:pPr>
    <w:r w:rsidRPr="00333B58">
      <w:rPr>
        <w:noProof/>
        <w:lang w:val="en-US"/>
      </w:rPr>
      <w:drawing>
        <wp:anchor distT="0" distB="0" distL="114300" distR="114300" simplePos="0" relativeHeight="251658240" behindDoc="0" locked="0" layoutInCell="1" allowOverlap="1" wp14:anchorId="2D331656" wp14:editId="7327498F">
          <wp:simplePos x="0" y="0"/>
          <wp:positionH relativeFrom="page">
            <wp:posOffset>7487817</wp:posOffset>
          </wp:positionH>
          <wp:positionV relativeFrom="page">
            <wp:posOffset>191017</wp:posOffset>
          </wp:positionV>
          <wp:extent cx="3205480" cy="875030"/>
          <wp:effectExtent l="0" t="0" r="0" b="1270"/>
          <wp:wrapNone/>
          <wp:docPr id="12" name="Picture 12" descr="VIRT_ColourBars_to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RT_ColourBars_top.png"/>
                  <pic:cNvPicPr/>
                </pic:nvPicPr>
                <pic:blipFill rotWithShape="1">
                  <a:blip r:embed="rId1">
                    <a:alphaModFix/>
                  </a:blip>
                  <a:srcRect b="37968"/>
                  <a:stretch/>
                </pic:blipFill>
                <pic:spPr bwMode="auto">
                  <a:xfrm>
                    <a:off x="0" y="0"/>
                    <a:ext cx="3205480" cy="875030"/>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V relativeFrom="margin">
            <wp14:pctHeight>0</wp14:pctHeight>
          </wp14:sizeRelV>
        </wp:anchor>
      </w:drawing>
    </w:r>
    <w:r w:rsidRPr="00333B58">
      <w:rPr>
        <w:noProof/>
        <w:lang w:val="en-US"/>
      </w:rPr>
      <w:drawing>
        <wp:anchor distT="0" distB="0" distL="114300" distR="114300" simplePos="0" relativeHeight="251656192" behindDoc="0" locked="0" layoutInCell="1" allowOverlap="1" wp14:anchorId="1F4AEC96" wp14:editId="453DEC09">
          <wp:simplePos x="0" y="0"/>
          <wp:positionH relativeFrom="column">
            <wp:posOffset>-497707</wp:posOffset>
          </wp:positionH>
          <wp:positionV relativeFrom="page">
            <wp:posOffset>222103</wp:posOffset>
          </wp:positionV>
          <wp:extent cx="845820" cy="70739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RT Logo CMYK Reversed.eps"/>
                  <pic:cNvPicPr/>
                </pic:nvPicPr>
                <pic:blipFill>
                  <a:blip r:embed="rId2">
                    <a:extLst>
                      <a:ext uri="{28A0092B-C50C-407E-A947-70E740481C1C}">
                        <a14:useLocalDpi xmlns:a14="http://schemas.microsoft.com/office/drawing/2010/main" val="0"/>
                      </a:ext>
                    </a:extLst>
                  </a:blip>
                  <a:stretch>
                    <a:fillRect/>
                  </a:stretch>
                </pic:blipFill>
                <pic:spPr>
                  <a:xfrm>
                    <a:off x="0" y="0"/>
                    <a:ext cx="845820" cy="707390"/>
                  </a:xfrm>
                  <a:prstGeom prst="rect">
                    <a:avLst/>
                  </a:prstGeom>
                </pic:spPr>
              </pic:pic>
            </a:graphicData>
          </a:graphic>
          <wp14:sizeRelH relativeFrom="margin">
            <wp14:pctWidth>0</wp14:pctWidth>
          </wp14:sizeRelH>
          <wp14:sizeRelV relativeFrom="margin">
            <wp14:pctHeight>0</wp14:pctHeight>
          </wp14:sizeRelV>
        </wp:anchor>
      </w:drawing>
    </w:r>
    <w:r w:rsidRPr="00333B58">
      <w:rPr>
        <w:noProof/>
        <w:lang w:val="en-US"/>
      </w:rPr>
      <mc:AlternateContent>
        <mc:Choice Requires="wps">
          <w:drawing>
            <wp:anchor distT="0" distB="0" distL="114300" distR="114300" simplePos="0" relativeHeight="251653120" behindDoc="1" locked="0" layoutInCell="1" allowOverlap="1" wp14:anchorId="08472582" wp14:editId="7394DD1F">
              <wp:simplePos x="0" y="0"/>
              <wp:positionH relativeFrom="page">
                <wp:posOffset>3175</wp:posOffset>
              </wp:positionH>
              <wp:positionV relativeFrom="page">
                <wp:posOffset>165897</wp:posOffset>
              </wp:positionV>
              <wp:extent cx="10693400" cy="885190"/>
              <wp:effectExtent l="0" t="0" r="0" b="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693400" cy="885190"/>
                      </a:xfrm>
                      <a:prstGeom prst="rect">
                        <a:avLst/>
                      </a:prstGeom>
                      <a:solidFill>
                        <a:srgbClr val="4B4B4B"/>
                      </a:solidFill>
                      <a:ln>
                        <a:noFill/>
                      </a:ln>
                      <a:effectLst/>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19050">
                            <a:solidFill>
                              <a:srgbClr val="4A7EBB"/>
                            </a:solidFill>
                            <a:miter lim="800000"/>
                            <a:headEnd/>
                            <a:tailEnd/>
                          </a14:hiddenLine>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D10043" id="Rectangle 13" o:spid="_x0000_s1026" style="position:absolute;margin-left:.25pt;margin-top:13.05pt;width:842pt;height:69.7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" fillcolor="#4b4b4b" stroked="f">
              <v:textbox inset=",7.2pt,,7.2pt"/>
              <w10:wrap anchorx="page" anchory="page"/>
            </v:rect>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F42688" w14:textId="58CB77A1" w:rsidR="00AE65BD" w:rsidRDefault="00AE65BD">
    <w:pPr>
      <w:pStyle w:val="Header"/>
    </w:pPr>
    <w:r w:rsidRPr="00333B58">
      <w:rPr>
        <w:noProof/>
        <w:lang w:val="en-US"/>
      </w:rPr>
      <w:drawing>
        <wp:anchor distT="0" distB="0" distL="114300" distR="114300" simplePos="0" relativeHeight="251662336" behindDoc="0" locked="0" layoutInCell="1" allowOverlap="1" wp14:anchorId="5976F9F5" wp14:editId="30F3F5E2">
          <wp:simplePos x="0" y="0"/>
          <wp:positionH relativeFrom="page">
            <wp:posOffset>4335780</wp:posOffset>
          </wp:positionH>
          <wp:positionV relativeFrom="page">
            <wp:posOffset>302895</wp:posOffset>
          </wp:positionV>
          <wp:extent cx="3205480" cy="875030"/>
          <wp:effectExtent l="0" t="0" r="0" b="1270"/>
          <wp:wrapNone/>
          <wp:docPr id="10" name="Picture 10" descr="VIRT_ColourBars_to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RT_ColourBars_top.png"/>
                  <pic:cNvPicPr/>
                </pic:nvPicPr>
                <pic:blipFill rotWithShape="1">
                  <a:blip r:embed="rId1">
                    <a:alphaModFix/>
                  </a:blip>
                  <a:srcRect b="37968"/>
                  <a:stretch/>
                </pic:blipFill>
                <pic:spPr bwMode="auto">
                  <a:xfrm>
                    <a:off x="0" y="0"/>
                    <a:ext cx="3205480" cy="875030"/>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V relativeFrom="margin">
            <wp14:pctHeight>0</wp14:pctHeight>
          </wp14:sizeRelV>
        </wp:anchor>
      </w:drawing>
    </w:r>
    <w:r w:rsidRPr="00333B58">
      <w:rPr>
        <w:noProof/>
        <w:lang w:val="en-US"/>
      </w:rPr>
      <mc:AlternateContent>
        <mc:Choice Requires="wps">
          <w:drawing>
            <wp:anchor distT="0" distB="0" distL="114300" distR="114300" simplePos="0" relativeHeight="251659264" behindDoc="1" locked="0" layoutInCell="1" allowOverlap="1" wp14:anchorId="3702F0A5" wp14:editId="1A2CB040">
              <wp:simplePos x="0" y="0"/>
              <wp:positionH relativeFrom="page">
                <wp:posOffset>0</wp:posOffset>
              </wp:positionH>
              <wp:positionV relativeFrom="page">
                <wp:posOffset>295275</wp:posOffset>
              </wp:positionV>
              <wp:extent cx="7543800" cy="885190"/>
              <wp:effectExtent l="0" t="0" r="0" b="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43800" cy="885190"/>
                      </a:xfrm>
                      <a:prstGeom prst="rect">
                        <a:avLst/>
                      </a:prstGeom>
                      <a:solidFill>
                        <a:srgbClr val="4B4B4B"/>
                      </a:solidFill>
                      <a:ln>
                        <a:noFill/>
                      </a:ln>
                      <a:effectLst/>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19050">
                            <a:solidFill>
                              <a:srgbClr val="4A7EBB"/>
                            </a:solidFill>
                            <a:miter lim="800000"/>
                            <a:headEnd/>
                            <a:tailEnd/>
                          </a14:hiddenLine>
                        </a:ext>
                        <a:ext uri="{AF507438-7753-43e0-B8FC-AC1667EBCBE1}">
                          <a14:hiddenEffects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C4B877" id="Rectangle 9" o:spid="_x0000_s1026" style="position:absolute;margin-left:0;margin-top:23.25pt;width:594pt;height:69.7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" fillcolor="#4b4b4b" stroked="f">
              <v:textbox inset=",7.2pt,,7.2pt"/>
              <w10:wrap anchorx="page" anchory="page"/>
            </v:rect>
          </w:pict>
        </mc:Fallback>
      </mc:AlternateContent>
    </w:r>
    <w:r w:rsidRPr="00333B58">
      <w:rPr>
        <w:noProof/>
        <w:lang w:val="en-US"/>
      </w:rPr>
      <w:drawing>
        <wp:anchor distT="0" distB="0" distL="114300" distR="114300" simplePos="0" relativeHeight="251661312" behindDoc="0" locked="0" layoutInCell="1" allowOverlap="1" wp14:anchorId="766F94DA" wp14:editId="3F72563A">
          <wp:simplePos x="0" y="0"/>
          <wp:positionH relativeFrom="column">
            <wp:posOffset>-488832</wp:posOffset>
          </wp:positionH>
          <wp:positionV relativeFrom="page">
            <wp:posOffset>394660</wp:posOffset>
          </wp:positionV>
          <wp:extent cx="846306" cy="70741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RT Logo CMYK Reversed.eps"/>
                  <pic:cNvPicPr/>
                </pic:nvPicPr>
                <pic:blipFill>
                  <a:blip r:embed="rId2">
                    <a:extLst>
                      <a:ext uri="{28A0092B-C50C-407E-A947-70E740481C1C}">
                        <a14:useLocalDpi xmlns:a14="http://schemas.microsoft.com/office/drawing/2010/main" val="0"/>
                      </a:ext>
                    </a:extLst>
                  </a:blip>
                  <a:stretch>
                    <a:fillRect/>
                  </a:stretch>
                </pic:blipFill>
                <pic:spPr>
                  <a:xfrm>
                    <a:off x="0" y="0"/>
                    <a:ext cx="846306" cy="70741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D29BD"/>
    <w:multiLevelType w:val="hybridMultilevel"/>
    <w:tmpl w:val="97CA9334"/>
    <w:lvl w:ilvl="0" w:tplc="CCF8C1AC">
      <w:start w:val="1"/>
      <w:numFmt w:val="decimal"/>
      <w:lvlText w:val="%1"/>
      <w:lvlJc w:val="left"/>
      <w:pPr>
        <w:ind w:left="720" w:hanging="72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8B94CA6"/>
    <w:multiLevelType w:val="hybridMultilevel"/>
    <w:tmpl w:val="BA2CC6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237CBB"/>
    <w:multiLevelType w:val="hybridMultilevel"/>
    <w:tmpl w:val="C526FC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FD476C0"/>
    <w:multiLevelType w:val="hybridMultilevel"/>
    <w:tmpl w:val="0AC6A8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A9A42AE"/>
    <w:multiLevelType w:val="hybridMultilevel"/>
    <w:tmpl w:val="85FC86A2"/>
    <w:lvl w:ilvl="0" w:tplc="5BC859FE">
      <w:start w:val="1"/>
      <w:numFmt w:val="bullet"/>
      <w:pStyle w:val="VIRTBulletpoints"/>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27F238CA"/>
    <w:multiLevelType w:val="hybridMultilevel"/>
    <w:tmpl w:val="DC58AD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A1F1570"/>
    <w:multiLevelType w:val="hybridMultilevel"/>
    <w:tmpl w:val="2A8A3B06"/>
    <w:lvl w:ilvl="0" w:tplc="0C090001">
      <w:start w:val="1"/>
      <w:numFmt w:val="bullet"/>
      <w:lvlText w:val=""/>
      <w:lvlJc w:val="left"/>
      <w:pPr>
        <w:ind w:left="360" w:hanging="360"/>
      </w:pPr>
      <w:rPr>
        <w:rFonts w:ascii="Symbol" w:hAnsi="Symbol"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2A430D76"/>
    <w:multiLevelType w:val="hybridMultilevel"/>
    <w:tmpl w:val="B776D0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D585553"/>
    <w:multiLevelType w:val="hybridMultilevel"/>
    <w:tmpl w:val="1640F8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2720CE7"/>
    <w:multiLevelType w:val="hybridMultilevel"/>
    <w:tmpl w:val="2B862090"/>
    <w:lvl w:ilvl="0" w:tplc="83280554">
      <w:start w:val="1"/>
      <w:numFmt w:val="lowerRoman"/>
      <w:pStyle w:val="VIRTheading4"/>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2FB75C1"/>
    <w:multiLevelType w:val="hybridMultilevel"/>
    <w:tmpl w:val="D8560D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7CA0F64"/>
    <w:multiLevelType w:val="hybridMultilevel"/>
    <w:tmpl w:val="31FAC602"/>
    <w:lvl w:ilvl="0" w:tplc="0C090001">
      <w:start w:val="1"/>
      <w:numFmt w:val="bullet"/>
      <w:lvlText w:val=""/>
      <w:lvlJc w:val="left"/>
      <w:pPr>
        <w:ind w:left="-351" w:hanging="360"/>
      </w:pPr>
      <w:rPr>
        <w:rFonts w:ascii="Symbol" w:hAnsi="Symbol" w:hint="default"/>
      </w:rPr>
    </w:lvl>
    <w:lvl w:ilvl="1" w:tplc="0C090003" w:tentative="1">
      <w:start w:val="1"/>
      <w:numFmt w:val="bullet"/>
      <w:lvlText w:val="o"/>
      <w:lvlJc w:val="left"/>
      <w:pPr>
        <w:ind w:left="369" w:hanging="360"/>
      </w:pPr>
      <w:rPr>
        <w:rFonts w:ascii="Courier New" w:hAnsi="Courier New" w:cs="Courier New" w:hint="default"/>
      </w:rPr>
    </w:lvl>
    <w:lvl w:ilvl="2" w:tplc="0C090005" w:tentative="1">
      <w:start w:val="1"/>
      <w:numFmt w:val="bullet"/>
      <w:lvlText w:val=""/>
      <w:lvlJc w:val="left"/>
      <w:pPr>
        <w:ind w:left="1089" w:hanging="360"/>
      </w:pPr>
      <w:rPr>
        <w:rFonts w:ascii="Wingdings" w:hAnsi="Wingdings" w:hint="default"/>
      </w:rPr>
    </w:lvl>
    <w:lvl w:ilvl="3" w:tplc="0C090001" w:tentative="1">
      <w:start w:val="1"/>
      <w:numFmt w:val="bullet"/>
      <w:lvlText w:val=""/>
      <w:lvlJc w:val="left"/>
      <w:pPr>
        <w:ind w:left="1809" w:hanging="360"/>
      </w:pPr>
      <w:rPr>
        <w:rFonts w:ascii="Symbol" w:hAnsi="Symbol" w:hint="default"/>
      </w:rPr>
    </w:lvl>
    <w:lvl w:ilvl="4" w:tplc="0C090003" w:tentative="1">
      <w:start w:val="1"/>
      <w:numFmt w:val="bullet"/>
      <w:lvlText w:val="o"/>
      <w:lvlJc w:val="left"/>
      <w:pPr>
        <w:ind w:left="2529" w:hanging="360"/>
      </w:pPr>
      <w:rPr>
        <w:rFonts w:ascii="Courier New" w:hAnsi="Courier New" w:cs="Courier New" w:hint="default"/>
      </w:rPr>
    </w:lvl>
    <w:lvl w:ilvl="5" w:tplc="0C090005" w:tentative="1">
      <w:start w:val="1"/>
      <w:numFmt w:val="bullet"/>
      <w:lvlText w:val=""/>
      <w:lvlJc w:val="left"/>
      <w:pPr>
        <w:ind w:left="3249" w:hanging="360"/>
      </w:pPr>
      <w:rPr>
        <w:rFonts w:ascii="Wingdings" w:hAnsi="Wingdings" w:hint="default"/>
      </w:rPr>
    </w:lvl>
    <w:lvl w:ilvl="6" w:tplc="0C090001" w:tentative="1">
      <w:start w:val="1"/>
      <w:numFmt w:val="bullet"/>
      <w:lvlText w:val=""/>
      <w:lvlJc w:val="left"/>
      <w:pPr>
        <w:ind w:left="3969" w:hanging="360"/>
      </w:pPr>
      <w:rPr>
        <w:rFonts w:ascii="Symbol" w:hAnsi="Symbol" w:hint="default"/>
      </w:rPr>
    </w:lvl>
    <w:lvl w:ilvl="7" w:tplc="0C090003" w:tentative="1">
      <w:start w:val="1"/>
      <w:numFmt w:val="bullet"/>
      <w:lvlText w:val="o"/>
      <w:lvlJc w:val="left"/>
      <w:pPr>
        <w:ind w:left="4689" w:hanging="360"/>
      </w:pPr>
      <w:rPr>
        <w:rFonts w:ascii="Courier New" w:hAnsi="Courier New" w:cs="Courier New" w:hint="default"/>
      </w:rPr>
    </w:lvl>
    <w:lvl w:ilvl="8" w:tplc="0C090005" w:tentative="1">
      <w:start w:val="1"/>
      <w:numFmt w:val="bullet"/>
      <w:lvlText w:val=""/>
      <w:lvlJc w:val="left"/>
      <w:pPr>
        <w:ind w:left="5409" w:hanging="360"/>
      </w:pPr>
      <w:rPr>
        <w:rFonts w:ascii="Wingdings" w:hAnsi="Wingdings" w:hint="default"/>
      </w:rPr>
    </w:lvl>
  </w:abstractNum>
  <w:abstractNum w:abstractNumId="12" w15:restartNumberingAfterBreak="0">
    <w:nsid w:val="3A3D706F"/>
    <w:multiLevelType w:val="hybridMultilevel"/>
    <w:tmpl w:val="1E1220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FCF21EA"/>
    <w:multiLevelType w:val="hybridMultilevel"/>
    <w:tmpl w:val="B1023C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179508E"/>
    <w:multiLevelType w:val="hybridMultilevel"/>
    <w:tmpl w:val="26A62918"/>
    <w:lvl w:ilvl="0" w:tplc="0C090001">
      <w:start w:val="1"/>
      <w:numFmt w:val="bullet"/>
      <w:lvlText w:val=""/>
      <w:lvlJc w:val="left"/>
      <w:pPr>
        <w:ind w:left="336" w:hanging="360"/>
      </w:pPr>
      <w:rPr>
        <w:rFonts w:ascii="Symbol" w:hAnsi="Symbol" w:hint="default"/>
      </w:rPr>
    </w:lvl>
    <w:lvl w:ilvl="1" w:tplc="0C090003" w:tentative="1">
      <w:start w:val="1"/>
      <w:numFmt w:val="bullet"/>
      <w:lvlText w:val="o"/>
      <w:lvlJc w:val="left"/>
      <w:pPr>
        <w:ind w:left="1056" w:hanging="360"/>
      </w:pPr>
      <w:rPr>
        <w:rFonts w:ascii="Courier New" w:hAnsi="Courier New" w:cs="Courier New" w:hint="default"/>
      </w:rPr>
    </w:lvl>
    <w:lvl w:ilvl="2" w:tplc="0C090005" w:tentative="1">
      <w:start w:val="1"/>
      <w:numFmt w:val="bullet"/>
      <w:lvlText w:val=""/>
      <w:lvlJc w:val="left"/>
      <w:pPr>
        <w:ind w:left="1776" w:hanging="360"/>
      </w:pPr>
      <w:rPr>
        <w:rFonts w:ascii="Wingdings" w:hAnsi="Wingdings" w:hint="default"/>
      </w:rPr>
    </w:lvl>
    <w:lvl w:ilvl="3" w:tplc="0C090001" w:tentative="1">
      <w:start w:val="1"/>
      <w:numFmt w:val="bullet"/>
      <w:lvlText w:val=""/>
      <w:lvlJc w:val="left"/>
      <w:pPr>
        <w:ind w:left="2496" w:hanging="360"/>
      </w:pPr>
      <w:rPr>
        <w:rFonts w:ascii="Symbol" w:hAnsi="Symbol" w:hint="default"/>
      </w:rPr>
    </w:lvl>
    <w:lvl w:ilvl="4" w:tplc="0C090003" w:tentative="1">
      <w:start w:val="1"/>
      <w:numFmt w:val="bullet"/>
      <w:lvlText w:val="o"/>
      <w:lvlJc w:val="left"/>
      <w:pPr>
        <w:ind w:left="3216" w:hanging="360"/>
      </w:pPr>
      <w:rPr>
        <w:rFonts w:ascii="Courier New" w:hAnsi="Courier New" w:cs="Courier New" w:hint="default"/>
      </w:rPr>
    </w:lvl>
    <w:lvl w:ilvl="5" w:tplc="0C090005" w:tentative="1">
      <w:start w:val="1"/>
      <w:numFmt w:val="bullet"/>
      <w:lvlText w:val=""/>
      <w:lvlJc w:val="left"/>
      <w:pPr>
        <w:ind w:left="3936" w:hanging="360"/>
      </w:pPr>
      <w:rPr>
        <w:rFonts w:ascii="Wingdings" w:hAnsi="Wingdings" w:hint="default"/>
      </w:rPr>
    </w:lvl>
    <w:lvl w:ilvl="6" w:tplc="0C090001" w:tentative="1">
      <w:start w:val="1"/>
      <w:numFmt w:val="bullet"/>
      <w:lvlText w:val=""/>
      <w:lvlJc w:val="left"/>
      <w:pPr>
        <w:ind w:left="4656" w:hanging="360"/>
      </w:pPr>
      <w:rPr>
        <w:rFonts w:ascii="Symbol" w:hAnsi="Symbol" w:hint="default"/>
      </w:rPr>
    </w:lvl>
    <w:lvl w:ilvl="7" w:tplc="0C090003" w:tentative="1">
      <w:start w:val="1"/>
      <w:numFmt w:val="bullet"/>
      <w:lvlText w:val="o"/>
      <w:lvlJc w:val="left"/>
      <w:pPr>
        <w:ind w:left="5376" w:hanging="360"/>
      </w:pPr>
      <w:rPr>
        <w:rFonts w:ascii="Courier New" w:hAnsi="Courier New" w:cs="Courier New" w:hint="default"/>
      </w:rPr>
    </w:lvl>
    <w:lvl w:ilvl="8" w:tplc="0C090005" w:tentative="1">
      <w:start w:val="1"/>
      <w:numFmt w:val="bullet"/>
      <w:lvlText w:val=""/>
      <w:lvlJc w:val="left"/>
      <w:pPr>
        <w:ind w:left="6096" w:hanging="360"/>
      </w:pPr>
      <w:rPr>
        <w:rFonts w:ascii="Wingdings" w:hAnsi="Wingdings" w:hint="default"/>
      </w:rPr>
    </w:lvl>
  </w:abstractNum>
  <w:abstractNum w:abstractNumId="15" w15:restartNumberingAfterBreak="0">
    <w:nsid w:val="5F5A3CEB"/>
    <w:multiLevelType w:val="hybridMultilevel"/>
    <w:tmpl w:val="972268AA"/>
    <w:lvl w:ilvl="0" w:tplc="052CB3F6">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64067D2C"/>
    <w:multiLevelType w:val="hybridMultilevel"/>
    <w:tmpl w:val="9BAA34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FD639E9"/>
    <w:multiLevelType w:val="hybridMultilevel"/>
    <w:tmpl w:val="BA18B3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14A6450"/>
    <w:multiLevelType w:val="hybridMultilevel"/>
    <w:tmpl w:val="E16C82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8911643"/>
    <w:multiLevelType w:val="hybridMultilevel"/>
    <w:tmpl w:val="803E564A"/>
    <w:lvl w:ilvl="0" w:tplc="C86A1C14">
      <w:start w:val="1"/>
      <w:numFmt w:val="bullet"/>
      <w:pStyle w:val="Tablebullets"/>
      <w:lvlText w:val=""/>
      <w:lvlJc w:val="left"/>
      <w:pPr>
        <w:ind w:left="428" w:hanging="360"/>
      </w:pPr>
      <w:rPr>
        <w:rFonts w:ascii="Symbol" w:hAnsi="Symbol" w:hint="default"/>
      </w:rPr>
    </w:lvl>
    <w:lvl w:ilvl="1" w:tplc="04090003">
      <w:start w:val="1"/>
      <w:numFmt w:val="bullet"/>
      <w:lvlText w:val="o"/>
      <w:lvlJc w:val="left"/>
      <w:pPr>
        <w:ind w:left="1148" w:hanging="360"/>
      </w:pPr>
      <w:rPr>
        <w:rFonts w:ascii="Courier New" w:hAnsi="Courier New" w:cs="Courier New" w:hint="default"/>
      </w:rPr>
    </w:lvl>
    <w:lvl w:ilvl="2" w:tplc="04090005">
      <w:start w:val="1"/>
      <w:numFmt w:val="bullet"/>
      <w:lvlText w:val=""/>
      <w:lvlJc w:val="left"/>
      <w:pPr>
        <w:ind w:left="1868" w:hanging="360"/>
      </w:pPr>
      <w:rPr>
        <w:rFonts w:ascii="Wingdings" w:hAnsi="Wingdings" w:hint="default"/>
      </w:rPr>
    </w:lvl>
    <w:lvl w:ilvl="3" w:tplc="04090001" w:tentative="1">
      <w:start w:val="1"/>
      <w:numFmt w:val="bullet"/>
      <w:lvlText w:val=""/>
      <w:lvlJc w:val="left"/>
      <w:pPr>
        <w:ind w:left="2588" w:hanging="360"/>
      </w:pPr>
      <w:rPr>
        <w:rFonts w:ascii="Symbol" w:hAnsi="Symbol" w:hint="default"/>
      </w:rPr>
    </w:lvl>
    <w:lvl w:ilvl="4" w:tplc="04090003" w:tentative="1">
      <w:start w:val="1"/>
      <w:numFmt w:val="bullet"/>
      <w:lvlText w:val="o"/>
      <w:lvlJc w:val="left"/>
      <w:pPr>
        <w:ind w:left="3308" w:hanging="360"/>
      </w:pPr>
      <w:rPr>
        <w:rFonts w:ascii="Courier New" w:hAnsi="Courier New" w:cs="Courier New" w:hint="default"/>
      </w:rPr>
    </w:lvl>
    <w:lvl w:ilvl="5" w:tplc="04090005" w:tentative="1">
      <w:start w:val="1"/>
      <w:numFmt w:val="bullet"/>
      <w:lvlText w:val=""/>
      <w:lvlJc w:val="left"/>
      <w:pPr>
        <w:ind w:left="4028" w:hanging="360"/>
      </w:pPr>
      <w:rPr>
        <w:rFonts w:ascii="Wingdings" w:hAnsi="Wingdings" w:hint="default"/>
      </w:rPr>
    </w:lvl>
    <w:lvl w:ilvl="6" w:tplc="04090001" w:tentative="1">
      <w:start w:val="1"/>
      <w:numFmt w:val="bullet"/>
      <w:lvlText w:val=""/>
      <w:lvlJc w:val="left"/>
      <w:pPr>
        <w:ind w:left="4748" w:hanging="360"/>
      </w:pPr>
      <w:rPr>
        <w:rFonts w:ascii="Symbol" w:hAnsi="Symbol" w:hint="default"/>
      </w:rPr>
    </w:lvl>
    <w:lvl w:ilvl="7" w:tplc="04090003" w:tentative="1">
      <w:start w:val="1"/>
      <w:numFmt w:val="bullet"/>
      <w:lvlText w:val="o"/>
      <w:lvlJc w:val="left"/>
      <w:pPr>
        <w:ind w:left="5468" w:hanging="360"/>
      </w:pPr>
      <w:rPr>
        <w:rFonts w:ascii="Courier New" w:hAnsi="Courier New" w:cs="Courier New" w:hint="default"/>
      </w:rPr>
    </w:lvl>
    <w:lvl w:ilvl="8" w:tplc="04090005" w:tentative="1">
      <w:start w:val="1"/>
      <w:numFmt w:val="bullet"/>
      <w:lvlText w:val=""/>
      <w:lvlJc w:val="left"/>
      <w:pPr>
        <w:ind w:left="6188" w:hanging="360"/>
      </w:pPr>
      <w:rPr>
        <w:rFonts w:ascii="Wingdings" w:hAnsi="Wingdings" w:hint="default"/>
      </w:rPr>
    </w:lvl>
  </w:abstractNum>
  <w:abstractNum w:abstractNumId="20" w15:restartNumberingAfterBreak="0">
    <w:nsid w:val="78E94C45"/>
    <w:multiLevelType w:val="hybridMultilevel"/>
    <w:tmpl w:val="7B3E8F0C"/>
    <w:lvl w:ilvl="0" w:tplc="0C090001">
      <w:start w:val="1"/>
      <w:numFmt w:val="bullet"/>
      <w:lvlText w:val=""/>
      <w:lvlJc w:val="left"/>
      <w:pPr>
        <w:ind w:left="360" w:hanging="360"/>
      </w:pPr>
      <w:rPr>
        <w:rFonts w:ascii="Symbol" w:hAnsi="Symbol" w:hint="default"/>
      </w:rPr>
    </w:lvl>
    <w:lvl w:ilvl="1" w:tplc="F2A2DC98">
      <w:start w:val="1"/>
      <w:numFmt w:val="bullet"/>
      <w:lvlText w:val="­"/>
      <w:lvlJc w:val="left"/>
      <w:pPr>
        <w:ind w:left="1080" w:hanging="360"/>
      </w:pPr>
      <w:rPr>
        <w:rFonts w:ascii="Courier New" w:hAnsi="Courier New" w:hint="default"/>
      </w:rPr>
    </w:lvl>
    <w:lvl w:ilvl="2" w:tplc="533CA382">
      <w:start w:val="1"/>
      <w:numFmt w:val="decimal"/>
      <w:lvlText w:val="(%3)"/>
      <w:lvlJc w:val="left"/>
      <w:pPr>
        <w:ind w:left="1980" w:hanging="360"/>
      </w:pPr>
      <w:rPr>
        <w:rFonts w:hint="default"/>
      </w:r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7F5C4AE1"/>
    <w:multiLevelType w:val="hybridMultilevel"/>
    <w:tmpl w:val="C6CAC8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9"/>
  </w:num>
  <w:num w:numId="2">
    <w:abstractNumId w:val="0"/>
  </w:num>
  <w:num w:numId="3">
    <w:abstractNumId w:val="4"/>
  </w:num>
  <w:num w:numId="4">
    <w:abstractNumId w:val="15"/>
  </w:num>
  <w:num w:numId="5">
    <w:abstractNumId w:val="8"/>
  </w:num>
  <w:num w:numId="6">
    <w:abstractNumId w:val="6"/>
  </w:num>
  <w:num w:numId="7">
    <w:abstractNumId w:val="20"/>
  </w:num>
  <w:num w:numId="8">
    <w:abstractNumId w:val="13"/>
  </w:num>
  <w:num w:numId="9">
    <w:abstractNumId w:val="10"/>
  </w:num>
  <w:num w:numId="10">
    <w:abstractNumId w:val="7"/>
  </w:num>
  <w:num w:numId="11">
    <w:abstractNumId w:val="18"/>
  </w:num>
  <w:num w:numId="12">
    <w:abstractNumId w:val="9"/>
  </w:num>
  <w:num w:numId="13">
    <w:abstractNumId w:val="1"/>
  </w:num>
  <w:num w:numId="14">
    <w:abstractNumId w:val="12"/>
  </w:num>
  <w:num w:numId="15">
    <w:abstractNumId w:val="21"/>
  </w:num>
  <w:num w:numId="16">
    <w:abstractNumId w:val="2"/>
  </w:num>
  <w:num w:numId="17">
    <w:abstractNumId w:val="16"/>
  </w:num>
  <w:num w:numId="18">
    <w:abstractNumId w:val="5"/>
  </w:num>
  <w:num w:numId="19">
    <w:abstractNumId w:val="11"/>
  </w:num>
  <w:num w:numId="20">
    <w:abstractNumId w:val="3"/>
  </w:num>
  <w:num w:numId="21">
    <w:abstractNumId w:val="17"/>
  </w:num>
  <w:num w:numId="22">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ocumentProtection w:edit="readOnly" w:formatting="1" w:enforcement="1" w:cryptProviderType="rsaAES" w:cryptAlgorithmClass="hash" w:cryptAlgorithmType="typeAny" w:cryptAlgorithmSid="14" w:cryptSpinCount="100000" w:hash="3A8N2vVUscz5ZaqTE20ItCfjGAPsRiOddbe8my0JKlH3S8drA3HVr/bFUVU8TNv7PVyAD2Vk9vrGK5tvsyxMPQ==" w:salt="aS+mkTiJObuA3NHnSA744w=="/>
  <w:defaultTabStop w:val="720"/>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B084E"/>
    <w:rsid w:val="0000001B"/>
    <w:rsid w:val="00000664"/>
    <w:rsid w:val="0000066E"/>
    <w:rsid w:val="00000874"/>
    <w:rsid w:val="00000FFF"/>
    <w:rsid w:val="00001102"/>
    <w:rsid w:val="000013D6"/>
    <w:rsid w:val="000016B2"/>
    <w:rsid w:val="000017F0"/>
    <w:rsid w:val="000019BB"/>
    <w:rsid w:val="00002843"/>
    <w:rsid w:val="000029B3"/>
    <w:rsid w:val="00002A25"/>
    <w:rsid w:val="00002B04"/>
    <w:rsid w:val="000031F0"/>
    <w:rsid w:val="00003294"/>
    <w:rsid w:val="0000397A"/>
    <w:rsid w:val="00003E5D"/>
    <w:rsid w:val="00004184"/>
    <w:rsid w:val="00004909"/>
    <w:rsid w:val="00004DC2"/>
    <w:rsid w:val="00004EB0"/>
    <w:rsid w:val="00004EEF"/>
    <w:rsid w:val="000059C2"/>
    <w:rsid w:val="00006129"/>
    <w:rsid w:val="000065BF"/>
    <w:rsid w:val="000067F1"/>
    <w:rsid w:val="00006E9D"/>
    <w:rsid w:val="00006FBE"/>
    <w:rsid w:val="0000747E"/>
    <w:rsid w:val="000074FF"/>
    <w:rsid w:val="000077F4"/>
    <w:rsid w:val="00010167"/>
    <w:rsid w:val="000103E1"/>
    <w:rsid w:val="00011016"/>
    <w:rsid w:val="0001101E"/>
    <w:rsid w:val="00011170"/>
    <w:rsid w:val="0001166A"/>
    <w:rsid w:val="00012F9D"/>
    <w:rsid w:val="00014068"/>
    <w:rsid w:val="00014436"/>
    <w:rsid w:val="00014DB3"/>
    <w:rsid w:val="0001531F"/>
    <w:rsid w:val="00015577"/>
    <w:rsid w:val="000163FE"/>
    <w:rsid w:val="000172F4"/>
    <w:rsid w:val="0001779B"/>
    <w:rsid w:val="00020036"/>
    <w:rsid w:val="0002008E"/>
    <w:rsid w:val="000201B7"/>
    <w:rsid w:val="00020382"/>
    <w:rsid w:val="0002075C"/>
    <w:rsid w:val="0002090F"/>
    <w:rsid w:val="000209D1"/>
    <w:rsid w:val="00020C98"/>
    <w:rsid w:val="00020CFF"/>
    <w:rsid w:val="00020FC6"/>
    <w:rsid w:val="00021463"/>
    <w:rsid w:val="0002150A"/>
    <w:rsid w:val="00021B0D"/>
    <w:rsid w:val="00021C78"/>
    <w:rsid w:val="00022273"/>
    <w:rsid w:val="00022504"/>
    <w:rsid w:val="00022A0C"/>
    <w:rsid w:val="00022DFA"/>
    <w:rsid w:val="00022FF5"/>
    <w:rsid w:val="00023B4C"/>
    <w:rsid w:val="000240F9"/>
    <w:rsid w:val="00024340"/>
    <w:rsid w:val="0002453B"/>
    <w:rsid w:val="00024E85"/>
    <w:rsid w:val="000250E3"/>
    <w:rsid w:val="00025267"/>
    <w:rsid w:val="0002540A"/>
    <w:rsid w:val="00025F38"/>
    <w:rsid w:val="000262A3"/>
    <w:rsid w:val="00026A21"/>
    <w:rsid w:val="00026F6D"/>
    <w:rsid w:val="000278DE"/>
    <w:rsid w:val="00027C69"/>
    <w:rsid w:val="00027EF4"/>
    <w:rsid w:val="0003022D"/>
    <w:rsid w:val="000302FB"/>
    <w:rsid w:val="00030401"/>
    <w:rsid w:val="000304CE"/>
    <w:rsid w:val="0003053F"/>
    <w:rsid w:val="00030774"/>
    <w:rsid w:val="000307F4"/>
    <w:rsid w:val="00030989"/>
    <w:rsid w:val="000309F0"/>
    <w:rsid w:val="00030AF3"/>
    <w:rsid w:val="000311D2"/>
    <w:rsid w:val="000313BD"/>
    <w:rsid w:val="000319AB"/>
    <w:rsid w:val="00031DE1"/>
    <w:rsid w:val="0003253C"/>
    <w:rsid w:val="00032948"/>
    <w:rsid w:val="0003358A"/>
    <w:rsid w:val="00033755"/>
    <w:rsid w:val="00033AD8"/>
    <w:rsid w:val="00033D73"/>
    <w:rsid w:val="0003413B"/>
    <w:rsid w:val="00034180"/>
    <w:rsid w:val="000342BD"/>
    <w:rsid w:val="00034DB8"/>
    <w:rsid w:val="00035048"/>
    <w:rsid w:val="0003571C"/>
    <w:rsid w:val="00035908"/>
    <w:rsid w:val="00035A8A"/>
    <w:rsid w:val="00035D62"/>
    <w:rsid w:val="000370A7"/>
    <w:rsid w:val="000374B9"/>
    <w:rsid w:val="000376A2"/>
    <w:rsid w:val="00037C65"/>
    <w:rsid w:val="000400BB"/>
    <w:rsid w:val="0004062D"/>
    <w:rsid w:val="00040CA0"/>
    <w:rsid w:val="00040DAE"/>
    <w:rsid w:val="00041742"/>
    <w:rsid w:val="000417DE"/>
    <w:rsid w:val="00041C49"/>
    <w:rsid w:val="0004299E"/>
    <w:rsid w:val="00042C98"/>
    <w:rsid w:val="0004477E"/>
    <w:rsid w:val="000449B0"/>
    <w:rsid w:val="00044E9A"/>
    <w:rsid w:val="0004503E"/>
    <w:rsid w:val="000458AB"/>
    <w:rsid w:val="00046C40"/>
    <w:rsid w:val="00046EF1"/>
    <w:rsid w:val="000473A0"/>
    <w:rsid w:val="000478F2"/>
    <w:rsid w:val="000478FF"/>
    <w:rsid w:val="00047D53"/>
    <w:rsid w:val="000505B3"/>
    <w:rsid w:val="000509F2"/>
    <w:rsid w:val="00050CA1"/>
    <w:rsid w:val="0005114F"/>
    <w:rsid w:val="0005277F"/>
    <w:rsid w:val="00052A7E"/>
    <w:rsid w:val="00052B00"/>
    <w:rsid w:val="00052C1F"/>
    <w:rsid w:val="000534A5"/>
    <w:rsid w:val="00054E9B"/>
    <w:rsid w:val="00055D96"/>
    <w:rsid w:val="00055F57"/>
    <w:rsid w:val="00056011"/>
    <w:rsid w:val="0005611A"/>
    <w:rsid w:val="000604F6"/>
    <w:rsid w:val="0006172D"/>
    <w:rsid w:val="0006182C"/>
    <w:rsid w:val="00061A87"/>
    <w:rsid w:val="00061D2D"/>
    <w:rsid w:val="00062A87"/>
    <w:rsid w:val="000632EE"/>
    <w:rsid w:val="00063943"/>
    <w:rsid w:val="0006514C"/>
    <w:rsid w:val="00065243"/>
    <w:rsid w:val="0006525B"/>
    <w:rsid w:val="000656FB"/>
    <w:rsid w:val="00065D80"/>
    <w:rsid w:val="00065F14"/>
    <w:rsid w:val="000661E8"/>
    <w:rsid w:val="0006695A"/>
    <w:rsid w:val="000672A3"/>
    <w:rsid w:val="000673B0"/>
    <w:rsid w:val="00070EBD"/>
    <w:rsid w:val="00071030"/>
    <w:rsid w:val="000715FA"/>
    <w:rsid w:val="00071616"/>
    <w:rsid w:val="000726FA"/>
    <w:rsid w:val="00072B4A"/>
    <w:rsid w:val="00072C30"/>
    <w:rsid w:val="000730EC"/>
    <w:rsid w:val="000731AD"/>
    <w:rsid w:val="00073219"/>
    <w:rsid w:val="00073283"/>
    <w:rsid w:val="0007351E"/>
    <w:rsid w:val="00073524"/>
    <w:rsid w:val="00073740"/>
    <w:rsid w:val="00073878"/>
    <w:rsid w:val="0007387F"/>
    <w:rsid w:val="000738E2"/>
    <w:rsid w:val="00074541"/>
    <w:rsid w:val="000745A2"/>
    <w:rsid w:val="0007465F"/>
    <w:rsid w:val="000748A4"/>
    <w:rsid w:val="00074BF9"/>
    <w:rsid w:val="00075615"/>
    <w:rsid w:val="00075679"/>
    <w:rsid w:val="00076129"/>
    <w:rsid w:val="00076176"/>
    <w:rsid w:val="000762FB"/>
    <w:rsid w:val="00076A37"/>
    <w:rsid w:val="00076E69"/>
    <w:rsid w:val="000770C6"/>
    <w:rsid w:val="0007730E"/>
    <w:rsid w:val="00077563"/>
    <w:rsid w:val="00077661"/>
    <w:rsid w:val="00080214"/>
    <w:rsid w:val="0008042E"/>
    <w:rsid w:val="00080939"/>
    <w:rsid w:val="0008101F"/>
    <w:rsid w:val="00081965"/>
    <w:rsid w:val="00081B2D"/>
    <w:rsid w:val="00081BC7"/>
    <w:rsid w:val="00081BEE"/>
    <w:rsid w:val="000828CC"/>
    <w:rsid w:val="00082BD6"/>
    <w:rsid w:val="00082D55"/>
    <w:rsid w:val="00082F22"/>
    <w:rsid w:val="00082F81"/>
    <w:rsid w:val="000830C4"/>
    <w:rsid w:val="000831CC"/>
    <w:rsid w:val="00083256"/>
    <w:rsid w:val="000834DB"/>
    <w:rsid w:val="00083BA2"/>
    <w:rsid w:val="00083CAE"/>
    <w:rsid w:val="00084516"/>
    <w:rsid w:val="000847C1"/>
    <w:rsid w:val="00084B73"/>
    <w:rsid w:val="00084C6F"/>
    <w:rsid w:val="00084D8C"/>
    <w:rsid w:val="00084FA2"/>
    <w:rsid w:val="00084FF1"/>
    <w:rsid w:val="00085375"/>
    <w:rsid w:val="00085F1C"/>
    <w:rsid w:val="00086F2D"/>
    <w:rsid w:val="00086FC9"/>
    <w:rsid w:val="00087123"/>
    <w:rsid w:val="000874AA"/>
    <w:rsid w:val="00087765"/>
    <w:rsid w:val="00090210"/>
    <w:rsid w:val="00090386"/>
    <w:rsid w:val="00090B96"/>
    <w:rsid w:val="0009126E"/>
    <w:rsid w:val="00091491"/>
    <w:rsid w:val="0009155E"/>
    <w:rsid w:val="0009194A"/>
    <w:rsid w:val="00091ED7"/>
    <w:rsid w:val="00091EE8"/>
    <w:rsid w:val="00092FC8"/>
    <w:rsid w:val="00093320"/>
    <w:rsid w:val="0009364F"/>
    <w:rsid w:val="0009382B"/>
    <w:rsid w:val="000948E3"/>
    <w:rsid w:val="00094929"/>
    <w:rsid w:val="00094D0C"/>
    <w:rsid w:val="000965A1"/>
    <w:rsid w:val="00096619"/>
    <w:rsid w:val="00096731"/>
    <w:rsid w:val="000967D6"/>
    <w:rsid w:val="0009719B"/>
    <w:rsid w:val="00097312"/>
    <w:rsid w:val="0009753D"/>
    <w:rsid w:val="000975F6"/>
    <w:rsid w:val="000A044C"/>
    <w:rsid w:val="000A07BA"/>
    <w:rsid w:val="000A0A06"/>
    <w:rsid w:val="000A13A1"/>
    <w:rsid w:val="000A1C3C"/>
    <w:rsid w:val="000A2100"/>
    <w:rsid w:val="000A2377"/>
    <w:rsid w:val="000A284B"/>
    <w:rsid w:val="000A3108"/>
    <w:rsid w:val="000A3F64"/>
    <w:rsid w:val="000A483B"/>
    <w:rsid w:val="000A488D"/>
    <w:rsid w:val="000A4BE8"/>
    <w:rsid w:val="000A4D02"/>
    <w:rsid w:val="000A553C"/>
    <w:rsid w:val="000A5A96"/>
    <w:rsid w:val="000A5F1D"/>
    <w:rsid w:val="000A5FF0"/>
    <w:rsid w:val="000A6185"/>
    <w:rsid w:val="000A6530"/>
    <w:rsid w:val="000A738D"/>
    <w:rsid w:val="000A73C1"/>
    <w:rsid w:val="000A76F2"/>
    <w:rsid w:val="000B023F"/>
    <w:rsid w:val="000B1101"/>
    <w:rsid w:val="000B1241"/>
    <w:rsid w:val="000B15A0"/>
    <w:rsid w:val="000B1888"/>
    <w:rsid w:val="000B1BA1"/>
    <w:rsid w:val="000B1E0B"/>
    <w:rsid w:val="000B1F75"/>
    <w:rsid w:val="000B20E5"/>
    <w:rsid w:val="000B22B5"/>
    <w:rsid w:val="000B272E"/>
    <w:rsid w:val="000B3A05"/>
    <w:rsid w:val="000B3B63"/>
    <w:rsid w:val="000B3E8B"/>
    <w:rsid w:val="000B3E97"/>
    <w:rsid w:val="000B400A"/>
    <w:rsid w:val="000B4FF0"/>
    <w:rsid w:val="000B5603"/>
    <w:rsid w:val="000B589F"/>
    <w:rsid w:val="000B5DDE"/>
    <w:rsid w:val="000B6115"/>
    <w:rsid w:val="000B6296"/>
    <w:rsid w:val="000B6303"/>
    <w:rsid w:val="000B6718"/>
    <w:rsid w:val="000B6AAD"/>
    <w:rsid w:val="000C00E8"/>
    <w:rsid w:val="000C144C"/>
    <w:rsid w:val="000C1A38"/>
    <w:rsid w:val="000C1A60"/>
    <w:rsid w:val="000C1BE7"/>
    <w:rsid w:val="000C1FD0"/>
    <w:rsid w:val="000C2715"/>
    <w:rsid w:val="000C298C"/>
    <w:rsid w:val="000C31FF"/>
    <w:rsid w:val="000C3973"/>
    <w:rsid w:val="000C4754"/>
    <w:rsid w:val="000C4D0C"/>
    <w:rsid w:val="000C5222"/>
    <w:rsid w:val="000C52FB"/>
    <w:rsid w:val="000C52FF"/>
    <w:rsid w:val="000C56A8"/>
    <w:rsid w:val="000C5807"/>
    <w:rsid w:val="000C6052"/>
    <w:rsid w:val="000C63DD"/>
    <w:rsid w:val="000C6D47"/>
    <w:rsid w:val="000C71CC"/>
    <w:rsid w:val="000C7249"/>
    <w:rsid w:val="000C76F4"/>
    <w:rsid w:val="000C773B"/>
    <w:rsid w:val="000C7C34"/>
    <w:rsid w:val="000C7F5C"/>
    <w:rsid w:val="000D0727"/>
    <w:rsid w:val="000D094A"/>
    <w:rsid w:val="000D12EE"/>
    <w:rsid w:val="000D1641"/>
    <w:rsid w:val="000D1677"/>
    <w:rsid w:val="000D17B5"/>
    <w:rsid w:val="000D1E01"/>
    <w:rsid w:val="000D22BE"/>
    <w:rsid w:val="000D2BF2"/>
    <w:rsid w:val="000D2C65"/>
    <w:rsid w:val="000D2D92"/>
    <w:rsid w:val="000D3416"/>
    <w:rsid w:val="000D34B4"/>
    <w:rsid w:val="000D3665"/>
    <w:rsid w:val="000D36EB"/>
    <w:rsid w:val="000D3C78"/>
    <w:rsid w:val="000D44BF"/>
    <w:rsid w:val="000D4ED2"/>
    <w:rsid w:val="000D5364"/>
    <w:rsid w:val="000D5DB3"/>
    <w:rsid w:val="000D61FC"/>
    <w:rsid w:val="000D6846"/>
    <w:rsid w:val="000D68B2"/>
    <w:rsid w:val="000D6CFE"/>
    <w:rsid w:val="000D7095"/>
    <w:rsid w:val="000D77A6"/>
    <w:rsid w:val="000E0114"/>
    <w:rsid w:val="000E09F5"/>
    <w:rsid w:val="000E0B25"/>
    <w:rsid w:val="000E0E07"/>
    <w:rsid w:val="000E19E3"/>
    <w:rsid w:val="000E1C5D"/>
    <w:rsid w:val="000E206C"/>
    <w:rsid w:val="000E21CB"/>
    <w:rsid w:val="000E2442"/>
    <w:rsid w:val="000E2754"/>
    <w:rsid w:val="000E2AAE"/>
    <w:rsid w:val="000E3423"/>
    <w:rsid w:val="000E3A46"/>
    <w:rsid w:val="000E3B26"/>
    <w:rsid w:val="000E3C76"/>
    <w:rsid w:val="000E3E1C"/>
    <w:rsid w:val="000E41E8"/>
    <w:rsid w:val="000E439F"/>
    <w:rsid w:val="000E4ABE"/>
    <w:rsid w:val="000E4E1C"/>
    <w:rsid w:val="000E527C"/>
    <w:rsid w:val="000E5668"/>
    <w:rsid w:val="000E5F41"/>
    <w:rsid w:val="000E637D"/>
    <w:rsid w:val="000E67D4"/>
    <w:rsid w:val="000E6916"/>
    <w:rsid w:val="000E7445"/>
    <w:rsid w:val="000E79A4"/>
    <w:rsid w:val="000E7B54"/>
    <w:rsid w:val="000E7C43"/>
    <w:rsid w:val="000F06A4"/>
    <w:rsid w:val="000F1430"/>
    <w:rsid w:val="000F163B"/>
    <w:rsid w:val="000F1C56"/>
    <w:rsid w:val="000F1CBA"/>
    <w:rsid w:val="000F22F3"/>
    <w:rsid w:val="000F2409"/>
    <w:rsid w:val="000F3803"/>
    <w:rsid w:val="000F3804"/>
    <w:rsid w:val="000F3E46"/>
    <w:rsid w:val="000F4425"/>
    <w:rsid w:val="000F4B44"/>
    <w:rsid w:val="000F4F61"/>
    <w:rsid w:val="000F534E"/>
    <w:rsid w:val="000F6080"/>
    <w:rsid w:val="000F6958"/>
    <w:rsid w:val="000F706B"/>
    <w:rsid w:val="000F78B4"/>
    <w:rsid w:val="000F7D7F"/>
    <w:rsid w:val="000F7E00"/>
    <w:rsid w:val="00100393"/>
    <w:rsid w:val="0010083B"/>
    <w:rsid w:val="001008A4"/>
    <w:rsid w:val="00101116"/>
    <w:rsid w:val="00101123"/>
    <w:rsid w:val="00101473"/>
    <w:rsid w:val="00101B9B"/>
    <w:rsid w:val="00101CCF"/>
    <w:rsid w:val="001021CD"/>
    <w:rsid w:val="001022D7"/>
    <w:rsid w:val="00102561"/>
    <w:rsid w:val="001028D1"/>
    <w:rsid w:val="00103754"/>
    <w:rsid w:val="00103B49"/>
    <w:rsid w:val="00103CC4"/>
    <w:rsid w:val="001042B5"/>
    <w:rsid w:val="001055BC"/>
    <w:rsid w:val="0010589A"/>
    <w:rsid w:val="00105B46"/>
    <w:rsid w:val="0010660F"/>
    <w:rsid w:val="00106658"/>
    <w:rsid w:val="00107102"/>
    <w:rsid w:val="001073E7"/>
    <w:rsid w:val="00107964"/>
    <w:rsid w:val="00107A9C"/>
    <w:rsid w:val="001100BA"/>
    <w:rsid w:val="001106DB"/>
    <w:rsid w:val="001108BE"/>
    <w:rsid w:val="00110A8F"/>
    <w:rsid w:val="00110E88"/>
    <w:rsid w:val="00110F3F"/>
    <w:rsid w:val="001113BD"/>
    <w:rsid w:val="001114C3"/>
    <w:rsid w:val="001116A6"/>
    <w:rsid w:val="00111B9D"/>
    <w:rsid w:val="00111BE5"/>
    <w:rsid w:val="00112442"/>
    <w:rsid w:val="00112525"/>
    <w:rsid w:val="001136A6"/>
    <w:rsid w:val="00113FF6"/>
    <w:rsid w:val="0011422B"/>
    <w:rsid w:val="001142C7"/>
    <w:rsid w:val="0011457C"/>
    <w:rsid w:val="00114B1E"/>
    <w:rsid w:val="00114BC9"/>
    <w:rsid w:val="00115251"/>
    <w:rsid w:val="00115482"/>
    <w:rsid w:val="001154A0"/>
    <w:rsid w:val="001158DF"/>
    <w:rsid w:val="00115A69"/>
    <w:rsid w:val="00115C5B"/>
    <w:rsid w:val="00115D1E"/>
    <w:rsid w:val="00115E8D"/>
    <w:rsid w:val="0011690A"/>
    <w:rsid w:val="0011748E"/>
    <w:rsid w:val="00117636"/>
    <w:rsid w:val="001176ED"/>
    <w:rsid w:val="00117954"/>
    <w:rsid w:val="00117CBF"/>
    <w:rsid w:val="0012054C"/>
    <w:rsid w:val="001218CA"/>
    <w:rsid w:val="00121DB7"/>
    <w:rsid w:val="00121E62"/>
    <w:rsid w:val="00121F78"/>
    <w:rsid w:val="001222DA"/>
    <w:rsid w:val="00122652"/>
    <w:rsid w:val="00122BC9"/>
    <w:rsid w:val="00123184"/>
    <w:rsid w:val="001235D6"/>
    <w:rsid w:val="00124941"/>
    <w:rsid w:val="00124A10"/>
    <w:rsid w:val="00124B69"/>
    <w:rsid w:val="00124CFE"/>
    <w:rsid w:val="0012581A"/>
    <w:rsid w:val="0012581F"/>
    <w:rsid w:val="00125820"/>
    <w:rsid w:val="001262A7"/>
    <w:rsid w:val="001269EB"/>
    <w:rsid w:val="00126B3A"/>
    <w:rsid w:val="00127408"/>
    <w:rsid w:val="00127419"/>
    <w:rsid w:val="001302E4"/>
    <w:rsid w:val="00130CBE"/>
    <w:rsid w:val="001313D6"/>
    <w:rsid w:val="00131952"/>
    <w:rsid w:val="0013225B"/>
    <w:rsid w:val="001325C2"/>
    <w:rsid w:val="001327EA"/>
    <w:rsid w:val="00132818"/>
    <w:rsid w:val="00132A62"/>
    <w:rsid w:val="00132E55"/>
    <w:rsid w:val="00132ED9"/>
    <w:rsid w:val="001333D4"/>
    <w:rsid w:val="00133BB6"/>
    <w:rsid w:val="001341CC"/>
    <w:rsid w:val="0013503D"/>
    <w:rsid w:val="0013527A"/>
    <w:rsid w:val="00135313"/>
    <w:rsid w:val="001356BD"/>
    <w:rsid w:val="00135B70"/>
    <w:rsid w:val="00135C5E"/>
    <w:rsid w:val="001363D6"/>
    <w:rsid w:val="001364C1"/>
    <w:rsid w:val="001365B0"/>
    <w:rsid w:val="00136820"/>
    <w:rsid w:val="00136919"/>
    <w:rsid w:val="00137FC1"/>
    <w:rsid w:val="001402F7"/>
    <w:rsid w:val="00140E1B"/>
    <w:rsid w:val="00140F61"/>
    <w:rsid w:val="0014148F"/>
    <w:rsid w:val="00141C1C"/>
    <w:rsid w:val="001420FD"/>
    <w:rsid w:val="001429A8"/>
    <w:rsid w:val="00142B9E"/>
    <w:rsid w:val="00142C7C"/>
    <w:rsid w:val="0014330B"/>
    <w:rsid w:val="0014372B"/>
    <w:rsid w:val="00143E8B"/>
    <w:rsid w:val="001443CC"/>
    <w:rsid w:val="001450D5"/>
    <w:rsid w:val="00145102"/>
    <w:rsid w:val="00145174"/>
    <w:rsid w:val="0014572D"/>
    <w:rsid w:val="00145947"/>
    <w:rsid w:val="00145966"/>
    <w:rsid w:val="00145C46"/>
    <w:rsid w:val="00145C73"/>
    <w:rsid w:val="001461D6"/>
    <w:rsid w:val="001473E1"/>
    <w:rsid w:val="0014770F"/>
    <w:rsid w:val="0014799B"/>
    <w:rsid w:val="00147A7B"/>
    <w:rsid w:val="00147BB4"/>
    <w:rsid w:val="00147DCD"/>
    <w:rsid w:val="00150142"/>
    <w:rsid w:val="00150490"/>
    <w:rsid w:val="00150B2B"/>
    <w:rsid w:val="00150CE4"/>
    <w:rsid w:val="00150D44"/>
    <w:rsid w:val="00150D54"/>
    <w:rsid w:val="00150E13"/>
    <w:rsid w:val="00150E1B"/>
    <w:rsid w:val="001522C7"/>
    <w:rsid w:val="00152511"/>
    <w:rsid w:val="001528FE"/>
    <w:rsid w:val="00152C5B"/>
    <w:rsid w:val="001535EC"/>
    <w:rsid w:val="0015393F"/>
    <w:rsid w:val="00153988"/>
    <w:rsid w:val="00153DFF"/>
    <w:rsid w:val="00153E51"/>
    <w:rsid w:val="00153E70"/>
    <w:rsid w:val="001542F5"/>
    <w:rsid w:val="0015463D"/>
    <w:rsid w:val="00154CA2"/>
    <w:rsid w:val="00154E83"/>
    <w:rsid w:val="001552D7"/>
    <w:rsid w:val="0015533D"/>
    <w:rsid w:val="00155712"/>
    <w:rsid w:val="001557BA"/>
    <w:rsid w:val="00156389"/>
    <w:rsid w:val="00156533"/>
    <w:rsid w:val="0015689D"/>
    <w:rsid w:val="0015774E"/>
    <w:rsid w:val="00157F8C"/>
    <w:rsid w:val="00160343"/>
    <w:rsid w:val="001604B6"/>
    <w:rsid w:val="0016052C"/>
    <w:rsid w:val="00160812"/>
    <w:rsid w:val="00160C31"/>
    <w:rsid w:val="00160E38"/>
    <w:rsid w:val="001619DB"/>
    <w:rsid w:val="00161CDF"/>
    <w:rsid w:val="00161EF0"/>
    <w:rsid w:val="0016205E"/>
    <w:rsid w:val="0016215F"/>
    <w:rsid w:val="0016240D"/>
    <w:rsid w:val="00162442"/>
    <w:rsid w:val="00165104"/>
    <w:rsid w:val="001659AD"/>
    <w:rsid w:val="00165EDE"/>
    <w:rsid w:val="0016678C"/>
    <w:rsid w:val="00166890"/>
    <w:rsid w:val="00166DFB"/>
    <w:rsid w:val="0016702C"/>
    <w:rsid w:val="00167936"/>
    <w:rsid w:val="00170002"/>
    <w:rsid w:val="00170179"/>
    <w:rsid w:val="001701AB"/>
    <w:rsid w:val="00170F90"/>
    <w:rsid w:val="00171127"/>
    <w:rsid w:val="00171431"/>
    <w:rsid w:val="00171745"/>
    <w:rsid w:val="00171B8F"/>
    <w:rsid w:val="00171C33"/>
    <w:rsid w:val="00171C50"/>
    <w:rsid w:val="00171DA8"/>
    <w:rsid w:val="00172405"/>
    <w:rsid w:val="001724DB"/>
    <w:rsid w:val="00172547"/>
    <w:rsid w:val="0017267F"/>
    <w:rsid w:val="00172704"/>
    <w:rsid w:val="00172890"/>
    <w:rsid w:val="001731D8"/>
    <w:rsid w:val="00173338"/>
    <w:rsid w:val="00174281"/>
    <w:rsid w:val="00174660"/>
    <w:rsid w:val="00174F70"/>
    <w:rsid w:val="00175B20"/>
    <w:rsid w:val="00176216"/>
    <w:rsid w:val="00176296"/>
    <w:rsid w:val="0017630D"/>
    <w:rsid w:val="00176461"/>
    <w:rsid w:val="00176A0C"/>
    <w:rsid w:val="00176BA0"/>
    <w:rsid w:val="00176BA7"/>
    <w:rsid w:val="00176E76"/>
    <w:rsid w:val="0017754F"/>
    <w:rsid w:val="00180319"/>
    <w:rsid w:val="0018041D"/>
    <w:rsid w:val="00180901"/>
    <w:rsid w:val="001809C4"/>
    <w:rsid w:val="00180A4B"/>
    <w:rsid w:val="00180E36"/>
    <w:rsid w:val="001812B7"/>
    <w:rsid w:val="00181813"/>
    <w:rsid w:val="0018241B"/>
    <w:rsid w:val="00182D0A"/>
    <w:rsid w:val="00182F45"/>
    <w:rsid w:val="001844CE"/>
    <w:rsid w:val="0018467C"/>
    <w:rsid w:val="00184F2A"/>
    <w:rsid w:val="0018500F"/>
    <w:rsid w:val="00185A50"/>
    <w:rsid w:val="00185ACA"/>
    <w:rsid w:val="00186C3F"/>
    <w:rsid w:val="00186D61"/>
    <w:rsid w:val="00186EBD"/>
    <w:rsid w:val="00187448"/>
    <w:rsid w:val="00187835"/>
    <w:rsid w:val="00187915"/>
    <w:rsid w:val="00187EFF"/>
    <w:rsid w:val="001904F7"/>
    <w:rsid w:val="00190854"/>
    <w:rsid w:val="0019096D"/>
    <w:rsid w:val="00190C82"/>
    <w:rsid w:val="00190E2B"/>
    <w:rsid w:val="00191288"/>
    <w:rsid w:val="00191486"/>
    <w:rsid w:val="00191CC5"/>
    <w:rsid w:val="001921D9"/>
    <w:rsid w:val="001922B0"/>
    <w:rsid w:val="001925CB"/>
    <w:rsid w:val="001927E1"/>
    <w:rsid w:val="001929D3"/>
    <w:rsid w:val="00192DC9"/>
    <w:rsid w:val="0019317A"/>
    <w:rsid w:val="00193297"/>
    <w:rsid w:val="00193906"/>
    <w:rsid w:val="00193B78"/>
    <w:rsid w:val="00193F22"/>
    <w:rsid w:val="0019426B"/>
    <w:rsid w:val="00194279"/>
    <w:rsid w:val="00194315"/>
    <w:rsid w:val="0019451A"/>
    <w:rsid w:val="00194A56"/>
    <w:rsid w:val="00194A7B"/>
    <w:rsid w:val="00195427"/>
    <w:rsid w:val="0019558F"/>
    <w:rsid w:val="001959A9"/>
    <w:rsid w:val="00195D80"/>
    <w:rsid w:val="00195EEF"/>
    <w:rsid w:val="0019615A"/>
    <w:rsid w:val="00196589"/>
    <w:rsid w:val="001968CE"/>
    <w:rsid w:val="00196AA0"/>
    <w:rsid w:val="00197126"/>
    <w:rsid w:val="00197AEC"/>
    <w:rsid w:val="00197B9D"/>
    <w:rsid w:val="00197BE4"/>
    <w:rsid w:val="00197DBC"/>
    <w:rsid w:val="001A0AF1"/>
    <w:rsid w:val="001A0B5C"/>
    <w:rsid w:val="001A0BB6"/>
    <w:rsid w:val="001A1880"/>
    <w:rsid w:val="001A18FC"/>
    <w:rsid w:val="001A1C27"/>
    <w:rsid w:val="001A1F59"/>
    <w:rsid w:val="001A223D"/>
    <w:rsid w:val="001A248F"/>
    <w:rsid w:val="001A2EDE"/>
    <w:rsid w:val="001A3036"/>
    <w:rsid w:val="001A37A3"/>
    <w:rsid w:val="001A3A4E"/>
    <w:rsid w:val="001A3EDC"/>
    <w:rsid w:val="001A48F3"/>
    <w:rsid w:val="001A49C4"/>
    <w:rsid w:val="001A4B89"/>
    <w:rsid w:val="001A52A6"/>
    <w:rsid w:val="001A55C1"/>
    <w:rsid w:val="001A57D0"/>
    <w:rsid w:val="001A5AD3"/>
    <w:rsid w:val="001A5C2B"/>
    <w:rsid w:val="001A689F"/>
    <w:rsid w:val="001A71F1"/>
    <w:rsid w:val="001A7301"/>
    <w:rsid w:val="001B0491"/>
    <w:rsid w:val="001B0A37"/>
    <w:rsid w:val="001B116E"/>
    <w:rsid w:val="001B1EF2"/>
    <w:rsid w:val="001B27D1"/>
    <w:rsid w:val="001B297F"/>
    <w:rsid w:val="001B2D87"/>
    <w:rsid w:val="001B2DD9"/>
    <w:rsid w:val="001B2E10"/>
    <w:rsid w:val="001B31E6"/>
    <w:rsid w:val="001B328E"/>
    <w:rsid w:val="001B3B9B"/>
    <w:rsid w:val="001B4072"/>
    <w:rsid w:val="001B489C"/>
    <w:rsid w:val="001B4E5E"/>
    <w:rsid w:val="001B509E"/>
    <w:rsid w:val="001B5400"/>
    <w:rsid w:val="001B55D5"/>
    <w:rsid w:val="001B56CA"/>
    <w:rsid w:val="001B6284"/>
    <w:rsid w:val="001B6A97"/>
    <w:rsid w:val="001B6CEB"/>
    <w:rsid w:val="001B70C5"/>
    <w:rsid w:val="001B73D2"/>
    <w:rsid w:val="001B7584"/>
    <w:rsid w:val="001B7875"/>
    <w:rsid w:val="001B7940"/>
    <w:rsid w:val="001B7A7D"/>
    <w:rsid w:val="001B7F69"/>
    <w:rsid w:val="001C0470"/>
    <w:rsid w:val="001C0666"/>
    <w:rsid w:val="001C0932"/>
    <w:rsid w:val="001C0A87"/>
    <w:rsid w:val="001C10FD"/>
    <w:rsid w:val="001C14C2"/>
    <w:rsid w:val="001C1739"/>
    <w:rsid w:val="001C1757"/>
    <w:rsid w:val="001C1BDB"/>
    <w:rsid w:val="001C1C11"/>
    <w:rsid w:val="001C1FE3"/>
    <w:rsid w:val="001C2059"/>
    <w:rsid w:val="001C2181"/>
    <w:rsid w:val="001C23EA"/>
    <w:rsid w:val="001C2A4A"/>
    <w:rsid w:val="001C2B27"/>
    <w:rsid w:val="001C34A1"/>
    <w:rsid w:val="001C39D8"/>
    <w:rsid w:val="001C3D76"/>
    <w:rsid w:val="001C407A"/>
    <w:rsid w:val="001C447F"/>
    <w:rsid w:val="001C4533"/>
    <w:rsid w:val="001C52B9"/>
    <w:rsid w:val="001C5996"/>
    <w:rsid w:val="001C5BB8"/>
    <w:rsid w:val="001C67B6"/>
    <w:rsid w:val="001C6B03"/>
    <w:rsid w:val="001C6D5C"/>
    <w:rsid w:val="001C7644"/>
    <w:rsid w:val="001D05BC"/>
    <w:rsid w:val="001D0D55"/>
    <w:rsid w:val="001D0E0F"/>
    <w:rsid w:val="001D0E61"/>
    <w:rsid w:val="001D11A5"/>
    <w:rsid w:val="001D1599"/>
    <w:rsid w:val="001D169B"/>
    <w:rsid w:val="001D1A17"/>
    <w:rsid w:val="001D1C88"/>
    <w:rsid w:val="001D1F0A"/>
    <w:rsid w:val="001D1FBC"/>
    <w:rsid w:val="001D2647"/>
    <w:rsid w:val="001D2CB2"/>
    <w:rsid w:val="001D2EE4"/>
    <w:rsid w:val="001D3342"/>
    <w:rsid w:val="001D3622"/>
    <w:rsid w:val="001D37FA"/>
    <w:rsid w:val="001D40CC"/>
    <w:rsid w:val="001D5843"/>
    <w:rsid w:val="001D5AA1"/>
    <w:rsid w:val="001D6136"/>
    <w:rsid w:val="001D69E6"/>
    <w:rsid w:val="001D6E33"/>
    <w:rsid w:val="001D7416"/>
    <w:rsid w:val="001D7A14"/>
    <w:rsid w:val="001E0435"/>
    <w:rsid w:val="001E075D"/>
    <w:rsid w:val="001E096F"/>
    <w:rsid w:val="001E11FF"/>
    <w:rsid w:val="001E157D"/>
    <w:rsid w:val="001E1AEC"/>
    <w:rsid w:val="001E3B3D"/>
    <w:rsid w:val="001E4038"/>
    <w:rsid w:val="001E41C5"/>
    <w:rsid w:val="001E548C"/>
    <w:rsid w:val="001E6B03"/>
    <w:rsid w:val="001E6FB0"/>
    <w:rsid w:val="001E712E"/>
    <w:rsid w:val="001E72B5"/>
    <w:rsid w:val="001E7537"/>
    <w:rsid w:val="001E790E"/>
    <w:rsid w:val="001F0080"/>
    <w:rsid w:val="001F008D"/>
    <w:rsid w:val="001F018E"/>
    <w:rsid w:val="001F039B"/>
    <w:rsid w:val="001F06A7"/>
    <w:rsid w:val="001F076C"/>
    <w:rsid w:val="001F0976"/>
    <w:rsid w:val="001F0C2A"/>
    <w:rsid w:val="001F1788"/>
    <w:rsid w:val="001F1FA6"/>
    <w:rsid w:val="001F2008"/>
    <w:rsid w:val="001F22C3"/>
    <w:rsid w:val="001F2470"/>
    <w:rsid w:val="001F2611"/>
    <w:rsid w:val="001F269F"/>
    <w:rsid w:val="001F2B72"/>
    <w:rsid w:val="001F2DEF"/>
    <w:rsid w:val="001F404F"/>
    <w:rsid w:val="001F4197"/>
    <w:rsid w:val="001F451E"/>
    <w:rsid w:val="001F46E5"/>
    <w:rsid w:val="001F4A02"/>
    <w:rsid w:val="001F5B5B"/>
    <w:rsid w:val="001F5ED7"/>
    <w:rsid w:val="001F636C"/>
    <w:rsid w:val="001F66C3"/>
    <w:rsid w:val="001F6A3A"/>
    <w:rsid w:val="001F6D90"/>
    <w:rsid w:val="001F755E"/>
    <w:rsid w:val="001F7A8B"/>
    <w:rsid w:val="001F7D1E"/>
    <w:rsid w:val="001F7E8F"/>
    <w:rsid w:val="00200B80"/>
    <w:rsid w:val="00200C3C"/>
    <w:rsid w:val="00200C54"/>
    <w:rsid w:val="00200F3E"/>
    <w:rsid w:val="002013EB"/>
    <w:rsid w:val="00201522"/>
    <w:rsid w:val="00201791"/>
    <w:rsid w:val="00203037"/>
    <w:rsid w:val="00203231"/>
    <w:rsid w:val="0020379F"/>
    <w:rsid w:val="002038A2"/>
    <w:rsid w:val="00203E35"/>
    <w:rsid w:val="00203FDD"/>
    <w:rsid w:val="002043CA"/>
    <w:rsid w:val="002057BE"/>
    <w:rsid w:val="00205CA4"/>
    <w:rsid w:val="002066F1"/>
    <w:rsid w:val="00206948"/>
    <w:rsid w:val="00206C62"/>
    <w:rsid w:val="00206EAD"/>
    <w:rsid w:val="002070D5"/>
    <w:rsid w:val="00207491"/>
    <w:rsid w:val="00207861"/>
    <w:rsid w:val="00210E7B"/>
    <w:rsid w:val="00211A3B"/>
    <w:rsid w:val="00211DB7"/>
    <w:rsid w:val="00212271"/>
    <w:rsid w:val="002128EA"/>
    <w:rsid w:val="00212990"/>
    <w:rsid w:val="00213053"/>
    <w:rsid w:val="00213298"/>
    <w:rsid w:val="00213652"/>
    <w:rsid w:val="00213A9A"/>
    <w:rsid w:val="00213AEF"/>
    <w:rsid w:val="002141C4"/>
    <w:rsid w:val="002141E1"/>
    <w:rsid w:val="00214822"/>
    <w:rsid w:val="00215041"/>
    <w:rsid w:val="0021583D"/>
    <w:rsid w:val="00216B4E"/>
    <w:rsid w:val="00216DD8"/>
    <w:rsid w:val="0021744F"/>
    <w:rsid w:val="00217905"/>
    <w:rsid w:val="00217989"/>
    <w:rsid w:val="00217A15"/>
    <w:rsid w:val="0022109D"/>
    <w:rsid w:val="0022123A"/>
    <w:rsid w:val="002213EE"/>
    <w:rsid w:val="002220E7"/>
    <w:rsid w:val="0022266C"/>
    <w:rsid w:val="002227E7"/>
    <w:rsid w:val="00222BEC"/>
    <w:rsid w:val="00223ACC"/>
    <w:rsid w:val="00223B6A"/>
    <w:rsid w:val="0022428B"/>
    <w:rsid w:val="00224337"/>
    <w:rsid w:val="00224841"/>
    <w:rsid w:val="00224BEC"/>
    <w:rsid w:val="00225343"/>
    <w:rsid w:val="002253DA"/>
    <w:rsid w:val="002254CE"/>
    <w:rsid w:val="00225A4F"/>
    <w:rsid w:val="002265BC"/>
    <w:rsid w:val="00226835"/>
    <w:rsid w:val="002269BD"/>
    <w:rsid w:val="00226ECF"/>
    <w:rsid w:val="00226FF0"/>
    <w:rsid w:val="002272A4"/>
    <w:rsid w:val="00227377"/>
    <w:rsid w:val="00227507"/>
    <w:rsid w:val="00227B96"/>
    <w:rsid w:val="00227BE7"/>
    <w:rsid w:val="00227DB2"/>
    <w:rsid w:val="002308AF"/>
    <w:rsid w:val="00230F4D"/>
    <w:rsid w:val="00230F96"/>
    <w:rsid w:val="0023191B"/>
    <w:rsid w:val="00231E9B"/>
    <w:rsid w:val="00231FA0"/>
    <w:rsid w:val="00232431"/>
    <w:rsid w:val="0023250E"/>
    <w:rsid w:val="00232871"/>
    <w:rsid w:val="0023365F"/>
    <w:rsid w:val="0023403A"/>
    <w:rsid w:val="00234266"/>
    <w:rsid w:val="00234EFC"/>
    <w:rsid w:val="0023567F"/>
    <w:rsid w:val="00235868"/>
    <w:rsid w:val="00236543"/>
    <w:rsid w:val="002374CB"/>
    <w:rsid w:val="00237647"/>
    <w:rsid w:val="00237944"/>
    <w:rsid w:val="0023795C"/>
    <w:rsid w:val="00237DCE"/>
    <w:rsid w:val="00237FC1"/>
    <w:rsid w:val="00240D37"/>
    <w:rsid w:val="00241947"/>
    <w:rsid w:val="00241A4E"/>
    <w:rsid w:val="00241ADE"/>
    <w:rsid w:val="00241CB0"/>
    <w:rsid w:val="00241E0E"/>
    <w:rsid w:val="00242149"/>
    <w:rsid w:val="002428E2"/>
    <w:rsid w:val="00243000"/>
    <w:rsid w:val="00243130"/>
    <w:rsid w:val="00243AC9"/>
    <w:rsid w:val="00243CCA"/>
    <w:rsid w:val="002441C4"/>
    <w:rsid w:val="0024440D"/>
    <w:rsid w:val="00244BBD"/>
    <w:rsid w:val="00244EFC"/>
    <w:rsid w:val="00245312"/>
    <w:rsid w:val="002462B0"/>
    <w:rsid w:val="0024632B"/>
    <w:rsid w:val="002468E6"/>
    <w:rsid w:val="00247438"/>
    <w:rsid w:val="002478C0"/>
    <w:rsid w:val="0025009F"/>
    <w:rsid w:val="002503A3"/>
    <w:rsid w:val="0025045E"/>
    <w:rsid w:val="002504B5"/>
    <w:rsid w:val="00250D74"/>
    <w:rsid w:val="00250DA4"/>
    <w:rsid w:val="00251496"/>
    <w:rsid w:val="00251CF8"/>
    <w:rsid w:val="00251D8A"/>
    <w:rsid w:val="00251DEB"/>
    <w:rsid w:val="0025235E"/>
    <w:rsid w:val="00252A1A"/>
    <w:rsid w:val="00252BA7"/>
    <w:rsid w:val="0025301C"/>
    <w:rsid w:val="002532F0"/>
    <w:rsid w:val="002536E8"/>
    <w:rsid w:val="00253AE1"/>
    <w:rsid w:val="00253D27"/>
    <w:rsid w:val="00253E95"/>
    <w:rsid w:val="002540FF"/>
    <w:rsid w:val="002541F7"/>
    <w:rsid w:val="00254591"/>
    <w:rsid w:val="00254C2C"/>
    <w:rsid w:val="00254D47"/>
    <w:rsid w:val="002556A4"/>
    <w:rsid w:val="00256151"/>
    <w:rsid w:val="00256444"/>
    <w:rsid w:val="00256547"/>
    <w:rsid w:val="0025691D"/>
    <w:rsid w:val="00257258"/>
    <w:rsid w:val="0025786E"/>
    <w:rsid w:val="00257D79"/>
    <w:rsid w:val="00257F41"/>
    <w:rsid w:val="0026003D"/>
    <w:rsid w:val="002608E3"/>
    <w:rsid w:val="00260AD4"/>
    <w:rsid w:val="00260F54"/>
    <w:rsid w:val="002613A0"/>
    <w:rsid w:val="0026147E"/>
    <w:rsid w:val="002615EC"/>
    <w:rsid w:val="002618A5"/>
    <w:rsid w:val="00261BB5"/>
    <w:rsid w:val="00261FDB"/>
    <w:rsid w:val="00262C8D"/>
    <w:rsid w:val="00262ECB"/>
    <w:rsid w:val="002632BB"/>
    <w:rsid w:val="00264518"/>
    <w:rsid w:val="00264634"/>
    <w:rsid w:val="002649D1"/>
    <w:rsid w:val="00264BE7"/>
    <w:rsid w:val="00264D69"/>
    <w:rsid w:val="00264EEB"/>
    <w:rsid w:val="00265892"/>
    <w:rsid w:val="002658D6"/>
    <w:rsid w:val="00265AE5"/>
    <w:rsid w:val="00265FB2"/>
    <w:rsid w:val="002662A6"/>
    <w:rsid w:val="002662AE"/>
    <w:rsid w:val="00266743"/>
    <w:rsid w:val="002668BD"/>
    <w:rsid w:val="002669F4"/>
    <w:rsid w:val="00266ED5"/>
    <w:rsid w:val="002676D6"/>
    <w:rsid w:val="0026793F"/>
    <w:rsid w:val="00267E77"/>
    <w:rsid w:val="00267FE5"/>
    <w:rsid w:val="00270079"/>
    <w:rsid w:val="002707F9"/>
    <w:rsid w:val="00270BAE"/>
    <w:rsid w:val="00270D47"/>
    <w:rsid w:val="00270EEB"/>
    <w:rsid w:val="002713BC"/>
    <w:rsid w:val="0027146F"/>
    <w:rsid w:val="00271D53"/>
    <w:rsid w:val="00273478"/>
    <w:rsid w:val="00273587"/>
    <w:rsid w:val="002735A3"/>
    <w:rsid w:val="00273BEC"/>
    <w:rsid w:val="00273C51"/>
    <w:rsid w:val="00273C53"/>
    <w:rsid w:val="00273C85"/>
    <w:rsid w:val="00273F80"/>
    <w:rsid w:val="00274709"/>
    <w:rsid w:val="00274E10"/>
    <w:rsid w:val="00275AAB"/>
    <w:rsid w:val="002770C9"/>
    <w:rsid w:val="002771C6"/>
    <w:rsid w:val="002775FD"/>
    <w:rsid w:val="00277DE3"/>
    <w:rsid w:val="0028010F"/>
    <w:rsid w:val="00280172"/>
    <w:rsid w:val="002804E1"/>
    <w:rsid w:val="00280941"/>
    <w:rsid w:val="00280C17"/>
    <w:rsid w:val="00280CED"/>
    <w:rsid w:val="00281414"/>
    <w:rsid w:val="00281DF0"/>
    <w:rsid w:val="002829DC"/>
    <w:rsid w:val="002848A6"/>
    <w:rsid w:val="00284C88"/>
    <w:rsid w:val="00284F9E"/>
    <w:rsid w:val="002850B1"/>
    <w:rsid w:val="002850D4"/>
    <w:rsid w:val="002852E0"/>
    <w:rsid w:val="0028548F"/>
    <w:rsid w:val="002856EF"/>
    <w:rsid w:val="00285DD8"/>
    <w:rsid w:val="0028631F"/>
    <w:rsid w:val="0028678F"/>
    <w:rsid w:val="0028684C"/>
    <w:rsid w:val="00286D85"/>
    <w:rsid w:val="002876AC"/>
    <w:rsid w:val="002876B3"/>
    <w:rsid w:val="002878CC"/>
    <w:rsid w:val="00287AAB"/>
    <w:rsid w:val="00287C35"/>
    <w:rsid w:val="00290501"/>
    <w:rsid w:val="00290B70"/>
    <w:rsid w:val="00290D13"/>
    <w:rsid w:val="002918A0"/>
    <w:rsid w:val="002921EB"/>
    <w:rsid w:val="0029265E"/>
    <w:rsid w:val="0029276B"/>
    <w:rsid w:val="00293019"/>
    <w:rsid w:val="00293399"/>
    <w:rsid w:val="00293944"/>
    <w:rsid w:val="00293ECA"/>
    <w:rsid w:val="0029444D"/>
    <w:rsid w:val="0029458B"/>
    <w:rsid w:val="00294A59"/>
    <w:rsid w:val="00295255"/>
    <w:rsid w:val="0029560D"/>
    <w:rsid w:val="00295AAF"/>
    <w:rsid w:val="0029605F"/>
    <w:rsid w:val="002966F6"/>
    <w:rsid w:val="00296A0E"/>
    <w:rsid w:val="00296B5F"/>
    <w:rsid w:val="00297B4D"/>
    <w:rsid w:val="00297CAB"/>
    <w:rsid w:val="00297DF5"/>
    <w:rsid w:val="002A0422"/>
    <w:rsid w:val="002A050B"/>
    <w:rsid w:val="002A0A6D"/>
    <w:rsid w:val="002A0CA6"/>
    <w:rsid w:val="002A1BB5"/>
    <w:rsid w:val="002A1C03"/>
    <w:rsid w:val="002A2028"/>
    <w:rsid w:val="002A2137"/>
    <w:rsid w:val="002A2DAF"/>
    <w:rsid w:val="002A31AF"/>
    <w:rsid w:val="002A3720"/>
    <w:rsid w:val="002A448C"/>
    <w:rsid w:val="002A45EB"/>
    <w:rsid w:val="002A499E"/>
    <w:rsid w:val="002A4C15"/>
    <w:rsid w:val="002A51AE"/>
    <w:rsid w:val="002A5503"/>
    <w:rsid w:val="002A58E0"/>
    <w:rsid w:val="002A594E"/>
    <w:rsid w:val="002A602D"/>
    <w:rsid w:val="002A6229"/>
    <w:rsid w:val="002A6473"/>
    <w:rsid w:val="002A6531"/>
    <w:rsid w:val="002A6A01"/>
    <w:rsid w:val="002A6E38"/>
    <w:rsid w:val="002A7115"/>
    <w:rsid w:val="002A745E"/>
    <w:rsid w:val="002A77D6"/>
    <w:rsid w:val="002B00CA"/>
    <w:rsid w:val="002B0867"/>
    <w:rsid w:val="002B0E18"/>
    <w:rsid w:val="002B1036"/>
    <w:rsid w:val="002B1077"/>
    <w:rsid w:val="002B15A1"/>
    <w:rsid w:val="002B198D"/>
    <w:rsid w:val="002B19FD"/>
    <w:rsid w:val="002B1BC8"/>
    <w:rsid w:val="002B23C4"/>
    <w:rsid w:val="002B269A"/>
    <w:rsid w:val="002B2C87"/>
    <w:rsid w:val="002B2E22"/>
    <w:rsid w:val="002B3009"/>
    <w:rsid w:val="002B36A7"/>
    <w:rsid w:val="002B378C"/>
    <w:rsid w:val="002B38E3"/>
    <w:rsid w:val="002B3913"/>
    <w:rsid w:val="002B5E14"/>
    <w:rsid w:val="002B5F5E"/>
    <w:rsid w:val="002B68CD"/>
    <w:rsid w:val="002B6901"/>
    <w:rsid w:val="002B6BB3"/>
    <w:rsid w:val="002B6CD6"/>
    <w:rsid w:val="002B70B9"/>
    <w:rsid w:val="002B7148"/>
    <w:rsid w:val="002B723D"/>
    <w:rsid w:val="002B7370"/>
    <w:rsid w:val="002B75B7"/>
    <w:rsid w:val="002B79AB"/>
    <w:rsid w:val="002B7D1F"/>
    <w:rsid w:val="002C033A"/>
    <w:rsid w:val="002C0516"/>
    <w:rsid w:val="002C0590"/>
    <w:rsid w:val="002C0B17"/>
    <w:rsid w:val="002C0CFA"/>
    <w:rsid w:val="002C0FB1"/>
    <w:rsid w:val="002C11EC"/>
    <w:rsid w:val="002C15AF"/>
    <w:rsid w:val="002C1831"/>
    <w:rsid w:val="002C1976"/>
    <w:rsid w:val="002C1B61"/>
    <w:rsid w:val="002C1C49"/>
    <w:rsid w:val="002C1C4E"/>
    <w:rsid w:val="002C2180"/>
    <w:rsid w:val="002C2399"/>
    <w:rsid w:val="002C24C8"/>
    <w:rsid w:val="002C24E5"/>
    <w:rsid w:val="002C2762"/>
    <w:rsid w:val="002C28E6"/>
    <w:rsid w:val="002C29CB"/>
    <w:rsid w:val="002C2EBA"/>
    <w:rsid w:val="002C2FCE"/>
    <w:rsid w:val="002C3A44"/>
    <w:rsid w:val="002C3A46"/>
    <w:rsid w:val="002C4812"/>
    <w:rsid w:val="002C4CAF"/>
    <w:rsid w:val="002C4CBE"/>
    <w:rsid w:val="002C4E08"/>
    <w:rsid w:val="002C5C97"/>
    <w:rsid w:val="002C61D8"/>
    <w:rsid w:val="002C6888"/>
    <w:rsid w:val="002C6B85"/>
    <w:rsid w:val="002C7314"/>
    <w:rsid w:val="002C7F53"/>
    <w:rsid w:val="002C7FB6"/>
    <w:rsid w:val="002D00B3"/>
    <w:rsid w:val="002D022C"/>
    <w:rsid w:val="002D0529"/>
    <w:rsid w:val="002D112A"/>
    <w:rsid w:val="002D11A6"/>
    <w:rsid w:val="002D144F"/>
    <w:rsid w:val="002D18F2"/>
    <w:rsid w:val="002D1CE7"/>
    <w:rsid w:val="002D1FF4"/>
    <w:rsid w:val="002D20EB"/>
    <w:rsid w:val="002D2814"/>
    <w:rsid w:val="002D2A19"/>
    <w:rsid w:val="002D2A6A"/>
    <w:rsid w:val="002D2B77"/>
    <w:rsid w:val="002D3031"/>
    <w:rsid w:val="002D3506"/>
    <w:rsid w:val="002D38DF"/>
    <w:rsid w:val="002D3E97"/>
    <w:rsid w:val="002D46D9"/>
    <w:rsid w:val="002D473C"/>
    <w:rsid w:val="002D47E1"/>
    <w:rsid w:val="002D4B08"/>
    <w:rsid w:val="002D4D08"/>
    <w:rsid w:val="002D63C1"/>
    <w:rsid w:val="002D63ED"/>
    <w:rsid w:val="002D65B9"/>
    <w:rsid w:val="002D698B"/>
    <w:rsid w:val="002D6C4C"/>
    <w:rsid w:val="002D6D62"/>
    <w:rsid w:val="002D7A70"/>
    <w:rsid w:val="002E0846"/>
    <w:rsid w:val="002E09D3"/>
    <w:rsid w:val="002E0A0C"/>
    <w:rsid w:val="002E1E56"/>
    <w:rsid w:val="002E2007"/>
    <w:rsid w:val="002E2407"/>
    <w:rsid w:val="002E24DF"/>
    <w:rsid w:val="002E2C76"/>
    <w:rsid w:val="002E2F1C"/>
    <w:rsid w:val="002E2FA0"/>
    <w:rsid w:val="002E329C"/>
    <w:rsid w:val="002E4A12"/>
    <w:rsid w:val="002E4D3A"/>
    <w:rsid w:val="002E4F30"/>
    <w:rsid w:val="002E53FD"/>
    <w:rsid w:val="002E5916"/>
    <w:rsid w:val="002E681D"/>
    <w:rsid w:val="002E6F57"/>
    <w:rsid w:val="002E7417"/>
    <w:rsid w:val="002E7510"/>
    <w:rsid w:val="002E7520"/>
    <w:rsid w:val="002E75A6"/>
    <w:rsid w:val="002F033A"/>
    <w:rsid w:val="002F0515"/>
    <w:rsid w:val="002F0875"/>
    <w:rsid w:val="002F0CCE"/>
    <w:rsid w:val="002F109A"/>
    <w:rsid w:val="002F162B"/>
    <w:rsid w:val="002F1760"/>
    <w:rsid w:val="002F195F"/>
    <w:rsid w:val="002F1FE8"/>
    <w:rsid w:val="002F2273"/>
    <w:rsid w:val="002F23E9"/>
    <w:rsid w:val="002F2743"/>
    <w:rsid w:val="002F2ECD"/>
    <w:rsid w:val="002F2EEE"/>
    <w:rsid w:val="002F3815"/>
    <w:rsid w:val="002F410E"/>
    <w:rsid w:val="002F4394"/>
    <w:rsid w:val="002F4A6B"/>
    <w:rsid w:val="002F4C39"/>
    <w:rsid w:val="002F517B"/>
    <w:rsid w:val="002F522B"/>
    <w:rsid w:val="002F53AF"/>
    <w:rsid w:val="002F5495"/>
    <w:rsid w:val="002F5EB5"/>
    <w:rsid w:val="002F5EFB"/>
    <w:rsid w:val="002F5F5D"/>
    <w:rsid w:val="002F6242"/>
    <w:rsid w:val="002F6494"/>
    <w:rsid w:val="002F65A2"/>
    <w:rsid w:val="002F6AAB"/>
    <w:rsid w:val="002F6ECA"/>
    <w:rsid w:val="002F7334"/>
    <w:rsid w:val="002F7AF5"/>
    <w:rsid w:val="002F7E41"/>
    <w:rsid w:val="00300050"/>
    <w:rsid w:val="00300942"/>
    <w:rsid w:val="00300CD2"/>
    <w:rsid w:val="003010A0"/>
    <w:rsid w:val="0030115D"/>
    <w:rsid w:val="0030133E"/>
    <w:rsid w:val="0030170E"/>
    <w:rsid w:val="0030189B"/>
    <w:rsid w:val="00301CBA"/>
    <w:rsid w:val="00301D6C"/>
    <w:rsid w:val="00301DB2"/>
    <w:rsid w:val="00301DBA"/>
    <w:rsid w:val="00301E1B"/>
    <w:rsid w:val="003022EE"/>
    <w:rsid w:val="003023BD"/>
    <w:rsid w:val="003023FD"/>
    <w:rsid w:val="00303A80"/>
    <w:rsid w:val="00303B9B"/>
    <w:rsid w:val="00304008"/>
    <w:rsid w:val="0030421F"/>
    <w:rsid w:val="003047B6"/>
    <w:rsid w:val="003047F1"/>
    <w:rsid w:val="00305B84"/>
    <w:rsid w:val="003063CF"/>
    <w:rsid w:val="00307483"/>
    <w:rsid w:val="0030762C"/>
    <w:rsid w:val="003076F4"/>
    <w:rsid w:val="00307F26"/>
    <w:rsid w:val="00307F4C"/>
    <w:rsid w:val="00310071"/>
    <w:rsid w:val="00310EE4"/>
    <w:rsid w:val="00311278"/>
    <w:rsid w:val="0031181F"/>
    <w:rsid w:val="00311858"/>
    <w:rsid w:val="00311A6B"/>
    <w:rsid w:val="00311BE1"/>
    <w:rsid w:val="00311F9E"/>
    <w:rsid w:val="003120B9"/>
    <w:rsid w:val="003122EB"/>
    <w:rsid w:val="0031245F"/>
    <w:rsid w:val="003125D6"/>
    <w:rsid w:val="00313400"/>
    <w:rsid w:val="00313831"/>
    <w:rsid w:val="00313B43"/>
    <w:rsid w:val="00313D62"/>
    <w:rsid w:val="00313D94"/>
    <w:rsid w:val="00314068"/>
    <w:rsid w:val="00314156"/>
    <w:rsid w:val="0031425C"/>
    <w:rsid w:val="0031453A"/>
    <w:rsid w:val="00315536"/>
    <w:rsid w:val="00315595"/>
    <w:rsid w:val="003156E5"/>
    <w:rsid w:val="00316789"/>
    <w:rsid w:val="003167EB"/>
    <w:rsid w:val="003169D0"/>
    <w:rsid w:val="00316A39"/>
    <w:rsid w:val="00316C99"/>
    <w:rsid w:val="00316ECA"/>
    <w:rsid w:val="00317E85"/>
    <w:rsid w:val="00320586"/>
    <w:rsid w:val="00320776"/>
    <w:rsid w:val="00321069"/>
    <w:rsid w:val="003216B5"/>
    <w:rsid w:val="0032175F"/>
    <w:rsid w:val="00322143"/>
    <w:rsid w:val="00322D8E"/>
    <w:rsid w:val="003239B8"/>
    <w:rsid w:val="00323EF7"/>
    <w:rsid w:val="003242B2"/>
    <w:rsid w:val="00324652"/>
    <w:rsid w:val="00324953"/>
    <w:rsid w:val="00324CCA"/>
    <w:rsid w:val="003256D5"/>
    <w:rsid w:val="003257AA"/>
    <w:rsid w:val="00325841"/>
    <w:rsid w:val="00325928"/>
    <w:rsid w:val="00325B2C"/>
    <w:rsid w:val="00325FE4"/>
    <w:rsid w:val="0032624A"/>
    <w:rsid w:val="00326467"/>
    <w:rsid w:val="00326A2A"/>
    <w:rsid w:val="00326D52"/>
    <w:rsid w:val="00326DBA"/>
    <w:rsid w:val="003277AB"/>
    <w:rsid w:val="003278B1"/>
    <w:rsid w:val="003304D9"/>
    <w:rsid w:val="00330BF6"/>
    <w:rsid w:val="00330FE7"/>
    <w:rsid w:val="003316FE"/>
    <w:rsid w:val="00331C34"/>
    <w:rsid w:val="00331FD0"/>
    <w:rsid w:val="00332419"/>
    <w:rsid w:val="0033258F"/>
    <w:rsid w:val="00332B5D"/>
    <w:rsid w:val="00332EDD"/>
    <w:rsid w:val="00333783"/>
    <w:rsid w:val="00334B9B"/>
    <w:rsid w:val="00334F73"/>
    <w:rsid w:val="003353B8"/>
    <w:rsid w:val="003357FD"/>
    <w:rsid w:val="00335D36"/>
    <w:rsid w:val="00336239"/>
    <w:rsid w:val="00336464"/>
    <w:rsid w:val="003365FB"/>
    <w:rsid w:val="00336B8F"/>
    <w:rsid w:val="003371E6"/>
    <w:rsid w:val="00337604"/>
    <w:rsid w:val="003379BF"/>
    <w:rsid w:val="003400FF"/>
    <w:rsid w:val="003405F6"/>
    <w:rsid w:val="00340A42"/>
    <w:rsid w:val="003410D5"/>
    <w:rsid w:val="00341374"/>
    <w:rsid w:val="00341D70"/>
    <w:rsid w:val="00342CB4"/>
    <w:rsid w:val="00342E9A"/>
    <w:rsid w:val="0034305F"/>
    <w:rsid w:val="00343263"/>
    <w:rsid w:val="0034466B"/>
    <w:rsid w:val="003448F7"/>
    <w:rsid w:val="00344E1A"/>
    <w:rsid w:val="00345409"/>
    <w:rsid w:val="003459DF"/>
    <w:rsid w:val="00345FCE"/>
    <w:rsid w:val="003462AD"/>
    <w:rsid w:val="003463A3"/>
    <w:rsid w:val="00347152"/>
    <w:rsid w:val="00347499"/>
    <w:rsid w:val="003474E4"/>
    <w:rsid w:val="00347D14"/>
    <w:rsid w:val="0035001A"/>
    <w:rsid w:val="00350133"/>
    <w:rsid w:val="003505CD"/>
    <w:rsid w:val="003507C9"/>
    <w:rsid w:val="00350B17"/>
    <w:rsid w:val="0035109A"/>
    <w:rsid w:val="003510C4"/>
    <w:rsid w:val="00351829"/>
    <w:rsid w:val="00351B76"/>
    <w:rsid w:val="003528FA"/>
    <w:rsid w:val="00352DBF"/>
    <w:rsid w:val="00352E3E"/>
    <w:rsid w:val="0035306F"/>
    <w:rsid w:val="003530BA"/>
    <w:rsid w:val="003538C5"/>
    <w:rsid w:val="00354028"/>
    <w:rsid w:val="00354916"/>
    <w:rsid w:val="0035499C"/>
    <w:rsid w:val="003549B4"/>
    <w:rsid w:val="003555C8"/>
    <w:rsid w:val="00355A44"/>
    <w:rsid w:val="00355E12"/>
    <w:rsid w:val="00355E9C"/>
    <w:rsid w:val="00355F9B"/>
    <w:rsid w:val="00356451"/>
    <w:rsid w:val="00356474"/>
    <w:rsid w:val="0035647B"/>
    <w:rsid w:val="003567D4"/>
    <w:rsid w:val="00356E3F"/>
    <w:rsid w:val="00357266"/>
    <w:rsid w:val="0035747A"/>
    <w:rsid w:val="00357566"/>
    <w:rsid w:val="00357606"/>
    <w:rsid w:val="003579BA"/>
    <w:rsid w:val="00357B08"/>
    <w:rsid w:val="00360A3E"/>
    <w:rsid w:val="00360ED9"/>
    <w:rsid w:val="003614E8"/>
    <w:rsid w:val="003619A3"/>
    <w:rsid w:val="0036244A"/>
    <w:rsid w:val="003626D6"/>
    <w:rsid w:val="00362C9D"/>
    <w:rsid w:val="00362D6A"/>
    <w:rsid w:val="003637CD"/>
    <w:rsid w:val="00363E58"/>
    <w:rsid w:val="00364935"/>
    <w:rsid w:val="00364DBE"/>
    <w:rsid w:val="00365089"/>
    <w:rsid w:val="00365576"/>
    <w:rsid w:val="003658BB"/>
    <w:rsid w:val="00365ADE"/>
    <w:rsid w:val="00365DFD"/>
    <w:rsid w:val="003662D2"/>
    <w:rsid w:val="00366362"/>
    <w:rsid w:val="00366461"/>
    <w:rsid w:val="00366BDF"/>
    <w:rsid w:val="00366EB2"/>
    <w:rsid w:val="00367122"/>
    <w:rsid w:val="003673AD"/>
    <w:rsid w:val="00367AC8"/>
    <w:rsid w:val="003701F9"/>
    <w:rsid w:val="00370921"/>
    <w:rsid w:val="00370B38"/>
    <w:rsid w:val="00370BE9"/>
    <w:rsid w:val="00370DEC"/>
    <w:rsid w:val="003711B3"/>
    <w:rsid w:val="00371540"/>
    <w:rsid w:val="003717E6"/>
    <w:rsid w:val="003718D4"/>
    <w:rsid w:val="00371ACC"/>
    <w:rsid w:val="0037205E"/>
    <w:rsid w:val="0037217D"/>
    <w:rsid w:val="003721FD"/>
    <w:rsid w:val="00372319"/>
    <w:rsid w:val="003726C2"/>
    <w:rsid w:val="00373446"/>
    <w:rsid w:val="003738D2"/>
    <w:rsid w:val="00373B16"/>
    <w:rsid w:val="0037404B"/>
    <w:rsid w:val="00374265"/>
    <w:rsid w:val="00374A20"/>
    <w:rsid w:val="00374C63"/>
    <w:rsid w:val="00375B71"/>
    <w:rsid w:val="003766BF"/>
    <w:rsid w:val="00376840"/>
    <w:rsid w:val="00376C03"/>
    <w:rsid w:val="00376CE1"/>
    <w:rsid w:val="00376FEC"/>
    <w:rsid w:val="00377A31"/>
    <w:rsid w:val="00377AD5"/>
    <w:rsid w:val="00377B26"/>
    <w:rsid w:val="00377C33"/>
    <w:rsid w:val="00377F5F"/>
    <w:rsid w:val="003800C3"/>
    <w:rsid w:val="003808C0"/>
    <w:rsid w:val="00380E31"/>
    <w:rsid w:val="003810D9"/>
    <w:rsid w:val="0038128D"/>
    <w:rsid w:val="0038134F"/>
    <w:rsid w:val="00381862"/>
    <w:rsid w:val="0038186A"/>
    <w:rsid w:val="00381C4E"/>
    <w:rsid w:val="00381D2B"/>
    <w:rsid w:val="0038209B"/>
    <w:rsid w:val="00382480"/>
    <w:rsid w:val="00382879"/>
    <w:rsid w:val="00382C4A"/>
    <w:rsid w:val="00382DB6"/>
    <w:rsid w:val="00383251"/>
    <w:rsid w:val="00383545"/>
    <w:rsid w:val="003838EC"/>
    <w:rsid w:val="00383E0E"/>
    <w:rsid w:val="00383EA0"/>
    <w:rsid w:val="003841A4"/>
    <w:rsid w:val="003841B6"/>
    <w:rsid w:val="00384568"/>
    <w:rsid w:val="00384589"/>
    <w:rsid w:val="00384C18"/>
    <w:rsid w:val="00385184"/>
    <w:rsid w:val="0038541A"/>
    <w:rsid w:val="003857DC"/>
    <w:rsid w:val="00385868"/>
    <w:rsid w:val="00385AB0"/>
    <w:rsid w:val="00385BA7"/>
    <w:rsid w:val="00385F3A"/>
    <w:rsid w:val="0038631D"/>
    <w:rsid w:val="00386401"/>
    <w:rsid w:val="003864F4"/>
    <w:rsid w:val="0038665D"/>
    <w:rsid w:val="00386679"/>
    <w:rsid w:val="00386852"/>
    <w:rsid w:val="00386961"/>
    <w:rsid w:val="00386DAE"/>
    <w:rsid w:val="00387A87"/>
    <w:rsid w:val="00387CE8"/>
    <w:rsid w:val="003900E5"/>
    <w:rsid w:val="0039064F"/>
    <w:rsid w:val="00390BFC"/>
    <w:rsid w:val="0039120B"/>
    <w:rsid w:val="0039136E"/>
    <w:rsid w:val="003919FA"/>
    <w:rsid w:val="00391E6F"/>
    <w:rsid w:val="00392E4B"/>
    <w:rsid w:val="0039354E"/>
    <w:rsid w:val="00393BC0"/>
    <w:rsid w:val="00393C09"/>
    <w:rsid w:val="00393C1E"/>
    <w:rsid w:val="003944A1"/>
    <w:rsid w:val="00394900"/>
    <w:rsid w:val="00395386"/>
    <w:rsid w:val="00395804"/>
    <w:rsid w:val="00395E7D"/>
    <w:rsid w:val="00395EB0"/>
    <w:rsid w:val="003962A6"/>
    <w:rsid w:val="00396FB0"/>
    <w:rsid w:val="003974E5"/>
    <w:rsid w:val="003974FF"/>
    <w:rsid w:val="00397573"/>
    <w:rsid w:val="003976D0"/>
    <w:rsid w:val="003A0DCC"/>
    <w:rsid w:val="003A1108"/>
    <w:rsid w:val="003A1654"/>
    <w:rsid w:val="003A1821"/>
    <w:rsid w:val="003A18ED"/>
    <w:rsid w:val="003A1B28"/>
    <w:rsid w:val="003A2424"/>
    <w:rsid w:val="003A29A7"/>
    <w:rsid w:val="003A3240"/>
    <w:rsid w:val="003A35F2"/>
    <w:rsid w:val="003A3D90"/>
    <w:rsid w:val="003A4CF4"/>
    <w:rsid w:val="003A4E1B"/>
    <w:rsid w:val="003A4E58"/>
    <w:rsid w:val="003A4E6A"/>
    <w:rsid w:val="003A53EE"/>
    <w:rsid w:val="003A589E"/>
    <w:rsid w:val="003A5B12"/>
    <w:rsid w:val="003A5F87"/>
    <w:rsid w:val="003A6937"/>
    <w:rsid w:val="003A6F23"/>
    <w:rsid w:val="003A77C2"/>
    <w:rsid w:val="003A7906"/>
    <w:rsid w:val="003A7D70"/>
    <w:rsid w:val="003B01B9"/>
    <w:rsid w:val="003B01F0"/>
    <w:rsid w:val="003B038D"/>
    <w:rsid w:val="003B0D0D"/>
    <w:rsid w:val="003B0E23"/>
    <w:rsid w:val="003B0E77"/>
    <w:rsid w:val="003B178C"/>
    <w:rsid w:val="003B1833"/>
    <w:rsid w:val="003B1E34"/>
    <w:rsid w:val="003B238A"/>
    <w:rsid w:val="003B2830"/>
    <w:rsid w:val="003B28C9"/>
    <w:rsid w:val="003B3143"/>
    <w:rsid w:val="003B36E1"/>
    <w:rsid w:val="003B3DDD"/>
    <w:rsid w:val="003B49C3"/>
    <w:rsid w:val="003B4D37"/>
    <w:rsid w:val="003B4F1A"/>
    <w:rsid w:val="003B5A4D"/>
    <w:rsid w:val="003B5C0E"/>
    <w:rsid w:val="003B60B1"/>
    <w:rsid w:val="003B6687"/>
    <w:rsid w:val="003B69B1"/>
    <w:rsid w:val="003B72F9"/>
    <w:rsid w:val="003C0475"/>
    <w:rsid w:val="003C049F"/>
    <w:rsid w:val="003C0A15"/>
    <w:rsid w:val="003C137B"/>
    <w:rsid w:val="003C2E6A"/>
    <w:rsid w:val="003C31B3"/>
    <w:rsid w:val="003C3504"/>
    <w:rsid w:val="003C3C0A"/>
    <w:rsid w:val="003C3D7D"/>
    <w:rsid w:val="003C49CA"/>
    <w:rsid w:val="003C4B2A"/>
    <w:rsid w:val="003C580B"/>
    <w:rsid w:val="003C5A19"/>
    <w:rsid w:val="003C5AD1"/>
    <w:rsid w:val="003C5B6A"/>
    <w:rsid w:val="003C5CC1"/>
    <w:rsid w:val="003C6201"/>
    <w:rsid w:val="003C6725"/>
    <w:rsid w:val="003C6911"/>
    <w:rsid w:val="003C6E0F"/>
    <w:rsid w:val="003C708A"/>
    <w:rsid w:val="003C7630"/>
    <w:rsid w:val="003C7FB8"/>
    <w:rsid w:val="003D086C"/>
    <w:rsid w:val="003D0E90"/>
    <w:rsid w:val="003D1F46"/>
    <w:rsid w:val="003D24F0"/>
    <w:rsid w:val="003D2C0F"/>
    <w:rsid w:val="003D313F"/>
    <w:rsid w:val="003D332C"/>
    <w:rsid w:val="003D3B7B"/>
    <w:rsid w:val="003D3E3C"/>
    <w:rsid w:val="003D4FAE"/>
    <w:rsid w:val="003D5A12"/>
    <w:rsid w:val="003D7EDD"/>
    <w:rsid w:val="003E0E35"/>
    <w:rsid w:val="003E0EE1"/>
    <w:rsid w:val="003E11EB"/>
    <w:rsid w:val="003E1E9A"/>
    <w:rsid w:val="003E2514"/>
    <w:rsid w:val="003E275C"/>
    <w:rsid w:val="003E28B6"/>
    <w:rsid w:val="003E298F"/>
    <w:rsid w:val="003E2F17"/>
    <w:rsid w:val="003E309A"/>
    <w:rsid w:val="003E3192"/>
    <w:rsid w:val="003E34A1"/>
    <w:rsid w:val="003E36C9"/>
    <w:rsid w:val="003E3722"/>
    <w:rsid w:val="003E3A11"/>
    <w:rsid w:val="003E42F3"/>
    <w:rsid w:val="003E461A"/>
    <w:rsid w:val="003E59C0"/>
    <w:rsid w:val="003E61DF"/>
    <w:rsid w:val="003E6968"/>
    <w:rsid w:val="003E6FEE"/>
    <w:rsid w:val="003E7DB1"/>
    <w:rsid w:val="003F0207"/>
    <w:rsid w:val="003F0298"/>
    <w:rsid w:val="003F15E9"/>
    <w:rsid w:val="003F15EC"/>
    <w:rsid w:val="003F164A"/>
    <w:rsid w:val="003F1FA2"/>
    <w:rsid w:val="003F2C2B"/>
    <w:rsid w:val="003F3422"/>
    <w:rsid w:val="003F38B6"/>
    <w:rsid w:val="003F398C"/>
    <w:rsid w:val="003F39BF"/>
    <w:rsid w:val="003F3DD8"/>
    <w:rsid w:val="003F3E9B"/>
    <w:rsid w:val="003F4A33"/>
    <w:rsid w:val="003F4E15"/>
    <w:rsid w:val="003F5BE1"/>
    <w:rsid w:val="003F5F6F"/>
    <w:rsid w:val="003F6561"/>
    <w:rsid w:val="003F6808"/>
    <w:rsid w:val="003F6ECB"/>
    <w:rsid w:val="003F711D"/>
    <w:rsid w:val="003F72AC"/>
    <w:rsid w:val="003F7852"/>
    <w:rsid w:val="003F7AAE"/>
    <w:rsid w:val="003F7D63"/>
    <w:rsid w:val="00400105"/>
    <w:rsid w:val="0040014E"/>
    <w:rsid w:val="004001AF"/>
    <w:rsid w:val="00400334"/>
    <w:rsid w:val="004004D7"/>
    <w:rsid w:val="00400D68"/>
    <w:rsid w:val="00400DB0"/>
    <w:rsid w:val="0040124B"/>
    <w:rsid w:val="004022AF"/>
    <w:rsid w:val="004026A0"/>
    <w:rsid w:val="00402723"/>
    <w:rsid w:val="00402E7C"/>
    <w:rsid w:val="00403298"/>
    <w:rsid w:val="0040350E"/>
    <w:rsid w:val="00403800"/>
    <w:rsid w:val="00403AC5"/>
    <w:rsid w:val="00403FD4"/>
    <w:rsid w:val="00404024"/>
    <w:rsid w:val="004041DD"/>
    <w:rsid w:val="00404A0E"/>
    <w:rsid w:val="004051C6"/>
    <w:rsid w:val="0040558F"/>
    <w:rsid w:val="00405633"/>
    <w:rsid w:val="00405823"/>
    <w:rsid w:val="004061E4"/>
    <w:rsid w:val="00406852"/>
    <w:rsid w:val="0040764C"/>
    <w:rsid w:val="00407BE3"/>
    <w:rsid w:val="00410793"/>
    <w:rsid w:val="0041105B"/>
    <w:rsid w:val="00411DE6"/>
    <w:rsid w:val="004123B5"/>
    <w:rsid w:val="004127EC"/>
    <w:rsid w:val="004129B2"/>
    <w:rsid w:val="00412A1B"/>
    <w:rsid w:val="00412A6B"/>
    <w:rsid w:val="00412CFB"/>
    <w:rsid w:val="004135EB"/>
    <w:rsid w:val="0041393B"/>
    <w:rsid w:val="00413F82"/>
    <w:rsid w:val="00414605"/>
    <w:rsid w:val="00414D5C"/>
    <w:rsid w:val="00414D7A"/>
    <w:rsid w:val="00414E1E"/>
    <w:rsid w:val="004151BB"/>
    <w:rsid w:val="00415209"/>
    <w:rsid w:val="004152BA"/>
    <w:rsid w:val="00415C13"/>
    <w:rsid w:val="00415E89"/>
    <w:rsid w:val="00415ECD"/>
    <w:rsid w:val="00416186"/>
    <w:rsid w:val="00416656"/>
    <w:rsid w:val="00416BDB"/>
    <w:rsid w:val="00416BEF"/>
    <w:rsid w:val="00416C10"/>
    <w:rsid w:val="00416FBC"/>
    <w:rsid w:val="0041783C"/>
    <w:rsid w:val="00420CCD"/>
    <w:rsid w:val="00420F54"/>
    <w:rsid w:val="0042112A"/>
    <w:rsid w:val="00421241"/>
    <w:rsid w:val="00421291"/>
    <w:rsid w:val="0042168D"/>
    <w:rsid w:val="004228B3"/>
    <w:rsid w:val="00423084"/>
    <w:rsid w:val="004233D9"/>
    <w:rsid w:val="004236FE"/>
    <w:rsid w:val="00424957"/>
    <w:rsid w:val="00424CCA"/>
    <w:rsid w:val="00424D2E"/>
    <w:rsid w:val="00425655"/>
    <w:rsid w:val="00425907"/>
    <w:rsid w:val="00425ADA"/>
    <w:rsid w:val="00425E7D"/>
    <w:rsid w:val="00426168"/>
    <w:rsid w:val="004263BC"/>
    <w:rsid w:val="004265E7"/>
    <w:rsid w:val="00426A2A"/>
    <w:rsid w:val="00426B82"/>
    <w:rsid w:val="00426F85"/>
    <w:rsid w:val="00426FC7"/>
    <w:rsid w:val="0042705B"/>
    <w:rsid w:val="00427234"/>
    <w:rsid w:val="00427904"/>
    <w:rsid w:val="00427A0F"/>
    <w:rsid w:val="00427CEB"/>
    <w:rsid w:val="00427E01"/>
    <w:rsid w:val="004304E6"/>
    <w:rsid w:val="004307E9"/>
    <w:rsid w:val="00430864"/>
    <w:rsid w:val="004308F5"/>
    <w:rsid w:val="00430AD4"/>
    <w:rsid w:val="00430DC9"/>
    <w:rsid w:val="004314DE"/>
    <w:rsid w:val="0043156D"/>
    <w:rsid w:val="004319DA"/>
    <w:rsid w:val="00431E79"/>
    <w:rsid w:val="00432274"/>
    <w:rsid w:val="00432861"/>
    <w:rsid w:val="00432AF2"/>
    <w:rsid w:val="00433083"/>
    <w:rsid w:val="00433579"/>
    <w:rsid w:val="004335A6"/>
    <w:rsid w:val="0043421B"/>
    <w:rsid w:val="00434833"/>
    <w:rsid w:val="00434E9B"/>
    <w:rsid w:val="004353A2"/>
    <w:rsid w:val="00435743"/>
    <w:rsid w:val="00436B5A"/>
    <w:rsid w:val="00436E10"/>
    <w:rsid w:val="004372F1"/>
    <w:rsid w:val="004375E4"/>
    <w:rsid w:val="00440596"/>
    <w:rsid w:val="004405FB"/>
    <w:rsid w:val="00441E07"/>
    <w:rsid w:val="004427AB"/>
    <w:rsid w:val="00442C61"/>
    <w:rsid w:val="00442F1F"/>
    <w:rsid w:val="00443106"/>
    <w:rsid w:val="00443118"/>
    <w:rsid w:val="00443470"/>
    <w:rsid w:val="00443649"/>
    <w:rsid w:val="0044369F"/>
    <w:rsid w:val="00443B6E"/>
    <w:rsid w:val="00444945"/>
    <w:rsid w:val="00444CAB"/>
    <w:rsid w:val="00444E74"/>
    <w:rsid w:val="00444F2B"/>
    <w:rsid w:val="0044527F"/>
    <w:rsid w:val="0044532A"/>
    <w:rsid w:val="00445881"/>
    <w:rsid w:val="00445BE2"/>
    <w:rsid w:val="00446337"/>
    <w:rsid w:val="00446346"/>
    <w:rsid w:val="00446F33"/>
    <w:rsid w:val="00447732"/>
    <w:rsid w:val="004509E1"/>
    <w:rsid w:val="00450A47"/>
    <w:rsid w:val="00451E88"/>
    <w:rsid w:val="0045207D"/>
    <w:rsid w:val="0045220B"/>
    <w:rsid w:val="00452446"/>
    <w:rsid w:val="004524C5"/>
    <w:rsid w:val="00452A2D"/>
    <w:rsid w:val="00452A84"/>
    <w:rsid w:val="0045356B"/>
    <w:rsid w:val="00453595"/>
    <w:rsid w:val="0045394B"/>
    <w:rsid w:val="004541E0"/>
    <w:rsid w:val="00454219"/>
    <w:rsid w:val="00454745"/>
    <w:rsid w:val="004549D9"/>
    <w:rsid w:val="00454D23"/>
    <w:rsid w:val="00454F45"/>
    <w:rsid w:val="00454FC0"/>
    <w:rsid w:val="00455063"/>
    <w:rsid w:val="00455437"/>
    <w:rsid w:val="00455621"/>
    <w:rsid w:val="00455D76"/>
    <w:rsid w:val="00455FCB"/>
    <w:rsid w:val="00456DC8"/>
    <w:rsid w:val="00456FB6"/>
    <w:rsid w:val="004574EE"/>
    <w:rsid w:val="004576BB"/>
    <w:rsid w:val="0045771A"/>
    <w:rsid w:val="004577BA"/>
    <w:rsid w:val="004578F7"/>
    <w:rsid w:val="00457A2E"/>
    <w:rsid w:val="00457A56"/>
    <w:rsid w:val="00457AB3"/>
    <w:rsid w:val="00457C1B"/>
    <w:rsid w:val="00457C50"/>
    <w:rsid w:val="00457F4E"/>
    <w:rsid w:val="004604EC"/>
    <w:rsid w:val="00460A34"/>
    <w:rsid w:val="00460A42"/>
    <w:rsid w:val="00460A4E"/>
    <w:rsid w:val="00460ADF"/>
    <w:rsid w:val="00460C2C"/>
    <w:rsid w:val="004614F8"/>
    <w:rsid w:val="0046178B"/>
    <w:rsid w:val="004619DE"/>
    <w:rsid w:val="00461A89"/>
    <w:rsid w:val="00461F4C"/>
    <w:rsid w:val="00461F5E"/>
    <w:rsid w:val="0046225F"/>
    <w:rsid w:val="004623AE"/>
    <w:rsid w:val="0046299A"/>
    <w:rsid w:val="00463CB0"/>
    <w:rsid w:val="00464562"/>
    <w:rsid w:val="0046477E"/>
    <w:rsid w:val="0046495A"/>
    <w:rsid w:val="00464B39"/>
    <w:rsid w:val="00464EBD"/>
    <w:rsid w:val="0046518E"/>
    <w:rsid w:val="004654AA"/>
    <w:rsid w:val="00465649"/>
    <w:rsid w:val="00465A5B"/>
    <w:rsid w:val="00465CC6"/>
    <w:rsid w:val="00465D04"/>
    <w:rsid w:val="0046627E"/>
    <w:rsid w:val="00466425"/>
    <w:rsid w:val="00466B4C"/>
    <w:rsid w:val="004671E5"/>
    <w:rsid w:val="00467324"/>
    <w:rsid w:val="004674B4"/>
    <w:rsid w:val="00467683"/>
    <w:rsid w:val="00467D69"/>
    <w:rsid w:val="00467E31"/>
    <w:rsid w:val="004701AA"/>
    <w:rsid w:val="004702AD"/>
    <w:rsid w:val="00470483"/>
    <w:rsid w:val="00470818"/>
    <w:rsid w:val="00470A86"/>
    <w:rsid w:val="00470A90"/>
    <w:rsid w:val="00470E5D"/>
    <w:rsid w:val="00470FBC"/>
    <w:rsid w:val="004710E8"/>
    <w:rsid w:val="004714A8"/>
    <w:rsid w:val="00471605"/>
    <w:rsid w:val="0047202B"/>
    <w:rsid w:val="004725DF"/>
    <w:rsid w:val="00472EA6"/>
    <w:rsid w:val="00472F24"/>
    <w:rsid w:val="00473969"/>
    <w:rsid w:val="004742C2"/>
    <w:rsid w:val="0047444C"/>
    <w:rsid w:val="00474760"/>
    <w:rsid w:val="00474953"/>
    <w:rsid w:val="00474DB2"/>
    <w:rsid w:val="00474E1E"/>
    <w:rsid w:val="00474F47"/>
    <w:rsid w:val="00474F55"/>
    <w:rsid w:val="00475198"/>
    <w:rsid w:val="004754F1"/>
    <w:rsid w:val="004757CC"/>
    <w:rsid w:val="00475803"/>
    <w:rsid w:val="004765F5"/>
    <w:rsid w:val="00476EE2"/>
    <w:rsid w:val="00477030"/>
    <w:rsid w:val="0048009E"/>
    <w:rsid w:val="004800FB"/>
    <w:rsid w:val="00480AD3"/>
    <w:rsid w:val="00480CC0"/>
    <w:rsid w:val="00480D43"/>
    <w:rsid w:val="00480D80"/>
    <w:rsid w:val="00481203"/>
    <w:rsid w:val="0048131F"/>
    <w:rsid w:val="0048156C"/>
    <w:rsid w:val="004819B1"/>
    <w:rsid w:val="00481A50"/>
    <w:rsid w:val="00482C8D"/>
    <w:rsid w:val="00482E84"/>
    <w:rsid w:val="00483193"/>
    <w:rsid w:val="004839BE"/>
    <w:rsid w:val="00483A3D"/>
    <w:rsid w:val="00483D23"/>
    <w:rsid w:val="00483DC1"/>
    <w:rsid w:val="0048407B"/>
    <w:rsid w:val="00484722"/>
    <w:rsid w:val="00484791"/>
    <w:rsid w:val="00484F20"/>
    <w:rsid w:val="00484FB9"/>
    <w:rsid w:val="00485052"/>
    <w:rsid w:val="00485E21"/>
    <w:rsid w:val="00485EA6"/>
    <w:rsid w:val="004862A1"/>
    <w:rsid w:val="004867C4"/>
    <w:rsid w:val="00486900"/>
    <w:rsid w:val="0048697F"/>
    <w:rsid w:val="00486B21"/>
    <w:rsid w:val="0048720C"/>
    <w:rsid w:val="00487260"/>
    <w:rsid w:val="004872CE"/>
    <w:rsid w:val="004872D7"/>
    <w:rsid w:val="00487B40"/>
    <w:rsid w:val="00487E82"/>
    <w:rsid w:val="00490350"/>
    <w:rsid w:val="00490A4D"/>
    <w:rsid w:val="00491238"/>
    <w:rsid w:val="0049159A"/>
    <w:rsid w:val="004919DC"/>
    <w:rsid w:val="004919FA"/>
    <w:rsid w:val="00491AFA"/>
    <w:rsid w:val="0049253C"/>
    <w:rsid w:val="00492569"/>
    <w:rsid w:val="00492609"/>
    <w:rsid w:val="00492770"/>
    <w:rsid w:val="00492E6D"/>
    <w:rsid w:val="00492F3E"/>
    <w:rsid w:val="004930A9"/>
    <w:rsid w:val="00493426"/>
    <w:rsid w:val="00493603"/>
    <w:rsid w:val="00493B1F"/>
    <w:rsid w:val="00493B8D"/>
    <w:rsid w:val="00493F5C"/>
    <w:rsid w:val="004942A9"/>
    <w:rsid w:val="0049494B"/>
    <w:rsid w:val="00494DAA"/>
    <w:rsid w:val="00494E5E"/>
    <w:rsid w:val="00495095"/>
    <w:rsid w:val="00495903"/>
    <w:rsid w:val="00495B3E"/>
    <w:rsid w:val="00496836"/>
    <w:rsid w:val="00496870"/>
    <w:rsid w:val="00497649"/>
    <w:rsid w:val="0049764F"/>
    <w:rsid w:val="004978AA"/>
    <w:rsid w:val="004978BE"/>
    <w:rsid w:val="00497B44"/>
    <w:rsid w:val="004A02BE"/>
    <w:rsid w:val="004A0471"/>
    <w:rsid w:val="004A04B9"/>
    <w:rsid w:val="004A06A0"/>
    <w:rsid w:val="004A0946"/>
    <w:rsid w:val="004A1518"/>
    <w:rsid w:val="004A15A0"/>
    <w:rsid w:val="004A1E09"/>
    <w:rsid w:val="004A2190"/>
    <w:rsid w:val="004A21CE"/>
    <w:rsid w:val="004A26F8"/>
    <w:rsid w:val="004A38C4"/>
    <w:rsid w:val="004A3A1B"/>
    <w:rsid w:val="004A3D2F"/>
    <w:rsid w:val="004A3F52"/>
    <w:rsid w:val="004A3F6E"/>
    <w:rsid w:val="004A477C"/>
    <w:rsid w:val="004A4B9E"/>
    <w:rsid w:val="004A5019"/>
    <w:rsid w:val="004A5034"/>
    <w:rsid w:val="004A50D5"/>
    <w:rsid w:val="004A5A3E"/>
    <w:rsid w:val="004A5DA9"/>
    <w:rsid w:val="004A6706"/>
    <w:rsid w:val="004A6F95"/>
    <w:rsid w:val="004A6FFF"/>
    <w:rsid w:val="004A72A3"/>
    <w:rsid w:val="004A76BD"/>
    <w:rsid w:val="004A773B"/>
    <w:rsid w:val="004A77F0"/>
    <w:rsid w:val="004B0031"/>
    <w:rsid w:val="004B0B09"/>
    <w:rsid w:val="004B1136"/>
    <w:rsid w:val="004B12DB"/>
    <w:rsid w:val="004B1460"/>
    <w:rsid w:val="004B1588"/>
    <w:rsid w:val="004B20D8"/>
    <w:rsid w:val="004B21A8"/>
    <w:rsid w:val="004B2403"/>
    <w:rsid w:val="004B2DE5"/>
    <w:rsid w:val="004B2F57"/>
    <w:rsid w:val="004B2FD9"/>
    <w:rsid w:val="004B31EF"/>
    <w:rsid w:val="004B3A51"/>
    <w:rsid w:val="004B3B45"/>
    <w:rsid w:val="004B3BD9"/>
    <w:rsid w:val="004B3D45"/>
    <w:rsid w:val="004B40FB"/>
    <w:rsid w:val="004B4227"/>
    <w:rsid w:val="004B4406"/>
    <w:rsid w:val="004B5060"/>
    <w:rsid w:val="004B51AE"/>
    <w:rsid w:val="004B51D4"/>
    <w:rsid w:val="004B643F"/>
    <w:rsid w:val="004B6529"/>
    <w:rsid w:val="004B71E0"/>
    <w:rsid w:val="004B73C2"/>
    <w:rsid w:val="004B7402"/>
    <w:rsid w:val="004B7A0C"/>
    <w:rsid w:val="004C0701"/>
    <w:rsid w:val="004C0DE2"/>
    <w:rsid w:val="004C100E"/>
    <w:rsid w:val="004C1316"/>
    <w:rsid w:val="004C1B9C"/>
    <w:rsid w:val="004C33C5"/>
    <w:rsid w:val="004C39CC"/>
    <w:rsid w:val="004C4794"/>
    <w:rsid w:val="004C5CCF"/>
    <w:rsid w:val="004C5D94"/>
    <w:rsid w:val="004C5DF7"/>
    <w:rsid w:val="004C61F4"/>
    <w:rsid w:val="004C639F"/>
    <w:rsid w:val="004C6B07"/>
    <w:rsid w:val="004C74B6"/>
    <w:rsid w:val="004C757C"/>
    <w:rsid w:val="004C7694"/>
    <w:rsid w:val="004C790B"/>
    <w:rsid w:val="004C7EBD"/>
    <w:rsid w:val="004D0104"/>
    <w:rsid w:val="004D0389"/>
    <w:rsid w:val="004D058D"/>
    <w:rsid w:val="004D0CB9"/>
    <w:rsid w:val="004D1467"/>
    <w:rsid w:val="004D1D18"/>
    <w:rsid w:val="004D1F38"/>
    <w:rsid w:val="004D2507"/>
    <w:rsid w:val="004D2B09"/>
    <w:rsid w:val="004D2F47"/>
    <w:rsid w:val="004D30C5"/>
    <w:rsid w:val="004D3245"/>
    <w:rsid w:val="004D326F"/>
    <w:rsid w:val="004D33C4"/>
    <w:rsid w:val="004D33C5"/>
    <w:rsid w:val="004D35C3"/>
    <w:rsid w:val="004D35D4"/>
    <w:rsid w:val="004D3924"/>
    <w:rsid w:val="004D39FA"/>
    <w:rsid w:val="004D3BA6"/>
    <w:rsid w:val="004D407C"/>
    <w:rsid w:val="004D4226"/>
    <w:rsid w:val="004D4591"/>
    <w:rsid w:val="004D4AFA"/>
    <w:rsid w:val="004D4B5F"/>
    <w:rsid w:val="004D5394"/>
    <w:rsid w:val="004D553B"/>
    <w:rsid w:val="004D56D6"/>
    <w:rsid w:val="004D58BA"/>
    <w:rsid w:val="004D5F6E"/>
    <w:rsid w:val="004D6572"/>
    <w:rsid w:val="004D6C5F"/>
    <w:rsid w:val="004D7677"/>
    <w:rsid w:val="004D769A"/>
    <w:rsid w:val="004D78FB"/>
    <w:rsid w:val="004D7AFF"/>
    <w:rsid w:val="004E0026"/>
    <w:rsid w:val="004E004C"/>
    <w:rsid w:val="004E0247"/>
    <w:rsid w:val="004E0617"/>
    <w:rsid w:val="004E082C"/>
    <w:rsid w:val="004E0B40"/>
    <w:rsid w:val="004E0FF6"/>
    <w:rsid w:val="004E120D"/>
    <w:rsid w:val="004E15A6"/>
    <w:rsid w:val="004E1791"/>
    <w:rsid w:val="004E17E8"/>
    <w:rsid w:val="004E1978"/>
    <w:rsid w:val="004E1BA6"/>
    <w:rsid w:val="004E1DD6"/>
    <w:rsid w:val="004E28E0"/>
    <w:rsid w:val="004E2CF6"/>
    <w:rsid w:val="004E2E73"/>
    <w:rsid w:val="004E31D1"/>
    <w:rsid w:val="004E3DE2"/>
    <w:rsid w:val="004E460E"/>
    <w:rsid w:val="004E47C6"/>
    <w:rsid w:val="004E4EFB"/>
    <w:rsid w:val="004E4FA6"/>
    <w:rsid w:val="004E51F6"/>
    <w:rsid w:val="004E5A0A"/>
    <w:rsid w:val="004E5B70"/>
    <w:rsid w:val="004E6222"/>
    <w:rsid w:val="004E6392"/>
    <w:rsid w:val="004E68A9"/>
    <w:rsid w:val="004E73A6"/>
    <w:rsid w:val="004E7686"/>
    <w:rsid w:val="004E7A01"/>
    <w:rsid w:val="004E7D91"/>
    <w:rsid w:val="004F074C"/>
    <w:rsid w:val="004F1346"/>
    <w:rsid w:val="004F1B39"/>
    <w:rsid w:val="004F20AE"/>
    <w:rsid w:val="004F22AA"/>
    <w:rsid w:val="004F24D0"/>
    <w:rsid w:val="004F48A1"/>
    <w:rsid w:val="004F6932"/>
    <w:rsid w:val="004F6A18"/>
    <w:rsid w:val="00500405"/>
    <w:rsid w:val="005008AA"/>
    <w:rsid w:val="00500BF8"/>
    <w:rsid w:val="00500C09"/>
    <w:rsid w:val="00500D4A"/>
    <w:rsid w:val="005017D0"/>
    <w:rsid w:val="00501845"/>
    <w:rsid w:val="00501B07"/>
    <w:rsid w:val="00501BCA"/>
    <w:rsid w:val="00502009"/>
    <w:rsid w:val="00502629"/>
    <w:rsid w:val="00502773"/>
    <w:rsid w:val="00502CD6"/>
    <w:rsid w:val="0050321F"/>
    <w:rsid w:val="00503463"/>
    <w:rsid w:val="0050372E"/>
    <w:rsid w:val="0050383D"/>
    <w:rsid w:val="00503DCD"/>
    <w:rsid w:val="00503F8C"/>
    <w:rsid w:val="005043A9"/>
    <w:rsid w:val="0050492E"/>
    <w:rsid w:val="00504D3E"/>
    <w:rsid w:val="00504EE4"/>
    <w:rsid w:val="00504FEC"/>
    <w:rsid w:val="005052ED"/>
    <w:rsid w:val="0050532E"/>
    <w:rsid w:val="00505BAC"/>
    <w:rsid w:val="00505D1D"/>
    <w:rsid w:val="005061DD"/>
    <w:rsid w:val="00506BBD"/>
    <w:rsid w:val="00507223"/>
    <w:rsid w:val="0050780D"/>
    <w:rsid w:val="005101C0"/>
    <w:rsid w:val="00510672"/>
    <w:rsid w:val="005107A6"/>
    <w:rsid w:val="0051168D"/>
    <w:rsid w:val="00512438"/>
    <w:rsid w:val="00512549"/>
    <w:rsid w:val="00512971"/>
    <w:rsid w:val="00512D3C"/>
    <w:rsid w:val="00512EE6"/>
    <w:rsid w:val="005141BF"/>
    <w:rsid w:val="005145BF"/>
    <w:rsid w:val="00514646"/>
    <w:rsid w:val="00514E4A"/>
    <w:rsid w:val="0051580B"/>
    <w:rsid w:val="005158BF"/>
    <w:rsid w:val="005162FB"/>
    <w:rsid w:val="00516335"/>
    <w:rsid w:val="005163BC"/>
    <w:rsid w:val="00516ABF"/>
    <w:rsid w:val="00516BE0"/>
    <w:rsid w:val="00516E49"/>
    <w:rsid w:val="00516FBF"/>
    <w:rsid w:val="00517523"/>
    <w:rsid w:val="00517777"/>
    <w:rsid w:val="005178E3"/>
    <w:rsid w:val="00517BE6"/>
    <w:rsid w:val="005200D4"/>
    <w:rsid w:val="0052062F"/>
    <w:rsid w:val="0052091D"/>
    <w:rsid w:val="005217CF"/>
    <w:rsid w:val="005218CA"/>
    <w:rsid w:val="00521BF6"/>
    <w:rsid w:val="00521E08"/>
    <w:rsid w:val="00522163"/>
    <w:rsid w:val="005226C2"/>
    <w:rsid w:val="00522772"/>
    <w:rsid w:val="005228EA"/>
    <w:rsid w:val="00522FB5"/>
    <w:rsid w:val="0052311B"/>
    <w:rsid w:val="00523172"/>
    <w:rsid w:val="00523640"/>
    <w:rsid w:val="00524202"/>
    <w:rsid w:val="0052481D"/>
    <w:rsid w:val="00524F15"/>
    <w:rsid w:val="005252CE"/>
    <w:rsid w:val="0052549F"/>
    <w:rsid w:val="005257BB"/>
    <w:rsid w:val="00525DE2"/>
    <w:rsid w:val="0052609B"/>
    <w:rsid w:val="00526502"/>
    <w:rsid w:val="00526573"/>
    <w:rsid w:val="00526A32"/>
    <w:rsid w:val="00526AD5"/>
    <w:rsid w:val="00526DBA"/>
    <w:rsid w:val="00527561"/>
    <w:rsid w:val="00530381"/>
    <w:rsid w:val="00530876"/>
    <w:rsid w:val="005308B2"/>
    <w:rsid w:val="00530A83"/>
    <w:rsid w:val="00530BCB"/>
    <w:rsid w:val="00530C55"/>
    <w:rsid w:val="00530E9A"/>
    <w:rsid w:val="005312C3"/>
    <w:rsid w:val="00531E48"/>
    <w:rsid w:val="00532ABA"/>
    <w:rsid w:val="00532C21"/>
    <w:rsid w:val="00532C56"/>
    <w:rsid w:val="00532EEB"/>
    <w:rsid w:val="0053307F"/>
    <w:rsid w:val="0053314B"/>
    <w:rsid w:val="005332A5"/>
    <w:rsid w:val="0053342B"/>
    <w:rsid w:val="00533610"/>
    <w:rsid w:val="00533779"/>
    <w:rsid w:val="00533915"/>
    <w:rsid w:val="00533F86"/>
    <w:rsid w:val="00534026"/>
    <w:rsid w:val="0053467D"/>
    <w:rsid w:val="00534842"/>
    <w:rsid w:val="00534E27"/>
    <w:rsid w:val="0053519C"/>
    <w:rsid w:val="0053524D"/>
    <w:rsid w:val="0053534C"/>
    <w:rsid w:val="005358F8"/>
    <w:rsid w:val="00535E01"/>
    <w:rsid w:val="00535E07"/>
    <w:rsid w:val="00535E64"/>
    <w:rsid w:val="00536216"/>
    <w:rsid w:val="005365C8"/>
    <w:rsid w:val="0053679B"/>
    <w:rsid w:val="00536A6C"/>
    <w:rsid w:val="00536D59"/>
    <w:rsid w:val="00536DDB"/>
    <w:rsid w:val="0053733B"/>
    <w:rsid w:val="0053752C"/>
    <w:rsid w:val="005376E9"/>
    <w:rsid w:val="0054045E"/>
    <w:rsid w:val="005407B9"/>
    <w:rsid w:val="00540B08"/>
    <w:rsid w:val="00540EA5"/>
    <w:rsid w:val="00541559"/>
    <w:rsid w:val="005418DD"/>
    <w:rsid w:val="00541E6C"/>
    <w:rsid w:val="00542A40"/>
    <w:rsid w:val="00542C5F"/>
    <w:rsid w:val="00542E97"/>
    <w:rsid w:val="005431B7"/>
    <w:rsid w:val="00543A68"/>
    <w:rsid w:val="005442E7"/>
    <w:rsid w:val="00544AD0"/>
    <w:rsid w:val="00544F98"/>
    <w:rsid w:val="005457E7"/>
    <w:rsid w:val="00545B90"/>
    <w:rsid w:val="00545E8E"/>
    <w:rsid w:val="00546012"/>
    <w:rsid w:val="00546051"/>
    <w:rsid w:val="00546297"/>
    <w:rsid w:val="00547370"/>
    <w:rsid w:val="00547414"/>
    <w:rsid w:val="00550D29"/>
    <w:rsid w:val="0055171E"/>
    <w:rsid w:val="00551914"/>
    <w:rsid w:val="00551940"/>
    <w:rsid w:val="0055197B"/>
    <w:rsid w:val="00551DCB"/>
    <w:rsid w:val="00552147"/>
    <w:rsid w:val="005521E7"/>
    <w:rsid w:val="00552514"/>
    <w:rsid w:val="00552E52"/>
    <w:rsid w:val="00553073"/>
    <w:rsid w:val="0055398A"/>
    <w:rsid w:val="00553D2A"/>
    <w:rsid w:val="00553DA8"/>
    <w:rsid w:val="00553DDD"/>
    <w:rsid w:val="005542B6"/>
    <w:rsid w:val="005542BE"/>
    <w:rsid w:val="0055489D"/>
    <w:rsid w:val="00554A93"/>
    <w:rsid w:val="00554AFE"/>
    <w:rsid w:val="00555042"/>
    <w:rsid w:val="005556B1"/>
    <w:rsid w:val="00555F1B"/>
    <w:rsid w:val="00556360"/>
    <w:rsid w:val="00556A73"/>
    <w:rsid w:val="00556B0A"/>
    <w:rsid w:val="00556BC2"/>
    <w:rsid w:val="0055709F"/>
    <w:rsid w:val="005574C4"/>
    <w:rsid w:val="005579B0"/>
    <w:rsid w:val="005615CC"/>
    <w:rsid w:val="0056168E"/>
    <w:rsid w:val="00561987"/>
    <w:rsid w:val="00561D72"/>
    <w:rsid w:val="00562391"/>
    <w:rsid w:val="00562653"/>
    <w:rsid w:val="00562787"/>
    <w:rsid w:val="00562898"/>
    <w:rsid w:val="00563606"/>
    <w:rsid w:val="00563691"/>
    <w:rsid w:val="00563D3F"/>
    <w:rsid w:val="00564310"/>
    <w:rsid w:val="00564E63"/>
    <w:rsid w:val="00565071"/>
    <w:rsid w:val="005650A5"/>
    <w:rsid w:val="00565427"/>
    <w:rsid w:val="005654B9"/>
    <w:rsid w:val="00565BB2"/>
    <w:rsid w:val="00565D9C"/>
    <w:rsid w:val="0056633E"/>
    <w:rsid w:val="0056644F"/>
    <w:rsid w:val="00566906"/>
    <w:rsid w:val="00566995"/>
    <w:rsid w:val="00567223"/>
    <w:rsid w:val="00567530"/>
    <w:rsid w:val="0056760E"/>
    <w:rsid w:val="00567E6D"/>
    <w:rsid w:val="005700D1"/>
    <w:rsid w:val="005700FF"/>
    <w:rsid w:val="005706F5"/>
    <w:rsid w:val="00570F57"/>
    <w:rsid w:val="005723F9"/>
    <w:rsid w:val="00572578"/>
    <w:rsid w:val="0057274C"/>
    <w:rsid w:val="005729C5"/>
    <w:rsid w:val="00573530"/>
    <w:rsid w:val="00573700"/>
    <w:rsid w:val="00573A67"/>
    <w:rsid w:val="005742F4"/>
    <w:rsid w:val="00574B76"/>
    <w:rsid w:val="00575691"/>
    <w:rsid w:val="00575736"/>
    <w:rsid w:val="00575C8C"/>
    <w:rsid w:val="00576510"/>
    <w:rsid w:val="00576659"/>
    <w:rsid w:val="005768FF"/>
    <w:rsid w:val="00576B9F"/>
    <w:rsid w:val="00576FAB"/>
    <w:rsid w:val="00577D5F"/>
    <w:rsid w:val="005808FA"/>
    <w:rsid w:val="00581425"/>
    <w:rsid w:val="00581BA6"/>
    <w:rsid w:val="0058293B"/>
    <w:rsid w:val="00582B4E"/>
    <w:rsid w:val="00583B95"/>
    <w:rsid w:val="00583F9F"/>
    <w:rsid w:val="00584196"/>
    <w:rsid w:val="005844BC"/>
    <w:rsid w:val="00584532"/>
    <w:rsid w:val="00584863"/>
    <w:rsid w:val="00584E8F"/>
    <w:rsid w:val="0058506F"/>
    <w:rsid w:val="005850BB"/>
    <w:rsid w:val="005851B1"/>
    <w:rsid w:val="0058526F"/>
    <w:rsid w:val="00586485"/>
    <w:rsid w:val="005864FD"/>
    <w:rsid w:val="0058653F"/>
    <w:rsid w:val="00587611"/>
    <w:rsid w:val="00587A34"/>
    <w:rsid w:val="00587DB7"/>
    <w:rsid w:val="00590236"/>
    <w:rsid w:val="005906EB"/>
    <w:rsid w:val="00591420"/>
    <w:rsid w:val="00591A86"/>
    <w:rsid w:val="00591E23"/>
    <w:rsid w:val="00592110"/>
    <w:rsid w:val="00592AC2"/>
    <w:rsid w:val="00592AE0"/>
    <w:rsid w:val="00592C1A"/>
    <w:rsid w:val="00593256"/>
    <w:rsid w:val="0059436C"/>
    <w:rsid w:val="0059470A"/>
    <w:rsid w:val="00594F21"/>
    <w:rsid w:val="00595195"/>
    <w:rsid w:val="00595313"/>
    <w:rsid w:val="005958DF"/>
    <w:rsid w:val="00595F48"/>
    <w:rsid w:val="0059602A"/>
    <w:rsid w:val="005960F5"/>
    <w:rsid w:val="005961FB"/>
    <w:rsid w:val="0059654F"/>
    <w:rsid w:val="0059665E"/>
    <w:rsid w:val="00596752"/>
    <w:rsid w:val="005967CE"/>
    <w:rsid w:val="005969B8"/>
    <w:rsid w:val="00597280"/>
    <w:rsid w:val="005973CA"/>
    <w:rsid w:val="00597994"/>
    <w:rsid w:val="00597E1C"/>
    <w:rsid w:val="00597FD0"/>
    <w:rsid w:val="005A0162"/>
    <w:rsid w:val="005A07AA"/>
    <w:rsid w:val="005A1126"/>
    <w:rsid w:val="005A13EA"/>
    <w:rsid w:val="005A148E"/>
    <w:rsid w:val="005A1C74"/>
    <w:rsid w:val="005A1FC6"/>
    <w:rsid w:val="005A240C"/>
    <w:rsid w:val="005A2820"/>
    <w:rsid w:val="005A2979"/>
    <w:rsid w:val="005A2E52"/>
    <w:rsid w:val="005A2EB2"/>
    <w:rsid w:val="005A3445"/>
    <w:rsid w:val="005A4188"/>
    <w:rsid w:val="005A45BE"/>
    <w:rsid w:val="005A4AD4"/>
    <w:rsid w:val="005A51AA"/>
    <w:rsid w:val="005A539F"/>
    <w:rsid w:val="005A5ED4"/>
    <w:rsid w:val="005A610E"/>
    <w:rsid w:val="005A657C"/>
    <w:rsid w:val="005A6784"/>
    <w:rsid w:val="005A6D63"/>
    <w:rsid w:val="005A7494"/>
    <w:rsid w:val="005A74C4"/>
    <w:rsid w:val="005A7994"/>
    <w:rsid w:val="005A7D08"/>
    <w:rsid w:val="005B03AD"/>
    <w:rsid w:val="005B0C40"/>
    <w:rsid w:val="005B0C57"/>
    <w:rsid w:val="005B0E1F"/>
    <w:rsid w:val="005B0FC9"/>
    <w:rsid w:val="005B1606"/>
    <w:rsid w:val="005B175A"/>
    <w:rsid w:val="005B1AFB"/>
    <w:rsid w:val="005B1B4A"/>
    <w:rsid w:val="005B1B5E"/>
    <w:rsid w:val="005B243C"/>
    <w:rsid w:val="005B2F86"/>
    <w:rsid w:val="005B342A"/>
    <w:rsid w:val="005B405B"/>
    <w:rsid w:val="005B4790"/>
    <w:rsid w:val="005B4820"/>
    <w:rsid w:val="005B48C4"/>
    <w:rsid w:val="005B492A"/>
    <w:rsid w:val="005B4B2A"/>
    <w:rsid w:val="005B5F5B"/>
    <w:rsid w:val="005B5F88"/>
    <w:rsid w:val="005B617C"/>
    <w:rsid w:val="005B6234"/>
    <w:rsid w:val="005B6711"/>
    <w:rsid w:val="005B690A"/>
    <w:rsid w:val="005B6DE2"/>
    <w:rsid w:val="005B7195"/>
    <w:rsid w:val="005B7586"/>
    <w:rsid w:val="005B791D"/>
    <w:rsid w:val="005B7AC6"/>
    <w:rsid w:val="005C016D"/>
    <w:rsid w:val="005C0752"/>
    <w:rsid w:val="005C0987"/>
    <w:rsid w:val="005C0C78"/>
    <w:rsid w:val="005C152D"/>
    <w:rsid w:val="005C162E"/>
    <w:rsid w:val="005C1825"/>
    <w:rsid w:val="005C223E"/>
    <w:rsid w:val="005C2A15"/>
    <w:rsid w:val="005C2D88"/>
    <w:rsid w:val="005C356C"/>
    <w:rsid w:val="005C4488"/>
    <w:rsid w:val="005C4B49"/>
    <w:rsid w:val="005C4DF1"/>
    <w:rsid w:val="005C5768"/>
    <w:rsid w:val="005C5909"/>
    <w:rsid w:val="005C592F"/>
    <w:rsid w:val="005C5B3C"/>
    <w:rsid w:val="005C6061"/>
    <w:rsid w:val="005C6160"/>
    <w:rsid w:val="005C64B9"/>
    <w:rsid w:val="005C67B1"/>
    <w:rsid w:val="005C6996"/>
    <w:rsid w:val="005C6C91"/>
    <w:rsid w:val="005C7002"/>
    <w:rsid w:val="005C738F"/>
    <w:rsid w:val="005C778B"/>
    <w:rsid w:val="005C7845"/>
    <w:rsid w:val="005D066F"/>
    <w:rsid w:val="005D0E18"/>
    <w:rsid w:val="005D16DE"/>
    <w:rsid w:val="005D178F"/>
    <w:rsid w:val="005D1865"/>
    <w:rsid w:val="005D1E1B"/>
    <w:rsid w:val="005D20B6"/>
    <w:rsid w:val="005D2694"/>
    <w:rsid w:val="005D29AD"/>
    <w:rsid w:val="005D2D8E"/>
    <w:rsid w:val="005D2EA1"/>
    <w:rsid w:val="005D30C7"/>
    <w:rsid w:val="005D3B52"/>
    <w:rsid w:val="005D3C12"/>
    <w:rsid w:val="005D4549"/>
    <w:rsid w:val="005D4B6A"/>
    <w:rsid w:val="005D5BCF"/>
    <w:rsid w:val="005D5EA9"/>
    <w:rsid w:val="005D63A7"/>
    <w:rsid w:val="005D6B79"/>
    <w:rsid w:val="005D707F"/>
    <w:rsid w:val="005D76BD"/>
    <w:rsid w:val="005D7AB8"/>
    <w:rsid w:val="005D7B99"/>
    <w:rsid w:val="005D7F59"/>
    <w:rsid w:val="005D7FA7"/>
    <w:rsid w:val="005E05D2"/>
    <w:rsid w:val="005E0797"/>
    <w:rsid w:val="005E07AF"/>
    <w:rsid w:val="005E07E5"/>
    <w:rsid w:val="005E0F84"/>
    <w:rsid w:val="005E0FA8"/>
    <w:rsid w:val="005E12D6"/>
    <w:rsid w:val="005E12E4"/>
    <w:rsid w:val="005E1BB7"/>
    <w:rsid w:val="005E2224"/>
    <w:rsid w:val="005E2329"/>
    <w:rsid w:val="005E24E1"/>
    <w:rsid w:val="005E26A1"/>
    <w:rsid w:val="005E2745"/>
    <w:rsid w:val="005E2A7C"/>
    <w:rsid w:val="005E2EC3"/>
    <w:rsid w:val="005E3067"/>
    <w:rsid w:val="005E3B0D"/>
    <w:rsid w:val="005E3DA7"/>
    <w:rsid w:val="005E43CE"/>
    <w:rsid w:val="005E4A8F"/>
    <w:rsid w:val="005E5617"/>
    <w:rsid w:val="005E562B"/>
    <w:rsid w:val="005E5965"/>
    <w:rsid w:val="005E5F6D"/>
    <w:rsid w:val="005E6097"/>
    <w:rsid w:val="005E680F"/>
    <w:rsid w:val="005E682D"/>
    <w:rsid w:val="005E6D3E"/>
    <w:rsid w:val="005E6DBB"/>
    <w:rsid w:val="005E7222"/>
    <w:rsid w:val="005E722C"/>
    <w:rsid w:val="005E7903"/>
    <w:rsid w:val="005E795E"/>
    <w:rsid w:val="005F0160"/>
    <w:rsid w:val="005F053A"/>
    <w:rsid w:val="005F061D"/>
    <w:rsid w:val="005F06E2"/>
    <w:rsid w:val="005F112D"/>
    <w:rsid w:val="005F13AF"/>
    <w:rsid w:val="005F13BD"/>
    <w:rsid w:val="005F1AFB"/>
    <w:rsid w:val="005F1FA2"/>
    <w:rsid w:val="005F20A1"/>
    <w:rsid w:val="005F2B42"/>
    <w:rsid w:val="005F2B74"/>
    <w:rsid w:val="005F2C50"/>
    <w:rsid w:val="005F2C70"/>
    <w:rsid w:val="005F2E5D"/>
    <w:rsid w:val="005F3053"/>
    <w:rsid w:val="005F343B"/>
    <w:rsid w:val="005F3562"/>
    <w:rsid w:val="005F3611"/>
    <w:rsid w:val="005F39EF"/>
    <w:rsid w:val="005F3E39"/>
    <w:rsid w:val="005F3ECE"/>
    <w:rsid w:val="005F42A4"/>
    <w:rsid w:val="005F42BA"/>
    <w:rsid w:val="005F5966"/>
    <w:rsid w:val="005F5A4C"/>
    <w:rsid w:val="005F6350"/>
    <w:rsid w:val="005F670F"/>
    <w:rsid w:val="005F70D3"/>
    <w:rsid w:val="005F7CD7"/>
    <w:rsid w:val="006001C7"/>
    <w:rsid w:val="006001F4"/>
    <w:rsid w:val="0060060B"/>
    <w:rsid w:val="00600A6E"/>
    <w:rsid w:val="00600B61"/>
    <w:rsid w:val="0060121F"/>
    <w:rsid w:val="0060159C"/>
    <w:rsid w:val="0060271A"/>
    <w:rsid w:val="00602A1F"/>
    <w:rsid w:val="00602E4C"/>
    <w:rsid w:val="00602EB5"/>
    <w:rsid w:val="006036D0"/>
    <w:rsid w:val="00603812"/>
    <w:rsid w:val="00603E15"/>
    <w:rsid w:val="0060456C"/>
    <w:rsid w:val="00604645"/>
    <w:rsid w:val="006049ED"/>
    <w:rsid w:val="00604B73"/>
    <w:rsid w:val="00604CD9"/>
    <w:rsid w:val="006062F5"/>
    <w:rsid w:val="00607125"/>
    <w:rsid w:val="006076FB"/>
    <w:rsid w:val="00607FF3"/>
    <w:rsid w:val="00610B84"/>
    <w:rsid w:val="006110EF"/>
    <w:rsid w:val="00611297"/>
    <w:rsid w:val="006114F7"/>
    <w:rsid w:val="006124C8"/>
    <w:rsid w:val="006130A9"/>
    <w:rsid w:val="006130B9"/>
    <w:rsid w:val="006130CF"/>
    <w:rsid w:val="00613422"/>
    <w:rsid w:val="0061373E"/>
    <w:rsid w:val="006137CC"/>
    <w:rsid w:val="00613D72"/>
    <w:rsid w:val="0061421B"/>
    <w:rsid w:val="00614283"/>
    <w:rsid w:val="006148CC"/>
    <w:rsid w:val="006148F0"/>
    <w:rsid w:val="00614A4C"/>
    <w:rsid w:val="00614CB5"/>
    <w:rsid w:val="006151CA"/>
    <w:rsid w:val="00615539"/>
    <w:rsid w:val="00615C81"/>
    <w:rsid w:val="00615CEA"/>
    <w:rsid w:val="00616610"/>
    <w:rsid w:val="006166CB"/>
    <w:rsid w:val="00616CD3"/>
    <w:rsid w:val="006171F9"/>
    <w:rsid w:val="006173F8"/>
    <w:rsid w:val="00620540"/>
    <w:rsid w:val="006205EF"/>
    <w:rsid w:val="006209FA"/>
    <w:rsid w:val="00620E95"/>
    <w:rsid w:val="00621499"/>
    <w:rsid w:val="006216A0"/>
    <w:rsid w:val="00621763"/>
    <w:rsid w:val="00621A08"/>
    <w:rsid w:val="00621E25"/>
    <w:rsid w:val="00621F56"/>
    <w:rsid w:val="006225A0"/>
    <w:rsid w:val="00622814"/>
    <w:rsid w:val="00622B23"/>
    <w:rsid w:val="00622C4A"/>
    <w:rsid w:val="00622C80"/>
    <w:rsid w:val="00623214"/>
    <w:rsid w:val="00623486"/>
    <w:rsid w:val="00624058"/>
    <w:rsid w:val="006242B0"/>
    <w:rsid w:val="00624986"/>
    <w:rsid w:val="0062499E"/>
    <w:rsid w:val="00624B8B"/>
    <w:rsid w:val="00624D06"/>
    <w:rsid w:val="00624F01"/>
    <w:rsid w:val="00625449"/>
    <w:rsid w:val="00625E75"/>
    <w:rsid w:val="006273DB"/>
    <w:rsid w:val="0062748D"/>
    <w:rsid w:val="0062795B"/>
    <w:rsid w:val="00627F7B"/>
    <w:rsid w:val="00630CC0"/>
    <w:rsid w:val="00630FFA"/>
    <w:rsid w:val="00631559"/>
    <w:rsid w:val="00631A68"/>
    <w:rsid w:val="00631DDA"/>
    <w:rsid w:val="00632263"/>
    <w:rsid w:val="00632674"/>
    <w:rsid w:val="00632910"/>
    <w:rsid w:val="00632B5B"/>
    <w:rsid w:val="00633CD8"/>
    <w:rsid w:val="00633E0D"/>
    <w:rsid w:val="00633F86"/>
    <w:rsid w:val="006341F3"/>
    <w:rsid w:val="006343CA"/>
    <w:rsid w:val="00634477"/>
    <w:rsid w:val="00634506"/>
    <w:rsid w:val="00634611"/>
    <w:rsid w:val="006347F7"/>
    <w:rsid w:val="00634B0A"/>
    <w:rsid w:val="00634C8B"/>
    <w:rsid w:val="0063504F"/>
    <w:rsid w:val="006350D9"/>
    <w:rsid w:val="0063524A"/>
    <w:rsid w:val="006353B2"/>
    <w:rsid w:val="00635B34"/>
    <w:rsid w:val="00635DE7"/>
    <w:rsid w:val="006365BC"/>
    <w:rsid w:val="00636639"/>
    <w:rsid w:val="00636B24"/>
    <w:rsid w:val="00636D56"/>
    <w:rsid w:val="006376E3"/>
    <w:rsid w:val="00637E00"/>
    <w:rsid w:val="00637FAD"/>
    <w:rsid w:val="006403A9"/>
    <w:rsid w:val="0064066B"/>
    <w:rsid w:val="00640D9A"/>
    <w:rsid w:val="00640E6C"/>
    <w:rsid w:val="0064181D"/>
    <w:rsid w:val="00641CDD"/>
    <w:rsid w:val="00642127"/>
    <w:rsid w:val="006431D6"/>
    <w:rsid w:val="00643557"/>
    <w:rsid w:val="006435CD"/>
    <w:rsid w:val="006439F9"/>
    <w:rsid w:val="00643ED7"/>
    <w:rsid w:val="00644066"/>
    <w:rsid w:val="006444F6"/>
    <w:rsid w:val="006446DB"/>
    <w:rsid w:val="0064482F"/>
    <w:rsid w:val="006449FB"/>
    <w:rsid w:val="00644C2F"/>
    <w:rsid w:val="00644E6D"/>
    <w:rsid w:val="006451ED"/>
    <w:rsid w:val="00645657"/>
    <w:rsid w:val="00645C38"/>
    <w:rsid w:val="006460C5"/>
    <w:rsid w:val="0064634F"/>
    <w:rsid w:val="006469A6"/>
    <w:rsid w:val="00646B1B"/>
    <w:rsid w:val="006471F8"/>
    <w:rsid w:val="00647829"/>
    <w:rsid w:val="00647A2A"/>
    <w:rsid w:val="00647BC6"/>
    <w:rsid w:val="00647C3A"/>
    <w:rsid w:val="00647F0D"/>
    <w:rsid w:val="0065022B"/>
    <w:rsid w:val="0065068D"/>
    <w:rsid w:val="00650847"/>
    <w:rsid w:val="0065087B"/>
    <w:rsid w:val="00650DCE"/>
    <w:rsid w:val="00650E61"/>
    <w:rsid w:val="006510E2"/>
    <w:rsid w:val="00651814"/>
    <w:rsid w:val="00651A1C"/>
    <w:rsid w:val="00651A3B"/>
    <w:rsid w:val="00651C99"/>
    <w:rsid w:val="00651EF2"/>
    <w:rsid w:val="00653060"/>
    <w:rsid w:val="006530A7"/>
    <w:rsid w:val="006530B8"/>
    <w:rsid w:val="00653286"/>
    <w:rsid w:val="00653DC8"/>
    <w:rsid w:val="00653E82"/>
    <w:rsid w:val="00654991"/>
    <w:rsid w:val="00654EF8"/>
    <w:rsid w:val="0065556E"/>
    <w:rsid w:val="00655A31"/>
    <w:rsid w:val="00656223"/>
    <w:rsid w:val="006563DA"/>
    <w:rsid w:val="0065698E"/>
    <w:rsid w:val="00656B10"/>
    <w:rsid w:val="00656D08"/>
    <w:rsid w:val="00656DB6"/>
    <w:rsid w:val="00657672"/>
    <w:rsid w:val="00657CED"/>
    <w:rsid w:val="006601C4"/>
    <w:rsid w:val="0066032A"/>
    <w:rsid w:val="0066072B"/>
    <w:rsid w:val="00660CA6"/>
    <w:rsid w:val="00660FC7"/>
    <w:rsid w:val="00661159"/>
    <w:rsid w:val="00661BBC"/>
    <w:rsid w:val="00661FFC"/>
    <w:rsid w:val="00662CFF"/>
    <w:rsid w:val="00662DC8"/>
    <w:rsid w:val="00663502"/>
    <w:rsid w:val="00663DAD"/>
    <w:rsid w:val="00663F0B"/>
    <w:rsid w:val="006640CD"/>
    <w:rsid w:val="0066430C"/>
    <w:rsid w:val="00664328"/>
    <w:rsid w:val="0066469A"/>
    <w:rsid w:val="006649E3"/>
    <w:rsid w:val="00665A98"/>
    <w:rsid w:val="00665ECC"/>
    <w:rsid w:val="0066613C"/>
    <w:rsid w:val="0066651D"/>
    <w:rsid w:val="006666AE"/>
    <w:rsid w:val="00666AF0"/>
    <w:rsid w:val="00666CF7"/>
    <w:rsid w:val="00667141"/>
    <w:rsid w:val="0066789B"/>
    <w:rsid w:val="00667974"/>
    <w:rsid w:val="00667989"/>
    <w:rsid w:val="00667C25"/>
    <w:rsid w:val="00667C94"/>
    <w:rsid w:val="006707DA"/>
    <w:rsid w:val="00670C6A"/>
    <w:rsid w:val="00670E83"/>
    <w:rsid w:val="0067178D"/>
    <w:rsid w:val="00671912"/>
    <w:rsid w:val="00671B32"/>
    <w:rsid w:val="00671FD2"/>
    <w:rsid w:val="0067267E"/>
    <w:rsid w:val="00672B8C"/>
    <w:rsid w:val="00672E06"/>
    <w:rsid w:val="00672FD4"/>
    <w:rsid w:val="00673618"/>
    <w:rsid w:val="00673829"/>
    <w:rsid w:val="00674399"/>
    <w:rsid w:val="00674488"/>
    <w:rsid w:val="006749EA"/>
    <w:rsid w:val="00674B35"/>
    <w:rsid w:val="00675191"/>
    <w:rsid w:val="00675B6B"/>
    <w:rsid w:val="00675E2C"/>
    <w:rsid w:val="00676670"/>
    <w:rsid w:val="00676B77"/>
    <w:rsid w:val="00676C93"/>
    <w:rsid w:val="00676EAA"/>
    <w:rsid w:val="00677A4A"/>
    <w:rsid w:val="00677A9F"/>
    <w:rsid w:val="0068044B"/>
    <w:rsid w:val="006805C7"/>
    <w:rsid w:val="00680B23"/>
    <w:rsid w:val="00680FD8"/>
    <w:rsid w:val="00681BFF"/>
    <w:rsid w:val="006822A4"/>
    <w:rsid w:val="0068243E"/>
    <w:rsid w:val="00682870"/>
    <w:rsid w:val="006828DC"/>
    <w:rsid w:val="0068295F"/>
    <w:rsid w:val="006829C7"/>
    <w:rsid w:val="00682F18"/>
    <w:rsid w:val="006831C7"/>
    <w:rsid w:val="00683398"/>
    <w:rsid w:val="006834CF"/>
    <w:rsid w:val="00683737"/>
    <w:rsid w:val="0068374C"/>
    <w:rsid w:val="0068377E"/>
    <w:rsid w:val="00683844"/>
    <w:rsid w:val="00683BEC"/>
    <w:rsid w:val="0068469A"/>
    <w:rsid w:val="006847C9"/>
    <w:rsid w:val="006848B6"/>
    <w:rsid w:val="00684A09"/>
    <w:rsid w:val="00684E75"/>
    <w:rsid w:val="00684E80"/>
    <w:rsid w:val="0068603F"/>
    <w:rsid w:val="00686085"/>
    <w:rsid w:val="006860A3"/>
    <w:rsid w:val="0068630E"/>
    <w:rsid w:val="006863BD"/>
    <w:rsid w:val="00686472"/>
    <w:rsid w:val="006864E6"/>
    <w:rsid w:val="00686F4B"/>
    <w:rsid w:val="00687FB1"/>
    <w:rsid w:val="0069086C"/>
    <w:rsid w:val="006908AD"/>
    <w:rsid w:val="0069098F"/>
    <w:rsid w:val="00690EA2"/>
    <w:rsid w:val="00690F72"/>
    <w:rsid w:val="00690FEE"/>
    <w:rsid w:val="006910F0"/>
    <w:rsid w:val="00691388"/>
    <w:rsid w:val="00691537"/>
    <w:rsid w:val="00691CD8"/>
    <w:rsid w:val="00691EE0"/>
    <w:rsid w:val="0069201B"/>
    <w:rsid w:val="0069216B"/>
    <w:rsid w:val="00692D28"/>
    <w:rsid w:val="00692D67"/>
    <w:rsid w:val="00692DAB"/>
    <w:rsid w:val="006931D8"/>
    <w:rsid w:val="00693E95"/>
    <w:rsid w:val="00693FDE"/>
    <w:rsid w:val="00694903"/>
    <w:rsid w:val="0069494D"/>
    <w:rsid w:val="00694AE8"/>
    <w:rsid w:val="00694BDE"/>
    <w:rsid w:val="0069512D"/>
    <w:rsid w:val="00695B52"/>
    <w:rsid w:val="00695E68"/>
    <w:rsid w:val="00696086"/>
    <w:rsid w:val="00696267"/>
    <w:rsid w:val="006968EE"/>
    <w:rsid w:val="00697ED9"/>
    <w:rsid w:val="006A04F3"/>
    <w:rsid w:val="006A08B7"/>
    <w:rsid w:val="006A0F3C"/>
    <w:rsid w:val="006A14CF"/>
    <w:rsid w:val="006A1C48"/>
    <w:rsid w:val="006A1CFE"/>
    <w:rsid w:val="006A1E5E"/>
    <w:rsid w:val="006A20DC"/>
    <w:rsid w:val="006A2773"/>
    <w:rsid w:val="006A27BB"/>
    <w:rsid w:val="006A2B45"/>
    <w:rsid w:val="006A2ED1"/>
    <w:rsid w:val="006A2FE8"/>
    <w:rsid w:val="006A2FF4"/>
    <w:rsid w:val="006A3119"/>
    <w:rsid w:val="006A3141"/>
    <w:rsid w:val="006A34CF"/>
    <w:rsid w:val="006A41D4"/>
    <w:rsid w:val="006A481A"/>
    <w:rsid w:val="006A48ED"/>
    <w:rsid w:val="006A4BE0"/>
    <w:rsid w:val="006A4E40"/>
    <w:rsid w:val="006A5032"/>
    <w:rsid w:val="006A5098"/>
    <w:rsid w:val="006A54B1"/>
    <w:rsid w:val="006A5C20"/>
    <w:rsid w:val="006A5CE6"/>
    <w:rsid w:val="006A6060"/>
    <w:rsid w:val="006A6224"/>
    <w:rsid w:val="006A78F7"/>
    <w:rsid w:val="006A7E1A"/>
    <w:rsid w:val="006B0369"/>
    <w:rsid w:val="006B0561"/>
    <w:rsid w:val="006B084E"/>
    <w:rsid w:val="006B0A6C"/>
    <w:rsid w:val="006B0EBD"/>
    <w:rsid w:val="006B1244"/>
    <w:rsid w:val="006B228C"/>
    <w:rsid w:val="006B22FD"/>
    <w:rsid w:val="006B2379"/>
    <w:rsid w:val="006B2948"/>
    <w:rsid w:val="006B29EF"/>
    <w:rsid w:val="006B2A5E"/>
    <w:rsid w:val="006B2EEA"/>
    <w:rsid w:val="006B3108"/>
    <w:rsid w:val="006B36E2"/>
    <w:rsid w:val="006B37E3"/>
    <w:rsid w:val="006B3CF2"/>
    <w:rsid w:val="006B4383"/>
    <w:rsid w:val="006B446C"/>
    <w:rsid w:val="006B4B6B"/>
    <w:rsid w:val="006B4C3A"/>
    <w:rsid w:val="006B567F"/>
    <w:rsid w:val="006B649F"/>
    <w:rsid w:val="006B6661"/>
    <w:rsid w:val="006B67EA"/>
    <w:rsid w:val="006B698D"/>
    <w:rsid w:val="006B6EB8"/>
    <w:rsid w:val="006B720E"/>
    <w:rsid w:val="006C01D2"/>
    <w:rsid w:val="006C06BC"/>
    <w:rsid w:val="006C097D"/>
    <w:rsid w:val="006C0BD8"/>
    <w:rsid w:val="006C121B"/>
    <w:rsid w:val="006C1ED7"/>
    <w:rsid w:val="006C2377"/>
    <w:rsid w:val="006C265E"/>
    <w:rsid w:val="006C27D8"/>
    <w:rsid w:val="006C2B79"/>
    <w:rsid w:val="006C2ED2"/>
    <w:rsid w:val="006C38EE"/>
    <w:rsid w:val="006C404D"/>
    <w:rsid w:val="006C4355"/>
    <w:rsid w:val="006C57AD"/>
    <w:rsid w:val="006C59E2"/>
    <w:rsid w:val="006C6086"/>
    <w:rsid w:val="006C6D4B"/>
    <w:rsid w:val="006C725C"/>
    <w:rsid w:val="006C7AF3"/>
    <w:rsid w:val="006C7C76"/>
    <w:rsid w:val="006D04A9"/>
    <w:rsid w:val="006D0F22"/>
    <w:rsid w:val="006D1218"/>
    <w:rsid w:val="006D157B"/>
    <w:rsid w:val="006D1960"/>
    <w:rsid w:val="006D1FC1"/>
    <w:rsid w:val="006D2146"/>
    <w:rsid w:val="006D2307"/>
    <w:rsid w:val="006D25B5"/>
    <w:rsid w:val="006D2626"/>
    <w:rsid w:val="006D273A"/>
    <w:rsid w:val="006D29DF"/>
    <w:rsid w:val="006D3011"/>
    <w:rsid w:val="006D3320"/>
    <w:rsid w:val="006D33BE"/>
    <w:rsid w:val="006D4458"/>
    <w:rsid w:val="006D44F8"/>
    <w:rsid w:val="006D469D"/>
    <w:rsid w:val="006D4998"/>
    <w:rsid w:val="006D4D47"/>
    <w:rsid w:val="006D5627"/>
    <w:rsid w:val="006D59D7"/>
    <w:rsid w:val="006D5EB0"/>
    <w:rsid w:val="006D690A"/>
    <w:rsid w:val="006D696B"/>
    <w:rsid w:val="006D7EE5"/>
    <w:rsid w:val="006E018C"/>
    <w:rsid w:val="006E01B4"/>
    <w:rsid w:val="006E0626"/>
    <w:rsid w:val="006E066E"/>
    <w:rsid w:val="006E0B95"/>
    <w:rsid w:val="006E0F07"/>
    <w:rsid w:val="006E191F"/>
    <w:rsid w:val="006E19D8"/>
    <w:rsid w:val="006E1A26"/>
    <w:rsid w:val="006E227F"/>
    <w:rsid w:val="006E2474"/>
    <w:rsid w:val="006E2ACC"/>
    <w:rsid w:val="006E317F"/>
    <w:rsid w:val="006E357E"/>
    <w:rsid w:val="006E3600"/>
    <w:rsid w:val="006E42E3"/>
    <w:rsid w:val="006E433E"/>
    <w:rsid w:val="006E5742"/>
    <w:rsid w:val="006E5AD9"/>
    <w:rsid w:val="006E6532"/>
    <w:rsid w:val="006E6CD7"/>
    <w:rsid w:val="006E7100"/>
    <w:rsid w:val="006E723B"/>
    <w:rsid w:val="006E750C"/>
    <w:rsid w:val="006E7A5C"/>
    <w:rsid w:val="006E7D10"/>
    <w:rsid w:val="006F01DE"/>
    <w:rsid w:val="006F0EAF"/>
    <w:rsid w:val="006F0F50"/>
    <w:rsid w:val="006F18FE"/>
    <w:rsid w:val="006F1BBE"/>
    <w:rsid w:val="006F1C1A"/>
    <w:rsid w:val="006F25F8"/>
    <w:rsid w:val="006F277D"/>
    <w:rsid w:val="006F2873"/>
    <w:rsid w:val="006F2943"/>
    <w:rsid w:val="006F2C94"/>
    <w:rsid w:val="006F334D"/>
    <w:rsid w:val="006F360D"/>
    <w:rsid w:val="006F36BA"/>
    <w:rsid w:val="006F3F11"/>
    <w:rsid w:val="006F45D1"/>
    <w:rsid w:val="006F4961"/>
    <w:rsid w:val="006F53FF"/>
    <w:rsid w:val="006F54E4"/>
    <w:rsid w:val="006F58B5"/>
    <w:rsid w:val="006F6520"/>
    <w:rsid w:val="006F696A"/>
    <w:rsid w:val="006F6CE9"/>
    <w:rsid w:val="006F71FD"/>
    <w:rsid w:val="006F735E"/>
    <w:rsid w:val="006F7CC4"/>
    <w:rsid w:val="006F7E9F"/>
    <w:rsid w:val="007016CF"/>
    <w:rsid w:val="00701DAD"/>
    <w:rsid w:val="007021D8"/>
    <w:rsid w:val="0070323D"/>
    <w:rsid w:val="00703497"/>
    <w:rsid w:val="00703B0F"/>
    <w:rsid w:val="00703DDB"/>
    <w:rsid w:val="00703F71"/>
    <w:rsid w:val="00704548"/>
    <w:rsid w:val="0070474F"/>
    <w:rsid w:val="00704EFB"/>
    <w:rsid w:val="007055DB"/>
    <w:rsid w:val="00705702"/>
    <w:rsid w:val="00705A5E"/>
    <w:rsid w:val="00705A90"/>
    <w:rsid w:val="00705D11"/>
    <w:rsid w:val="0070658D"/>
    <w:rsid w:val="0070710C"/>
    <w:rsid w:val="00707698"/>
    <w:rsid w:val="00710007"/>
    <w:rsid w:val="00710163"/>
    <w:rsid w:val="00710521"/>
    <w:rsid w:val="00710650"/>
    <w:rsid w:val="00711709"/>
    <w:rsid w:val="00712049"/>
    <w:rsid w:val="007121A6"/>
    <w:rsid w:val="00712431"/>
    <w:rsid w:val="0071258E"/>
    <w:rsid w:val="007125A1"/>
    <w:rsid w:val="00712CDE"/>
    <w:rsid w:val="00712DE8"/>
    <w:rsid w:val="0071324A"/>
    <w:rsid w:val="007132A3"/>
    <w:rsid w:val="007134C4"/>
    <w:rsid w:val="00713B9B"/>
    <w:rsid w:val="00713C0B"/>
    <w:rsid w:val="00713DC4"/>
    <w:rsid w:val="007140C9"/>
    <w:rsid w:val="007144BD"/>
    <w:rsid w:val="00715260"/>
    <w:rsid w:val="0071572D"/>
    <w:rsid w:val="00715C39"/>
    <w:rsid w:val="00715EA1"/>
    <w:rsid w:val="00716094"/>
    <w:rsid w:val="00716569"/>
    <w:rsid w:val="00716DB7"/>
    <w:rsid w:val="007178E6"/>
    <w:rsid w:val="007179CF"/>
    <w:rsid w:val="00717A87"/>
    <w:rsid w:val="00717D93"/>
    <w:rsid w:val="00721045"/>
    <w:rsid w:val="007210CE"/>
    <w:rsid w:val="00721409"/>
    <w:rsid w:val="007215D4"/>
    <w:rsid w:val="00721AAC"/>
    <w:rsid w:val="00721C47"/>
    <w:rsid w:val="00722009"/>
    <w:rsid w:val="007222D3"/>
    <w:rsid w:val="00723680"/>
    <w:rsid w:val="00723ED9"/>
    <w:rsid w:val="00723FD6"/>
    <w:rsid w:val="00723FF0"/>
    <w:rsid w:val="0072408C"/>
    <w:rsid w:val="00724A74"/>
    <w:rsid w:val="00725B51"/>
    <w:rsid w:val="00726369"/>
    <w:rsid w:val="007267E0"/>
    <w:rsid w:val="00726C67"/>
    <w:rsid w:val="00726E59"/>
    <w:rsid w:val="0072744A"/>
    <w:rsid w:val="007276EC"/>
    <w:rsid w:val="00727EB8"/>
    <w:rsid w:val="00727ED4"/>
    <w:rsid w:val="00730334"/>
    <w:rsid w:val="00730438"/>
    <w:rsid w:val="00730C29"/>
    <w:rsid w:val="00730C2C"/>
    <w:rsid w:val="00731447"/>
    <w:rsid w:val="00731685"/>
    <w:rsid w:val="00731D67"/>
    <w:rsid w:val="0073223C"/>
    <w:rsid w:val="00732992"/>
    <w:rsid w:val="007331AA"/>
    <w:rsid w:val="0073327B"/>
    <w:rsid w:val="0073432C"/>
    <w:rsid w:val="00734BB1"/>
    <w:rsid w:val="00734C5A"/>
    <w:rsid w:val="0073542F"/>
    <w:rsid w:val="0073585B"/>
    <w:rsid w:val="00735C1E"/>
    <w:rsid w:val="00736075"/>
    <w:rsid w:val="007368BF"/>
    <w:rsid w:val="00736AC5"/>
    <w:rsid w:val="0073702E"/>
    <w:rsid w:val="007371AC"/>
    <w:rsid w:val="007372D9"/>
    <w:rsid w:val="00737605"/>
    <w:rsid w:val="00737793"/>
    <w:rsid w:val="00737938"/>
    <w:rsid w:val="00737AEB"/>
    <w:rsid w:val="00737BA5"/>
    <w:rsid w:val="007408A6"/>
    <w:rsid w:val="007411F3"/>
    <w:rsid w:val="007413B8"/>
    <w:rsid w:val="00741F23"/>
    <w:rsid w:val="00741F6A"/>
    <w:rsid w:val="00742ACA"/>
    <w:rsid w:val="00742CE0"/>
    <w:rsid w:val="00742EB8"/>
    <w:rsid w:val="007436E7"/>
    <w:rsid w:val="007438BB"/>
    <w:rsid w:val="00743B9F"/>
    <w:rsid w:val="00744D71"/>
    <w:rsid w:val="00744DBF"/>
    <w:rsid w:val="00744E6F"/>
    <w:rsid w:val="0074547A"/>
    <w:rsid w:val="00745F7C"/>
    <w:rsid w:val="007463AD"/>
    <w:rsid w:val="007463E4"/>
    <w:rsid w:val="00746C21"/>
    <w:rsid w:val="00746E3D"/>
    <w:rsid w:val="00746E58"/>
    <w:rsid w:val="00746F26"/>
    <w:rsid w:val="00747199"/>
    <w:rsid w:val="007474A1"/>
    <w:rsid w:val="00747684"/>
    <w:rsid w:val="00747B58"/>
    <w:rsid w:val="0075008D"/>
    <w:rsid w:val="0075050F"/>
    <w:rsid w:val="00751522"/>
    <w:rsid w:val="00751D63"/>
    <w:rsid w:val="00752433"/>
    <w:rsid w:val="007524C9"/>
    <w:rsid w:val="00752CE6"/>
    <w:rsid w:val="00753888"/>
    <w:rsid w:val="00753BDD"/>
    <w:rsid w:val="00754003"/>
    <w:rsid w:val="00754347"/>
    <w:rsid w:val="0075480F"/>
    <w:rsid w:val="007549DC"/>
    <w:rsid w:val="007552A3"/>
    <w:rsid w:val="00755433"/>
    <w:rsid w:val="00755751"/>
    <w:rsid w:val="00755788"/>
    <w:rsid w:val="007559E8"/>
    <w:rsid w:val="00755BFB"/>
    <w:rsid w:val="00755F81"/>
    <w:rsid w:val="00756D61"/>
    <w:rsid w:val="0075728E"/>
    <w:rsid w:val="00757A27"/>
    <w:rsid w:val="00757B55"/>
    <w:rsid w:val="00757DBD"/>
    <w:rsid w:val="00760B3A"/>
    <w:rsid w:val="00761303"/>
    <w:rsid w:val="007614F5"/>
    <w:rsid w:val="00761BD8"/>
    <w:rsid w:val="00761FB4"/>
    <w:rsid w:val="00762144"/>
    <w:rsid w:val="0076258E"/>
    <w:rsid w:val="0076337C"/>
    <w:rsid w:val="00763765"/>
    <w:rsid w:val="007639AE"/>
    <w:rsid w:val="007644F6"/>
    <w:rsid w:val="00764AFB"/>
    <w:rsid w:val="00764E34"/>
    <w:rsid w:val="007654DF"/>
    <w:rsid w:val="0076675A"/>
    <w:rsid w:val="00767770"/>
    <w:rsid w:val="007704AB"/>
    <w:rsid w:val="00771742"/>
    <w:rsid w:val="00771761"/>
    <w:rsid w:val="00771910"/>
    <w:rsid w:val="00771ED4"/>
    <w:rsid w:val="007720CB"/>
    <w:rsid w:val="00772486"/>
    <w:rsid w:val="007725CC"/>
    <w:rsid w:val="007729FA"/>
    <w:rsid w:val="0077303F"/>
    <w:rsid w:val="00773169"/>
    <w:rsid w:val="00773FBC"/>
    <w:rsid w:val="0077547C"/>
    <w:rsid w:val="00775645"/>
    <w:rsid w:val="0077577D"/>
    <w:rsid w:val="00775A87"/>
    <w:rsid w:val="00775A90"/>
    <w:rsid w:val="00776451"/>
    <w:rsid w:val="007769E6"/>
    <w:rsid w:val="0077796E"/>
    <w:rsid w:val="00777D2F"/>
    <w:rsid w:val="00780A7B"/>
    <w:rsid w:val="00780B69"/>
    <w:rsid w:val="00781100"/>
    <w:rsid w:val="0078136B"/>
    <w:rsid w:val="00782151"/>
    <w:rsid w:val="00782197"/>
    <w:rsid w:val="00782579"/>
    <w:rsid w:val="0078270B"/>
    <w:rsid w:val="007829E8"/>
    <w:rsid w:val="0078356B"/>
    <w:rsid w:val="00783E70"/>
    <w:rsid w:val="00783FF9"/>
    <w:rsid w:val="00784ACC"/>
    <w:rsid w:val="00784B94"/>
    <w:rsid w:val="00784E7C"/>
    <w:rsid w:val="00785D4A"/>
    <w:rsid w:val="0078604B"/>
    <w:rsid w:val="0078627E"/>
    <w:rsid w:val="00786514"/>
    <w:rsid w:val="00786BF7"/>
    <w:rsid w:val="0078708F"/>
    <w:rsid w:val="007870DF"/>
    <w:rsid w:val="00787452"/>
    <w:rsid w:val="007874AA"/>
    <w:rsid w:val="00787E16"/>
    <w:rsid w:val="00790124"/>
    <w:rsid w:val="007912E2"/>
    <w:rsid w:val="00791317"/>
    <w:rsid w:val="0079201F"/>
    <w:rsid w:val="007926E2"/>
    <w:rsid w:val="007932EC"/>
    <w:rsid w:val="00793B36"/>
    <w:rsid w:val="00793B58"/>
    <w:rsid w:val="00793D54"/>
    <w:rsid w:val="00793E9C"/>
    <w:rsid w:val="00793F65"/>
    <w:rsid w:val="00794542"/>
    <w:rsid w:val="00794A42"/>
    <w:rsid w:val="00794B8B"/>
    <w:rsid w:val="00794E24"/>
    <w:rsid w:val="00794FE1"/>
    <w:rsid w:val="007950BD"/>
    <w:rsid w:val="00795546"/>
    <w:rsid w:val="00795E50"/>
    <w:rsid w:val="0079602E"/>
    <w:rsid w:val="007961FB"/>
    <w:rsid w:val="0079643B"/>
    <w:rsid w:val="0079649D"/>
    <w:rsid w:val="0079681D"/>
    <w:rsid w:val="00796896"/>
    <w:rsid w:val="00796A05"/>
    <w:rsid w:val="00797232"/>
    <w:rsid w:val="0079758E"/>
    <w:rsid w:val="00797CFE"/>
    <w:rsid w:val="007A0793"/>
    <w:rsid w:val="007A07CB"/>
    <w:rsid w:val="007A0A2B"/>
    <w:rsid w:val="007A1007"/>
    <w:rsid w:val="007A105A"/>
    <w:rsid w:val="007A129F"/>
    <w:rsid w:val="007A14DA"/>
    <w:rsid w:val="007A1BED"/>
    <w:rsid w:val="007A1E28"/>
    <w:rsid w:val="007A22B2"/>
    <w:rsid w:val="007A2392"/>
    <w:rsid w:val="007A2E6B"/>
    <w:rsid w:val="007A2EA2"/>
    <w:rsid w:val="007A395A"/>
    <w:rsid w:val="007A41A6"/>
    <w:rsid w:val="007A4C7E"/>
    <w:rsid w:val="007A54D4"/>
    <w:rsid w:val="007A67DB"/>
    <w:rsid w:val="007A7148"/>
    <w:rsid w:val="007A7674"/>
    <w:rsid w:val="007A7A90"/>
    <w:rsid w:val="007A7DE3"/>
    <w:rsid w:val="007B0145"/>
    <w:rsid w:val="007B120C"/>
    <w:rsid w:val="007B1560"/>
    <w:rsid w:val="007B197A"/>
    <w:rsid w:val="007B1A2A"/>
    <w:rsid w:val="007B1AB6"/>
    <w:rsid w:val="007B1CA4"/>
    <w:rsid w:val="007B28EB"/>
    <w:rsid w:val="007B2E69"/>
    <w:rsid w:val="007B357A"/>
    <w:rsid w:val="007B3B59"/>
    <w:rsid w:val="007B49BC"/>
    <w:rsid w:val="007B4A2E"/>
    <w:rsid w:val="007B4D3B"/>
    <w:rsid w:val="007B4DC4"/>
    <w:rsid w:val="007B53A9"/>
    <w:rsid w:val="007B555E"/>
    <w:rsid w:val="007B62DF"/>
    <w:rsid w:val="007B685E"/>
    <w:rsid w:val="007B7645"/>
    <w:rsid w:val="007C05A1"/>
    <w:rsid w:val="007C0AD7"/>
    <w:rsid w:val="007C1649"/>
    <w:rsid w:val="007C1A24"/>
    <w:rsid w:val="007C1D9E"/>
    <w:rsid w:val="007C1F57"/>
    <w:rsid w:val="007C2236"/>
    <w:rsid w:val="007C300F"/>
    <w:rsid w:val="007C3259"/>
    <w:rsid w:val="007C3896"/>
    <w:rsid w:val="007C39B0"/>
    <w:rsid w:val="007C4051"/>
    <w:rsid w:val="007C509A"/>
    <w:rsid w:val="007C5CA7"/>
    <w:rsid w:val="007C5DD1"/>
    <w:rsid w:val="007C604A"/>
    <w:rsid w:val="007C62D7"/>
    <w:rsid w:val="007C6533"/>
    <w:rsid w:val="007C66E1"/>
    <w:rsid w:val="007C67A1"/>
    <w:rsid w:val="007C6ADD"/>
    <w:rsid w:val="007D0A90"/>
    <w:rsid w:val="007D0C15"/>
    <w:rsid w:val="007D0D34"/>
    <w:rsid w:val="007D1286"/>
    <w:rsid w:val="007D1479"/>
    <w:rsid w:val="007D1EB1"/>
    <w:rsid w:val="007D2199"/>
    <w:rsid w:val="007D2C90"/>
    <w:rsid w:val="007D2CD0"/>
    <w:rsid w:val="007D2E99"/>
    <w:rsid w:val="007D3585"/>
    <w:rsid w:val="007D35CD"/>
    <w:rsid w:val="007D36E0"/>
    <w:rsid w:val="007D3757"/>
    <w:rsid w:val="007D4648"/>
    <w:rsid w:val="007D4B7E"/>
    <w:rsid w:val="007D4D97"/>
    <w:rsid w:val="007D4E54"/>
    <w:rsid w:val="007D51C5"/>
    <w:rsid w:val="007D5BDC"/>
    <w:rsid w:val="007D68E2"/>
    <w:rsid w:val="007D708C"/>
    <w:rsid w:val="007D744B"/>
    <w:rsid w:val="007D7488"/>
    <w:rsid w:val="007E0782"/>
    <w:rsid w:val="007E0C7E"/>
    <w:rsid w:val="007E162A"/>
    <w:rsid w:val="007E185B"/>
    <w:rsid w:val="007E2051"/>
    <w:rsid w:val="007E2789"/>
    <w:rsid w:val="007E27DC"/>
    <w:rsid w:val="007E2F3F"/>
    <w:rsid w:val="007E300A"/>
    <w:rsid w:val="007E35F6"/>
    <w:rsid w:val="007E4178"/>
    <w:rsid w:val="007E5104"/>
    <w:rsid w:val="007E58DC"/>
    <w:rsid w:val="007E592E"/>
    <w:rsid w:val="007E6165"/>
    <w:rsid w:val="007E62A5"/>
    <w:rsid w:val="007E669D"/>
    <w:rsid w:val="007E6891"/>
    <w:rsid w:val="007E700A"/>
    <w:rsid w:val="007E73F6"/>
    <w:rsid w:val="007E74F4"/>
    <w:rsid w:val="007E7F3B"/>
    <w:rsid w:val="007F0082"/>
    <w:rsid w:val="007F0B84"/>
    <w:rsid w:val="007F0CA0"/>
    <w:rsid w:val="007F0DB1"/>
    <w:rsid w:val="007F0E88"/>
    <w:rsid w:val="007F15C0"/>
    <w:rsid w:val="007F15CF"/>
    <w:rsid w:val="007F1A25"/>
    <w:rsid w:val="007F251E"/>
    <w:rsid w:val="007F27AC"/>
    <w:rsid w:val="007F2D11"/>
    <w:rsid w:val="007F2EDD"/>
    <w:rsid w:val="007F34FC"/>
    <w:rsid w:val="007F374B"/>
    <w:rsid w:val="007F3F1D"/>
    <w:rsid w:val="007F479A"/>
    <w:rsid w:val="007F4D56"/>
    <w:rsid w:val="007F4FF4"/>
    <w:rsid w:val="007F5428"/>
    <w:rsid w:val="007F547A"/>
    <w:rsid w:val="007F5697"/>
    <w:rsid w:val="007F585D"/>
    <w:rsid w:val="007F5EF9"/>
    <w:rsid w:val="007F616C"/>
    <w:rsid w:val="007F6624"/>
    <w:rsid w:val="007F6A75"/>
    <w:rsid w:val="007F6ABC"/>
    <w:rsid w:val="007F6BDD"/>
    <w:rsid w:val="007F6C3D"/>
    <w:rsid w:val="007F750F"/>
    <w:rsid w:val="007F758D"/>
    <w:rsid w:val="007F78B3"/>
    <w:rsid w:val="007F78D3"/>
    <w:rsid w:val="007F7BA5"/>
    <w:rsid w:val="007F7DB0"/>
    <w:rsid w:val="00800289"/>
    <w:rsid w:val="00801222"/>
    <w:rsid w:val="00801745"/>
    <w:rsid w:val="00801BE1"/>
    <w:rsid w:val="00801E00"/>
    <w:rsid w:val="008021A7"/>
    <w:rsid w:val="008025C9"/>
    <w:rsid w:val="0080306F"/>
    <w:rsid w:val="0080315F"/>
    <w:rsid w:val="00803182"/>
    <w:rsid w:val="00803240"/>
    <w:rsid w:val="00803A68"/>
    <w:rsid w:val="00803EA5"/>
    <w:rsid w:val="008042A5"/>
    <w:rsid w:val="00804D08"/>
    <w:rsid w:val="008061A6"/>
    <w:rsid w:val="008061AE"/>
    <w:rsid w:val="0080675A"/>
    <w:rsid w:val="00806ADD"/>
    <w:rsid w:val="00807242"/>
    <w:rsid w:val="008076DD"/>
    <w:rsid w:val="008079C8"/>
    <w:rsid w:val="00810225"/>
    <w:rsid w:val="0081038B"/>
    <w:rsid w:val="00811DE2"/>
    <w:rsid w:val="008123D2"/>
    <w:rsid w:val="00812E18"/>
    <w:rsid w:val="0081333C"/>
    <w:rsid w:val="0081351D"/>
    <w:rsid w:val="008135D6"/>
    <w:rsid w:val="00813B45"/>
    <w:rsid w:val="00813B91"/>
    <w:rsid w:val="0081414A"/>
    <w:rsid w:val="00814688"/>
    <w:rsid w:val="00815151"/>
    <w:rsid w:val="008155C7"/>
    <w:rsid w:val="00815613"/>
    <w:rsid w:val="00817766"/>
    <w:rsid w:val="00817C8C"/>
    <w:rsid w:val="0082012A"/>
    <w:rsid w:val="00820E99"/>
    <w:rsid w:val="00821918"/>
    <w:rsid w:val="00821E6E"/>
    <w:rsid w:val="00823615"/>
    <w:rsid w:val="00823961"/>
    <w:rsid w:val="008239D7"/>
    <w:rsid w:val="00823FD5"/>
    <w:rsid w:val="008244D5"/>
    <w:rsid w:val="00824785"/>
    <w:rsid w:val="00824AB2"/>
    <w:rsid w:val="00824B3F"/>
    <w:rsid w:val="00824C33"/>
    <w:rsid w:val="00824C51"/>
    <w:rsid w:val="00825631"/>
    <w:rsid w:val="00827056"/>
    <w:rsid w:val="00827167"/>
    <w:rsid w:val="008275A0"/>
    <w:rsid w:val="00827FE7"/>
    <w:rsid w:val="00830450"/>
    <w:rsid w:val="008304C8"/>
    <w:rsid w:val="0083078C"/>
    <w:rsid w:val="008313C0"/>
    <w:rsid w:val="00831486"/>
    <w:rsid w:val="00832051"/>
    <w:rsid w:val="00832558"/>
    <w:rsid w:val="008325C5"/>
    <w:rsid w:val="00832A9E"/>
    <w:rsid w:val="00832AD0"/>
    <w:rsid w:val="00832BDF"/>
    <w:rsid w:val="008330EB"/>
    <w:rsid w:val="00833CC8"/>
    <w:rsid w:val="0083403E"/>
    <w:rsid w:val="008342AA"/>
    <w:rsid w:val="008348FA"/>
    <w:rsid w:val="00834AF5"/>
    <w:rsid w:val="00835135"/>
    <w:rsid w:val="00835B37"/>
    <w:rsid w:val="00835BF6"/>
    <w:rsid w:val="00835FA1"/>
    <w:rsid w:val="00836082"/>
    <w:rsid w:val="00836A0D"/>
    <w:rsid w:val="00836C98"/>
    <w:rsid w:val="00837AE8"/>
    <w:rsid w:val="00837D8F"/>
    <w:rsid w:val="008400A2"/>
    <w:rsid w:val="0084051B"/>
    <w:rsid w:val="0084071F"/>
    <w:rsid w:val="00840A96"/>
    <w:rsid w:val="00840E49"/>
    <w:rsid w:val="00841336"/>
    <w:rsid w:val="00841A06"/>
    <w:rsid w:val="00841A9C"/>
    <w:rsid w:val="00841C12"/>
    <w:rsid w:val="00841E28"/>
    <w:rsid w:val="00842CC2"/>
    <w:rsid w:val="00843010"/>
    <w:rsid w:val="00843871"/>
    <w:rsid w:val="00843B6F"/>
    <w:rsid w:val="00843D8E"/>
    <w:rsid w:val="00844AD2"/>
    <w:rsid w:val="00844BDE"/>
    <w:rsid w:val="00844CAA"/>
    <w:rsid w:val="00845733"/>
    <w:rsid w:val="008459FC"/>
    <w:rsid w:val="00845D87"/>
    <w:rsid w:val="00846215"/>
    <w:rsid w:val="00846370"/>
    <w:rsid w:val="00846419"/>
    <w:rsid w:val="00846BD0"/>
    <w:rsid w:val="00847D07"/>
    <w:rsid w:val="00847FA7"/>
    <w:rsid w:val="00850562"/>
    <w:rsid w:val="008506B1"/>
    <w:rsid w:val="0085179C"/>
    <w:rsid w:val="008519E3"/>
    <w:rsid w:val="00851DE1"/>
    <w:rsid w:val="008526BA"/>
    <w:rsid w:val="00853116"/>
    <w:rsid w:val="00853CB3"/>
    <w:rsid w:val="0085406A"/>
    <w:rsid w:val="00854C71"/>
    <w:rsid w:val="00855434"/>
    <w:rsid w:val="008558A6"/>
    <w:rsid w:val="00855E40"/>
    <w:rsid w:val="00856032"/>
    <w:rsid w:val="0085653D"/>
    <w:rsid w:val="00856597"/>
    <w:rsid w:val="00856A43"/>
    <w:rsid w:val="00856C49"/>
    <w:rsid w:val="0085792A"/>
    <w:rsid w:val="00857A75"/>
    <w:rsid w:val="00857F68"/>
    <w:rsid w:val="00860666"/>
    <w:rsid w:val="00860A8D"/>
    <w:rsid w:val="00860CAF"/>
    <w:rsid w:val="008611FF"/>
    <w:rsid w:val="008614C4"/>
    <w:rsid w:val="00861692"/>
    <w:rsid w:val="00861B05"/>
    <w:rsid w:val="00861CBB"/>
    <w:rsid w:val="00862740"/>
    <w:rsid w:val="008629F2"/>
    <w:rsid w:val="00862D0D"/>
    <w:rsid w:val="00863057"/>
    <w:rsid w:val="008635A0"/>
    <w:rsid w:val="00863C19"/>
    <w:rsid w:val="00863DD9"/>
    <w:rsid w:val="00864120"/>
    <w:rsid w:val="008641A2"/>
    <w:rsid w:val="0086423E"/>
    <w:rsid w:val="008646C3"/>
    <w:rsid w:val="00864735"/>
    <w:rsid w:val="00864CB2"/>
    <w:rsid w:val="00864EBE"/>
    <w:rsid w:val="00864F68"/>
    <w:rsid w:val="0086524C"/>
    <w:rsid w:val="00865B6E"/>
    <w:rsid w:val="008668DD"/>
    <w:rsid w:val="00867354"/>
    <w:rsid w:val="0087122F"/>
    <w:rsid w:val="00871315"/>
    <w:rsid w:val="00871556"/>
    <w:rsid w:val="008715A5"/>
    <w:rsid w:val="008720F5"/>
    <w:rsid w:val="008728D9"/>
    <w:rsid w:val="0087327F"/>
    <w:rsid w:val="00873848"/>
    <w:rsid w:val="00873C8C"/>
    <w:rsid w:val="00873D39"/>
    <w:rsid w:val="00873FCC"/>
    <w:rsid w:val="00874311"/>
    <w:rsid w:val="0087444B"/>
    <w:rsid w:val="008748C2"/>
    <w:rsid w:val="00874903"/>
    <w:rsid w:val="00874FBC"/>
    <w:rsid w:val="00875098"/>
    <w:rsid w:val="00875A50"/>
    <w:rsid w:val="00876341"/>
    <w:rsid w:val="00876BB2"/>
    <w:rsid w:val="00876C3A"/>
    <w:rsid w:val="00876F7E"/>
    <w:rsid w:val="00876FE1"/>
    <w:rsid w:val="00877102"/>
    <w:rsid w:val="00877589"/>
    <w:rsid w:val="00880A4B"/>
    <w:rsid w:val="008810D6"/>
    <w:rsid w:val="0088188D"/>
    <w:rsid w:val="0088188F"/>
    <w:rsid w:val="00881F57"/>
    <w:rsid w:val="00882470"/>
    <w:rsid w:val="0088267E"/>
    <w:rsid w:val="00883727"/>
    <w:rsid w:val="00883850"/>
    <w:rsid w:val="00883FEA"/>
    <w:rsid w:val="008847E3"/>
    <w:rsid w:val="00884C9B"/>
    <w:rsid w:val="008856DC"/>
    <w:rsid w:val="00885A84"/>
    <w:rsid w:val="00885B6E"/>
    <w:rsid w:val="00885D37"/>
    <w:rsid w:val="00885FBF"/>
    <w:rsid w:val="0088659B"/>
    <w:rsid w:val="00886715"/>
    <w:rsid w:val="00886D0F"/>
    <w:rsid w:val="00886E0A"/>
    <w:rsid w:val="00887824"/>
    <w:rsid w:val="00887ACC"/>
    <w:rsid w:val="00887B95"/>
    <w:rsid w:val="00887CE2"/>
    <w:rsid w:val="00887E62"/>
    <w:rsid w:val="00887E82"/>
    <w:rsid w:val="0089040E"/>
    <w:rsid w:val="00890514"/>
    <w:rsid w:val="0089129B"/>
    <w:rsid w:val="008913CB"/>
    <w:rsid w:val="00891E99"/>
    <w:rsid w:val="00891F0C"/>
    <w:rsid w:val="008926BD"/>
    <w:rsid w:val="008929B6"/>
    <w:rsid w:val="008929FC"/>
    <w:rsid w:val="00892FA3"/>
    <w:rsid w:val="00893626"/>
    <w:rsid w:val="00893655"/>
    <w:rsid w:val="00893EF4"/>
    <w:rsid w:val="00894019"/>
    <w:rsid w:val="00894E7F"/>
    <w:rsid w:val="0089520E"/>
    <w:rsid w:val="008952A0"/>
    <w:rsid w:val="00895752"/>
    <w:rsid w:val="0089587D"/>
    <w:rsid w:val="0089590E"/>
    <w:rsid w:val="00895C1E"/>
    <w:rsid w:val="00895EDF"/>
    <w:rsid w:val="00895F77"/>
    <w:rsid w:val="00896010"/>
    <w:rsid w:val="008963D3"/>
    <w:rsid w:val="00896BFB"/>
    <w:rsid w:val="008972E5"/>
    <w:rsid w:val="008A0293"/>
    <w:rsid w:val="008A0300"/>
    <w:rsid w:val="008A08B8"/>
    <w:rsid w:val="008A0923"/>
    <w:rsid w:val="008A1A8E"/>
    <w:rsid w:val="008A1BBD"/>
    <w:rsid w:val="008A1E21"/>
    <w:rsid w:val="008A1E93"/>
    <w:rsid w:val="008A21D3"/>
    <w:rsid w:val="008A2899"/>
    <w:rsid w:val="008A2A5A"/>
    <w:rsid w:val="008A2AAA"/>
    <w:rsid w:val="008A2B1D"/>
    <w:rsid w:val="008A30C5"/>
    <w:rsid w:val="008A34FE"/>
    <w:rsid w:val="008A3570"/>
    <w:rsid w:val="008A36D5"/>
    <w:rsid w:val="008A3981"/>
    <w:rsid w:val="008A39D9"/>
    <w:rsid w:val="008A3D68"/>
    <w:rsid w:val="008A3F4B"/>
    <w:rsid w:val="008A4B8A"/>
    <w:rsid w:val="008A636B"/>
    <w:rsid w:val="008A6C77"/>
    <w:rsid w:val="008A73B4"/>
    <w:rsid w:val="008A7963"/>
    <w:rsid w:val="008A7A55"/>
    <w:rsid w:val="008B033D"/>
    <w:rsid w:val="008B05F8"/>
    <w:rsid w:val="008B0639"/>
    <w:rsid w:val="008B0A77"/>
    <w:rsid w:val="008B0EC7"/>
    <w:rsid w:val="008B13C6"/>
    <w:rsid w:val="008B17AD"/>
    <w:rsid w:val="008B1F32"/>
    <w:rsid w:val="008B1F5B"/>
    <w:rsid w:val="008B22AD"/>
    <w:rsid w:val="008B32C8"/>
    <w:rsid w:val="008B38FA"/>
    <w:rsid w:val="008B3BE0"/>
    <w:rsid w:val="008B3FA6"/>
    <w:rsid w:val="008B44AF"/>
    <w:rsid w:val="008B4C53"/>
    <w:rsid w:val="008B5235"/>
    <w:rsid w:val="008B5310"/>
    <w:rsid w:val="008B5A33"/>
    <w:rsid w:val="008B5C67"/>
    <w:rsid w:val="008B5CE9"/>
    <w:rsid w:val="008B5EF4"/>
    <w:rsid w:val="008B786F"/>
    <w:rsid w:val="008B7AF4"/>
    <w:rsid w:val="008B7CC5"/>
    <w:rsid w:val="008C158B"/>
    <w:rsid w:val="008C170B"/>
    <w:rsid w:val="008C1DD6"/>
    <w:rsid w:val="008C1E19"/>
    <w:rsid w:val="008C1FB1"/>
    <w:rsid w:val="008C2107"/>
    <w:rsid w:val="008C2132"/>
    <w:rsid w:val="008C219F"/>
    <w:rsid w:val="008C24E4"/>
    <w:rsid w:val="008C2545"/>
    <w:rsid w:val="008C2720"/>
    <w:rsid w:val="008C2ECC"/>
    <w:rsid w:val="008C3103"/>
    <w:rsid w:val="008C31EF"/>
    <w:rsid w:val="008C3529"/>
    <w:rsid w:val="008C46E3"/>
    <w:rsid w:val="008C4A6F"/>
    <w:rsid w:val="008C4C86"/>
    <w:rsid w:val="008C52E1"/>
    <w:rsid w:val="008C577F"/>
    <w:rsid w:val="008C5AAF"/>
    <w:rsid w:val="008C6254"/>
    <w:rsid w:val="008C6834"/>
    <w:rsid w:val="008C7749"/>
    <w:rsid w:val="008C7C6D"/>
    <w:rsid w:val="008C7CB2"/>
    <w:rsid w:val="008D0C71"/>
    <w:rsid w:val="008D1062"/>
    <w:rsid w:val="008D12C5"/>
    <w:rsid w:val="008D1842"/>
    <w:rsid w:val="008D1B13"/>
    <w:rsid w:val="008D1B44"/>
    <w:rsid w:val="008D1C04"/>
    <w:rsid w:val="008D1D1D"/>
    <w:rsid w:val="008D213B"/>
    <w:rsid w:val="008D2C8A"/>
    <w:rsid w:val="008D2DEA"/>
    <w:rsid w:val="008D3634"/>
    <w:rsid w:val="008D4144"/>
    <w:rsid w:val="008D45E6"/>
    <w:rsid w:val="008D45F9"/>
    <w:rsid w:val="008D4D69"/>
    <w:rsid w:val="008D5386"/>
    <w:rsid w:val="008D5AA0"/>
    <w:rsid w:val="008D64B1"/>
    <w:rsid w:val="008D682D"/>
    <w:rsid w:val="008D6F7B"/>
    <w:rsid w:val="008D70C3"/>
    <w:rsid w:val="008D738B"/>
    <w:rsid w:val="008D792A"/>
    <w:rsid w:val="008D7972"/>
    <w:rsid w:val="008D7A7C"/>
    <w:rsid w:val="008D7B86"/>
    <w:rsid w:val="008E077C"/>
    <w:rsid w:val="008E0BC7"/>
    <w:rsid w:val="008E1457"/>
    <w:rsid w:val="008E1676"/>
    <w:rsid w:val="008E1BB2"/>
    <w:rsid w:val="008E1EA2"/>
    <w:rsid w:val="008E37FA"/>
    <w:rsid w:val="008E3C3B"/>
    <w:rsid w:val="008E44C4"/>
    <w:rsid w:val="008E4661"/>
    <w:rsid w:val="008E4719"/>
    <w:rsid w:val="008E4B1D"/>
    <w:rsid w:val="008E4BE2"/>
    <w:rsid w:val="008E500B"/>
    <w:rsid w:val="008E54F2"/>
    <w:rsid w:val="008E551E"/>
    <w:rsid w:val="008E56AB"/>
    <w:rsid w:val="008E5E52"/>
    <w:rsid w:val="008E5F33"/>
    <w:rsid w:val="008E5F5B"/>
    <w:rsid w:val="008E6A00"/>
    <w:rsid w:val="008E6B69"/>
    <w:rsid w:val="008E7562"/>
    <w:rsid w:val="008E7A0B"/>
    <w:rsid w:val="008F02C0"/>
    <w:rsid w:val="008F042C"/>
    <w:rsid w:val="008F0486"/>
    <w:rsid w:val="008F09EF"/>
    <w:rsid w:val="008F0E34"/>
    <w:rsid w:val="008F0F84"/>
    <w:rsid w:val="008F1227"/>
    <w:rsid w:val="008F225A"/>
    <w:rsid w:val="008F25D9"/>
    <w:rsid w:val="008F2CBA"/>
    <w:rsid w:val="008F32F4"/>
    <w:rsid w:val="008F37E3"/>
    <w:rsid w:val="008F3A01"/>
    <w:rsid w:val="008F3FE7"/>
    <w:rsid w:val="008F42E4"/>
    <w:rsid w:val="008F441D"/>
    <w:rsid w:val="008F519B"/>
    <w:rsid w:val="008F5779"/>
    <w:rsid w:val="008F6058"/>
    <w:rsid w:val="008F6278"/>
    <w:rsid w:val="008F6769"/>
    <w:rsid w:val="008F6E89"/>
    <w:rsid w:val="008F7257"/>
    <w:rsid w:val="008F73B4"/>
    <w:rsid w:val="008F7450"/>
    <w:rsid w:val="008F7DE8"/>
    <w:rsid w:val="008F7F73"/>
    <w:rsid w:val="009002E6"/>
    <w:rsid w:val="009006FD"/>
    <w:rsid w:val="009009AD"/>
    <w:rsid w:val="00900A57"/>
    <w:rsid w:val="00900C8D"/>
    <w:rsid w:val="00901755"/>
    <w:rsid w:val="0090205A"/>
    <w:rsid w:val="0090238B"/>
    <w:rsid w:val="0090289A"/>
    <w:rsid w:val="00902DBE"/>
    <w:rsid w:val="009031F5"/>
    <w:rsid w:val="009032B6"/>
    <w:rsid w:val="0090352E"/>
    <w:rsid w:val="0090366F"/>
    <w:rsid w:val="00903A06"/>
    <w:rsid w:val="00903A56"/>
    <w:rsid w:val="00903A92"/>
    <w:rsid w:val="00903A97"/>
    <w:rsid w:val="00903EA0"/>
    <w:rsid w:val="009040FC"/>
    <w:rsid w:val="00904355"/>
    <w:rsid w:val="00904445"/>
    <w:rsid w:val="0090497B"/>
    <w:rsid w:val="0090584E"/>
    <w:rsid w:val="00905A4E"/>
    <w:rsid w:val="00905F73"/>
    <w:rsid w:val="00906C0D"/>
    <w:rsid w:val="00906D69"/>
    <w:rsid w:val="00906DE0"/>
    <w:rsid w:val="009071FB"/>
    <w:rsid w:val="0090741D"/>
    <w:rsid w:val="009105A3"/>
    <w:rsid w:val="00910C22"/>
    <w:rsid w:val="00911CF0"/>
    <w:rsid w:val="00912951"/>
    <w:rsid w:val="009129F0"/>
    <w:rsid w:val="00912B9D"/>
    <w:rsid w:val="00912D27"/>
    <w:rsid w:val="00913068"/>
    <w:rsid w:val="00913597"/>
    <w:rsid w:val="009138E3"/>
    <w:rsid w:val="009146ED"/>
    <w:rsid w:val="00914D9F"/>
    <w:rsid w:val="00914DD3"/>
    <w:rsid w:val="009153FA"/>
    <w:rsid w:val="00916273"/>
    <w:rsid w:val="0091644B"/>
    <w:rsid w:val="00916826"/>
    <w:rsid w:val="00916E4D"/>
    <w:rsid w:val="009174B0"/>
    <w:rsid w:val="0092031C"/>
    <w:rsid w:val="00920578"/>
    <w:rsid w:val="009205BA"/>
    <w:rsid w:val="0092082A"/>
    <w:rsid w:val="00920A39"/>
    <w:rsid w:val="00920E32"/>
    <w:rsid w:val="00921F57"/>
    <w:rsid w:val="009229CD"/>
    <w:rsid w:val="00922F24"/>
    <w:rsid w:val="00923269"/>
    <w:rsid w:val="00923505"/>
    <w:rsid w:val="00923510"/>
    <w:rsid w:val="00923527"/>
    <w:rsid w:val="00923621"/>
    <w:rsid w:val="00923F24"/>
    <w:rsid w:val="009245CE"/>
    <w:rsid w:val="00925B0B"/>
    <w:rsid w:val="00925EF8"/>
    <w:rsid w:val="00925F3B"/>
    <w:rsid w:val="00926F12"/>
    <w:rsid w:val="009278A6"/>
    <w:rsid w:val="009279CB"/>
    <w:rsid w:val="00927C0B"/>
    <w:rsid w:val="00927D82"/>
    <w:rsid w:val="00927DD2"/>
    <w:rsid w:val="00930068"/>
    <w:rsid w:val="009302C6"/>
    <w:rsid w:val="00930FFD"/>
    <w:rsid w:val="009313DA"/>
    <w:rsid w:val="009319A3"/>
    <w:rsid w:val="00931CC2"/>
    <w:rsid w:val="009322C8"/>
    <w:rsid w:val="00933D2B"/>
    <w:rsid w:val="00934000"/>
    <w:rsid w:val="009359FA"/>
    <w:rsid w:val="00935C84"/>
    <w:rsid w:val="00935DAF"/>
    <w:rsid w:val="0093614B"/>
    <w:rsid w:val="00936763"/>
    <w:rsid w:val="009368F3"/>
    <w:rsid w:val="00936A1B"/>
    <w:rsid w:val="00936F97"/>
    <w:rsid w:val="00937E0B"/>
    <w:rsid w:val="00940216"/>
    <w:rsid w:val="0094085D"/>
    <w:rsid w:val="00940A45"/>
    <w:rsid w:val="00941495"/>
    <w:rsid w:val="009417B6"/>
    <w:rsid w:val="009417F9"/>
    <w:rsid w:val="00941985"/>
    <w:rsid w:val="009419EA"/>
    <w:rsid w:val="009420B9"/>
    <w:rsid w:val="00942114"/>
    <w:rsid w:val="0094235B"/>
    <w:rsid w:val="00942BCF"/>
    <w:rsid w:val="009436B8"/>
    <w:rsid w:val="0094384D"/>
    <w:rsid w:val="00943BEA"/>
    <w:rsid w:val="00943C31"/>
    <w:rsid w:val="00944034"/>
    <w:rsid w:val="009449C8"/>
    <w:rsid w:val="00945BB9"/>
    <w:rsid w:val="00945D73"/>
    <w:rsid w:val="00945E00"/>
    <w:rsid w:val="009465A6"/>
    <w:rsid w:val="00946F20"/>
    <w:rsid w:val="00946FE8"/>
    <w:rsid w:val="00947006"/>
    <w:rsid w:val="00947270"/>
    <w:rsid w:val="0095004F"/>
    <w:rsid w:val="00950314"/>
    <w:rsid w:val="009506E6"/>
    <w:rsid w:val="00950B3A"/>
    <w:rsid w:val="00950BE9"/>
    <w:rsid w:val="00951401"/>
    <w:rsid w:val="00951435"/>
    <w:rsid w:val="00951828"/>
    <w:rsid w:val="00951CA9"/>
    <w:rsid w:val="00951E18"/>
    <w:rsid w:val="00951F84"/>
    <w:rsid w:val="0095203E"/>
    <w:rsid w:val="009524A7"/>
    <w:rsid w:val="00952FF8"/>
    <w:rsid w:val="009534FC"/>
    <w:rsid w:val="00953578"/>
    <w:rsid w:val="00953A62"/>
    <w:rsid w:val="0095402E"/>
    <w:rsid w:val="00954698"/>
    <w:rsid w:val="009547F1"/>
    <w:rsid w:val="00954E45"/>
    <w:rsid w:val="009557BD"/>
    <w:rsid w:val="00955CA5"/>
    <w:rsid w:val="009577D0"/>
    <w:rsid w:val="009604A1"/>
    <w:rsid w:val="00960610"/>
    <w:rsid w:val="00960653"/>
    <w:rsid w:val="00960A56"/>
    <w:rsid w:val="00960A86"/>
    <w:rsid w:val="00960DE9"/>
    <w:rsid w:val="0096126C"/>
    <w:rsid w:val="0096243D"/>
    <w:rsid w:val="00962774"/>
    <w:rsid w:val="009629B9"/>
    <w:rsid w:val="00962F7E"/>
    <w:rsid w:val="009631A4"/>
    <w:rsid w:val="009639EC"/>
    <w:rsid w:val="00964E60"/>
    <w:rsid w:val="00964ECC"/>
    <w:rsid w:val="00965498"/>
    <w:rsid w:val="00965614"/>
    <w:rsid w:val="009658DA"/>
    <w:rsid w:val="00965F39"/>
    <w:rsid w:val="00967125"/>
    <w:rsid w:val="0096729D"/>
    <w:rsid w:val="0096767F"/>
    <w:rsid w:val="00967D2B"/>
    <w:rsid w:val="00967D6D"/>
    <w:rsid w:val="00970503"/>
    <w:rsid w:val="009711FC"/>
    <w:rsid w:val="009717D3"/>
    <w:rsid w:val="00971979"/>
    <w:rsid w:val="00971B00"/>
    <w:rsid w:val="00971CB8"/>
    <w:rsid w:val="00972140"/>
    <w:rsid w:val="00972169"/>
    <w:rsid w:val="00972592"/>
    <w:rsid w:val="00972BFD"/>
    <w:rsid w:val="00972BFE"/>
    <w:rsid w:val="00972D3C"/>
    <w:rsid w:val="009730CC"/>
    <w:rsid w:val="009735EF"/>
    <w:rsid w:val="00973841"/>
    <w:rsid w:val="00973BC4"/>
    <w:rsid w:val="00974705"/>
    <w:rsid w:val="009747DF"/>
    <w:rsid w:val="00974A00"/>
    <w:rsid w:val="00974A3E"/>
    <w:rsid w:val="00974B2C"/>
    <w:rsid w:val="009759B3"/>
    <w:rsid w:val="00975A0C"/>
    <w:rsid w:val="00976235"/>
    <w:rsid w:val="009765B7"/>
    <w:rsid w:val="009765ED"/>
    <w:rsid w:val="0097670D"/>
    <w:rsid w:val="00976970"/>
    <w:rsid w:val="00976EE7"/>
    <w:rsid w:val="00976F1F"/>
    <w:rsid w:val="009773EB"/>
    <w:rsid w:val="009777A2"/>
    <w:rsid w:val="00980702"/>
    <w:rsid w:val="0098079C"/>
    <w:rsid w:val="00980904"/>
    <w:rsid w:val="009818C9"/>
    <w:rsid w:val="009819CA"/>
    <w:rsid w:val="00981B3E"/>
    <w:rsid w:val="00981D13"/>
    <w:rsid w:val="0098204A"/>
    <w:rsid w:val="009823E5"/>
    <w:rsid w:val="009829EA"/>
    <w:rsid w:val="00983BCE"/>
    <w:rsid w:val="0098506F"/>
    <w:rsid w:val="0098529D"/>
    <w:rsid w:val="00985FE7"/>
    <w:rsid w:val="0098624A"/>
    <w:rsid w:val="00986EDF"/>
    <w:rsid w:val="0098702B"/>
    <w:rsid w:val="009872BD"/>
    <w:rsid w:val="009877CC"/>
    <w:rsid w:val="00987953"/>
    <w:rsid w:val="0099023B"/>
    <w:rsid w:val="00990894"/>
    <w:rsid w:val="00990AE8"/>
    <w:rsid w:val="009910C7"/>
    <w:rsid w:val="00991F2B"/>
    <w:rsid w:val="00992A26"/>
    <w:rsid w:val="00992A76"/>
    <w:rsid w:val="00992B3F"/>
    <w:rsid w:val="00992C3A"/>
    <w:rsid w:val="00992D82"/>
    <w:rsid w:val="00993315"/>
    <w:rsid w:val="00994A28"/>
    <w:rsid w:val="00994AAF"/>
    <w:rsid w:val="009953CE"/>
    <w:rsid w:val="00995FF3"/>
    <w:rsid w:val="00996628"/>
    <w:rsid w:val="0099664E"/>
    <w:rsid w:val="00996732"/>
    <w:rsid w:val="00996760"/>
    <w:rsid w:val="009968D8"/>
    <w:rsid w:val="009968EE"/>
    <w:rsid w:val="00996A40"/>
    <w:rsid w:val="00996BD9"/>
    <w:rsid w:val="00996F3C"/>
    <w:rsid w:val="00996F5F"/>
    <w:rsid w:val="0099713D"/>
    <w:rsid w:val="00997A6E"/>
    <w:rsid w:val="00997C9A"/>
    <w:rsid w:val="009A031B"/>
    <w:rsid w:val="009A0ECE"/>
    <w:rsid w:val="009A0FB7"/>
    <w:rsid w:val="009A1571"/>
    <w:rsid w:val="009A15C0"/>
    <w:rsid w:val="009A19A9"/>
    <w:rsid w:val="009A1B0D"/>
    <w:rsid w:val="009A23F7"/>
    <w:rsid w:val="009A2611"/>
    <w:rsid w:val="009A26BE"/>
    <w:rsid w:val="009A27E0"/>
    <w:rsid w:val="009A29D5"/>
    <w:rsid w:val="009A2E3D"/>
    <w:rsid w:val="009A321E"/>
    <w:rsid w:val="009A361B"/>
    <w:rsid w:val="009A3B31"/>
    <w:rsid w:val="009A4429"/>
    <w:rsid w:val="009A4858"/>
    <w:rsid w:val="009A4E9A"/>
    <w:rsid w:val="009A5873"/>
    <w:rsid w:val="009A60A1"/>
    <w:rsid w:val="009A6177"/>
    <w:rsid w:val="009A6A06"/>
    <w:rsid w:val="009A6D13"/>
    <w:rsid w:val="009A6D2A"/>
    <w:rsid w:val="009A6FB8"/>
    <w:rsid w:val="009A70AE"/>
    <w:rsid w:val="009A756E"/>
    <w:rsid w:val="009A7B91"/>
    <w:rsid w:val="009A7EC1"/>
    <w:rsid w:val="009B0060"/>
    <w:rsid w:val="009B0ADB"/>
    <w:rsid w:val="009B0F4A"/>
    <w:rsid w:val="009B1522"/>
    <w:rsid w:val="009B1A1A"/>
    <w:rsid w:val="009B1D88"/>
    <w:rsid w:val="009B22F5"/>
    <w:rsid w:val="009B23A6"/>
    <w:rsid w:val="009B25DC"/>
    <w:rsid w:val="009B3062"/>
    <w:rsid w:val="009B31B6"/>
    <w:rsid w:val="009B3341"/>
    <w:rsid w:val="009B3648"/>
    <w:rsid w:val="009B4672"/>
    <w:rsid w:val="009B4768"/>
    <w:rsid w:val="009B4A16"/>
    <w:rsid w:val="009B4A30"/>
    <w:rsid w:val="009B5A3B"/>
    <w:rsid w:val="009B625E"/>
    <w:rsid w:val="009B6566"/>
    <w:rsid w:val="009B67AB"/>
    <w:rsid w:val="009B76F5"/>
    <w:rsid w:val="009C0443"/>
    <w:rsid w:val="009C071A"/>
    <w:rsid w:val="009C13F1"/>
    <w:rsid w:val="009C1C84"/>
    <w:rsid w:val="009C2142"/>
    <w:rsid w:val="009C2288"/>
    <w:rsid w:val="009C25FD"/>
    <w:rsid w:val="009C2681"/>
    <w:rsid w:val="009C2856"/>
    <w:rsid w:val="009C2A1E"/>
    <w:rsid w:val="009C2C64"/>
    <w:rsid w:val="009C2DB6"/>
    <w:rsid w:val="009C2EA2"/>
    <w:rsid w:val="009C2F8B"/>
    <w:rsid w:val="009C35C7"/>
    <w:rsid w:val="009C3D0F"/>
    <w:rsid w:val="009C43C8"/>
    <w:rsid w:val="009C448C"/>
    <w:rsid w:val="009C4E30"/>
    <w:rsid w:val="009C5B1A"/>
    <w:rsid w:val="009C5BBF"/>
    <w:rsid w:val="009C5D12"/>
    <w:rsid w:val="009C5E4E"/>
    <w:rsid w:val="009C668C"/>
    <w:rsid w:val="009C6F03"/>
    <w:rsid w:val="009C7274"/>
    <w:rsid w:val="009C757E"/>
    <w:rsid w:val="009C76A4"/>
    <w:rsid w:val="009C78AA"/>
    <w:rsid w:val="009C7B59"/>
    <w:rsid w:val="009C7D1D"/>
    <w:rsid w:val="009D084A"/>
    <w:rsid w:val="009D0D56"/>
    <w:rsid w:val="009D1045"/>
    <w:rsid w:val="009D104B"/>
    <w:rsid w:val="009D1AEE"/>
    <w:rsid w:val="009D1B38"/>
    <w:rsid w:val="009D218F"/>
    <w:rsid w:val="009D2195"/>
    <w:rsid w:val="009D28E8"/>
    <w:rsid w:val="009D2B1E"/>
    <w:rsid w:val="009D2D1B"/>
    <w:rsid w:val="009D32E1"/>
    <w:rsid w:val="009D3E07"/>
    <w:rsid w:val="009D3E50"/>
    <w:rsid w:val="009D44F6"/>
    <w:rsid w:val="009D4562"/>
    <w:rsid w:val="009D4AF5"/>
    <w:rsid w:val="009D4F4B"/>
    <w:rsid w:val="009D52B2"/>
    <w:rsid w:val="009D5440"/>
    <w:rsid w:val="009D5E0B"/>
    <w:rsid w:val="009D61DD"/>
    <w:rsid w:val="009D6590"/>
    <w:rsid w:val="009D6CB5"/>
    <w:rsid w:val="009D71D6"/>
    <w:rsid w:val="009D7712"/>
    <w:rsid w:val="009D7727"/>
    <w:rsid w:val="009D783D"/>
    <w:rsid w:val="009D79C4"/>
    <w:rsid w:val="009D7DEB"/>
    <w:rsid w:val="009E006F"/>
    <w:rsid w:val="009E0204"/>
    <w:rsid w:val="009E02A1"/>
    <w:rsid w:val="009E041D"/>
    <w:rsid w:val="009E0783"/>
    <w:rsid w:val="009E0A33"/>
    <w:rsid w:val="009E0F1E"/>
    <w:rsid w:val="009E1124"/>
    <w:rsid w:val="009E1518"/>
    <w:rsid w:val="009E153E"/>
    <w:rsid w:val="009E17A6"/>
    <w:rsid w:val="009E19C6"/>
    <w:rsid w:val="009E1D38"/>
    <w:rsid w:val="009E1E8A"/>
    <w:rsid w:val="009E1F0C"/>
    <w:rsid w:val="009E2709"/>
    <w:rsid w:val="009E2808"/>
    <w:rsid w:val="009E2917"/>
    <w:rsid w:val="009E3132"/>
    <w:rsid w:val="009E3534"/>
    <w:rsid w:val="009E38A8"/>
    <w:rsid w:val="009E3B90"/>
    <w:rsid w:val="009E4068"/>
    <w:rsid w:val="009E4109"/>
    <w:rsid w:val="009E41CF"/>
    <w:rsid w:val="009E425F"/>
    <w:rsid w:val="009E428B"/>
    <w:rsid w:val="009E55AA"/>
    <w:rsid w:val="009E5683"/>
    <w:rsid w:val="009E5A59"/>
    <w:rsid w:val="009E6537"/>
    <w:rsid w:val="009E66FD"/>
    <w:rsid w:val="009E6ABE"/>
    <w:rsid w:val="009E6B50"/>
    <w:rsid w:val="009E6E2A"/>
    <w:rsid w:val="009E7097"/>
    <w:rsid w:val="009E73B8"/>
    <w:rsid w:val="009E7C6A"/>
    <w:rsid w:val="009E7DB1"/>
    <w:rsid w:val="009F13B0"/>
    <w:rsid w:val="009F1998"/>
    <w:rsid w:val="009F1E5C"/>
    <w:rsid w:val="009F2B4A"/>
    <w:rsid w:val="009F372F"/>
    <w:rsid w:val="009F3ACC"/>
    <w:rsid w:val="009F3FAD"/>
    <w:rsid w:val="009F4440"/>
    <w:rsid w:val="009F5894"/>
    <w:rsid w:val="009F744A"/>
    <w:rsid w:val="009F762C"/>
    <w:rsid w:val="009F7B5F"/>
    <w:rsid w:val="009F7CF5"/>
    <w:rsid w:val="00A00889"/>
    <w:rsid w:val="00A00B48"/>
    <w:rsid w:val="00A0209F"/>
    <w:rsid w:val="00A02573"/>
    <w:rsid w:val="00A03310"/>
    <w:rsid w:val="00A03D98"/>
    <w:rsid w:val="00A0427B"/>
    <w:rsid w:val="00A0437C"/>
    <w:rsid w:val="00A0443F"/>
    <w:rsid w:val="00A04C64"/>
    <w:rsid w:val="00A05A8E"/>
    <w:rsid w:val="00A05ACE"/>
    <w:rsid w:val="00A05C04"/>
    <w:rsid w:val="00A05E03"/>
    <w:rsid w:val="00A05F77"/>
    <w:rsid w:val="00A06274"/>
    <w:rsid w:val="00A06461"/>
    <w:rsid w:val="00A06576"/>
    <w:rsid w:val="00A065FF"/>
    <w:rsid w:val="00A069BC"/>
    <w:rsid w:val="00A06B49"/>
    <w:rsid w:val="00A07393"/>
    <w:rsid w:val="00A073FA"/>
    <w:rsid w:val="00A07F73"/>
    <w:rsid w:val="00A1015D"/>
    <w:rsid w:val="00A116F4"/>
    <w:rsid w:val="00A117EC"/>
    <w:rsid w:val="00A11C83"/>
    <w:rsid w:val="00A11D4F"/>
    <w:rsid w:val="00A11FE7"/>
    <w:rsid w:val="00A12320"/>
    <w:rsid w:val="00A1271E"/>
    <w:rsid w:val="00A12808"/>
    <w:rsid w:val="00A128C9"/>
    <w:rsid w:val="00A12A70"/>
    <w:rsid w:val="00A12EAE"/>
    <w:rsid w:val="00A1329E"/>
    <w:rsid w:val="00A13375"/>
    <w:rsid w:val="00A13A06"/>
    <w:rsid w:val="00A13BFC"/>
    <w:rsid w:val="00A13CB5"/>
    <w:rsid w:val="00A13E35"/>
    <w:rsid w:val="00A143C4"/>
    <w:rsid w:val="00A14BC3"/>
    <w:rsid w:val="00A14F53"/>
    <w:rsid w:val="00A14FE7"/>
    <w:rsid w:val="00A1500C"/>
    <w:rsid w:val="00A1570D"/>
    <w:rsid w:val="00A1596B"/>
    <w:rsid w:val="00A16116"/>
    <w:rsid w:val="00A16289"/>
    <w:rsid w:val="00A1725C"/>
    <w:rsid w:val="00A1787F"/>
    <w:rsid w:val="00A17D6C"/>
    <w:rsid w:val="00A2007E"/>
    <w:rsid w:val="00A2072D"/>
    <w:rsid w:val="00A20861"/>
    <w:rsid w:val="00A209BD"/>
    <w:rsid w:val="00A21295"/>
    <w:rsid w:val="00A21320"/>
    <w:rsid w:val="00A21BD2"/>
    <w:rsid w:val="00A21BFE"/>
    <w:rsid w:val="00A224E5"/>
    <w:rsid w:val="00A22B46"/>
    <w:rsid w:val="00A22D19"/>
    <w:rsid w:val="00A22D9F"/>
    <w:rsid w:val="00A23042"/>
    <w:rsid w:val="00A23579"/>
    <w:rsid w:val="00A23654"/>
    <w:rsid w:val="00A23789"/>
    <w:rsid w:val="00A24283"/>
    <w:rsid w:val="00A24DEF"/>
    <w:rsid w:val="00A252AB"/>
    <w:rsid w:val="00A25500"/>
    <w:rsid w:val="00A26DF0"/>
    <w:rsid w:val="00A27684"/>
    <w:rsid w:val="00A27DDE"/>
    <w:rsid w:val="00A30C0E"/>
    <w:rsid w:val="00A30FC0"/>
    <w:rsid w:val="00A31337"/>
    <w:rsid w:val="00A3239C"/>
    <w:rsid w:val="00A32623"/>
    <w:rsid w:val="00A3267C"/>
    <w:rsid w:val="00A32942"/>
    <w:rsid w:val="00A32DBC"/>
    <w:rsid w:val="00A33B4A"/>
    <w:rsid w:val="00A33C25"/>
    <w:rsid w:val="00A3407C"/>
    <w:rsid w:val="00A34402"/>
    <w:rsid w:val="00A34430"/>
    <w:rsid w:val="00A3448F"/>
    <w:rsid w:val="00A34998"/>
    <w:rsid w:val="00A34AC9"/>
    <w:rsid w:val="00A34EC8"/>
    <w:rsid w:val="00A35477"/>
    <w:rsid w:val="00A357E0"/>
    <w:rsid w:val="00A35913"/>
    <w:rsid w:val="00A35A92"/>
    <w:rsid w:val="00A35B76"/>
    <w:rsid w:val="00A35C0A"/>
    <w:rsid w:val="00A35DC1"/>
    <w:rsid w:val="00A35F0F"/>
    <w:rsid w:val="00A360BA"/>
    <w:rsid w:val="00A367EA"/>
    <w:rsid w:val="00A36BC3"/>
    <w:rsid w:val="00A37591"/>
    <w:rsid w:val="00A375B0"/>
    <w:rsid w:val="00A37910"/>
    <w:rsid w:val="00A37EA4"/>
    <w:rsid w:val="00A37F24"/>
    <w:rsid w:val="00A41B41"/>
    <w:rsid w:val="00A421B6"/>
    <w:rsid w:val="00A422F8"/>
    <w:rsid w:val="00A42705"/>
    <w:rsid w:val="00A42B5F"/>
    <w:rsid w:val="00A4321B"/>
    <w:rsid w:val="00A43A51"/>
    <w:rsid w:val="00A43F61"/>
    <w:rsid w:val="00A4473F"/>
    <w:rsid w:val="00A44D2E"/>
    <w:rsid w:val="00A458AB"/>
    <w:rsid w:val="00A45A38"/>
    <w:rsid w:val="00A464B9"/>
    <w:rsid w:val="00A466E6"/>
    <w:rsid w:val="00A4686D"/>
    <w:rsid w:val="00A46F77"/>
    <w:rsid w:val="00A46FD9"/>
    <w:rsid w:val="00A47365"/>
    <w:rsid w:val="00A4745D"/>
    <w:rsid w:val="00A47B74"/>
    <w:rsid w:val="00A5085D"/>
    <w:rsid w:val="00A508F0"/>
    <w:rsid w:val="00A50A00"/>
    <w:rsid w:val="00A50A67"/>
    <w:rsid w:val="00A50FFD"/>
    <w:rsid w:val="00A5117A"/>
    <w:rsid w:val="00A5151D"/>
    <w:rsid w:val="00A51E1B"/>
    <w:rsid w:val="00A5229D"/>
    <w:rsid w:val="00A52599"/>
    <w:rsid w:val="00A52669"/>
    <w:rsid w:val="00A5274E"/>
    <w:rsid w:val="00A5276D"/>
    <w:rsid w:val="00A52891"/>
    <w:rsid w:val="00A529DA"/>
    <w:rsid w:val="00A539C8"/>
    <w:rsid w:val="00A54003"/>
    <w:rsid w:val="00A54885"/>
    <w:rsid w:val="00A549B6"/>
    <w:rsid w:val="00A54CAC"/>
    <w:rsid w:val="00A54CBD"/>
    <w:rsid w:val="00A54E0C"/>
    <w:rsid w:val="00A55205"/>
    <w:rsid w:val="00A554EF"/>
    <w:rsid w:val="00A55B99"/>
    <w:rsid w:val="00A560D0"/>
    <w:rsid w:val="00A56357"/>
    <w:rsid w:val="00A57553"/>
    <w:rsid w:val="00A57799"/>
    <w:rsid w:val="00A57B5E"/>
    <w:rsid w:val="00A57D73"/>
    <w:rsid w:val="00A60042"/>
    <w:rsid w:val="00A601A0"/>
    <w:rsid w:val="00A60902"/>
    <w:rsid w:val="00A6096F"/>
    <w:rsid w:val="00A6099F"/>
    <w:rsid w:val="00A61192"/>
    <w:rsid w:val="00A6143A"/>
    <w:rsid w:val="00A61BA5"/>
    <w:rsid w:val="00A62058"/>
    <w:rsid w:val="00A622A2"/>
    <w:rsid w:val="00A62A0A"/>
    <w:rsid w:val="00A62D0A"/>
    <w:rsid w:val="00A62F49"/>
    <w:rsid w:val="00A62FA8"/>
    <w:rsid w:val="00A6302A"/>
    <w:rsid w:val="00A63045"/>
    <w:rsid w:val="00A6362E"/>
    <w:rsid w:val="00A637D7"/>
    <w:rsid w:val="00A63C90"/>
    <w:rsid w:val="00A63E1A"/>
    <w:rsid w:val="00A63F65"/>
    <w:rsid w:val="00A64617"/>
    <w:rsid w:val="00A64721"/>
    <w:rsid w:val="00A6497D"/>
    <w:rsid w:val="00A6635E"/>
    <w:rsid w:val="00A66638"/>
    <w:rsid w:val="00A667E9"/>
    <w:rsid w:val="00A66AAB"/>
    <w:rsid w:val="00A66D74"/>
    <w:rsid w:val="00A67050"/>
    <w:rsid w:val="00A6758C"/>
    <w:rsid w:val="00A67A7B"/>
    <w:rsid w:val="00A67E3F"/>
    <w:rsid w:val="00A70272"/>
    <w:rsid w:val="00A70386"/>
    <w:rsid w:val="00A708D8"/>
    <w:rsid w:val="00A71226"/>
    <w:rsid w:val="00A720E8"/>
    <w:rsid w:val="00A72209"/>
    <w:rsid w:val="00A7249C"/>
    <w:rsid w:val="00A7271A"/>
    <w:rsid w:val="00A749AD"/>
    <w:rsid w:val="00A74C5B"/>
    <w:rsid w:val="00A762AD"/>
    <w:rsid w:val="00A764D0"/>
    <w:rsid w:val="00A767A7"/>
    <w:rsid w:val="00A771AA"/>
    <w:rsid w:val="00A77699"/>
    <w:rsid w:val="00A77BE1"/>
    <w:rsid w:val="00A77CFF"/>
    <w:rsid w:val="00A80D18"/>
    <w:rsid w:val="00A811C9"/>
    <w:rsid w:val="00A81921"/>
    <w:rsid w:val="00A81C8B"/>
    <w:rsid w:val="00A822A7"/>
    <w:rsid w:val="00A8239E"/>
    <w:rsid w:val="00A82591"/>
    <w:rsid w:val="00A82B13"/>
    <w:rsid w:val="00A82B4B"/>
    <w:rsid w:val="00A838B0"/>
    <w:rsid w:val="00A83EFD"/>
    <w:rsid w:val="00A8404A"/>
    <w:rsid w:val="00A84050"/>
    <w:rsid w:val="00A85B60"/>
    <w:rsid w:val="00A85BA1"/>
    <w:rsid w:val="00A85BF3"/>
    <w:rsid w:val="00A85FD0"/>
    <w:rsid w:val="00A8733C"/>
    <w:rsid w:val="00A87574"/>
    <w:rsid w:val="00A877E0"/>
    <w:rsid w:val="00A87864"/>
    <w:rsid w:val="00A87C5F"/>
    <w:rsid w:val="00A90175"/>
    <w:rsid w:val="00A9022F"/>
    <w:rsid w:val="00A906C5"/>
    <w:rsid w:val="00A90D43"/>
    <w:rsid w:val="00A91111"/>
    <w:rsid w:val="00A91366"/>
    <w:rsid w:val="00A917D2"/>
    <w:rsid w:val="00A9183B"/>
    <w:rsid w:val="00A91B85"/>
    <w:rsid w:val="00A91D6B"/>
    <w:rsid w:val="00A9247E"/>
    <w:rsid w:val="00A927E8"/>
    <w:rsid w:val="00A92D11"/>
    <w:rsid w:val="00A930AA"/>
    <w:rsid w:val="00A9338D"/>
    <w:rsid w:val="00A93526"/>
    <w:rsid w:val="00A937F0"/>
    <w:rsid w:val="00A93A64"/>
    <w:rsid w:val="00A93F1F"/>
    <w:rsid w:val="00A94AB9"/>
    <w:rsid w:val="00A94D0D"/>
    <w:rsid w:val="00A9501E"/>
    <w:rsid w:val="00A954D6"/>
    <w:rsid w:val="00A955DC"/>
    <w:rsid w:val="00A95716"/>
    <w:rsid w:val="00A95891"/>
    <w:rsid w:val="00A95B3B"/>
    <w:rsid w:val="00A95DC6"/>
    <w:rsid w:val="00A95E71"/>
    <w:rsid w:val="00A96805"/>
    <w:rsid w:val="00A9680A"/>
    <w:rsid w:val="00A96C95"/>
    <w:rsid w:val="00A97991"/>
    <w:rsid w:val="00AA033D"/>
    <w:rsid w:val="00AA0A6C"/>
    <w:rsid w:val="00AA0D99"/>
    <w:rsid w:val="00AA0F5E"/>
    <w:rsid w:val="00AA10AD"/>
    <w:rsid w:val="00AA1187"/>
    <w:rsid w:val="00AA1602"/>
    <w:rsid w:val="00AA16EC"/>
    <w:rsid w:val="00AA1AC3"/>
    <w:rsid w:val="00AA1BE6"/>
    <w:rsid w:val="00AA1FDA"/>
    <w:rsid w:val="00AA2582"/>
    <w:rsid w:val="00AA29DD"/>
    <w:rsid w:val="00AA38EE"/>
    <w:rsid w:val="00AA4494"/>
    <w:rsid w:val="00AA4E08"/>
    <w:rsid w:val="00AA55A0"/>
    <w:rsid w:val="00AA5D4E"/>
    <w:rsid w:val="00AA638B"/>
    <w:rsid w:val="00AA689E"/>
    <w:rsid w:val="00AA6CA7"/>
    <w:rsid w:val="00AA6DC3"/>
    <w:rsid w:val="00AA73E3"/>
    <w:rsid w:val="00AA7546"/>
    <w:rsid w:val="00AB0411"/>
    <w:rsid w:val="00AB0B4A"/>
    <w:rsid w:val="00AB0FA9"/>
    <w:rsid w:val="00AB122F"/>
    <w:rsid w:val="00AB1454"/>
    <w:rsid w:val="00AB179B"/>
    <w:rsid w:val="00AB1975"/>
    <w:rsid w:val="00AB1BAA"/>
    <w:rsid w:val="00AB2017"/>
    <w:rsid w:val="00AB2305"/>
    <w:rsid w:val="00AB323E"/>
    <w:rsid w:val="00AB37E5"/>
    <w:rsid w:val="00AB4933"/>
    <w:rsid w:val="00AB4B6E"/>
    <w:rsid w:val="00AB5675"/>
    <w:rsid w:val="00AB670D"/>
    <w:rsid w:val="00AB6D18"/>
    <w:rsid w:val="00AB6D5A"/>
    <w:rsid w:val="00AB6D67"/>
    <w:rsid w:val="00AB7CAE"/>
    <w:rsid w:val="00AB7DE4"/>
    <w:rsid w:val="00AC029E"/>
    <w:rsid w:val="00AC08AF"/>
    <w:rsid w:val="00AC13DF"/>
    <w:rsid w:val="00AC157E"/>
    <w:rsid w:val="00AC1A73"/>
    <w:rsid w:val="00AC236B"/>
    <w:rsid w:val="00AC347D"/>
    <w:rsid w:val="00AC3DC8"/>
    <w:rsid w:val="00AC3FB2"/>
    <w:rsid w:val="00AC428D"/>
    <w:rsid w:val="00AC48D0"/>
    <w:rsid w:val="00AC5529"/>
    <w:rsid w:val="00AC5DFF"/>
    <w:rsid w:val="00AC6621"/>
    <w:rsid w:val="00AC688A"/>
    <w:rsid w:val="00AC6F89"/>
    <w:rsid w:val="00AC7107"/>
    <w:rsid w:val="00AC7B77"/>
    <w:rsid w:val="00AC7C1F"/>
    <w:rsid w:val="00AC7ED2"/>
    <w:rsid w:val="00AD08FF"/>
    <w:rsid w:val="00AD095C"/>
    <w:rsid w:val="00AD0F4C"/>
    <w:rsid w:val="00AD1039"/>
    <w:rsid w:val="00AD12A8"/>
    <w:rsid w:val="00AD1343"/>
    <w:rsid w:val="00AD15FD"/>
    <w:rsid w:val="00AD1693"/>
    <w:rsid w:val="00AD17D1"/>
    <w:rsid w:val="00AD18E4"/>
    <w:rsid w:val="00AD18F5"/>
    <w:rsid w:val="00AD197D"/>
    <w:rsid w:val="00AD19D1"/>
    <w:rsid w:val="00AD23B0"/>
    <w:rsid w:val="00AD2E91"/>
    <w:rsid w:val="00AD3536"/>
    <w:rsid w:val="00AD3568"/>
    <w:rsid w:val="00AD3612"/>
    <w:rsid w:val="00AD364F"/>
    <w:rsid w:val="00AD374E"/>
    <w:rsid w:val="00AD39E0"/>
    <w:rsid w:val="00AD3AAA"/>
    <w:rsid w:val="00AD3ED4"/>
    <w:rsid w:val="00AD48B6"/>
    <w:rsid w:val="00AD4F83"/>
    <w:rsid w:val="00AD5642"/>
    <w:rsid w:val="00AD584A"/>
    <w:rsid w:val="00AD5BB3"/>
    <w:rsid w:val="00AD5C36"/>
    <w:rsid w:val="00AD5EE6"/>
    <w:rsid w:val="00AD60B5"/>
    <w:rsid w:val="00AD6591"/>
    <w:rsid w:val="00AD6D4A"/>
    <w:rsid w:val="00AD7135"/>
    <w:rsid w:val="00AD71CD"/>
    <w:rsid w:val="00AD7774"/>
    <w:rsid w:val="00AD7D11"/>
    <w:rsid w:val="00AD7D24"/>
    <w:rsid w:val="00AD7F62"/>
    <w:rsid w:val="00AE00E8"/>
    <w:rsid w:val="00AE047B"/>
    <w:rsid w:val="00AE047F"/>
    <w:rsid w:val="00AE0573"/>
    <w:rsid w:val="00AE0581"/>
    <w:rsid w:val="00AE0664"/>
    <w:rsid w:val="00AE07B1"/>
    <w:rsid w:val="00AE18D3"/>
    <w:rsid w:val="00AE1CD2"/>
    <w:rsid w:val="00AE1D56"/>
    <w:rsid w:val="00AE281C"/>
    <w:rsid w:val="00AE28D2"/>
    <w:rsid w:val="00AE2B51"/>
    <w:rsid w:val="00AE308B"/>
    <w:rsid w:val="00AE3140"/>
    <w:rsid w:val="00AE339F"/>
    <w:rsid w:val="00AE3542"/>
    <w:rsid w:val="00AE361D"/>
    <w:rsid w:val="00AE3690"/>
    <w:rsid w:val="00AE3A23"/>
    <w:rsid w:val="00AE3E16"/>
    <w:rsid w:val="00AE4471"/>
    <w:rsid w:val="00AE460B"/>
    <w:rsid w:val="00AE4DAC"/>
    <w:rsid w:val="00AE5DA2"/>
    <w:rsid w:val="00AE60C0"/>
    <w:rsid w:val="00AE639D"/>
    <w:rsid w:val="00AE65BD"/>
    <w:rsid w:val="00AE6B13"/>
    <w:rsid w:val="00AE6DEF"/>
    <w:rsid w:val="00AE6F18"/>
    <w:rsid w:val="00AE71DC"/>
    <w:rsid w:val="00AE7A93"/>
    <w:rsid w:val="00AE7F55"/>
    <w:rsid w:val="00AF044C"/>
    <w:rsid w:val="00AF0982"/>
    <w:rsid w:val="00AF0CF9"/>
    <w:rsid w:val="00AF1063"/>
    <w:rsid w:val="00AF14F4"/>
    <w:rsid w:val="00AF16F6"/>
    <w:rsid w:val="00AF2299"/>
    <w:rsid w:val="00AF26C9"/>
    <w:rsid w:val="00AF2FDE"/>
    <w:rsid w:val="00AF3087"/>
    <w:rsid w:val="00AF3156"/>
    <w:rsid w:val="00AF3434"/>
    <w:rsid w:val="00AF343C"/>
    <w:rsid w:val="00AF3440"/>
    <w:rsid w:val="00AF3445"/>
    <w:rsid w:val="00AF39C3"/>
    <w:rsid w:val="00AF3AD8"/>
    <w:rsid w:val="00AF3BAA"/>
    <w:rsid w:val="00AF3CC1"/>
    <w:rsid w:val="00AF4110"/>
    <w:rsid w:val="00AF4702"/>
    <w:rsid w:val="00AF47FA"/>
    <w:rsid w:val="00AF4B98"/>
    <w:rsid w:val="00AF4F42"/>
    <w:rsid w:val="00AF5203"/>
    <w:rsid w:val="00AF52A9"/>
    <w:rsid w:val="00AF540F"/>
    <w:rsid w:val="00AF5513"/>
    <w:rsid w:val="00AF5A3F"/>
    <w:rsid w:val="00AF5C78"/>
    <w:rsid w:val="00AF6732"/>
    <w:rsid w:val="00AF6FBE"/>
    <w:rsid w:val="00AF72D0"/>
    <w:rsid w:val="00AF7B06"/>
    <w:rsid w:val="00AF7D1D"/>
    <w:rsid w:val="00AF7F80"/>
    <w:rsid w:val="00B00245"/>
    <w:rsid w:val="00B00708"/>
    <w:rsid w:val="00B0086E"/>
    <w:rsid w:val="00B00961"/>
    <w:rsid w:val="00B01519"/>
    <w:rsid w:val="00B0220A"/>
    <w:rsid w:val="00B026D4"/>
    <w:rsid w:val="00B02955"/>
    <w:rsid w:val="00B02C48"/>
    <w:rsid w:val="00B04368"/>
    <w:rsid w:val="00B0448D"/>
    <w:rsid w:val="00B04545"/>
    <w:rsid w:val="00B049CE"/>
    <w:rsid w:val="00B04AE6"/>
    <w:rsid w:val="00B04B2F"/>
    <w:rsid w:val="00B04BA9"/>
    <w:rsid w:val="00B05480"/>
    <w:rsid w:val="00B05543"/>
    <w:rsid w:val="00B055EA"/>
    <w:rsid w:val="00B0605A"/>
    <w:rsid w:val="00B062A3"/>
    <w:rsid w:val="00B069C3"/>
    <w:rsid w:val="00B06AD8"/>
    <w:rsid w:val="00B06C88"/>
    <w:rsid w:val="00B06DF2"/>
    <w:rsid w:val="00B07286"/>
    <w:rsid w:val="00B074FB"/>
    <w:rsid w:val="00B10522"/>
    <w:rsid w:val="00B1052C"/>
    <w:rsid w:val="00B10540"/>
    <w:rsid w:val="00B1065E"/>
    <w:rsid w:val="00B10667"/>
    <w:rsid w:val="00B12113"/>
    <w:rsid w:val="00B12171"/>
    <w:rsid w:val="00B1258D"/>
    <w:rsid w:val="00B12B12"/>
    <w:rsid w:val="00B13191"/>
    <w:rsid w:val="00B132B4"/>
    <w:rsid w:val="00B134AB"/>
    <w:rsid w:val="00B135E3"/>
    <w:rsid w:val="00B1381D"/>
    <w:rsid w:val="00B13EED"/>
    <w:rsid w:val="00B14485"/>
    <w:rsid w:val="00B14EAD"/>
    <w:rsid w:val="00B1507E"/>
    <w:rsid w:val="00B153CD"/>
    <w:rsid w:val="00B15E43"/>
    <w:rsid w:val="00B15F81"/>
    <w:rsid w:val="00B160D7"/>
    <w:rsid w:val="00B166EB"/>
    <w:rsid w:val="00B16A86"/>
    <w:rsid w:val="00B17083"/>
    <w:rsid w:val="00B17493"/>
    <w:rsid w:val="00B17D6A"/>
    <w:rsid w:val="00B20564"/>
    <w:rsid w:val="00B20739"/>
    <w:rsid w:val="00B20A57"/>
    <w:rsid w:val="00B20AB8"/>
    <w:rsid w:val="00B20E7B"/>
    <w:rsid w:val="00B21575"/>
    <w:rsid w:val="00B21A09"/>
    <w:rsid w:val="00B21B03"/>
    <w:rsid w:val="00B21D41"/>
    <w:rsid w:val="00B22576"/>
    <w:rsid w:val="00B2295D"/>
    <w:rsid w:val="00B22D73"/>
    <w:rsid w:val="00B233B4"/>
    <w:rsid w:val="00B23AC5"/>
    <w:rsid w:val="00B23AD9"/>
    <w:rsid w:val="00B24BEE"/>
    <w:rsid w:val="00B25082"/>
    <w:rsid w:val="00B251DF"/>
    <w:rsid w:val="00B254D9"/>
    <w:rsid w:val="00B25A32"/>
    <w:rsid w:val="00B25BD6"/>
    <w:rsid w:val="00B26058"/>
    <w:rsid w:val="00B26AE3"/>
    <w:rsid w:val="00B26D43"/>
    <w:rsid w:val="00B27065"/>
    <w:rsid w:val="00B2715F"/>
    <w:rsid w:val="00B2731A"/>
    <w:rsid w:val="00B27652"/>
    <w:rsid w:val="00B301E4"/>
    <w:rsid w:val="00B30740"/>
    <w:rsid w:val="00B30BBF"/>
    <w:rsid w:val="00B30BEF"/>
    <w:rsid w:val="00B30C21"/>
    <w:rsid w:val="00B3160F"/>
    <w:rsid w:val="00B317BA"/>
    <w:rsid w:val="00B31884"/>
    <w:rsid w:val="00B32169"/>
    <w:rsid w:val="00B32883"/>
    <w:rsid w:val="00B32E22"/>
    <w:rsid w:val="00B33388"/>
    <w:rsid w:val="00B336D8"/>
    <w:rsid w:val="00B33CD4"/>
    <w:rsid w:val="00B340BD"/>
    <w:rsid w:val="00B342EA"/>
    <w:rsid w:val="00B34A7F"/>
    <w:rsid w:val="00B35136"/>
    <w:rsid w:val="00B35495"/>
    <w:rsid w:val="00B35BA9"/>
    <w:rsid w:val="00B36B42"/>
    <w:rsid w:val="00B3739E"/>
    <w:rsid w:val="00B37545"/>
    <w:rsid w:val="00B3774E"/>
    <w:rsid w:val="00B37EB5"/>
    <w:rsid w:val="00B37F03"/>
    <w:rsid w:val="00B400C1"/>
    <w:rsid w:val="00B4035E"/>
    <w:rsid w:val="00B403F3"/>
    <w:rsid w:val="00B404FD"/>
    <w:rsid w:val="00B40C01"/>
    <w:rsid w:val="00B40EC1"/>
    <w:rsid w:val="00B414D9"/>
    <w:rsid w:val="00B41A51"/>
    <w:rsid w:val="00B41D66"/>
    <w:rsid w:val="00B42312"/>
    <w:rsid w:val="00B42B8B"/>
    <w:rsid w:val="00B43412"/>
    <w:rsid w:val="00B43B2F"/>
    <w:rsid w:val="00B43BD1"/>
    <w:rsid w:val="00B44581"/>
    <w:rsid w:val="00B4483A"/>
    <w:rsid w:val="00B44F76"/>
    <w:rsid w:val="00B457B5"/>
    <w:rsid w:val="00B45EA7"/>
    <w:rsid w:val="00B45FBB"/>
    <w:rsid w:val="00B469FD"/>
    <w:rsid w:val="00B46A8B"/>
    <w:rsid w:val="00B46CFB"/>
    <w:rsid w:val="00B47722"/>
    <w:rsid w:val="00B4775F"/>
    <w:rsid w:val="00B478D1"/>
    <w:rsid w:val="00B50624"/>
    <w:rsid w:val="00B50853"/>
    <w:rsid w:val="00B50B3B"/>
    <w:rsid w:val="00B50E58"/>
    <w:rsid w:val="00B51292"/>
    <w:rsid w:val="00B5136D"/>
    <w:rsid w:val="00B528DB"/>
    <w:rsid w:val="00B52DC3"/>
    <w:rsid w:val="00B52F73"/>
    <w:rsid w:val="00B52FAF"/>
    <w:rsid w:val="00B5328A"/>
    <w:rsid w:val="00B53B2B"/>
    <w:rsid w:val="00B53C62"/>
    <w:rsid w:val="00B53F2A"/>
    <w:rsid w:val="00B5411E"/>
    <w:rsid w:val="00B54D67"/>
    <w:rsid w:val="00B55193"/>
    <w:rsid w:val="00B55DF8"/>
    <w:rsid w:val="00B55EC2"/>
    <w:rsid w:val="00B56A4D"/>
    <w:rsid w:val="00B56D28"/>
    <w:rsid w:val="00B57BDE"/>
    <w:rsid w:val="00B60B07"/>
    <w:rsid w:val="00B6161B"/>
    <w:rsid w:val="00B6180C"/>
    <w:rsid w:val="00B61C85"/>
    <w:rsid w:val="00B61D87"/>
    <w:rsid w:val="00B61E5B"/>
    <w:rsid w:val="00B62604"/>
    <w:rsid w:val="00B62A9D"/>
    <w:rsid w:val="00B62D18"/>
    <w:rsid w:val="00B62E88"/>
    <w:rsid w:val="00B635AD"/>
    <w:rsid w:val="00B63C92"/>
    <w:rsid w:val="00B64403"/>
    <w:rsid w:val="00B647E9"/>
    <w:rsid w:val="00B64E1D"/>
    <w:rsid w:val="00B64F5D"/>
    <w:rsid w:val="00B6501D"/>
    <w:rsid w:val="00B6521C"/>
    <w:rsid w:val="00B652A5"/>
    <w:rsid w:val="00B6561D"/>
    <w:rsid w:val="00B65A7D"/>
    <w:rsid w:val="00B65DDD"/>
    <w:rsid w:val="00B66007"/>
    <w:rsid w:val="00B661C6"/>
    <w:rsid w:val="00B662EB"/>
    <w:rsid w:val="00B66351"/>
    <w:rsid w:val="00B6694A"/>
    <w:rsid w:val="00B6695C"/>
    <w:rsid w:val="00B66DA8"/>
    <w:rsid w:val="00B67249"/>
    <w:rsid w:val="00B673BB"/>
    <w:rsid w:val="00B67571"/>
    <w:rsid w:val="00B7057E"/>
    <w:rsid w:val="00B70BE9"/>
    <w:rsid w:val="00B70CD4"/>
    <w:rsid w:val="00B70F20"/>
    <w:rsid w:val="00B711B9"/>
    <w:rsid w:val="00B715C0"/>
    <w:rsid w:val="00B72919"/>
    <w:rsid w:val="00B7323D"/>
    <w:rsid w:val="00B73557"/>
    <w:rsid w:val="00B73639"/>
    <w:rsid w:val="00B738D2"/>
    <w:rsid w:val="00B73DE6"/>
    <w:rsid w:val="00B73F1B"/>
    <w:rsid w:val="00B747C5"/>
    <w:rsid w:val="00B74928"/>
    <w:rsid w:val="00B74CE5"/>
    <w:rsid w:val="00B75281"/>
    <w:rsid w:val="00B752F0"/>
    <w:rsid w:val="00B758A2"/>
    <w:rsid w:val="00B76243"/>
    <w:rsid w:val="00B76D36"/>
    <w:rsid w:val="00B77041"/>
    <w:rsid w:val="00B773B8"/>
    <w:rsid w:val="00B77529"/>
    <w:rsid w:val="00B776DD"/>
    <w:rsid w:val="00B77CE9"/>
    <w:rsid w:val="00B808BE"/>
    <w:rsid w:val="00B812C3"/>
    <w:rsid w:val="00B8132D"/>
    <w:rsid w:val="00B822CE"/>
    <w:rsid w:val="00B82A9F"/>
    <w:rsid w:val="00B82DB1"/>
    <w:rsid w:val="00B82E08"/>
    <w:rsid w:val="00B83193"/>
    <w:rsid w:val="00B8348E"/>
    <w:rsid w:val="00B845A0"/>
    <w:rsid w:val="00B84C8E"/>
    <w:rsid w:val="00B85261"/>
    <w:rsid w:val="00B85C13"/>
    <w:rsid w:val="00B86569"/>
    <w:rsid w:val="00B86C50"/>
    <w:rsid w:val="00B87034"/>
    <w:rsid w:val="00B8716A"/>
    <w:rsid w:val="00B8729D"/>
    <w:rsid w:val="00B87382"/>
    <w:rsid w:val="00B874D4"/>
    <w:rsid w:val="00B87662"/>
    <w:rsid w:val="00B90688"/>
    <w:rsid w:val="00B90821"/>
    <w:rsid w:val="00B90DDB"/>
    <w:rsid w:val="00B91654"/>
    <w:rsid w:val="00B92014"/>
    <w:rsid w:val="00B92292"/>
    <w:rsid w:val="00B923B6"/>
    <w:rsid w:val="00B9296A"/>
    <w:rsid w:val="00B93507"/>
    <w:rsid w:val="00B93724"/>
    <w:rsid w:val="00B93DC5"/>
    <w:rsid w:val="00B94EFB"/>
    <w:rsid w:val="00B95A01"/>
    <w:rsid w:val="00B95B67"/>
    <w:rsid w:val="00B95EE3"/>
    <w:rsid w:val="00B9614C"/>
    <w:rsid w:val="00B96301"/>
    <w:rsid w:val="00B96A67"/>
    <w:rsid w:val="00B96E8F"/>
    <w:rsid w:val="00B973B4"/>
    <w:rsid w:val="00B97643"/>
    <w:rsid w:val="00BA0065"/>
    <w:rsid w:val="00BA08CE"/>
    <w:rsid w:val="00BA09AE"/>
    <w:rsid w:val="00BA0A1C"/>
    <w:rsid w:val="00BA0D0F"/>
    <w:rsid w:val="00BA1132"/>
    <w:rsid w:val="00BA1443"/>
    <w:rsid w:val="00BA1B27"/>
    <w:rsid w:val="00BA1B95"/>
    <w:rsid w:val="00BA1F35"/>
    <w:rsid w:val="00BA21DE"/>
    <w:rsid w:val="00BA2552"/>
    <w:rsid w:val="00BA28A9"/>
    <w:rsid w:val="00BA2FED"/>
    <w:rsid w:val="00BA3868"/>
    <w:rsid w:val="00BA3A0D"/>
    <w:rsid w:val="00BA3D30"/>
    <w:rsid w:val="00BA3E1D"/>
    <w:rsid w:val="00BA43D2"/>
    <w:rsid w:val="00BA456A"/>
    <w:rsid w:val="00BA5156"/>
    <w:rsid w:val="00BA5251"/>
    <w:rsid w:val="00BA5335"/>
    <w:rsid w:val="00BA542E"/>
    <w:rsid w:val="00BA5727"/>
    <w:rsid w:val="00BA5823"/>
    <w:rsid w:val="00BA58AE"/>
    <w:rsid w:val="00BA5CF2"/>
    <w:rsid w:val="00BA5D20"/>
    <w:rsid w:val="00BA5F3E"/>
    <w:rsid w:val="00BA6290"/>
    <w:rsid w:val="00BA693D"/>
    <w:rsid w:val="00BA6D22"/>
    <w:rsid w:val="00BA6F1D"/>
    <w:rsid w:val="00BA77FE"/>
    <w:rsid w:val="00BA78A1"/>
    <w:rsid w:val="00BA7A73"/>
    <w:rsid w:val="00BA7DAE"/>
    <w:rsid w:val="00BA7E93"/>
    <w:rsid w:val="00BA7FF0"/>
    <w:rsid w:val="00BB10AE"/>
    <w:rsid w:val="00BB187F"/>
    <w:rsid w:val="00BB1D01"/>
    <w:rsid w:val="00BB1EF8"/>
    <w:rsid w:val="00BB2B58"/>
    <w:rsid w:val="00BB2CF8"/>
    <w:rsid w:val="00BB2E9B"/>
    <w:rsid w:val="00BB2FB1"/>
    <w:rsid w:val="00BB2FFD"/>
    <w:rsid w:val="00BB314F"/>
    <w:rsid w:val="00BB3A5E"/>
    <w:rsid w:val="00BB3C02"/>
    <w:rsid w:val="00BB3E30"/>
    <w:rsid w:val="00BB41DA"/>
    <w:rsid w:val="00BB446C"/>
    <w:rsid w:val="00BB48C7"/>
    <w:rsid w:val="00BB4968"/>
    <w:rsid w:val="00BB5454"/>
    <w:rsid w:val="00BB58F0"/>
    <w:rsid w:val="00BB6309"/>
    <w:rsid w:val="00BB6F76"/>
    <w:rsid w:val="00BB721A"/>
    <w:rsid w:val="00BB7807"/>
    <w:rsid w:val="00BB78F9"/>
    <w:rsid w:val="00BC0942"/>
    <w:rsid w:val="00BC094C"/>
    <w:rsid w:val="00BC0E2F"/>
    <w:rsid w:val="00BC177F"/>
    <w:rsid w:val="00BC1B19"/>
    <w:rsid w:val="00BC1C87"/>
    <w:rsid w:val="00BC33D2"/>
    <w:rsid w:val="00BC3412"/>
    <w:rsid w:val="00BC35A4"/>
    <w:rsid w:val="00BC360E"/>
    <w:rsid w:val="00BC399C"/>
    <w:rsid w:val="00BC3B1D"/>
    <w:rsid w:val="00BC608F"/>
    <w:rsid w:val="00BC651E"/>
    <w:rsid w:val="00BC65D2"/>
    <w:rsid w:val="00BC6629"/>
    <w:rsid w:val="00BC6715"/>
    <w:rsid w:val="00BC69C8"/>
    <w:rsid w:val="00BC6ABB"/>
    <w:rsid w:val="00BC6BCC"/>
    <w:rsid w:val="00BC72B8"/>
    <w:rsid w:val="00BC7450"/>
    <w:rsid w:val="00BC7BC8"/>
    <w:rsid w:val="00BC7D5F"/>
    <w:rsid w:val="00BD0C10"/>
    <w:rsid w:val="00BD0E6F"/>
    <w:rsid w:val="00BD17D2"/>
    <w:rsid w:val="00BD1A0D"/>
    <w:rsid w:val="00BD1D3D"/>
    <w:rsid w:val="00BD23CC"/>
    <w:rsid w:val="00BD37CB"/>
    <w:rsid w:val="00BD39D7"/>
    <w:rsid w:val="00BD3B38"/>
    <w:rsid w:val="00BD43B8"/>
    <w:rsid w:val="00BD4657"/>
    <w:rsid w:val="00BD531F"/>
    <w:rsid w:val="00BD5697"/>
    <w:rsid w:val="00BD58D4"/>
    <w:rsid w:val="00BD5A4B"/>
    <w:rsid w:val="00BD5C62"/>
    <w:rsid w:val="00BD5D31"/>
    <w:rsid w:val="00BD5D98"/>
    <w:rsid w:val="00BD5EDC"/>
    <w:rsid w:val="00BD64A8"/>
    <w:rsid w:val="00BD6D12"/>
    <w:rsid w:val="00BD700D"/>
    <w:rsid w:val="00BD76B1"/>
    <w:rsid w:val="00BE0659"/>
    <w:rsid w:val="00BE0DE8"/>
    <w:rsid w:val="00BE0ED8"/>
    <w:rsid w:val="00BE12F8"/>
    <w:rsid w:val="00BE1D25"/>
    <w:rsid w:val="00BE1D50"/>
    <w:rsid w:val="00BE1DF6"/>
    <w:rsid w:val="00BE2313"/>
    <w:rsid w:val="00BE2424"/>
    <w:rsid w:val="00BE27BD"/>
    <w:rsid w:val="00BE28C0"/>
    <w:rsid w:val="00BE2E7D"/>
    <w:rsid w:val="00BE35FD"/>
    <w:rsid w:val="00BE3AE0"/>
    <w:rsid w:val="00BE4081"/>
    <w:rsid w:val="00BE541C"/>
    <w:rsid w:val="00BE5456"/>
    <w:rsid w:val="00BE5AD2"/>
    <w:rsid w:val="00BE6734"/>
    <w:rsid w:val="00BE74E6"/>
    <w:rsid w:val="00BE7754"/>
    <w:rsid w:val="00BF02A4"/>
    <w:rsid w:val="00BF0CF4"/>
    <w:rsid w:val="00BF14C2"/>
    <w:rsid w:val="00BF19ED"/>
    <w:rsid w:val="00BF1EBD"/>
    <w:rsid w:val="00BF283E"/>
    <w:rsid w:val="00BF43DE"/>
    <w:rsid w:val="00BF4FD1"/>
    <w:rsid w:val="00BF5088"/>
    <w:rsid w:val="00BF55F1"/>
    <w:rsid w:val="00BF5901"/>
    <w:rsid w:val="00BF5B06"/>
    <w:rsid w:val="00BF5D9F"/>
    <w:rsid w:val="00BF5FAF"/>
    <w:rsid w:val="00BF64CD"/>
    <w:rsid w:val="00BF6541"/>
    <w:rsid w:val="00BF685E"/>
    <w:rsid w:val="00BF7165"/>
    <w:rsid w:val="00BF74AE"/>
    <w:rsid w:val="00BF78CE"/>
    <w:rsid w:val="00BF7ED6"/>
    <w:rsid w:val="00C006E4"/>
    <w:rsid w:val="00C00995"/>
    <w:rsid w:val="00C00EE1"/>
    <w:rsid w:val="00C0171C"/>
    <w:rsid w:val="00C01EEE"/>
    <w:rsid w:val="00C01F79"/>
    <w:rsid w:val="00C020C0"/>
    <w:rsid w:val="00C02656"/>
    <w:rsid w:val="00C02E32"/>
    <w:rsid w:val="00C031E2"/>
    <w:rsid w:val="00C036DD"/>
    <w:rsid w:val="00C039E0"/>
    <w:rsid w:val="00C03B7A"/>
    <w:rsid w:val="00C03F9F"/>
    <w:rsid w:val="00C04244"/>
    <w:rsid w:val="00C045A8"/>
    <w:rsid w:val="00C0474C"/>
    <w:rsid w:val="00C05323"/>
    <w:rsid w:val="00C05336"/>
    <w:rsid w:val="00C053F3"/>
    <w:rsid w:val="00C05627"/>
    <w:rsid w:val="00C05AA1"/>
    <w:rsid w:val="00C05BCD"/>
    <w:rsid w:val="00C05C41"/>
    <w:rsid w:val="00C060C9"/>
    <w:rsid w:val="00C06450"/>
    <w:rsid w:val="00C06538"/>
    <w:rsid w:val="00C068D4"/>
    <w:rsid w:val="00C06BF8"/>
    <w:rsid w:val="00C078FC"/>
    <w:rsid w:val="00C1039A"/>
    <w:rsid w:val="00C103EF"/>
    <w:rsid w:val="00C1046E"/>
    <w:rsid w:val="00C10498"/>
    <w:rsid w:val="00C106E2"/>
    <w:rsid w:val="00C11767"/>
    <w:rsid w:val="00C126A5"/>
    <w:rsid w:val="00C12843"/>
    <w:rsid w:val="00C12EBB"/>
    <w:rsid w:val="00C12EDB"/>
    <w:rsid w:val="00C14654"/>
    <w:rsid w:val="00C1492B"/>
    <w:rsid w:val="00C14B15"/>
    <w:rsid w:val="00C14BC0"/>
    <w:rsid w:val="00C14D19"/>
    <w:rsid w:val="00C14D53"/>
    <w:rsid w:val="00C1533D"/>
    <w:rsid w:val="00C15F1E"/>
    <w:rsid w:val="00C16512"/>
    <w:rsid w:val="00C167A1"/>
    <w:rsid w:val="00C17036"/>
    <w:rsid w:val="00C17236"/>
    <w:rsid w:val="00C1749D"/>
    <w:rsid w:val="00C17685"/>
    <w:rsid w:val="00C176CA"/>
    <w:rsid w:val="00C177AE"/>
    <w:rsid w:val="00C17839"/>
    <w:rsid w:val="00C179E6"/>
    <w:rsid w:val="00C20A7E"/>
    <w:rsid w:val="00C20B6C"/>
    <w:rsid w:val="00C20E02"/>
    <w:rsid w:val="00C2123F"/>
    <w:rsid w:val="00C2138F"/>
    <w:rsid w:val="00C21445"/>
    <w:rsid w:val="00C21458"/>
    <w:rsid w:val="00C21CB5"/>
    <w:rsid w:val="00C21DD6"/>
    <w:rsid w:val="00C21F8E"/>
    <w:rsid w:val="00C22A7B"/>
    <w:rsid w:val="00C22FAA"/>
    <w:rsid w:val="00C2308F"/>
    <w:rsid w:val="00C23401"/>
    <w:rsid w:val="00C234C9"/>
    <w:rsid w:val="00C23AF6"/>
    <w:rsid w:val="00C23CB2"/>
    <w:rsid w:val="00C2420B"/>
    <w:rsid w:val="00C243AD"/>
    <w:rsid w:val="00C2459D"/>
    <w:rsid w:val="00C249F7"/>
    <w:rsid w:val="00C24AA9"/>
    <w:rsid w:val="00C250D5"/>
    <w:rsid w:val="00C2525E"/>
    <w:rsid w:val="00C25282"/>
    <w:rsid w:val="00C254AB"/>
    <w:rsid w:val="00C254C6"/>
    <w:rsid w:val="00C260B3"/>
    <w:rsid w:val="00C2645F"/>
    <w:rsid w:val="00C2647F"/>
    <w:rsid w:val="00C2677F"/>
    <w:rsid w:val="00C26993"/>
    <w:rsid w:val="00C26DA3"/>
    <w:rsid w:val="00C275E1"/>
    <w:rsid w:val="00C27D2D"/>
    <w:rsid w:val="00C30050"/>
    <w:rsid w:val="00C3086E"/>
    <w:rsid w:val="00C31730"/>
    <w:rsid w:val="00C31933"/>
    <w:rsid w:val="00C31F38"/>
    <w:rsid w:val="00C32454"/>
    <w:rsid w:val="00C32682"/>
    <w:rsid w:val="00C32D4C"/>
    <w:rsid w:val="00C338DE"/>
    <w:rsid w:val="00C340C9"/>
    <w:rsid w:val="00C34229"/>
    <w:rsid w:val="00C345AD"/>
    <w:rsid w:val="00C34656"/>
    <w:rsid w:val="00C34C29"/>
    <w:rsid w:val="00C353A5"/>
    <w:rsid w:val="00C35757"/>
    <w:rsid w:val="00C3580A"/>
    <w:rsid w:val="00C35CB9"/>
    <w:rsid w:val="00C35D18"/>
    <w:rsid w:val="00C35D83"/>
    <w:rsid w:val="00C35F91"/>
    <w:rsid w:val="00C35FB8"/>
    <w:rsid w:val="00C36202"/>
    <w:rsid w:val="00C362C6"/>
    <w:rsid w:val="00C364C0"/>
    <w:rsid w:val="00C36B60"/>
    <w:rsid w:val="00C36EB2"/>
    <w:rsid w:val="00C37115"/>
    <w:rsid w:val="00C371A6"/>
    <w:rsid w:val="00C37240"/>
    <w:rsid w:val="00C378A0"/>
    <w:rsid w:val="00C378EB"/>
    <w:rsid w:val="00C379E2"/>
    <w:rsid w:val="00C37B8A"/>
    <w:rsid w:val="00C402B9"/>
    <w:rsid w:val="00C4030D"/>
    <w:rsid w:val="00C40CBC"/>
    <w:rsid w:val="00C40F2C"/>
    <w:rsid w:val="00C411C7"/>
    <w:rsid w:val="00C416C3"/>
    <w:rsid w:val="00C417E0"/>
    <w:rsid w:val="00C421B5"/>
    <w:rsid w:val="00C42330"/>
    <w:rsid w:val="00C439BE"/>
    <w:rsid w:val="00C43F5A"/>
    <w:rsid w:val="00C44149"/>
    <w:rsid w:val="00C4444D"/>
    <w:rsid w:val="00C448D6"/>
    <w:rsid w:val="00C44A0C"/>
    <w:rsid w:val="00C44D62"/>
    <w:rsid w:val="00C452A7"/>
    <w:rsid w:val="00C458DF"/>
    <w:rsid w:val="00C45A4B"/>
    <w:rsid w:val="00C469AC"/>
    <w:rsid w:val="00C46FA2"/>
    <w:rsid w:val="00C4716E"/>
    <w:rsid w:val="00C47254"/>
    <w:rsid w:val="00C474C7"/>
    <w:rsid w:val="00C47C2F"/>
    <w:rsid w:val="00C50877"/>
    <w:rsid w:val="00C508EE"/>
    <w:rsid w:val="00C50A92"/>
    <w:rsid w:val="00C51BB1"/>
    <w:rsid w:val="00C51CF7"/>
    <w:rsid w:val="00C51DB3"/>
    <w:rsid w:val="00C52BB4"/>
    <w:rsid w:val="00C52BBA"/>
    <w:rsid w:val="00C531A6"/>
    <w:rsid w:val="00C53660"/>
    <w:rsid w:val="00C53A5F"/>
    <w:rsid w:val="00C53A80"/>
    <w:rsid w:val="00C53D1E"/>
    <w:rsid w:val="00C53EF8"/>
    <w:rsid w:val="00C54248"/>
    <w:rsid w:val="00C5446C"/>
    <w:rsid w:val="00C54776"/>
    <w:rsid w:val="00C54AB4"/>
    <w:rsid w:val="00C54EE2"/>
    <w:rsid w:val="00C55772"/>
    <w:rsid w:val="00C557D9"/>
    <w:rsid w:val="00C55D31"/>
    <w:rsid w:val="00C56176"/>
    <w:rsid w:val="00C56CEF"/>
    <w:rsid w:val="00C56F35"/>
    <w:rsid w:val="00C56FDC"/>
    <w:rsid w:val="00C5715C"/>
    <w:rsid w:val="00C571BC"/>
    <w:rsid w:val="00C57904"/>
    <w:rsid w:val="00C604BF"/>
    <w:rsid w:val="00C605B4"/>
    <w:rsid w:val="00C608A6"/>
    <w:rsid w:val="00C609C4"/>
    <w:rsid w:val="00C61273"/>
    <w:rsid w:val="00C61677"/>
    <w:rsid w:val="00C617FE"/>
    <w:rsid w:val="00C61A4A"/>
    <w:rsid w:val="00C61D79"/>
    <w:rsid w:val="00C62304"/>
    <w:rsid w:val="00C62A65"/>
    <w:rsid w:val="00C62DE1"/>
    <w:rsid w:val="00C632F0"/>
    <w:rsid w:val="00C636E4"/>
    <w:rsid w:val="00C63AF7"/>
    <w:rsid w:val="00C63FA1"/>
    <w:rsid w:val="00C64044"/>
    <w:rsid w:val="00C645A0"/>
    <w:rsid w:val="00C6548A"/>
    <w:rsid w:val="00C654B9"/>
    <w:rsid w:val="00C65D39"/>
    <w:rsid w:val="00C66207"/>
    <w:rsid w:val="00C6647C"/>
    <w:rsid w:val="00C664DC"/>
    <w:rsid w:val="00C66645"/>
    <w:rsid w:val="00C666DE"/>
    <w:rsid w:val="00C66FBE"/>
    <w:rsid w:val="00C67F80"/>
    <w:rsid w:val="00C70A2A"/>
    <w:rsid w:val="00C71518"/>
    <w:rsid w:val="00C717A3"/>
    <w:rsid w:val="00C717B7"/>
    <w:rsid w:val="00C71A94"/>
    <w:rsid w:val="00C71C2E"/>
    <w:rsid w:val="00C71C7E"/>
    <w:rsid w:val="00C72028"/>
    <w:rsid w:val="00C72C90"/>
    <w:rsid w:val="00C72CFE"/>
    <w:rsid w:val="00C72FB1"/>
    <w:rsid w:val="00C73185"/>
    <w:rsid w:val="00C73A0D"/>
    <w:rsid w:val="00C73DAF"/>
    <w:rsid w:val="00C73E4F"/>
    <w:rsid w:val="00C73EDC"/>
    <w:rsid w:val="00C73FF8"/>
    <w:rsid w:val="00C741CD"/>
    <w:rsid w:val="00C74411"/>
    <w:rsid w:val="00C7480B"/>
    <w:rsid w:val="00C74960"/>
    <w:rsid w:val="00C75308"/>
    <w:rsid w:val="00C758D6"/>
    <w:rsid w:val="00C75931"/>
    <w:rsid w:val="00C75C90"/>
    <w:rsid w:val="00C75E26"/>
    <w:rsid w:val="00C76EED"/>
    <w:rsid w:val="00C7762C"/>
    <w:rsid w:val="00C7788E"/>
    <w:rsid w:val="00C77F5A"/>
    <w:rsid w:val="00C800B6"/>
    <w:rsid w:val="00C806D4"/>
    <w:rsid w:val="00C806F6"/>
    <w:rsid w:val="00C80725"/>
    <w:rsid w:val="00C80BD3"/>
    <w:rsid w:val="00C812DF"/>
    <w:rsid w:val="00C818AD"/>
    <w:rsid w:val="00C82028"/>
    <w:rsid w:val="00C82072"/>
    <w:rsid w:val="00C822E1"/>
    <w:rsid w:val="00C82B4A"/>
    <w:rsid w:val="00C82B7F"/>
    <w:rsid w:val="00C82E45"/>
    <w:rsid w:val="00C82FA3"/>
    <w:rsid w:val="00C83019"/>
    <w:rsid w:val="00C83066"/>
    <w:rsid w:val="00C831ED"/>
    <w:rsid w:val="00C83769"/>
    <w:rsid w:val="00C83B15"/>
    <w:rsid w:val="00C83CD0"/>
    <w:rsid w:val="00C84123"/>
    <w:rsid w:val="00C85645"/>
    <w:rsid w:val="00C8577B"/>
    <w:rsid w:val="00C857C2"/>
    <w:rsid w:val="00C85CE8"/>
    <w:rsid w:val="00C863B4"/>
    <w:rsid w:val="00C863EC"/>
    <w:rsid w:val="00C864E0"/>
    <w:rsid w:val="00C8654B"/>
    <w:rsid w:val="00C86A1F"/>
    <w:rsid w:val="00C86AD7"/>
    <w:rsid w:val="00C86B4A"/>
    <w:rsid w:val="00C86DED"/>
    <w:rsid w:val="00C86E68"/>
    <w:rsid w:val="00C86F9E"/>
    <w:rsid w:val="00C87120"/>
    <w:rsid w:val="00C873E7"/>
    <w:rsid w:val="00C87548"/>
    <w:rsid w:val="00C875BB"/>
    <w:rsid w:val="00C87B74"/>
    <w:rsid w:val="00C902CA"/>
    <w:rsid w:val="00C90720"/>
    <w:rsid w:val="00C908C7"/>
    <w:rsid w:val="00C9125F"/>
    <w:rsid w:val="00C913DF"/>
    <w:rsid w:val="00C9152C"/>
    <w:rsid w:val="00C918D4"/>
    <w:rsid w:val="00C91CAB"/>
    <w:rsid w:val="00C91D7B"/>
    <w:rsid w:val="00C926F5"/>
    <w:rsid w:val="00C9287B"/>
    <w:rsid w:val="00C92E31"/>
    <w:rsid w:val="00C930BB"/>
    <w:rsid w:val="00C932FE"/>
    <w:rsid w:val="00C93532"/>
    <w:rsid w:val="00C9412D"/>
    <w:rsid w:val="00C94137"/>
    <w:rsid w:val="00C94261"/>
    <w:rsid w:val="00C947F4"/>
    <w:rsid w:val="00C94A20"/>
    <w:rsid w:val="00C94F79"/>
    <w:rsid w:val="00C961CA"/>
    <w:rsid w:val="00C96889"/>
    <w:rsid w:val="00C96942"/>
    <w:rsid w:val="00C96CF7"/>
    <w:rsid w:val="00C97644"/>
    <w:rsid w:val="00C977B4"/>
    <w:rsid w:val="00C979B1"/>
    <w:rsid w:val="00CA06E6"/>
    <w:rsid w:val="00CA0DEB"/>
    <w:rsid w:val="00CA1189"/>
    <w:rsid w:val="00CA125D"/>
    <w:rsid w:val="00CA14C2"/>
    <w:rsid w:val="00CA207A"/>
    <w:rsid w:val="00CA2CE1"/>
    <w:rsid w:val="00CA3339"/>
    <w:rsid w:val="00CA34FF"/>
    <w:rsid w:val="00CA3719"/>
    <w:rsid w:val="00CA3BF8"/>
    <w:rsid w:val="00CA3D30"/>
    <w:rsid w:val="00CA4886"/>
    <w:rsid w:val="00CA48FD"/>
    <w:rsid w:val="00CA4E8E"/>
    <w:rsid w:val="00CA5017"/>
    <w:rsid w:val="00CA5CCE"/>
    <w:rsid w:val="00CA5F7E"/>
    <w:rsid w:val="00CA6093"/>
    <w:rsid w:val="00CA6170"/>
    <w:rsid w:val="00CA618A"/>
    <w:rsid w:val="00CA6A23"/>
    <w:rsid w:val="00CA6C86"/>
    <w:rsid w:val="00CA6F30"/>
    <w:rsid w:val="00CA7730"/>
    <w:rsid w:val="00CA77CE"/>
    <w:rsid w:val="00CA7868"/>
    <w:rsid w:val="00CB034D"/>
    <w:rsid w:val="00CB03E7"/>
    <w:rsid w:val="00CB04FE"/>
    <w:rsid w:val="00CB066A"/>
    <w:rsid w:val="00CB09EC"/>
    <w:rsid w:val="00CB107E"/>
    <w:rsid w:val="00CB1140"/>
    <w:rsid w:val="00CB13E4"/>
    <w:rsid w:val="00CB1567"/>
    <w:rsid w:val="00CB167D"/>
    <w:rsid w:val="00CB175C"/>
    <w:rsid w:val="00CB20B1"/>
    <w:rsid w:val="00CB2C72"/>
    <w:rsid w:val="00CB3103"/>
    <w:rsid w:val="00CB357C"/>
    <w:rsid w:val="00CB35B2"/>
    <w:rsid w:val="00CB35BB"/>
    <w:rsid w:val="00CB3C5E"/>
    <w:rsid w:val="00CB3EBF"/>
    <w:rsid w:val="00CB40D9"/>
    <w:rsid w:val="00CB4644"/>
    <w:rsid w:val="00CB4FF8"/>
    <w:rsid w:val="00CB51E0"/>
    <w:rsid w:val="00CB57D7"/>
    <w:rsid w:val="00CB5AB7"/>
    <w:rsid w:val="00CB5DA1"/>
    <w:rsid w:val="00CB5DD4"/>
    <w:rsid w:val="00CB5E7D"/>
    <w:rsid w:val="00CB643C"/>
    <w:rsid w:val="00CB6705"/>
    <w:rsid w:val="00CB6760"/>
    <w:rsid w:val="00CB6A4E"/>
    <w:rsid w:val="00CB6F2A"/>
    <w:rsid w:val="00CB7213"/>
    <w:rsid w:val="00CC00BC"/>
    <w:rsid w:val="00CC0277"/>
    <w:rsid w:val="00CC03F8"/>
    <w:rsid w:val="00CC0627"/>
    <w:rsid w:val="00CC0804"/>
    <w:rsid w:val="00CC0B18"/>
    <w:rsid w:val="00CC0BCA"/>
    <w:rsid w:val="00CC0D6E"/>
    <w:rsid w:val="00CC0E36"/>
    <w:rsid w:val="00CC13AC"/>
    <w:rsid w:val="00CC1481"/>
    <w:rsid w:val="00CC15D0"/>
    <w:rsid w:val="00CC1900"/>
    <w:rsid w:val="00CC1CAA"/>
    <w:rsid w:val="00CC1E5F"/>
    <w:rsid w:val="00CC242A"/>
    <w:rsid w:val="00CC25CB"/>
    <w:rsid w:val="00CC2B85"/>
    <w:rsid w:val="00CC2CA1"/>
    <w:rsid w:val="00CC317D"/>
    <w:rsid w:val="00CC3586"/>
    <w:rsid w:val="00CC3829"/>
    <w:rsid w:val="00CC473E"/>
    <w:rsid w:val="00CC532C"/>
    <w:rsid w:val="00CC5BD4"/>
    <w:rsid w:val="00CC5BE3"/>
    <w:rsid w:val="00CC5D67"/>
    <w:rsid w:val="00CC5E81"/>
    <w:rsid w:val="00CC61E5"/>
    <w:rsid w:val="00CC6245"/>
    <w:rsid w:val="00CC6ADD"/>
    <w:rsid w:val="00CC7215"/>
    <w:rsid w:val="00CC747B"/>
    <w:rsid w:val="00CC7A60"/>
    <w:rsid w:val="00CC7AB0"/>
    <w:rsid w:val="00CD0166"/>
    <w:rsid w:val="00CD04B2"/>
    <w:rsid w:val="00CD0D28"/>
    <w:rsid w:val="00CD11B2"/>
    <w:rsid w:val="00CD2039"/>
    <w:rsid w:val="00CD2067"/>
    <w:rsid w:val="00CD24BA"/>
    <w:rsid w:val="00CD30B9"/>
    <w:rsid w:val="00CD3170"/>
    <w:rsid w:val="00CD3726"/>
    <w:rsid w:val="00CD401F"/>
    <w:rsid w:val="00CD48B5"/>
    <w:rsid w:val="00CD54E9"/>
    <w:rsid w:val="00CD56EA"/>
    <w:rsid w:val="00CD583B"/>
    <w:rsid w:val="00CD5B20"/>
    <w:rsid w:val="00CD5E38"/>
    <w:rsid w:val="00CD5EBB"/>
    <w:rsid w:val="00CD62CF"/>
    <w:rsid w:val="00CD66E0"/>
    <w:rsid w:val="00CD6A6E"/>
    <w:rsid w:val="00CD6FDA"/>
    <w:rsid w:val="00CD708C"/>
    <w:rsid w:val="00CD70D1"/>
    <w:rsid w:val="00CD70DF"/>
    <w:rsid w:val="00CD7470"/>
    <w:rsid w:val="00CD75D0"/>
    <w:rsid w:val="00CD76EF"/>
    <w:rsid w:val="00CD7F2A"/>
    <w:rsid w:val="00CD7FD4"/>
    <w:rsid w:val="00CE02D3"/>
    <w:rsid w:val="00CE0305"/>
    <w:rsid w:val="00CE0357"/>
    <w:rsid w:val="00CE1029"/>
    <w:rsid w:val="00CE1841"/>
    <w:rsid w:val="00CE1D95"/>
    <w:rsid w:val="00CE1EFC"/>
    <w:rsid w:val="00CE268B"/>
    <w:rsid w:val="00CE2E73"/>
    <w:rsid w:val="00CE2E7A"/>
    <w:rsid w:val="00CE2E9A"/>
    <w:rsid w:val="00CE310E"/>
    <w:rsid w:val="00CE320C"/>
    <w:rsid w:val="00CE3293"/>
    <w:rsid w:val="00CE3932"/>
    <w:rsid w:val="00CE3C19"/>
    <w:rsid w:val="00CE40D7"/>
    <w:rsid w:val="00CE412A"/>
    <w:rsid w:val="00CE4155"/>
    <w:rsid w:val="00CE437A"/>
    <w:rsid w:val="00CE455B"/>
    <w:rsid w:val="00CE47CD"/>
    <w:rsid w:val="00CE4996"/>
    <w:rsid w:val="00CE4AF6"/>
    <w:rsid w:val="00CE5478"/>
    <w:rsid w:val="00CE5735"/>
    <w:rsid w:val="00CE59BA"/>
    <w:rsid w:val="00CE5D57"/>
    <w:rsid w:val="00CE5DB3"/>
    <w:rsid w:val="00CE687A"/>
    <w:rsid w:val="00CE6C37"/>
    <w:rsid w:val="00CE7C08"/>
    <w:rsid w:val="00CF067E"/>
    <w:rsid w:val="00CF0955"/>
    <w:rsid w:val="00CF0BF6"/>
    <w:rsid w:val="00CF0FF0"/>
    <w:rsid w:val="00CF1215"/>
    <w:rsid w:val="00CF128E"/>
    <w:rsid w:val="00CF140B"/>
    <w:rsid w:val="00CF18EC"/>
    <w:rsid w:val="00CF1A77"/>
    <w:rsid w:val="00CF1FD5"/>
    <w:rsid w:val="00CF2229"/>
    <w:rsid w:val="00CF2513"/>
    <w:rsid w:val="00CF2956"/>
    <w:rsid w:val="00CF29D9"/>
    <w:rsid w:val="00CF3153"/>
    <w:rsid w:val="00CF3236"/>
    <w:rsid w:val="00CF3619"/>
    <w:rsid w:val="00CF45D4"/>
    <w:rsid w:val="00CF45D9"/>
    <w:rsid w:val="00CF545C"/>
    <w:rsid w:val="00CF63CB"/>
    <w:rsid w:val="00CF64C7"/>
    <w:rsid w:val="00CF65BA"/>
    <w:rsid w:val="00CF68BC"/>
    <w:rsid w:val="00CF6B1E"/>
    <w:rsid w:val="00CF6B6F"/>
    <w:rsid w:val="00CF6BEF"/>
    <w:rsid w:val="00CF6E56"/>
    <w:rsid w:val="00CF6ED4"/>
    <w:rsid w:val="00CF6FB6"/>
    <w:rsid w:val="00D0023E"/>
    <w:rsid w:val="00D00329"/>
    <w:rsid w:val="00D00D74"/>
    <w:rsid w:val="00D029DC"/>
    <w:rsid w:val="00D02EEA"/>
    <w:rsid w:val="00D03CF4"/>
    <w:rsid w:val="00D0434E"/>
    <w:rsid w:val="00D043BF"/>
    <w:rsid w:val="00D049BA"/>
    <w:rsid w:val="00D04CE0"/>
    <w:rsid w:val="00D053CA"/>
    <w:rsid w:val="00D053F1"/>
    <w:rsid w:val="00D05B84"/>
    <w:rsid w:val="00D06187"/>
    <w:rsid w:val="00D07823"/>
    <w:rsid w:val="00D07E64"/>
    <w:rsid w:val="00D07EDE"/>
    <w:rsid w:val="00D07F86"/>
    <w:rsid w:val="00D10736"/>
    <w:rsid w:val="00D10737"/>
    <w:rsid w:val="00D10948"/>
    <w:rsid w:val="00D1181E"/>
    <w:rsid w:val="00D11F5D"/>
    <w:rsid w:val="00D123D8"/>
    <w:rsid w:val="00D12768"/>
    <w:rsid w:val="00D131BC"/>
    <w:rsid w:val="00D1339A"/>
    <w:rsid w:val="00D135CA"/>
    <w:rsid w:val="00D13EC8"/>
    <w:rsid w:val="00D147F7"/>
    <w:rsid w:val="00D15212"/>
    <w:rsid w:val="00D157A7"/>
    <w:rsid w:val="00D159D5"/>
    <w:rsid w:val="00D15B36"/>
    <w:rsid w:val="00D15C56"/>
    <w:rsid w:val="00D1655C"/>
    <w:rsid w:val="00D16571"/>
    <w:rsid w:val="00D17642"/>
    <w:rsid w:val="00D17719"/>
    <w:rsid w:val="00D17823"/>
    <w:rsid w:val="00D17AAA"/>
    <w:rsid w:val="00D21030"/>
    <w:rsid w:val="00D211A0"/>
    <w:rsid w:val="00D21240"/>
    <w:rsid w:val="00D220A3"/>
    <w:rsid w:val="00D22539"/>
    <w:rsid w:val="00D22A64"/>
    <w:rsid w:val="00D22B04"/>
    <w:rsid w:val="00D231F9"/>
    <w:rsid w:val="00D2326C"/>
    <w:rsid w:val="00D234EF"/>
    <w:rsid w:val="00D23760"/>
    <w:rsid w:val="00D2468B"/>
    <w:rsid w:val="00D247FF"/>
    <w:rsid w:val="00D24C65"/>
    <w:rsid w:val="00D24D69"/>
    <w:rsid w:val="00D24F99"/>
    <w:rsid w:val="00D25108"/>
    <w:rsid w:val="00D251D0"/>
    <w:rsid w:val="00D252D7"/>
    <w:rsid w:val="00D25543"/>
    <w:rsid w:val="00D2579D"/>
    <w:rsid w:val="00D2590A"/>
    <w:rsid w:val="00D26001"/>
    <w:rsid w:val="00D261E6"/>
    <w:rsid w:val="00D26236"/>
    <w:rsid w:val="00D26297"/>
    <w:rsid w:val="00D263D0"/>
    <w:rsid w:val="00D266AD"/>
    <w:rsid w:val="00D26866"/>
    <w:rsid w:val="00D268B0"/>
    <w:rsid w:val="00D26991"/>
    <w:rsid w:val="00D2709B"/>
    <w:rsid w:val="00D274A4"/>
    <w:rsid w:val="00D2753A"/>
    <w:rsid w:val="00D27605"/>
    <w:rsid w:val="00D30550"/>
    <w:rsid w:val="00D30556"/>
    <w:rsid w:val="00D30845"/>
    <w:rsid w:val="00D3087A"/>
    <w:rsid w:val="00D30C5D"/>
    <w:rsid w:val="00D316AE"/>
    <w:rsid w:val="00D31EEA"/>
    <w:rsid w:val="00D32098"/>
    <w:rsid w:val="00D321F2"/>
    <w:rsid w:val="00D330F4"/>
    <w:rsid w:val="00D33F47"/>
    <w:rsid w:val="00D33F99"/>
    <w:rsid w:val="00D349FA"/>
    <w:rsid w:val="00D34DF9"/>
    <w:rsid w:val="00D3517D"/>
    <w:rsid w:val="00D35B0F"/>
    <w:rsid w:val="00D35B2C"/>
    <w:rsid w:val="00D35B70"/>
    <w:rsid w:val="00D3686C"/>
    <w:rsid w:val="00D3796F"/>
    <w:rsid w:val="00D4075E"/>
    <w:rsid w:val="00D40E84"/>
    <w:rsid w:val="00D410E8"/>
    <w:rsid w:val="00D41344"/>
    <w:rsid w:val="00D41D96"/>
    <w:rsid w:val="00D42584"/>
    <w:rsid w:val="00D42CA1"/>
    <w:rsid w:val="00D42F52"/>
    <w:rsid w:val="00D430BC"/>
    <w:rsid w:val="00D43A0F"/>
    <w:rsid w:val="00D43D5C"/>
    <w:rsid w:val="00D43F70"/>
    <w:rsid w:val="00D441C6"/>
    <w:rsid w:val="00D4487F"/>
    <w:rsid w:val="00D449B7"/>
    <w:rsid w:val="00D44A6F"/>
    <w:rsid w:val="00D45139"/>
    <w:rsid w:val="00D45404"/>
    <w:rsid w:val="00D45AAB"/>
    <w:rsid w:val="00D45F45"/>
    <w:rsid w:val="00D4601F"/>
    <w:rsid w:val="00D46178"/>
    <w:rsid w:val="00D46235"/>
    <w:rsid w:val="00D46F4A"/>
    <w:rsid w:val="00D4794A"/>
    <w:rsid w:val="00D50047"/>
    <w:rsid w:val="00D50662"/>
    <w:rsid w:val="00D506D6"/>
    <w:rsid w:val="00D51013"/>
    <w:rsid w:val="00D51B89"/>
    <w:rsid w:val="00D523F2"/>
    <w:rsid w:val="00D52832"/>
    <w:rsid w:val="00D52C05"/>
    <w:rsid w:val="00D53767"/>
    <w:rsid w:val="00D5433F"/>
    <w:rsid w:val="00D5551F"/>
    <w:rsid w:val="00D56121"/>
    <w:rsid w:val="00D56190"/>
    <w:rsid w:val="00D561E0"/>
    <w:rsid w:val="00D56294"/>
    <w:rsid w:val="00D562F9"/>
    <w:rsid w:val="00D566BC"/>
    <w:rsid w:val="00D566C1"/>
    <w:rsid w:val="00D567E3"/>
    <w:rsid w:val="00D56B66"/>
    <w:rsid w:val="00D56E27"/>
    <w:rsid w:val="00D56EBD"/>
    <w:rsid w:val="00D570D7"/>
    <w:rsid w:val="00D57F77"/>
    <w:rsid w:val="00D60540"/>
    <w:rsid w:val="00D6099E"/>
    <w:rsid w:val="00D61144"/>
    <w:rsid w:val="00D61434"/>
    <w:rsid w:val="00D61454"/>
    <w:rsid w:val="00D61629"/>
    <w:rsid w:val="00D617E2"/>
    <w:rsid w:val="00D62313"/>
    <w:rsid w:val="00D6326B"/>
    <w:rsid w:val="00D639AB"/>
    <w:rsid w:val="00D63AE9"/>
    <w:rsid w:val="00D64256"/>
    <w:rsid w:val="00D64676"/>
    <w:rsid w:val="00D64D7F"/>
    <w:rsid w:val="00D6505F"/>
    <w:rsid w:val="00D6592B"/>
    <w:rsid w:val="00D65AB5"/>
    <w:rsid w:val="00D65C13"/>
    <w:rsid w:val="00D65FE1"/>
    <w:rsid w:val="00D661E7"/>
    <w:rsid w:val="00D664DD"/>
    <w:rsid w:val="00D665C0"/>
    <w:rsid w:val="00D66731"/>
    <w:rsid w:val="00D667ED"/>
    <w:rsid w:val="00D669ED"/>
    <w:rsid w:val="00D6701A"/>
    <w:rsid w:val="00D67476"/>
    <w:rsid w:val="00D6747C"/>
    <w:rsid w:val="00D6756D"/>
    <w:rsid w:val="00D6760D"/>
    <w:rsid w:val="00D70854"/>
    <w:rsid w:val="00D709AF"/>
    <w:rsid w:val="00D70E33"/>
    <w:rsid w:val="00D71339"/>
    <w:rsid w:val="00D714A3"/>
    <w:rsid w:val="00D714AA"/>
    <w:rsid w:val="00D719C6"/>
    <w:rsid w:val="00D73405"/>
    <w:rsid w:val="00D73526"/>
    <w:rsid w:val="00D7366B"/>
    <w:rsid w:val="00D73DD0"/>
    <w:rsid w:val="00D74176"/>
    <w:rsid w:val="00D750FB"/>
    <w:rsid w:val="00D75387"/>
    <w:rsid w:val="00D754CC"/>
    <w:rsid w:val="00D754E6"/>
    <w:rsid w:val="00D756CE"/>
    <w:rsid w:val="00D75A7D"/>
    <w:rsid w:val="00D76BCC"/>
    <w:rsid w:val="00D76ED1"/>
    <w:rsid w:val="00D76F16"/>
    <w:rsid w:val="00D77009"/>
    <w:rsid w:val="00D7780A"/>
    <w:rsid w:val="00D77BE8"/>
    <w:rsid w:val="00D77D11"/>
    <w:rsid w:val="00D77DF8"/>
    <w:rsid w:val="00D802EC"/>
    <w:rsid w:val="00D80357"/>
    <w:rsid w:val="00D80496"/>
    <w:rsid w:val="00D804A7"/>
    <w:rsid w:val="00D80718"/>
    <w:rsid w:val="00D808B0"/>
    <w:rsid w:val="00D80BCB"/>
    <w:rsid w:val="00D80ED6"/>
    <w:rsid w:val="00D80F62"/>
    <w:rsid w:val="00D81393"/>
    <w:rsid w:val="00D81A63"/>
    <w:rsid w:val="00D81E7B"/>
    <w:rsid w:val="00D82AF4"/>
    <w:rsid w:val="00D837D4"/>
    <w:rsid w:val="00D83C26"/>
    <w:rsid w:val="00D83F22"/>
    <w:rsid w:val="00D844AA"/>
    <w:rsid w:val="00D84A91"/>
    <w:rsid w:val="00D858FA"/>
    <w:rsid w:val="00D85942"/>
    <w:rsid w:val="00D859FE"/>
    <w:rsid w:val="00D85CE8"/>
    <w:rsid w:val="00D86335"/>
    <w:rsid w:val="00D86512"/>
    <w:rsid w:val="00D86570"/>
    <w:rsid w:val="00D86872"/>
    <w:rsid w:val="00D86A63"/>
    <w:rsid w:val="00D8705F"/>
    <w:rsid w:val="00D872BD"/>
    <w:rsid w:val="00D876AC"/>
    <w:rsid w:val="00D87B4A"/>
    <w:rsid w:val="00D87B50"/>
    <w:rsid w:val="00D87F4A"/>
    <w:rsid w:val="00D90017"/>
    <w:rsid w:val="00D90050"/>
    <w:rsid w:val="00D90448"/>
    <w:rsid w:val="00D90B1D"/>
    <w:rsid w:val="00D90C55"/>
    <w:rsid w:val="00D91316"/>
    <w:rsid w:val="00D914E5"/>
    <w:rsid w:val="00D91705"/>
    <w:rsid w:val="00D917C6"/>
    <w:rsid w:val="00D919AB"/>
    <w:rsid w:val="00D91C22"/>
    <w:rsid w:val="00D92439"/>
    <w:rsid w:val="00D92468"/>
    <w:rsid w:val="00D924CB"/>
    <w:rsid w:val="00D927F5"/>
    <w:rsid w:val="00D92F34"/>
    <w:rsid w:val="00D932AD"/>
    <w:rsid w:val="00D93344"/>
    <w:rsid w:val="00D93392"/>
    <w:rsid w:val="00D937CA"/>
    <w:rsid w:val="00D939FE"/>
    <w:rsid w:val="00D93F7C"/>
    <w:rsid w:val="00D9436C"/>
    <w:rsid w:val="00D9438D"/>
    <w:rsid w:val="00D9451A"/>
    <w:rsid w:val="00D945B0"/>
    <w:rsid w:val="00D94A16"/>
    <w:rsid w:val="00D94EBE"/>
    <w:rsid w:val="00D94FE7"/>
    <w:rsid w:val="00D95151"/>
    <w:rsid w:val="00D95864"/>
    <w:rsid w:val="00D95A55"/>
    <w:rsid w:val="00D95AAE"/>
    <w:rsid w:val="00D95C51"/>
    <w:rsid w:val="00D95FF5"/>
    <w:rsid w:val="00D96FBC"/>
    <w:rsid w:val="00D97218"/>
    <w:rsid w:val="00D979A1"/>
    <w:rsid w:val="00DA07E2"/>
    <w:rsid w:val="00DA07F1"/>
    <w:rsid w:val="00DA0D77"/>
    <w:rsid w:val="00DA19FC"/>
    <w:rsid w:val="00DA20A9"/>
    <w:rsid w:val="00DA20BA"/>
    <w:rsid w:val="00DA21EB"/>
    <w:rsid w:val="00DA300C"/>
    <w:rsid w:val="00DA30A7"/>
    <w:rsid w:val="00DA3C87"/>
    <w:rsid w:val="00DA3F48"/>
    <w:rsid w:val="00DA3F79"/>
    <w:rsid w:val="00DA4F87"/>
    <w:rsid w:val="00DA5186"/>
    <w:rsid w:val="00DA5324"/>
    <w:rsid w:val="00DA5DFA"/>
    <w:rsid w:val="00DA6B50"/>
    <w:rsid w:val="00DA6F13"/>
    <w:rsid w:val="00DA732F"/>
    <w:rsid w:val="00DB0D1F"/>
    <w:rsid w:val="00DB1172"/>
    <w:rsid w:val="00DB11AD"/>
    <w:rsid w:val="00DB1344"/>
    <w:rsid w:val="00DB193F"/>
    <w:rsid w:val="00DB1DBC"/>
    <w:rsid w:val="00DB1FD2"/>
    <w:rsid w:val="00DB204C"/>
    <w:rsid w:val="00DB21FA"/>
    <w:rsid w:val="00DB25AD"/>
    <w:rsid w:val="00DB2BB2"/>
    <w:rsid w:val="00DB2EA2"/>
    <w:rsid w:val="00DB432D"/>
    <w:rsid w:val="00DB470F"/>
    <w:rsid w:val="00DB4B3E"/>
    <w:rsid w:val="00DB54ED"/>
    <w:rsid w:val="00DB5831"/>
    <w:rsid w:val="00DB5871"/>
    <w:rsid w:val="00DB5F88"/>
    <w:rsid w:val="00DB6174"/>
    <w:rsid w:val="00DB6B0A"/>
    <w:rsid w:val="00DB6BDC"/>
    <w:rsid w:val="00DB6D12"/>
    <w:rsid w:val="00DB712A"/>
    <w:rsid w:val="00DB79F0"/>
    <w:rsid w:val="00DB7A76"/>
    <w:rsid w:val="00DB7FDD"/>
    <w:rsid w:val="00DC0178"/>
    <w:rsid w:val="00DC022A"/>
    <w:rsid w:val="00DC0533"/>
    <w:rsid w:val="00DC06F8"/>
    <w:rsid w:val="00DC0861"/>
    <w:rsid w:val="00DC0A65"/>
    <w:rsid w:val="00DC1159"/>
    <w:rsid w:val="00DC12EA"/>
    <w:rsid w:val="00DC1585"/>
    <w:rsid w:val="00DC1904"/>
    <w:rsid w:val="00DC1952"/>
    <w:rsid w:val="00DC1D4B"/>
    <w:rsid w:val="00DC2498"/>
    <w:rsid w:val="00DC3185"/>
    <w:rsid w:val="00DC3270"/>
    <w:rsid w:val="00DC393D"/>
    <w:rsid w:val="00DC3BEB"/>
    <w:rsid w:val="00DC4584"/>
    <w:rsid w:val="00DC4A6B"/>
    <w:rsid w:val="00DC4CF6"/>
    <w:rsid w:val="00DC5486"/>
    <w:rsid w:val="00DC6137"/>
    <w:rsid w:val="00DC63B9"/>
    <w:rsid w:val="00DC6C1E"/>
    <w:rsid w:val="00DC794E"/>
    <w:rsid w:val="00DC798B"/>
    <w:rsid w:val="00DC7F1D"/>
    <w:rsid w:val="00DD0705"/>
    <w:rsid w:val="00DD0A2B"/>
    <w:rsid w:val="00DD0D23"/>
    <w:rsid w:val="00DD0E42"/>
    <w:rsid w:val="00DD107B"/>
    <w:rsid w:val="00DD1504"/>
    <w:rsid w:val="00DD17FE"/>
    <w:rsid w:val="00DD1AA3"/>
    <w:rsid w:val="00DD220C"/>
    <w:rsid w:val="00DD233E"/>
    <w:rsid w:val="00DD24F2"/>
    <w:rsid w:val="00DD259D"/>
    <w:rsid w:val="00DD27CB"/>
    <w:rsid w:val="00DD326B"/>
    <w:rsid w:val="00DD3F04"/>
    <w:rsid w:val="00DD4722"/>
    <w:rsid w:val="00DD4E59"/>
    <w:rsid w:val="00DD4EB3"/>
    <w:rsid w:val="00DD4FB2"/>
    <w:rsid w:val="00DD5822"/>
    <w:rsid w:val="00DD5CAB"/>
    <w:rsid w:val="00DD5F94"/>
    <w:rsid w:val="00DD75DA"/>
    <w:rsid w:val="00DD79A5"/>
    <w:rsid w:val="00DD7B28"/>
    <w:rsid w:val="00DD7D7B"/>
    <w:rsid w:val="00DE037A"/>
    <w:rsid w:val="00DE09C3"/>
    <w:rsid w:val="00DE0E9B"/>
    <w:rsid w:val="00DE0F62"/>
    <w:rsid w:val="00DE1317"/>
    <w:rsid w:val="00DE1436"/>
    <w:rsid w:val="00DE147A"/>
    <w:rsid w:val="00DE1888"/>
    <w:rsid w:val="00DE190F"/>
    <w:rsid w:val="00DE1E96"/>
    <w:rsid w:val="00DE2106"/>
    <w:rsid w:val="00DE2B23"/>
    <w:rsid w:val="00DE32EF"/>
    <w:rsid w:val="00DE3EF3"/>
    <w:rsid w:val="00DE4808"/>
    <w:rsid w:val="00DE4F0A"/>
    <w:rsid w:val="00DE5E59"/>
    <w:rsid w:val="00DE60CF"/>
    <w:rsid w:val="00DE70A7"/>
    <w:rsid w:val="00DE7825"/>
    <w:rsid w:val="00DE7BEC"/>
    <w:rsid w:val="00DE7D65"/>
    <w:rsid w:val="00DF02BF"/>
    <w:rsid w:val="00DF0343"/>
    <w:rsid w:val="00DF15AA"/>
    <w:rsid w:val="00DF19F3"/>
    <w:rsid w:val="00DF1BCF"/>
    <w:rsid w:val="00DF1C4E"/>
    <w:rsid w:val="00DF281C"/>
    <w:rsid w:val="00DF3E59"/>
    <w:rsid w:val="00DF49E0"/>
    <w:rsid w:val="00DF4F86"/>
    <w:rsid w:val="00DF52CE"/>
    <w:rsid w:val="00DF5D07"/>
    <w:rsid w:val="00DF6BB7"/>
    <w:rsid w:val="00DF6CF7"/>
    <w:rsid w:val="00DF708D"/>
    <w:rsid w:val="00DF7904"/>
    <w:rsid w:val="00DF7A95"/>
    <w:rsid w:val="00DF7B93"/>
    <w:rsid w:val="00DF7E4B"/>
    <w:rsid w:val="00E00216"/>
    <w:rsid w:val="00E0099C"/>
    <w:rsid w:val="00E009F0"/>
    <w:rsid w:val="00E00CB3"/>
    <w:rsid w:val="00E01555"/>
    <w:rsid w:val="00E019D4"/>
    <w:rsid w:val="00E03B48"/>
    <w:rsid w:val="00E03CD5"/>
    <w:rsid w:val="00E04056"/>
    <w:rsid w:val="00E04B7E"/>
    <w:rsid w:val="00E0549B"/>
    <w:rsid w:val="00E058C9"/>
    <w:rsid w:val="00E05AF2"/>
    <w:rsid w:val="00E05C86"/>
    <w:rsid w:val="00E06446"/>
    <w:rsid w:val="00E0671E"/>
    <w:rsid w:val="00E069E7"/>
    <w:rsid w:val="00E06A0E"/>
    <w:rsid w:val="00E06BF3"/>
    <w:rsid w:val="00E07341"/>
    <w:rsid w:val="00E07390"/>
    <w:rsid w:val="00E07576"/>
    <w:rsid w:val="00E07AA1"/>
    <w:rsid w:val="00E07C48"/>
    <w:rsid w:val="00E07E85"/>
    <w:rsid w:val="00E100F3"/>
    <w:rsid w:val="00E11614"/>
    <w:rsid w:val="00E11B0F"/>
    <w:rsid w:val="00E12129"/>
    <w:rsid w:val="00E12A1F"/>
    <w:rsid w:val="00E12AC8"/>
    <w:rsid w:val="00E13C4F"/>
    <w:rsid w:val="00E14024"/>
    <w:rsid w:val="00E14182"/>
    <w:rsid w:val="00E145ED"/>
    <w:rsid w:val="00E148D4"/>
    <w:rsid w:val="00E15021"/>
    <w:rsid w:val="00E155E6"/>
    <w:rsid w:val="00E1632D"/>
    <w:rsid w:val="00E16B68"/>
    <w:rsid w:val="00E16CBD"/>
    <w:rsid w:val="00E17178"/>
    <w:rsid w:val="00E17ADB"/>
    <w:rsid w:val="00E17C3B"/>
    <w:rsid w:val="00E17DB4"/>
    <w:rsid w:val="00E20459"/>
    <w:rsid w:val="00E2080B"/>
    <w:rsid w:val="00E20975"/>
    <w:rsid w:val="00E20EA6"/>
    <w:rsid w:val="00E212B4"/>
    <w:rsid w:val="00E218DF"/>
    <w:rsid w:val="00E225D9"/>
    <w:rsid w:val="00E22FE7"/>
    <w:rsid w:val="00E2325D"/>
    <w:rsid w:val="00E23311"/>
    <w:rsid w:val="00E2369C"/>
    <w:rsid w:val="00E23E77"/>
    <w:rsid w:val="00E23EA6"/>
    <w:rsid w:val="00E23FF2"/>
    <w:rsid w:val="00E24516"/>
    <w:rsid w:val="00E24E98"/>
    <w:rsid w:val="00E256AC"/>
    <w:rsid w:val="00E25963"/>
    <w:rsid w:val="00E25C36"/>
    <w:rsid w:val="00E25FD7"/>
    <w:rsid w:val="00E26F81"/>
    <w:rsid w:val="00E279F5"/>
    <w:rsid w:val="00E30059"/>
    <w:rsid w:val="00E302AE"/>
    <w:rsid w:val="00E305ED"/>
    <w:rsid w:val="00E30672"/>
    <w:rsid w:val="00E307F6"/>
    <w:rsid w:val="00E30AAD"/>
    <w:rsid w:val="00E3107B"/>
    <w:rsid w:val="00E312D3"/>
    <w:rsid w:val="00E31CA0"/>
    <w:rsid w:val="00E324F1"/>
    <w:rsid w:val="00E32AF6"/>
    <w:rsid w:val="00E32D73"/>
    <w:rsid w:val="00E32DA8"/>
    <w:rsid w:val="00E32DB8"/>
    <w:rsid w:val="00E33685"/>
    <w:rsid w:val="00E336B4"/>
    <w:rsid w:val="00E33DBC"/>
    <w:rsid w:val="00E34285"/>
    <w:rsid w:val="00E342D2"/>
    <w:rsid w:val="00E3451E"/>
    <w:rsid w:val="00E353F3"/>
    <w:rsid w:val="00E35C25"/>
    <w:rsid w:val="00E36A65"/>
    <w:rsid w:val="00E36B12"/>
    <w:rsid w:val="00E3778E"/>
    <w:rsid w:val="00E37A86"/>
    <w:rsid w:val="00E37A88"/>
    <w:rsid w:val="00E37F2E"/>
    <w:rsid w:val="00E405B3"/>
    <w:rsid w:val="00E40CBD"/>
    <w:rsid w:val="00E41143"/>
    <w:rsid w:val="00E419BA"/>
    <w:rsid w:val="00E41DCA"/>
    <w:rsid w:val="00E421D4"/>
    <w:rsid w:val="00E42F2E"/>
    <w:rsid w:val="00E4343D"/>
    <w:rsid w:val="00E438CA"/>
    <w:rsid w:val="00E43ED2"/>
    <w:rsid w:val="00E4454C"/>
    <w:rsid w:val="00E44DF3"/>
    <w:rsid w:val="00E45A63"/>
    <w:rsid w:val="00E45C5F"/>
    <w:rsid w:val="00E45FA3"/>
    <w:rsid w:val="00E46435"/>
    <w:rsid w:val="00E465D3"/>
    <w:rsid w:val="00E476B3"/>
    <w:rsid w:val="00E4795F"/>
    <w:rsid w:val="00E47B92"/>
    <w:rsid w:val="00E50C95"/>
    <w:rsid w:val="00E512D1"/>
    <w:rsid w:val="00E513CF"/>
    <w:rsid w:val="00E514BA"/>
    <w:rsid w:val="00E5208B"/>
    <w:rsid w:val="00E52255"/>
    <w:rsid w:val="00E5257A"/>
    <w:rsid w:val="00E52A46"/>
    <w:rsid w:val="00E53331"/>
    <w:rsid w:val="00E53430"/>
    <w:rsid w:val="00E5374D"/>
    <w:rsid w:val="00E53D98"/>
    <w:rsid w:val="00E548B7"/>
    <w:rsid w:val="00E54D70"/>
    <w:rsid w:val="00E54DDE"/>
    <w:rsid w:val="00E551AE"/>
    <w:rsid w:val="00E55500"/>
    <w:rsid w:val="00E558F6"/>
    <w:rsid w:val="00E55919"/>
    <w:rsid w:val="00E55AFC"/>
    <w:rsid w:val="00E561A6"/>
    <w:rsid w:val="00E56BA0"/>
    <w:rsid w:val="00E573DB"/>
    <w:rsid w:val="00E57C3F"/>
    <w:rsid w:val="00E601AB"/>
    <w:rsid w:val="00E61957"/>
    <w:rsid w:val="00E62194"/>
    <w:rsid w:val="00E626A3"/>
    <w:rsid w:val="00E626EF"/>
    <w:rsid w:val="00E62881"/>
    <w:rsid w:val="00E62890"/>
    <w:rsid w:val="00E62A56"/>
    <w:rsid w:val="00E62BA4"/>
    <w:rsid w:val="00E6323E"/>
    <w:rsid w:val="00E634A5"/>
    <w:rsid w:val="00E634D3"/>
    <w:rsid w:val="00E635EA"/>
    <w:rsid w:val="00E63638"/>
    <w:rsid w:val="00E63DFD"/>
    <w:rsid w:val="00E64F89"/>
    <w:rsid w:val="00E65591"/>
    <w:rsid w:val="00E658CE"/>
    <w:rsid w:val="00E65C86"/>
    <w:rsid w:val="00E6644D"/>
    <w:rsid w:val="00E66B19"/>
    <w:rsid w:val="00E670B1"/>
    <w:rsid w:val="00E670CE"/>
    <w:rsid w:val="00E67174"/>
    <w:rsid w:val="00E6722A"/>
    <w:rsid w:val="00E7033A"/>
    <w:rsid w:val="00E7060D"/>
    <w:rsid w:val="00E7085E"/>
    <w:rsid w:val="00E70E4A"/>
    <w:rsid w:val="00E719D1"/>
    <w:rsid w:val="00E71FDC"/>
    <w:rsid w:val="00E7212D"/>
    <w:rsid w:val="00E7244C"/>
    <w:rsid w:val="00E725EB"/>
    <w:rsid w:val="00E72C10"/>
    <w:rsid w:val="00E72E27"/>
    <w:rsid w:val="00E7301D"/>
    <w:rsid w:val="00E73272"/>
    <w:rsid w:val="00E73B04"/>
    <w:rsid w:val="00E73DD8"/>
    <w:rsid w:val="00E749AD"/>
    <w:rsid w:val="00E74F2A"/>
    <w:rsid w:val="00E75146"/>
    <w:rsid w:val="00E75A55"/>
    <w:rsid w:val="00E75C67"/>
    <w:rsid w:val="00E75CF6"/>
    <w:rsid w:val="00E760C6"/>
    <w:rsid w:val="00E76105"/>
    <w:rsid w:val="00E76A9B"/>
    <w:rsid w:val="00E76AC5"/>
    <w:rsid w:val="00E76BF8"/>
    <w:rsid w:val="00E76F06"/>
    <w:rsid w:val="00E77486"/>
    <w:rsid w:val="00E77A30"/>
    <w:rsid w:val="00E77DF6"/>
    <w:rsid w:val="00E77F77"/>
    <w:rsid w:val="00E80589"/>
    <w:rsid w:val="00E80736"/>
    <w:rsid w:val="00E807AF"/>
    <w:rsid w:val="00E8081F"/>
    <w:rsid w:val="00E80983"/>
    <w:rsid w:val="00E812E9"/>
    <w:rsid w:val="00E81AC6"/>
    <w:rsid w:val="00E81B40"/>
    <w:rsid w:val="00E822AB"/>
    <w:rsid w:val="00E82772"/>
    <w:rsid w:val="00E828C5"/>
    <w:rsid w:val="00E828DF"/>
    <w:rsid w:val="00E82D87"/>
    <w:rsid w:val="00E8388F"/>
    <w:rsid w:val="00E83D00"/>
    <w:rsid w:val="00E83D23"/>
    <w:rsid w:val="00E85742"/>
    <w:rsid w:val="00E85B82"/>
    <w:rsid w:val="00E85E31"/>
    <w:rsid w:val="00E861AD"/>
    <w:rsid w:val="00E862D8"/>
    <w:rsid w:val="00E864F0"/>
    <w:rsid w:val="00E86535"/>
    <w:rsid w:val="00E8700F"/>
    <w:rsid w:val="00E8704C"/>
    <w:rsid w:val="00E870BD"/>
    <w:rsid w:val="00E87E06"/>
    <w:rsid w:val="00E87E5D"/>
    <w:rsid w:val="00E90461"/>
    <w:rsid w:val="00E90BB1"/>
    <w:rsid w:val="00E91405"/>
    <w:rsid w:val="00E915C2"/>
    <w:rsid w:val="00E918C8"/>
    <w:rsid w:val="00E91B24"/>
    <w:rsid w:val="00E923B8"/>
    <w:rsid w:val="00E9240C"/>
    <w:rsid w:val="00E92627"/>
    <w:rsid w:val="00E92C1B"/>
    <w:rsid w:val="00E92C41"/>
    <w:rsid w:val="00E92D3D"/>
    <w:rsid w:val="00E92EDD"/>
    <w:rsid w:val="00E93286"/>
    <w:rsid w:val="00E932F0"/>
    <w:rsid w:val="00E93373"/>
    <w:rsid w:val="00E93CB6"/>
    <w:rsid w:val="00E93D1B"/>
    <w:rsid w:val="00E93FE0"/>
    <w:rsid w:val="00E94163"/>
    <w:rsid w:val="00E942C2"/>
    <w:rsid w:val="00E943B2"/>
    <w:rsid w:val="00E944EF"/>
    <w:rsid w:val="00E94820"/>
    <w:rsid w:val="00E94FD8"/>
    <w:rsid w:val="00E9519C"/>
    <w:rsid w:val="00E9536D"/>
    <w:rsid w:val="00E95974"/>
    <w:rsid w:val="00E95D6A"/>
    <w:rsid w:val="00E95E86"/>
    <w:rsid w:val="00E96217"/>
    <w:rsid w:val="00E96537"/>
    <w:rsid w:val="00E967D0"/>
    <w:rsid w:val="00E96D37"/>
    <w:rsid w:val="00E975AF"/>
    <w:rsid w:val="00E977A2"/>
    <w:rsid w:val="00E97A7B"/>
    <w:rsid w:val="00E97D1A"/>
    <w:rsid w:val="00E97E76"/>
    <w:rsid w:val="00E97EAE"/>
    <w:rsid w:val="00EA02FE"/>
    <w:rsid w:val="00EA08E7"/>
    <w:rsid w:val="00EA13F9"/>
    <w:rsid w:val="00EA1C62"/>
    <w:rsid w:val="00EA2298"/>
    <w:rsid w:val="00EA24B3"/>
    <w:rsid w:val="00EA255C"/>
    <w:rsid w:val="00EA2570"/>
    <w:rsid w:val="00EA28FF"/>
    <w:rsid w:val="00EA2903"/>
    <w:rsid w:val="00EA296F"/>
    <w:rsid w:val="00EA29DC"/>
    <w:rsid w:val="00EA2B05"/>
    <w:rsid w:val="00EA31D1"/>
    <w:rsid w:val="00EA34EF"/>
    <w:rsid w:val="00EA3781"/>
    <w:rsid w:val="00EA3A4F"/>
    <w:rsid w:val="00EA45D4"/>
    <w:rsid w:val="00EA484E"/>
    <w:rsid w:val="00EA49DB"/>
    <w:rsid w:val="00EA4CAC"/>
    <w:rsid w:val="00EA4CE9"/>
    <w:rsid w:val="00EA4CFC"/>
    <w:rsid w:val="00EA5126"/>
    <w:rsid w:val="00EA5881"/>
    <w:rsid w:val="00EA6B87"/>
    <w:rsid w:val="00EA7FF7"/>
    <w:rsid w:val="00EB0532"/>
    <w:rsid w:val="00EB0766"/>
    <w:rsid w:val="00EB077C"/>
    <w:rsid w:val="00EB14A1"/>
    <w:rsid w:val="00EB1665"/>
    <w:rsid w:val="00EB1AAE"/>
    <w:rsid w:val="00EB2041"/>
    <w:rsid w:val="00EB20B9"/>
    <w:rsid w:val="00EB2250"/>
    <w:rsid w:val="00EB3B8D"/>
    <w:rsid w:val="00EB3F5B"/>
    <w:rsid w:val="00EB4A2B"/>
    <w:rsid w:val="00EB54B4"/>
    <w:rsid w:val="00EB594A"/>
    <w:rsid w:val="00EB6796"/>
    <w:rsid w:val="00EB6B52"/>
    <w:rsid w:val="00EB7B6B"/>
    <w:rsid w:val="00EB7B71"/>
    <w:rsid w:val="00EC05C9"/>
    <w:rsid w:val="00EC17A4"/>
    <w:rsid w:val="00EC1D01"/>
    <w:rsid w:val="00EC1D53"/>
    <w:rsid w:val="00EC1DDC"/>
    <w:rsid w:val="00EC217E"/>
    <w:rsid w:val="00EC289A"/>
    <w:rsid w:val="00EC2907"/>
    <w:rsid w:val="00EC3A3F"/>
    <w:rsid w:val="00EC422C"/>
    <w:rsid w:val="00EC423D"/>
    <w:rsid w:val="00EC4283"/>
    <w:rsid w:val="00EC4707"/>
    <w:rsid w:val="00EC48D5"/>
    <w:rsid w:val="00EC4E0C"/>
    <w:rsid w:val="00EC4EFA"/>
    <w:rsid w:val="00EC54F1"/>
    <w:rsid w:val="00EC5A75"/>
    <w:rsid w:val="00EC5BF0"/>
    <w:rsid w:val="00EC6312"/>
    <w:rsid w:val="00EC6378"/>
    <w:rsid w:val="00EC697A"/>
    <w:rsid w:val="00EC6AD5"/>
    <w:rsid w:val="00EC6C80"/>
    <w:rsid w:val="00EC6F8A"/>
    <w:rsid w:val="00EC773D"/>
    <w:rsid w:val="00ED0704"/>
    <w:rsid w:val="00ED0DAF"/>
    <w:rsid w:val="00ED0E40"/>
    <w:rsid w:val="00ED0FFE"/>
    <w:rsid w:val="00ED12EE"/>
    <w:rsid w:val="00ED2275"/>
    <w:rsid w:val="00ED2C67"/>
    <w:rsid w:val="00ED3578"/>
    <w:rsid w:val="00ED3ABA"/>
    <w:rsid w:val="00ED3C74"/>
    <w:rsid w:val="00ED3D30"/>
    <w:rsid w:val="00ED3D32"/>
    <w:rsid w:val="00ED40EE"/>
    <w:rsid w:val="00ED4355"/>
    <w:rsid w:val="00ED47D5"/>
    <w:rsid w:val="00ED4891"/>
    <w:rsid w:val="00ED4AE9"/>
    <w:rsid w:val="00ED4DAD"/>
    <w:rsid w:val="00ED560E"/>
    <w:rsid w:val="00ED5803"/>
    <w:rsid w:val="00ED5E93"/>
    <w:rsid w:val="00ED607B"/>
    <w:rsid w:val="00ED7018"/>
    <w:rsid w:val="00ED74E9"/>
    <w:rsid w:val="00ED75E4"/>
    <w:rsid w:val="00ED78DE"/>
    <w:rsid w:val="00ED7BBB"/>
    <w:rsid w:val="00ED7F33"/>
    <w:rsid w:val="00EE04CE"/>
    <w:rsid w:val="00EE05CE"/>
    <w:rsid w:val="00EE0938"/>
    <w:rsid w:val="00EE1263"/>
    <w:rsid w:val="00EE1711"/>
    <w:rsid w:val="00EE2294"/>
    <w:rsid w:val="00EE24F2"/>
    <w:rsid w:val="00EE2CA0"/>
    <w:rsid w:val="00EE309E"/>
    <w:rsid w:val="00EE30E2"/>
    <w:rsid w:val="00EE339F"/>
    <w:rsid w:val="00EE40E1"/>
    <w:rsid w:val="00EE43F6"/>
    <w:rsid w:val="00EE44CD"/>
    <w:rsid w:val="00EE4726"/>
    <w:rsid w:val="00EE4DB1"/>
    <w:rsid w:val="00EE5459"/>
    <w:rsid w:val="00EE548A"/>
    <w:rsid w:val="00EE5CA0"/>
    <w:rsid w:val="00EE5EE9"/>
    <w:rsid w:val="00EE6827"/>
    <w:rsid w:val="00EE687E"/>
    <w:rsid w:val="00EE68E3"/>
    <w:rsid w:val="00EE744F"/>
    <w:rsid w:val="00EE791F"/>
    <w:rsid w:val="00EF1D16"/>
    <w:rsid w:val="00EF1FBB"/>
    <w:rsid w:val="00EF2171"/>
    <w:rsid w:val="00EF23F7"/>
    <w:rsid w:val="00EF253C"/>
    <w:rsid w:val="00EF3118"/>
    <w:rsid w:val="00EF375B"/>
    <w:rsid w:val="00EF47D3"/>
    <w:rsid w:val="00EF4A24"/>
    <w:rsid w:val="00EF4D5E"/>
    <w:rsid w:val="00EF5435"/>
    <w:rsid w:val="00EF5491"/>
    <w:rsid w:val="00EF552A"/>
    <w:rsid w:val="00EF5CD0"/>
    <w:rsid w:val="00EF6381"/>
    <w:rsid w:val="00EF6A24"/>
    <w:rsid w:val="00EF6B38"/>
    <w:rsid w:val="00EF6CA1"/>
    <w:rsid w:val="00EF717D"/>
    <w:rsid w:val="00EF7908"/>
    <w:rsid w:val="00F00085"/>
    <w:rsid w:val="00F003AA"/>
    <w:rsid w:val="00F00F59"/>
    <w:rsid w:val="00F01491"/>
    <w:rsid w:val="00F0172B"/>
    <w:rsid w:val="00F01A7E"/>
    <w:rsid w:val="00F02518"/>
    <w:rsid w:val="00F028BC"/>
    <w:rsid w:val="00F03096"/>
    <w:rsid w:val="00F039EF"/>
    <w:rsid w:val="00F03F7F"/>
    <w:rsid w:val="00F04578"/>
    <w:rsid w:val="00F04E5C"/>
    <w:rsid w:val="00F05459"/>
    <w:rsid w:val="00F05759"/>
    <w:rsid w:val="00F05FED"/>
    <w:rsid w:val="00F06189"/>
    <w:rsid w:val="00F07782"/>
    <w:rsid w:val="00F07845"/>
    <w:rsid w:val="00F0794A"/>
    <w:rsid w:val="00F07F0B"/>
    <w:rsid w:val="00F1057C"/>
    <w:rsid w:val="00F110D2"/>
    <w:rsid w:val="00F1191F"/>
    <w:rsid w:val="00F11E24"/>
    <w:rsid w:val="00F11EFD"/>
    <w:rsid w:val="00F11F08"/>
    <w:rsid w:val="00F11F15"/>
    <w:rsid w:val="00F122E1"/>
    <w:rsid w:val="00F128AC"/>
    <w:rsid w:val="00F12CB8"/>
    <w:rsid w:val="00F12E13"/>
    <w:rsid w:val="00F13B8D"/>
    <w:rsid w:val="00F144A7"/>
    <w:rsid w:val="00F14C24"/>
    <w:rsid w:val="00F14C6A"/>
    <w:rsid w:val="00F14D68"/>
    <w:rsid w:val="00F1540A"/>
    <w:rsid w:val="00F16BB2"/>
    <w:rsid w:val="00F16C5F"/>
    <w:rsid w:val="00F17ACF"/>
    <w:rsid w:val="00F205F8"/>
    <w:rsid w:val="00F207DB"/>
    <w:rsid w:val="00F20F23"/>
    <w:rsid w:val="00F214D8"/>
    <w:rsid w:val="00F21A2E"/>
    <w:rsid w:val="00F2206D"/>
    <w:rsid w:val="00F22482"/>
    <w:rsid w:val="00F22A7A"/>
    <w:rsid w:val="00F22A7E"/>
    <w:rsid w:val="00F22C47"/>
    <w:rsid w:val="00F23242"/>
    <w:rsid w:val="00F23781"/>
    <w:rsid w:val="00F23AF3"/>
    <w:rsid w:val="00F23C25"/>
    <w:rsid w:val="00F242C1"/>
    <w:rsid w:val="00F247F9"/>
    <w:rsid w:val="00F248DA"/>
    <w:rsid w:val="00F249C5"/>
    <w:rsid w:val="00F24C41"/>
    <w:rsid w:val="00F2529F"/>
    <w:rsid w:val="00F25903"/>
    <w:rsid w:val="00F266BE"/>
    <w:rsid w:val="00F277AD"/>
    <w:rsid w:val="00F277EB"/>
    <w:rsid w:val="00F27A3E"/>
    <w:rsid w:val="00F30737"/>
    <w:rsid w:val="00F30823"/>
    <w:rsid w:val="00F30DB8"/>
    <w:rsid w:val="00F30EB1"/>
    <w:rsid w:val="00F3194B"/>
    <w:rsid w:val="00F3208B"/>
    <w:rsid w:val="00F32377"/>
    <w:rsid w:val="00F3255A"/>
    <w:rsid w:val="00F326BA"/>
    <w:rsid w:val="00F32A30"/>
    <w:rsid w:val="00F331B2"/>
    <w:rsid w:val="00F336A2"/>
    <w:rsid w:val="00F34A37"/>
    <w:rsid w:val="00F35100"/>
    <w:rsid w:val="00F35436"/>
    <w:rsid w:val="00F35D7D"/>
    <w:rsid w:val="00F36790"/>
    <w:rsid w:val="00F368CC"/>
    <w:rsid w:val="00F37070"/>
    <w:rsid w:val="00F374A5"/>
    <w:rsid w:val="00F37663"/>
    <w:rsid w:val="00F378AC"/>
    <w:rsid w:val="00F379EC"/>
    <w:rsid w:val="00F37D63"/>
    <w:rsid w:val="00F409EF"/>
    <w:rsid w:val="00F40EA2"/>
    <w:rsid w:val="00F4128E"/>
    <w:rsid w:val="00F41960"/>
    <w:rsid w:val="00F41A3A"/>
    <w:rsid w:val="00F41DD1"/>
    <w:rsid w:val="00F420B1"/>
    <w:rsid w:val="00F426B0"/>
    <w:rsid w:val="00F429E3"/>
    <w:rsid w:val="00F42D40"/>
    <w:rsid w:val="00F431C0"/>
    <w:rsid w:val="00F436D9"/>
    <w:rsid w:val="00F43BE2"/>
    <w:rsid w:val="00F43C39"/>
    <w:rsid w:val="00F44080"/>
    <w:rsid w:val="00F44214"/>
    <w:rsid w:val="00F44245"/>
    <w:rsid w:val="00F442C0"/>
    <w:rsid w:val="00F44304"/>
    <w:rsid w:val="00F44408"/>
    <w:rsid w:val="00F44538"/>
    <w:rsid w:val="00F4476B"/>
    <w:rsid w:val="00F448B6"/>
    <w:rsid w:val="00F449DB"/>
    <w:rsid w:val="00F44CF9"/>
    <w:rsid w:val="00F44D17"/>
    <w:rsid w:val="00F44DAA"/>
    <w:rsid w:val="00F452E7"/>
    <w:rsid w:val="00F4575D"/>
    <w:rsid w:val="00F45CA0"/>
    <w:rsid w:val="00F45F1E"/>
    <w:rsid w:val="00F46539"/>
    <w:rsid w:val="00F46815"/>
    <w:rsid w:val="00F46DF4"/>
    <w:rsid w:val="00F46F8D"/>
    <w:rsid w:val="00F47256"/>
    <w:rsid w:val="00F502AC"/>
    <w:rsid w:val="00F50D35"/>
    <w:rsid w:val="00F50FF1"/>
    <w:rsid w:val="00F511AF"/>
    <w:rsid w:val="00F515CA"/>
    <w:rsid w:val="00F51C1A"/>
    <w:rsid w:val="00F5201E"/>
    <w:rsid w:val="00F527FA"/>
    <w:rsid w:val="00F52A29"/>
    <w:rsid w:val="00F52D26"/>
    <w:rsid w:val="00F52D5A"/>
    <w:rsid w:val="00F5340C"/>
    <w:rsid w:val="00F5349B"/>
    <w:rsid w:val="00F53CAA"/>
    <w:rsid w:val="00F53E23"/>
    <w:rsid w:val="00F53EED"/>
    <w:rsid w:val="00F542B2"/>
    <w:rsid w:val="00F5440C"/>
    <w:rsid w:val="00F547C5"/>
    <w:rsid w:val="00F54A80"/>
    <w:rsid w:val="00F54C16"/>
    <w:rsid w:val="00F550A6"/>
    <w:rsid w:val="00F5524F"/>
    <w:rsid w:val="00F55385"/>
    <w:rsid w:val="00F55692"/>
    <w:rsid w:val="00F560DE"/>
    <w:rsid w:val="00F56726"/>
    <w:rsid w:val="00F567B3"/>
    <w:rsid w:val="00F57029"/>
    <w:rsid w:val="00F5714A"/>
    <w:rsid w:val="00F57755"/>
    <w:rsid w:val="00F603E4"/>
    <w:rsid w:val="00F60777"/>
    <w:rsid w:val="00F60A8A"/>
    <w:rsid w:val="00F60B9A"/>
    <w:rsid w:val="00F60D26"/>
    <w:rsid w:val="00F613AB"/>
    <w:rsid w:val="00F6158D"/>
    <w:rsid w:val="00F61D5F"/>
    <w:rsid w:val="00F61E05"/>
    <w:rsid w:val="00F61E3D"/>
    <w:rsid w:val="00F61E51"/>
    <w:rsid w:val="00F62221"/>
    <w:rsid w:val="00F6237E"/>
    <w:rsid w:val="00F6242F"/>
    <w:rsid w:val="00F62706"/>
    <w:rsid w:val="00F62B38"/>
    <w:rsid w:val="00F62CC4"/>
    <w:rsid w:val="00F630FC"/>
    <w:rsid w:val="00F63AAB"/>
    <w:rsid w:val="00F63EC8"/>
    <w:rsid w:val="00F654B2"/>
    <w:rsid w:val="00F659DB"/>
    <w:rsid w:val="00F66156"/>
    <w:rsid w:val="00F66489"/>
    <w:rsid w:val="00F666CA"/>
    <w:rsid w:val="00F66AEA"/>
    <w:rsid w:val="00F66FA9"/>
    <w:rsid w:val="00F6796E"/>
    <w:rsid w:val="00F67DCC"/>
    <w:rsid w:val="00F67E9B"/>
    <w:rsid w:val="00F700C0"/>
    <w:rsid w:val="00F70A68"/>
    <w:rsid w:val="00F7123D"/>
    <w:rsid w:val="00F71360"/>
    <w:rsid w:val="00F71DA6"/>
    <w:rsid w:val="00F722AA"/>
    <w:rsid w:val="00F725EA"/>
    <w:rsid w:val="00F7282C"/>
    <w:rsid w:val="00F733F0"/>
    <w:rsid w:val="00F73539"/>
    <w:rsid w:val="00F73EE1"/>
    <w:rsid w:val="00F73F3C"/>
    <w:rsid w:val="00F73F92"/>
    <w:rsid w:val="00F74162"/>
    <w:rsid w:val="00F756F8"/>
    <w:rsid w:val="00F758CF"/>
    <w:rsid w:val="00F75BA0"/>
    <w:rsid w:val="00F75DB2"/>
    <w:rsid w:val="00F76195"/>
    <w:rsid w:val="00F76585"/>
    <w:rsid w:val="00F769E4"/>
    <w:rsid w:val="00F76AF8"/>
    <w:rsid w:val="00F76B71"/>
    <w:rsid w:val="00F76C15"/>
    <w:rsid w:val="00F77329"/>
    <w:rsid w:val="00F77641"/>
    <w:rsid w:val="00F776DB"/>
    <w:rsid w:val="00F80096"/>
    <w:rsid w:val="00F804B9"/>
    <w:rsid w:val="00F80536"/>
    <w:rsid w:val="00F80727"/>
    <w:rsid w:val="00F808B1"/>
    <w:rsid w:val="00F80B3B"/>
    <w:rsid w:val="00F80C61"/>
    <w:rsid w:val="00F8128D"/>
    <w:rsid w:val="00F81394"/>
    <w:rsid w:val="00F8209A"/>
    <w:rsid w:val="00F82304"/>
    <w:rsid w:val="00F8236E"/>
    <w:rsid w:val="00F82B48"/>
    <w:rsid w:val="00F83BB8"/>
    <w:rsid w:val="00F83C79"/>
    <w:rsid w:val="00F83ED8"/>
    <w:rsid w:val="00F83F14"/>
    <w:rsid w:val="00F8421B"/>
    <w:rsid w:val="00F848A6"/>
    <w:rsid w:val="00F861BC"/>
    <w:rsid w:val="00F8634A"/>
    <w:rsid w:val="00F87BFB"/>
    <w:rsid w:val="00F87C5A"/>
    <w:rsid w:val="00F90544"/>
    <w:rsid w:val="00F90836"/>
    <w:rsid w:val="00F90872"/>
    <w:rsid w:val="00F90BF8"/>
    <w:rsid w:val="00F90F43"/>
    <w:rsid w:val="00F91AE4"/>
    <w:rsid w:val="00F92029"/>
    <w:rsid w:val="00F928FE"/>
    <w:rsid w:val="00F92E87"/>
    <w:rsid w:val="00F936BD"/>
    <w:rsid w:val="00F9377F"/>
    <w:rsid w:val="00F93BEC"/>
    <w:rsid w:val="00F93D6F"/>
    <w:rsid w:val="00F94912"/>
    <w:rsid w:val="00F94F3C"/>
    <w:rsid w:val="00F95002"/>
    <w:rsid w:val="00F95237"/>
    <w:rsid w:val="00F952B9"/>
    <w:rsid w:val="00F952FE"/>
    <w:rsid w:val="00F953AB"/>
    <w:rsid w:val="00F962EB"/>
    <w:rsid w:val="00F9673F"/>
    <w:rsid w:val="00F9681D"/>
    <w:rsid w:val="00F96FF8"/>
    <w:rsid w:val="00F9738B"/>
    <w:rsid w:val="00F977B2"/>
    <w:rsid w:val="00F97919"/>
    <w:rsid w:val="00F979BF"/>
    <w:rsid w:val="00F97B7F"/>
    <w:rsid w:val="00FA0B86"/>
    <w:rsid w:val="00FA0C50"/>
    <w:rsid w:val="00FA114A"/>
    <w:rsid w:val="00FA1274"/>
    <w:rsid w:val="00FA22B9"/>
    <w:rsid w:val="00FA23DE"/>
    <w:rsid w:val="00FA2A63"/>
    <w:rsid w:val="00FA2CE1"/>
    <w:rsid w:val="00FA30F8"/>
    <w:rsid w:val="00FA313D"/>
    <w:rsid w:val="00FA36AC"/>
    <w:rsid w:val="00FA4191"/>
    <w:rsid w:val="00FA4955"/>
    <w:rsid w:val="00FA4C8F"/>
    <w:rsid w:val="00FA4C99"/>
    <w:rsid w:val="00FA4E49"/>
    <w:rsid w:val="00FA5840"/>
    <w:rsid w:val="00FA5A17"/>
    <w:rsid w:val="00FA5D1B"/>
    <w:rsid w:val="00FA6018"/>
    <w:rsid w:val="00FA64B8"/>
    <w:rsid w:val="00FA64CB"/>
    <w:rsid w:val="00FA685C"/>
    <w:rsid w:val="00FA7010"/>
    <w:rsid w:val="00FA7AF4"/>
    <w:rsid w:val="00FA7BFB"/>
    <w:rsid w:val="00FA7E33"/>
    <w:rsid w:val="00FB0160"/>
    <w:rsid w:val="00FB02AC"/>
    <w:rsid w:val="00FB084E"/>
    <w:rsid w:val="00FB100A"/>
    <w:rsid w:val="00FB18A0"/>
    <w:rsid w:val="00FB1F86"/>
    <w:rsid w:val="00FB25F7"/>
    <w:rsid w:val="00FB2B71"/>
    <w:rsid w:val="00FB3646"/>
    <w:rsid w:val="00FB3FA8"/>
    <w:rsid w:val="00FB4333"/>
    <w:rsid w:val="00FB48B2"/>
    <w:rsid w:val="00FB5912"/>
    <w:rsid w:val="00FB5A9B"/>
    <w:rsid w:val="00FB67B5"/>
    <w:rsid w:val="00FB6E93"/>
    <w:rsid w:val="00FB77B1"/>
    <w:rsid w:val="00FB78E1"/>
    <w:rsid w:val="00FB79A9"/>
    <w:rsid w:val="00FB7C08"/>
    <w:rsid w:val="00FB7E78"/>
    <w:rsid w:val="00FC037C"/>
    <w:rsid w:val="00FC11C8"/>
    <w:rsid w:val="00FC137C"/>
    <w:rsid w:val="00FC1486"/>
    <w:rsid w:val="00FC1F3F"/>
    <w:rsid w:val="00FC206A"/>
    <w:rsid w:val="00FC255E"/>
    <w:rsid w:val="00FC25BC"/>
    <w:rsid w:val="00FC2A9A"/>
    <w:rsid w:val="00FC3C72"/>
    <w:rsid w:val="00FC3FC2"/>
    <w:rsid w:val="00FC443C"/>
    <w:rsid w:val="00FC4863"/>
    <w:rsid w:val="00FC48CA"/>
    <w:rsid w:val="00FC4FB1"/>
    <w:rsid w:val="00FC509C"/>
    <w:rsid w:val="00FC514E"/>
    <w:rsid w:val="00FC52AE"/>
    <w:rsid w:val="00FC583B"/>
    <w:rsid w:val="00FC58AF"/>
    <w:rsid w:val="00FC5A54"/>
    <w:rsid w:val="00FC5C5F"/>
    <w:rsid w:val="00FC5CE6"/>
    <w:rsid w:val="00FC5E2B"/>
    <w:rsid w:val="00FC5F03"/>
    <w:rsid w:val="00FC5F86"/>
    <w:rsid w:val="00FC6663"/>
    <w:rsid w:val="00FC6698"/>
    <w:rsid w:val="00FD003E"/>
    <w:rsid w:val="00FD00B3"/>
    <w:rsid w:val="00FD040E"/>
    <w:rsid w:val="00FD061F"/>
    <w:rsid w:val="00FD06C2"/>
    <w:rsid w:val="00FD0788"/>
    <w:rsid w:val="00FD07EE"/>
    <w:rsid w:val="00FD089F"/>
    <w:rsid w:val="00FD0EAE"/>
    <w:rsid w:val="00FD1AEE"/>
    <w:rsid w:val="00FD1CDB"/>
    <w:rsid w:val="00FD24AB"/>
    <w:rsid w:val="00FD304E"/>
    <w:rsid w:val="00FD34A0"/>
    <w:rsid w:val="00FD3776"/>
    <w:rsid w:val="00FD3910"/>
    <w:rsid w:val="00FD3A9F"/>
    <w:rsid w:val="00FD4065"/>
    <w:rsid w:val="00FD4C12"/>
    <w:rsid w:val="00FD5719"/>
    <w:rsid w:val="00FD5F83"/>
    <w:rsid w:val="00FD61A3"/>
    <w:rsid w:val="00FD696E"/>
    <w:rsid w:val="00FD6CAA"/>
    <w:rsid w:val="00FD6DBF"/>
    <w:rsid w:val="00FD6FB1"/>
    <w:rsid w:val="00FD719A"/>
    <w:rsid w:val="00FD720B"/>
    <w:rsid w:val="00FD7527"/>
    <w:rsid w:val="00FD7F26"/>
    <w:rsid w:val="00FD7F38"/>
    <w:rsid w:val="00FE01D9"/>
    <w:rsid w:val="00FE056E"/>
    <w:rsid w:val="00FE0A4C"/>
    <w:rsid w:val="00FE0C1B"/>
    <w:rsid w:val="00FE0C50"/>
    <w:rsid w:val="00FE0E49"/>
    <w:rsid w:val="00FE1AEF"/>
    <w:rsid w:val="00FE1CA7"/>
    <w:rsid w:val="00FE2C6D"/>
    <w:rsid w:val="00FE2E92"/>
    <w:rsid w:val="00FE318E"/>
    <w:rsid w:val="00FE3593"/>
    <w:rsid w:val="00FE393A"/>
    <w:rsid w:val="00FE3C03"/>
    <w:rsid w:val="00FE3E8A"/>
    <w:rsid w:val="00FE3F81"/>
    <w:rsid w:val="00FE45ED"/>
    <w:rsid w:val="00FE4927"/>
    <w:rsid w:val="00FE5064"/>
    <w:rsid w:val="00FE5275"/>
    <w:rsid w:val="00FE5358"/>
    <w:rsid w:val="00FE5912"/>
    <w:rsid w:val="00FE6058"/>
    <w:rsid w:val="00FE63D0"/>
    <w:rsid w:val="00FE6AD6"/>
    <w:rsid w:val="00FE707D"/>
    <w:rsid w:val="00FE73E9"/>
    <w:rsid w:val="00FF0038"/>
    <w:rsid w:val="00FF0529"/>
    <w:rsid w:val="00FF131E"/>
    <w:rsid w:val="00FF1488"/>
    <w:rsid w:val="00FF1E0E"/>
    <w:rsid w:val="00FF1F41"/>
    <w:rsid w:val="00FF22A9"/>
    <w:rsid w:val="00FF4120"/>
    <w:rsid w:val="00FF44D9"/>
    <w:rsid w:val="00FF4F31"/>
    <w:rsid w:val="00FF5181"/>
    <w:rsid w:val="00FF5410"/>
    <w:rsid w:val="00FF560D"/>
    <w:rsid w:val="00FF5B6A"/>
    <w:rsid w:val="00FF5BA2"/>
    <w:rsid w:val="00FF5ED7"/>
    <w:rsid w:val="00FF6090"/>
    <w:rsid w:val="00FF617B"/>
    <w:rsid w:val="00FF64BE"/>
    <w:rsid w:val="00FF669C"/>
    <w:rsid w:val="00FF6911"/>
    <w:rsid w:val="00FF6A08"/>
    <w:rsid w:val="00FF6C9D"/>
    <w:rsid w:val="00FF6F5E"/>
    <w:rsid w:val="00FF70DD"/>
    <w:rsid w:val="00FF7663"/>
    <w:rsid w:val="00FF7FE9"/>
    <w:rsid w:val="012DED86"/>
    <w:rsid w:val="016DA741"/>
    <w:rsid w:val="018D6B66"/>
    <w:rsid w:val="0216CA1D"/>
    <w:rsid w:val="02B95F4C"/>
    <w:rsid w:val="034FFA9C"/>
    <w:rsid w:val="048A29BF"/>
    <w:rsid w:val="054C5390"/>
    <w:rsid w:val="074BAADE"/>
    <w:rsid w:val="0B5E230B"/>
    <w:rsid w:val="0C0442D9"/>
    <w:rsid w:val="0CF1CD39"/>
    <w:rsid w:val="0DB429CB"/>
    <w:rsid w:val="10DC22B5"/>
    <w:rsid w:val="10F12A05"/>
    <w:rsid w:val="128A9375"/>
    <w:rsid w:val="13DF320D"/>
    <w:rsid w:val="14011B4A"/>
    <w:rsid w:val="150E664B"/>
    <w:rsid w:val="16371451"/>
    <w:rsid w:val="177E4D5D"/>
    <w:rsid w:val="19539194"/>
    <w:rsid w:val="1BFA293A"/>
    <w:rsid w:val="1CE28700"/>
    <w:rsid w:val="1E0ED487"/>
    <w:rsid w:val="1E26F523"/>
    <w:rsid w:val="1E91E63C"/>
    <w:rsid w:val="1F18A0A5"/>
    <w:rsid w:val="1F5F8220"/>
    <w:rsid w:val="1FA4AF46"/>
    <w:rsid w:val="2408D57B"/>
    <w:rsid w:val="24A4FD34"/>
    <w:rsid w:val="24BB6AAA"/>
    <w:rsid w:val="2780C0DF"/>
    <w:rsid w:val="292F3345"/>
    <w:rsid w:val="29EB35D7"/>
    <w:rsid w:val="2AFF1154"/>
    <w:rsid w:val="2B557C99"/>
    <w:rsid w:val="2B5D27BC"/>
    <w:rsid w:val="2C200811"/>
    <w:rsid w:val="2C6479AD"/>
    <w:rsid w:val="2D6B386A"/>
    <w:rsid w:val="2D77BF2A"/>
    <w:rsid w:val="2DECFDBA"/>
    <w:rsid w:val="30362F36"/>
    <w:rsid w:val="3079F406"/>
    <w:rsid w:val="30D32178"/>
    <w:rsid w:val="31701E76"/>
    <w:rsid w:val="31F6CFBD"/>
    <w:rsid w:val="32006E43"/>
    <w:rsid w:val="3430A99C"/>
    <w:rsid w:val="36B49AEA"/>
    <w:rsid w:val="370B787A"/>
    <w:rsid w:val="3766296A"/>
    <w:rsid w:val="387E7213"/>
    <w:rsid w:val="3A26B46E"/>
    <w:rsid w:val="3A2F5DAA"/>
    <w:rsid w:val="3B5BF523"/>
    <w:rsid w:val="3B9F4F06"/>
    <w:rsid w:val="3BA9047B"/>
    <w:rsid w:val="3D7A7660"/>
    <w:rsid w:val="3D85D3C6"/>
    <w:rsid w:val="3DEAD2DD"/>
    <w:rsid w:val="3E2450B1"/>
    <w:rsid w:val="3F793376"/>
    <w:rsid w:val="3F91937C"/>
    <w:rsid w:val="40C079FC"/>
    <w:rsid w:val="4479293C"/>
    <w:rsid w:val="448C27DE"/>
    <w:rsid w:val="44BCCBFA"/>
    <w:rsid w:val="46E2E861"/>
    <w:rsid w:val="48602BF8"/>
    <w:rsid w:val="49D63F40"/>
    <w:rsid w:val="49DBC67A"/>
    <w:rsid w:val="4B67915D"/>
    <w:rsid w:val="4C112132"/>
    <w:rsid w:val="4C13756D"/>
    <w:rsid w:val="4C374AC1"/>
    <w:rsid w:val="4DEF844C"/>
    <w:rsid w:val="4EA03E9A"/>
    <w:rsid w:val="4F2AD31E"/>
    <w:rsid w:val="50C4D1F5"/>
    <w:rsid w:val="50EB720F"/>
    <w:rsid w:val="512BC4C2"/>
    <w:rsid w:val="531C0F72"/>
    <w:rsid w:val="5384A651"/>
    <w:rsid w:val="5541BA31"/>
    <w:rsid w:val="56A4C7D8"/>
    <w:rsid w:val="5838A351"/>
    <w:rsid w:val="58A4C018"/>
    <w:rsid w:val="58D75C51"/>
    <w:rsid w:val="5912CF73"/>
    <w:rsid w:val="59EDF849"/>
    <w:rsid w:val="5AA6AB08"/>
    <w:rsid w:val="5BB986DA"/>
    <w:rsid w:val="5CA63583"/>
    <w:rsid w:val="5D93A4DB"/>
    <w:rsid w:val="5DF1A6BC"/>
    <w:rsid w:val="5F916D9E"/>
    <w:rsid w:val="5FEB53DD"/>
    <w:rsid w:val="61A7D93B"/>
    <w:rsid w:val="62D8AD05"/>
    <w:rsid w:val="6570465A"/>
    <w:rsid w:val="662A7F5A"/>
    <w:rsid w:val="6639CEF4"/>
    <w:rsid w:val="69AA9081"/>
    <w:rsid w:val="6B23BBCD"/>
    <w:rsid w:val="6B804793"/>
    <w:rsid w:val="6D42E61E"/>
    <w:rsid w:val="6E11B106"/>
    <w:rsid w:val="6E8FF9FB"/>
    <w:rsid w:val="6F0B398B"/>
    <w:rsid w:val="6F71800E"/>
    <w:rsid w:val="70FC145F"/>
    <w:rsid w:val="71949F7D"/>
    <w:rsid w:val="7245A50E"/>
    <w:rsid w:val="74FB5D59"/>
    <w:rsid w:val="7517FACD"/>
    <w:rsid w:val="78C01790"/>
    <w:rsid w:val="7AE630DC"/>
    <w:rsid w:val="7B92B176"/>
    <w:rsid w:val="7BC18412"/>
    <w:rsid w:val="7E0219E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ecimalSymbol w:val="."/>
  <w:listSeparator w:val=","/>
  <w14:docId w14:val="1AAAA6E8"/>
  <w15:docId w15:val="{C4DA4F91-1194-40E8-8275-E3A40344A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1" w:defUIPriority="99" w:defSemiHidden="0" w:defUnhideWhenUsed="0" w:defQFormat="0" w:count="377">
    <w:lsdException w:name="Normal" w:locked="0"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sdException w:name="Smart Link Error" w:locked="0"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IRTHeading2">
    <w:name w:val="VIRT Heading 2"/>
    <w:basedOn w:val="Normal"/>
    <w:link w:val="VIRTHeading2Char"/>
    <w:autoRedefine/>
    <w:qFormat/>
    <w:locked/>
    <w:rsid w:val="00BF0CF4"/>
    <w:pPr>
      <w:keepNext/>
      <w:tabs>
        <w:tab w:val="left" w:pos="2268"/>
      </w:tabs>
      <w:spacing w:before="240" w:after="240" w:line="240" w:lineRule="auto"/>
      <w:ind w:left="2268" w:hanging="2977"/>
      <w:outlineLvl w:val="1"/>
    </w:pPr>
    <w:rPr>
      <w:rFonts w:ascii="Rockwell" w:hAnsi="Rockwell" w:cs="Times New Roman (Body CS)"/>
      <w:color w:val="007449"/>
      <w:sz w:val="44"/>
      <w:szCs w:val="44"/>
    </w:rPr>
  </w:style>
  <w:style w:type="character" w:customStyle="1" w:styleId="VIRTHeading2Char">
    <w:name w:val="VIRT Heading 2 Char"/>
    <w:basedOn w:val="DefaultParagraphFont"/>
    <w:link w:val="VIRTHeading2"/>
    <w:rsid w:val="00BF0CF4"/>
    <w:rPr>
      <w:rFonts w:ascii="Rockwell" w:hAnsi="Rockwell" w:cs="Times New Roman (Body CS)"/>
      <w:color w:val="007449"/>
      <w:sz w:val="44"/>
      <w:szCs w:val="44"/>
    </w:rPr>
  </w:style>
  <w:style w:type="paragraph" w:customStyle="1" w:styleId="Heading">
    <w:name w:val="Heading"/>
    <w:link w:val="HeadingChar"/>
    <w:autoRedefine/>
    <w:qFormat/>
    <w:locked/>
    <w:rsid w:val="007B120C"/>
    <w:pPr>
      <w:spacing w:after="720" w:line="240" w:lineRule="auto"/>
      <w:outlineLvl w:val="0"/>
    </w:pPr>
    <w:rPr>
      <w:rFonts w:ascii="Rockwell" w:hAnsi="Rockwell" w:cs="Times New Roman (Body CS)"/>
      <w:color w:val="FFFFFF" w:themeColor="background1"/>
      <w:spacing w:val="-6"/>
      <w:sz w:val="40"/>
      <w:szCs w:val="40"/>
    </w:rPr>
  </w:style>
  <w:style w:type="character" w:customStyle="1" w:styleId="HeadingChar">
    <w:name w:val="Heading Char"/>
    <w:basedOn w:val="VIRTHeading2Char"/>
    <w:link w:val="Heading"/>
    <w:rsid w:val="007B120C"/>
    <w:rPr>
      <w:rFonts w:ascii="Rockwell" w:hAnsi="Rockwell" w:cs="Times New Roman (Body CS)"/>
      <w:color w:val="FFFFFF" w:themeColor="background1"/>
      <w:spacing w:val="-6"/>
      <w:sz w:val="40"/>
      <w:szCs w:val="40"/>
    </w:rPr>
  </w:style>
  <w:style w:type="paragraph" w:customStyle="1" w:styleId="VIRTBreakouttext">
    <w:name w:val="VIRT Breakout text"/>
    <w:basedOn w:val="Normal"/>
    <w:link w:val="VIRTBreakouttextChar"/>
    <w:autoRedefine/>
    <w:qFormat/>
    <w:locked/>
    <w:rsid w:val="00DD17FE"/>
    <w:pPr>
      <w:tabs>
        <w:tab w:val="center" w:pos="4680"/>
        <w:tab w:val="right" w:pos="9360"/>
      </w:tabs>
      <w:spacing w:before="180" w:after="180" w:line="276" w:lineRule="auto"/>
      <w:ind w:left="425"/>
      <w:jc w:val="both"/>
    </w:pPr>
    <w:rPr>
      <w:rFonts w:ascii="Calibri Light" w:hAnsi="Calibri Light" w:cs="Times New Roman (Body CS)"/>
      <w:i/>
      <w:color w:val="0E7650"/>
      <w:spacing w:val="-6"/>
      <w:sz w:val="26"/>
    </w:rPr>
  </w:style>
  <w:style w:type="character" w:customStyle="1" w:styleId="VIRTBreakouttextChar">
    <w:name w:val="VIRT Breakout text Char"/>
    <w:basedOn w:val="DefaultParagraphFont"/>
    <w:link w:val="VIRTBreakouttext"/>
    <w:rsid w:val="00DD17FE"/>
    <w:rPr>
      <w:rFonts w:ascii="Calibri Light" w:hAnsi="Calibri Light" w:cs="Times New Roman (Body CS)"/>
      <w:i/>
      <w:color w:val="0E7650"/>
      <w:spacing w:val="-6"/>
      <w:sz w:val="26"/>
    </w:rPr>
  </w:style>
  <w:style w:type="paragraph" w:customStyle="1" w:styleId="VIRTHeading3">
    <w:name w:val="VIRT Heading 3"/>
    <w:basedOn w:val="Normal"/>
    <w:link w:val="VIRTHeading3Char"/>
    <w:autoRedefine/>
    <w:qFormat/>
    <w:locked/>
    <w:rsid w:val="006F360D"/>
    <w:pPr>
      <w:keepNext/>
      <w:spacing w:before="240" w:after="240" w:line="240" w:lineRule="auto"/>
      <w:outlineLvl w:val="2"/>
    </w:pPr>
    <w:rPr>
      <w:rFonts w:ascii="Rockwell" w:hAnsi="Rockwell" w:cs="Arial"/>
      <w:color w:val="0F6745" w:themeColor="accent2" w:themeShade="BF"/>
      <w:spacing w:val="-6"/>
      <w:sz w:val="30"/>
    </w:rPr>
  </w:style>
  <w:style w:type="character" w:customStyle="1" w:styleId="VIRTHeading3Char">
    <w:name w:val="VIRT Heading 3 Char"/>
    <w:basedOn w:val="DefaultParagraphFont"/>
    <w:link w:val="VIRTHeading3"/>
    <w:locked/>
    <w:rsid w:val="006F360D"/>
    <w:rPr>
      <w:rFonts w:ascii="Rockwell" w:hAnsi="Rockwell" w:cs="Arial"/>
      <w:color w:val="0F6745" w:themeColor="accent2" w:themeShade="BF"/>
      <w:spacing w:val="-6"/>
      <w:sz w:val="30"/>
    </w:rPr>
  </w:style>
  <w:style w:type="paragraph" w:customStyle="1" w:styleId="Paragraph">
    <w:name w:val="Paragraph"/>
    <w:autoRedefine/>
    <w:qFormat/>
    <w:locked/>
    <w:rsid w:val="00517777"/>
    <w:pPr>
      <w:spacing w:before="120" w:after="240" w:line="276" w:lineRule="auto"/>
      <w:ind w:right="-143"/>
    </w:pPr>
    <w:rPr>
      <w:rFonts w:ascii="Calibri Light" w:eastAsiaTheme="minorEastAsia" w:hAnsi="Calibri Light" w:cs="Arial"/>
      <w:color w:val="4D4D4D" w:themeColor="accent6"/>
      <w:sz w:val="26"/>
      <w:szCs w:val="20"/>
    </w:rPr>
  </w:style>
  <w:style w:type="paragraph" w:customStyle="1" w:styleId="VIRTBulletpoints">
    <w:name w:val="VIRT Bullet points"/>
    <w:basedOn w:val="Paragraph"/>
    <w:link w:val="VIRTBulletpointsChar"/>
    <w:autoRedefine/>
    <w:qFormat/>
    <w:locked/>
    <w:rsid w:val="00A2007E"/>
    <w:pPr>
      <w:numPr>
        <w:numId w:val="3"/>
      </w:numPr>
      <w:spacing w:after="120"/>
      <w:contextualSpacing/>
    </w:pPr>
  </w:style>
  <w:style w:type="character" w:customStyle="1" w:styleId="VIRTBulletpointsChar">
    <w:name w:val="VIRT Bullet points Char"/>
    <w:basedOn w:val="DefaultParagraphFont"/>
    <w:link w:val="VIRTBulletpoints"/>
    <w:locked/>
    <w:rsid w:val="00A2007E"/>
    <w:rPr>
      <w:rFonts w:ascii="Calibri Light" w:eastAsiaTheme="minorEastAsia" w:hAnsi="Calibri Light" w:cs="Arial"/>
      <w:color w:val="4D4D4D" w:themeColor="accent6"/>
      <w:sz w:val="26"/>
      <w:szCs w:val="20"/>
    </w:rPr>
  </w:style>
  <w:style w:type="paragraph" w:customStyle="1" w:styleId="Sourcefortablesfigures">
    <w:name w:val="Source for tables/figures"/>
    <w:basedOn w:val="Normal"/>
    <w:link w:val="SourcefortablesfiguresChar"/>
    <w:autoRedefine/>
    <w:qFormat/>
    <w:locked/>
    <w:rsid w:val="00E25C36"/>
    <w:pPr>
      <w:spacing w:after="240" w:line="240" w:lineRule="auto"/>
      <w:ind w:right="-149"/>
      <w:contextualSpacing/>
    </w:pPr>
    <w:rPr>
      <w:rFonts w:ascii="Rockwell" w:hAnsi="Rockwell"/>
      <w:color w:val="007449"/>
      <w:sz w:val="44"/>
      <w:szCs w:val="20"/>
    </w:rPr>
  </w:style>
  <w:style w:type="character" w:customStyle="1" w:styleId="SourcefortablesfiguresChar">
    <w:name w:val="Source for tables/figures Char"/>
    <w:basedOn w:val="DefaultParagraphFont"/>
    <w:link w:val="Sourcefortablesfigures"/>
    <w:rsid w:val="00E25C36"/>
    <w:rPr>
      <w:rFonts w:ascii="Rockwell" w:hAnsi="Rockwell"/>
      <w:color w:val="007449"/>
      <w:sz w:val="44"/>
      <w:szCs w:val="20"/>
    </w:rPr>
  </w:style>
  <w:style w:type="paragraph" w:styleId="BalloonText">
    <w:name w:val="Balloon Text"/>
    <w:basedOn w:val="Normal"/>
    <w:link w:val="BalloonTextChar"/>
    <w:uiPriority w:val="99"/>
    <w:semiHidden/>
    <w:unhideWhenUsed/>
    <w:locked/>
    <w:rsid w:val="006B08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084E"/>
    <w:rPr>
      <w:rFonts w:ascii="Segoe UI" w:hAnsi="Segoe UI" w:cs="Segoe UI"/>
      <w:sz w:val="18"/>
      <w:szCs w:val="18"/>
    </w:rPr>
  </w:style>
  <w:style w:type="paragraph" w:customStyle="1" w:styleId="Parapraphbeforeabulletlist">
    <w:name w:val="Parapraph before a bullet list"/>
    <w:basedOn w:val="Paragraph"/>
    <w:link w:val="ParapraphbeforeabulletlistChar"/>
    <w:autoRedefine/>
    <w:qFormat/>
    <w:locked/>
    <w:rsid w:val="006B4B6B"/>
    <w:pPr>
      <w:spacing w:before="0" w:after="0"/>
    </w:pPr>
    <w:rPr>
      <w:rFonts w:cs="Times New Roman (Body CS)"/>
      <w:szCs w:val="44"/>
    </w:rPr>
  </w:style>
  <w:style w:type="table" w:styleId="TableGrid">
    <w:name w:val="Table Grid"/>
    <w:basedOn w:val="TableNormal"/>
    <w:uiPriority w:val="39"/>
    <w:locked/>
    <w:rsid w:val="006B08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praphbeforeabulletlistChar">
    <w:name w:val="Parapraph before a bullet list Char"/>
    <w:basedOn w:val="DefaultParagraphFont"/>
    <w:link w:val="Parapraphbeforeabulletlist"/>
    <w:rsid w:val="006B4B6B"/>
    <w:rPr>
      <w:rFonts w:ascii="Calibri Light" w:hAnsi="Calibri Light" w:cs="Times New Roman (Body CS)"/>
      <w:color w:val="4D4D4D" w:themeColor="accent6"/>
      <w:sz w:val="26"/>
      <w:szCs w:val="44"/>
    </w:rPr>
  </w:style>
  <w:style w:type="table" w:customStyle="1" w:styleId="ListTable3-Accent21">
    <w:name w:val="List Table 3 - Accent 21"/>
    <w:basedOn w:val="TableNormal"/>
    <w:uiPriority w:val="48"/>
    <w:locked/>
    <w:rsid w:val="006B084E"/>
    <w:pPr>
      <w:spacing w:after="0" w:line="240" w:lineRule="auto"/>
    </w:pPr>
    <w:tblPr>
      <w:tblStyleRowBandSize w:val="1"/>
      <w:tblStyleColBandSize w:val="1"/>
      <w:tblBorders>
        <w:top w:val="single" w:sz="4" w:space="0" w:color="148A5D" w:themeColor="accent2"/>
        <w:left w:val="single" w:sz="4" w:space="0" w:color="148A5D" w:themeColor="accent2"/>
        <w:bottom w:val="single" w:sz="4" w:space="0" w:color="148A5D" w:themeColor="accent2"/>
        <w:right w:val="single" w:sz="4" w:space="0" w:color="148A5D" w:themeColor="accent2"/>
      </w:tblBorders>
    </w:tblPr>
    <w:tblStylePr w:type="firstRow">
      <w:rPr>
        <w:b/>
        <w:bCs/>
        <w:color w:val="FFFFFF" w:themeColor="background1"/>
      </w:rPr>
      <w:tblPr/>
      <w:tcPr>
        <w:shd w:val="clear" w:color="auto" w:fill="148A5D" w:themeFill="accent2"/>
      </w:tcPr>
    </w:tblStylePr>
    <w:tblStylePr w:type="lastRow">
      <w:rPr>
        <w:b/>
        <w:bCs/>
      </w:rPr>
      <w:tblPr/>
      <w:tcPr>
        <w:tcBorders>
          <w:top w:val="double" w:sz="4" w:space="0" w:color="148A5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48A5D" w:themeColor="accent2"/>
          <w:right w:val="single" w:sz="4" w:space="0" w:color="148A5D" w:themeColor="accent2"/>
        </w:tcBorders>
      </w:tcPr>
    </w:tblStylePr>
    <w:tblStylePr w:type="band1Horz">
      <w:tblPr/>
      <w:tcPr>
        <w:tcBorders>
          <w:top w:val="single" w:sz="4" w:space="0" w:color="148A5D" w:themeColor="accent2"/>
          <w:bottom w:val="single" w:sz="4" w:space="0" w:color="148A5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themeColor="accent2"/>
          <w:left w:val="nil"/>
        </w:tcBorders>
      </w:tcPr>
    </w:tblStylePr>
    <w:tblStylePr w:type="swCell">
      <w:tblPr/>
      <w:tcPr>
        <w:tcBorders>
          <w:top w:val="double" w:sz="4" w:space="0" w:color="148A5D" w:themeColor="accent2"/>
          <w:right w:val="nil"/>
        </w:tcBorders>
      </w:tcPr>
    </w:tblStylePr>
  </w:style>
  <w:style w:type="paragraph" w:customStyle="1" w:styleId="Tabletext">
    <w:name w:val="Table text"/>
    <w:basedOn w:val="Tablebullets"/>
    <w:link w:val="TabletextChar"/>
    <w:autoRedefine/>
    <w:qFormat/>
    <w:locked/>
    <w:rsid w:val="00EA24B3"/>
    <w:pPr>
      <w:numPr>
        <w:numId w:val="0"/>
      </w:numPr>
      <w:ind w:left="68"/>
    </w:pPr>
    <w:rPr>
      <w:b/>
      <w:bCs/>
      <w:color w:val="FFFFFF" w:themeColor="background2"/>
    </w:rPr>
  </w:style>
  <w:style w:type="paragraph" w:customStyle="1" w:styleId="Bulletsinatable">
    <w:name w:val="Bullets in a table"/>
    <w:link w:val="BulletsinatableChar"/>
    <w:autoRedefine/>
    <w:qFormat/>
    <w:locked/>
    <w:rsid w:val="00690EA2"/>
    <w:pPr>
      <w:spacing w:after="0" w:line="240" w:lineRule="auto"/>
      <w:jc w:val="center"/>
    </w:pPr>
    <w:rPr>
      <w:rFonts w:ascii="Calibri Light" w:hAnsi="Calibri Light" w:cs="Arial"/>
      <w:bCs/>
      <w:color w:val="4D4D4D" w:themeColor="accent6"/>
      <w:szCs w:val="20"/>
    </w:rPr>
  </w:style>
  <w:style w:type="character" w:customStyle="1" w:styleId="TabletextChar">
    <w:name w:val="Table text Char"/>
    <w:basedOn w:val="DefaultParagraphFont"/>
    <w:link w:val="Tabletext"/>
    <w:rsid w:val="00EA24B3"/>
    <w:rPr>
      <w:rFonts w:ascii="Calibri Light" w:hAnsi="Calibri Light" w:cs="Times New Roman (Body CS)"/>
      <w:b/>
      <w:bCs/>
      <w:color w:val="FFFFFF" w:themeColor="background2"/>
    </w:rPr>
  </w:style>
  <w:style w:type="paragraph" w:customStyle="1" w:styleId="Tableheading">
    <w:name w:val="Table heading"/>
    <w:link w:val="TableheadingChar"/>
    <w:autoRedefine/>
    <w:qFormat/>
    <w:locked/>
    <w:rsid w:val="006B084E"/>
    <w:pPr>
      <w:spacing w:before="180" w:after="60" w:line="240" w:lineRule="auto"/>
    </w:pPr>
    <w:rPr>
      <w:rFonts w:ascii="Calibri Light" w:hAnsi="Calibri Light" w:cs="Arial"/>
      <w:b/>
      <w:color w:val="4D4D4D" w:themeColor="accent6"/>
      <w:sz w:val="24"/>
    </w:rPr>
  </w:style>
  <w:style w:type="character" w:customStyle="1" w:styleId="BulletsinatableChar">
    <w:name w:val="Bullets in a table Char"/>
    <w:basedOn w:val="DefaultParagraphFont"/>
    <w:link w:val="Bulletsinatable"/>
    <w:rsid w:val="00690EA2"/>
    <w:rPr>
      <w:rFonts w:ascii="Calibri Light" w:hAnsi="Calibri Light" w:cs="Arial"/>
      <w:bCs/>
      <w:color w:val="4D4D4D" w:themeColor="accent6"/>
      <w:szCs w:val="20"/>
    </w:rPr>
  </w:style>
  <w:style w:type="paragraph" w:customStyle="1" w:styleId="Notesfortablesfigures">
    <w:name w:val="Notes for tables/figures"/>
    <w:link w:val="NotesfortablesfiguresChar"/>
    <w:autoRedefine/>
    <w:qFormat/>
    <w:locked/>
    <w:rsid w:val="006B084E"/>
    <w:pPr>
      <w:spacing w:after="0" w:line="240" w:lineRule="auto"/>
    </w:pPr>
    <w:rPr>
      <w:rFonts w:ascii="Calibri Light" w:hAnsi="Calibri Light"/>
      <w:color w:val="4D4D4D" w:themeColor="accent6"/>
      <w:sz w:val="18"/>
      <w:szCs w:val="20"/>
    </w:rPr>
  </w:style>
  <w:style w:type="character" w:customStyle="1" w:styleId="TableheadingChar">
    <w:name w:val="Table heading Char"/>
    <w:basedOn w:val="DefaultParagraphFont"/>
    <w:link w:val="Tableheading"/>
    <w:rsid w:val="006B084E"/>
    <w:rPr>
      <w:rFonts w:ascii="Calibri Light" w:hAnsi="Calibri Light" w:cs="Arial"/>
      <w:b/>
      <w:color w:val="4D4D4D" w:themeColor="accent6"/>
      <w:sz w:val="24"/>
    </w:rPr>
  </w:style>
  <w:style w:type="paragraph" w:customStyle="1" w:styleId="Figureheading">
    <w:name w:val="Figure heading"/>
    <w:basedOn w:val="Tableheading"/>
    <w:link w:val="FigureheadingChar"/>
    <w:autoRedefine/>
    <w:qFormat/>
    <w:locked/>
    <w:rsid w:val="00B5328A"/>
    <w:rPr>
      <w:color w:val="26664E" w:themeColor="accent1"/>
      <w:szCs w:val="20"/>
    </w:rPr>
  </w:style>
  <w:style w:type="character" w:customStyle="1" w:styleId="NotesfortablesfiguresChar">
    <w:name w:val="Notes for tables/figures Char"/>
    <w:basedOn w:val="DefaultParagraphFont"/>
    <w:link w:val="Notesfortablesfigures"/>
    <w:rsid w:val="006B084E"/>
    <w:rPr>
      <w:rFonts w:ascii="Calibri Light" w:hAnsi="Calibri Light"/>
      <w:color w:val="4D4D4D" w:themeColor="accent6"/>
      <w:sz w:val="18"/>
      <w:szCs w:val="20"/>
    </w:rPr>
  </w:style>
  <w:style w:type="paragraph" w:customStyle="1" w:styleId="VIRTheading4">
    <w:name w:val="VIRT heading 4"/>
    <w:link w:val="VIRTheading4Char"/>
    <w:autoRedefine/>
    <w:qFormat/>
    <w:locked/>
    <w:rsid w:val="00517777"/>
    <w:pPr>
      <w:keepNext/>
      <w:numPr>
        <w:numId w:val="12"/>
      </w:numPr>
      <w:spacing w:before="120" w:after="120" w:line="240" w:lineRule="auto"/>
      <w:ind w:left="567" w:hanging="567"/>
    </w:pPr>
    <w:rPr>
      <w:rFonts w:ascii="Calibri Light" w:hAnsi="Calibri Light" w:cs="Arial"/>
      <w:b/>
      <w:color w:val="148A5D" w:themeColor="accent2"/>
      <w:sz w:val="26"/>
      <w:szCs w:val="20"/>
    </w:rPr>
  </w:style>
  <w:style w:type="character" w:customStyle="1" w:styleId="FigureheadingChar">
    <w:name w:val="Figure heading Char"/>
    <w:basedOn w:val="TableheadingChar"/>
    <w:link w:val="Figureheading"/>
    <w:rsid w:val="00B5328A"/>
    <w:rPr>
      <w:rFonts w:ascii="Calibri Light" w:hAnsi="Calibri Light" w:cs="Arial"/>
      <w:b/>
      <w:color w:val="26664E" w:themeColor="accent1"/>
      <w:sz w:val="24"/>
      <w:szCs w:val="20"/>
    </w:rPr>
  </w:style>
  <w:style w:type="paragraph" w:styleId="Header">
    <w:name w:val="header"/>
    <w:basedOn w:val="Normal"/>
    <w:link w:val="HeaderChar"/>
    <w:uiPriority w:val="99"/>
    <w:unhideWhenUsed/>
    <w:locked/>
    <w:rsid w:val="00B5328A"/>
    <w:pPr>
      <w:tabs>
        <w:tab w:val="center" w:pos="4513"/>
        <w:tab w:val="right" w:pos="9026"/>
      </w:tabs>
      <w:spacing w:after="0" w:line="240" w:lineRule="auto"/>
    </w:pPr>
  </w:style>
  <w:style w:type="character" w:customStyle="1" w:styleId="VIRTheading4Char">
    <w:name w:val="VIRT heading 4 Char"/>
    <w:basedOn w:val="DefaultParagraphFont"/>
    <w:link w:val="VIRTheading4"/>
    <w:rsid w:val="00517777"/>
    <w:rPr>
      <w:rFonts w:ascii="Calibri Light" w:hAnsi="Calibri Light" w:cs="Arial"/>
      <w:b/>
      <w:color w:val="148A5D" w:themeColor="accent2"/>
      <w:sz w:val="26"/>
      <w:szCs w:val="20"/>
    </w:rPr>
  </w:style>
  <w:style w:type="character" w:customStyle="1" w:styleId="HeaderChar">
    <w:name w:val="Header Char"/>
    <w:basedOn w:val="DefaultParagraphFont"/>
    <w:link w:val="Header"/>
    <w:uiPriority w:val="99"/>
    <w:rsid w:val="00B5328A"/>
  </w:style>
  <w:style w:type="paragraph" w:styleId="Footer">
    <w:name w:val="footer"/>
    <w:basedOn w:val="Normal"/>
    <w:link w:val="FooterChar"/>
    <w:uiPriority w:val="99"/>
    <w:unhideWhenUsed/>
    <w:locked/>
    <w:rsid w:val="00B532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328A"/>
  </w:style>
  <w:style w:type="paragraph" w:customStyle="1" w:styleId="Footnotes">
    <w:name w:val="Footnotes"/>
    <w:link w:val="FootnotesChar"/>
    <w:autoRedefine/>
    <w:qFormat/>
    <w:locked/>
    <w:rsid w:val="003B01B9"/>
    <w:pPr>
      <w:spacing w:after="0" w:line="240" w:lineRule="auto"/>
      <w:ind w:left="113" w:hanging="113"/>
    </w:pPr>
    <w:rPr>
      <w:rFonts w:ascii="Calibri Light" w:hAnsi="Calibri Light" w:cs="Times New Roman (Body CS)"/>
      <w:color w:val="4D4D4D" w:themeColor="accent6"/>
      <w:spacing w:val="-6"/>
      <w:sz w:val="18"/>
      <w:szCs w:val="72"/>
    </w:rPr>
  </w:style>
  <w:style w:type="paragraph" w:styleId="FootnoteText">
    <w:name w:val="footnote text"/>
    <w:basedOn w:val="Normal"/>
    <w:link w:val="FootnoteTextChar"/>
    <w:uiPriority w:val="99"/>
    <w:semiHidden/>
    <w:unhideWhenUsed/>
    <w:locked/>
    <w:rsid w:val="00B5328A"/>
    <w:pPr>
      <w:spacing w:after="0" w:line="240" w:lineRule="auto"/>
    </w:pPr>
    <w:rPr>
      <w:sz w:val="20"/>
      <w:szCs w:val="20"/>
    </w:rPr>
  </w:style>
  <w:style w:type="character" w:customStyle="1" w:styleId="FootnotesChar">
    <w:name w:val="Footnotes Char"/>
    <w:basedOn w:val="DefaultParagraphFont"/>
    <w:link w:val="Footnotes"/>
    <w:rsid w:val="003B01B9"/>
    <w:rPr>
      <w:rFonts w:ascii="Calibri Light" w:hAnsi="Calibri Light" w:cs="Times New Roman (Body CS)"/>
      <w:color w:val="4D4D4D" w:themeColor="accent6"/>
      <w:spacing w:val="-6"/>
      <w:sz w:val="18"/>
      <w:szCs w:val="72"/>
    </w:rPr>
  </w:style>
  <w:style w:type="character" w:customStyle="1" w:styleId="FootnoteTextChar">
    <w:name w:val="Footnote Text Char"/>
    <w:basedOn w:val="DefaultParagraphFont"/>
    <w:link w:val="FootnoteText"/>
    <w:uiPriority w:val="99"/>
    <w:semiHidden/>
    <w:rsid w:val="00B5328A"/>
    <w:rPr>
      <w:sz w:val="20"/>
      <w:szCs w:val="20"/>
    </w:rPr>
  </w:style>
  <w:style w:type="character" w:styleId="FootnoteReference">
    <w:name w:val="footnote reference"/>
    <w:basedOn w:val="DefaultParagraphFont"/>
    <w:uiPriority w:val="99"/>
    <w:unhideWhenUsed/>
    <w:locked/>
    <w:rsid w:val="00B5328A"/>
    <w:rPr>
      <w:vertAlign w:val="superscript"/>
    </w:rPr>
  </w:style>
  <w:style w:type="paragraph" w:customStyle="1" w:styleId="Tablebullets">
    <w:name w:val="Table bullets"/>
    <w:link w:val="TablebulletsChar"/>
    <w:autoRedefine/>
    <w:qFormat/>
    <w:rsid w:val="00F87BFB"/>
    <w:pPr>
      <w:numPr>
        <w:numId w:val="1"/>
      </w:numPr>
      <w:spacing w:before="60" w:after="60" w:line="240" w:lineRule="auto"/>
      <w:contextualSpacing/>
    </w:pPr>
    <w:rPr>
      <w:rFonts w:ascii="Calibri Light" w:hAnsi="Calibri Light" w:cs="Times New Roman (Body CS)"/>
      <w:color w:val="4D4D4D" w:themeColor="accent6"/>
    </w:rPr>
  </w:style>
  <w:style w:type="character" w:customStyle="1" w:styleId="TablebulletsChar">
    <w:name w:val="Table bullets Char"/>
    <w:basedOn w:val="DefaultParagraphFont"/>
    <w:link w:val="Tablebullets"/>
    <w:locked/>
    <w:rsid w:val="00F87BFB"/>
    <w:rPr>
      <w:rFonts w:ascii="Calibri Light" w:hAnsi="Calibri Light" w:cs="Times New Roman (Body CS)"/>
      <w:color w:val="4D4D4D" w:themeColor="accent6"/>
    </w:rPr>
  </w:style>
  <w:style w:type="paragraph" w:customStyle="1" w:styleId="Textinthetable">
    <w:name w:val="Text in the table"/>
    <w:link w:val="TextinthetableChar"/>
    <w:autoRedefine/>
    <w:qFormat/>
    <w:rsid w:val="00CE268B"/>
    <w:pPr>
      <w:spacing w:before="60" w:after="60" w:line="240" w:lineRule="auto"/>
      <w:contextualSpacing/>
    </w:pPr>
    <w:rPr>
      <w:rFonts w:ascii="Calibri Light" w:hAnsi="Calibri Light" w:cs="Arial"/>
      <w:b/>
      <w:bCs/>
      <w:color w:val="4D4D4D" w:themeColor="accent6"/>
      <w:lang w:val="en-US"/>
    </w:rPr>
  </w:style>
  <w:style w:type="character" w:customStyle="1" w:styleId="TextinthetableChar">
    <w:name w:val="Text in the table Char"/>
    <w:basedOn w:val="DefaultParagraphFont"/>
    <w:link w:val="Textinthetable"/>
    <w:rsid w:val="00CE268B"/>
    <w:rPr>
      <w:rFonts w:ascii="Calibri Light" w:hAnsi="Calibri Light" w:cs="Arial"/>
      <w:b/>
      <w:bCs/>
      <w:color w:val="4D4D4D" w:themeColor="accent6"/>
      <w:lang w:val="en-US"/>
    </w:rPr>
  </w:style>
  <w:style w:type="character" w:customStyle="1" w:styleId="FiguretitleChar">
    <w:name w:val="Figure title Char"/>
    <w:basedOn w:val="DefaultParagraphFont"/>
    <w:link w:val="Figuretitle"/>
    <w:locked/>
    <w:rsid w:val="00D932AD"/>
    <w:rPr>
      <w:rFonts w:ascii="Calibri Light" w:hAnsi="Calibri Light" w:cs="Times New Roman (Body CS)"/>
      <w:b/>
      <w:noProof/>
      <w:color w:val="0F6745" w:themeColor="accent2" w:themeShade="BF"/>
      <w:sz w:val="24"/>
      <w:szCs w:val="24"/>
      <w:lang w:val="en-US"/>
    </w:rPr>
  </w:style>
  <w:style w:type="paragraph" w:customStyle="1" w:styleId="Figuretitle">
    <w:name w:val="Figure title"/>
    <w:link w:val="FiguretitleChar"/>
    <w:autoRedefine/>
    <w:qFormat/>
    <w:rsid w:val="00D932AD"/>
    <w:pPr>
      <w:keepNext/>
      <w:spacing w:after="120" w:line="240" w:lineRule="auto"/>
    </w:pPr>
    <w:rPr>
      <w:rFonts w:ascii="Calibri Light" w:hAnsi="Calibri Light" w:cs="Times New Roman (Body CS)"/>
      <w:b/>
      <w:noProof/>
      <w:color w:val="0F6745" w:themeColor="accent2" w:themeShade="BF"/>
      <w:sz w:val="24"/>
      <w:szCs w:val="24"/>
      <w:lang w:val="en-US"/>
    </w:rPr>
  </w:style>
  <w:style w:type="character" w:styleId="Hyperlink">
    <w:name w:val="Hyperlink"/>
    <w:basedOn w:val="DefaultParagraphFont"/>
    <w:uiPriority w:val="99"/>
    <w:unhideWhenUsed/>
    <w:locked/>
    <w:rsid w:val="00D932AD"/>
    <w:rPr>
      <w:color w:val="5F5F5F" w:themeColor="hyperlink"/>
      <w:u w:val="single"/>
    </w:rPr>
  </w:style>
  <w:style w:type="paragraph" w:styleId="ListParagraph">
    <w:name w:val="List Paragraph"/>
    <w:basedOn w:val="Normal"/>
    <w:uiPriority w:val="34"/>
    <w:qFormat/>
    <w:locked/>
    <w:rsid w:val="00873D39"/>
    <w:pPr>
      <w:ind w:left="720"/>
      <w:contextualSpacing/>
    </w:pPr>
  </w:style>
  <w:style w:type="paragraph" w:customStyle="1" w:styleId="ChapterHeading">
    <w:name w:val="Chapter Heading"/>
    <w:basedOn w:val="VIRTHeading2"/>
    <w:link w:val="ChapterHeadingChar"/>
    <w:autoRedefine/>
    <w:rsid w:val="00106658"/>
    <w:pPr>
      <w:spacing w:before="0" w:after="100" w:afterAutospacing="1"/>
      <w:ind w:left="-567" w:firstLine="0"/>
      <w:outlineLvl w:val="0"/>
    </w:pPr>
    <w:rPr>
      <w:noProof/>
      <w:color w:val="FFFFFF" w:themeColor="background1"/>
      <w:sz w:val="36"/>
      <w:szCs w:val="36"/>
      <w:lang w:val="en-US"/>
    </w:rPr>
  </w:style>
  <w:style w:type="character" w:customStyle="1" w:styleId="ChapterHeadingChar">
    <w:name w:val="Chapter Heading Char"/>
    <w:basedOn w:val="VIRTHeading2Char"/>
    <w:link w:val="ChapterHeading"/>
    <w:locked/>
    <w:rsid w:val="00106658"/>
    <w:rPr>
      <w:rFonts w:ascii="Rockwell" w:hAnsi="Rockwell" w:cs="Times New Roman (Body CS)"/>
      <w:noProof/>
      <w:color w:val="FFFFFF" w:themeColor="background1"/>
      <w:sz w:val="36"/>
      <w:szCs w:val="36"/>
      <w:lang w:val="en-US"/>
    </w:rPr>
  </w:style>
  <w:style w:type="table" w:customStyle="1" w:styleId="ListTable3-Accent61">
    <w:name w:val="List Table 3 - Accent 61"/>
    <w:basedOn w:val="TableNormal"/>
    <w:uiPriority w:val="48"/>
    <w:locked/>
    <w:rsid w:val="00D45AAB"/>
    <w:pPr>
      <w:spacing w:after="0" w:line="240" w:lineRule="auto"/>
    </w:pPr>
    <w:tblPr>
      <w:tblStyleRowBandSize w:val="1"/>
      <w:tblStyleColBandSize w:val="1"/>
      <w:tblBorders>
        <w:top w:val="single" w:sz="4" w:space="0" w:color="4D4D4D" w:themeColor="accent6"/>
        <w:left w:val="single" w:sz="4" w:space="0" w:color="4D4D4D" w:themeColor="accent6"/>
        <w:bottom w:val="single" w:sz="4" w:space="0" w:color="4D4D4D" w:themeColor="accent6"/>
        <w:right w:val="single" w:sz="4" w:space="0" w:color="4D4D4D" w:themeColor="accent6"/>
      </w:tblBorders>
    </w:tblPr>
    <w:tblStylePr w:type="firstRow">
      <w:rPr>
        <w:b/>
        <w:bCs/>
        <w:color w:val="FFFFFF" w:themeColor="background1"/>
      </w:rPr>
      <w:tblPr/>
      <w:tcPr>
        <w:shd w:val="clear" w:color="auto" w:fill="4D4D4D" w:themeFill="accent6"/>
      </w:tcPr>
    </w:tblStylePr>
    <w:tblStylePr w:type="lastRow">
      <w:rPr>
        <w:b/>
        <w:bCs/>
      </w:rPr>
      <w:tblPr/>
      <w:tcPr>
        <w:tcBorders>
          <w:top w:val="double" w:sz="4" w:space="0" w:color="4D4D4D"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D4D4D" w:themeColor="accent6"/>
          <w:right w:val="single" w:sz="4" w:space="0" w:color="4D4D4D" w:themeColor="accent6"/>
        </w:tcBorders>
      </w:tcPr>
    </w:tblStylePr>
    <w:tblStylePr w:type="band1Horz">
      <w:tblPr/>
      <w:tcPr>
        <w:tcBorders>
          <w:top w:val="single" w:sz="4" w:space="0" w:color="4D4D4D" w:themeColor="accent6"/>
          <w:bottom w:val="single" w:sz="4" w:space="0" w:color="4D4D4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D4D4D" w:themeColor="accent6"/>
          <w:left w:val="nil"/>
        </w:tcBorders>
      </w:tcPr>
    </w:tblStylePr>
    <w:tblStylePr w:type="swCell">
      <w:tblPr/>
      <w:tcPr>
        <w:tcBorders>
          <w:top w:val="double" w:sz="4" w:space="0" w:color="4D4D4D" w:themeColor="accent6"/>
          <w:right w:val="nil"/>
        </w:tcBorders>
      </w:tcPr>
    </w:tblStylePr>
  </w:style>
  <w:style w:type="character" w:styleId="PlaceholderText">
    <w:name w:val="Placeholder Text"/>
    <w:basedOn w:val="DefaultParagraphFont"/>
    <w:uiPriority w:val="99"/>
    <w:semiHidden/>
    <w:locked/>
    <w:rsid w:val="00B923B6"/>
    <w:rPr>
      <w:color w:val="808080"/>
    </w:rPr>
  </w:style>
  <w:style w:type="character" w:styleId="CommentReference">
    <w:name w:val="annotation reference"/>
    <w:basedOn w:val="DefaultParagraphFont"/>
    <w:uiPriority w:val="99"/>
    <w:semiHidden/>
    <w:unhideWhenUsed/>
    <w:locked/>
    <w:rsid w:val="006209FA"/>
    <w:rPr>
      <w:sz w:val="16"/>
      <w:szCs w:val="16"/>
    </w:rPr>
  </w:style>
  <w:style w:type="paragraph" w:styleId="CommentText">
    <w:name w:val="annotation text"/>
    <w:basedOn w:val="Normal"/>
    <w:link w:val="CommentTextChar"/>
    <w:uiPriority w:val="99"/>
    <w:unhideWhenUsed/>
    <w:locked/>
    <w:rsid w:val="006209FA"/>
    <w:pPr>
      <w:spacing w:line="240" w:lineRule="auto"/>
    </w:pPr>
    <w:rPr>
      <w:sz w:val="20"/>
      <w:szCs w:val="20"/>
    </w:rPr>
  </w:style>
  <w:style w:type="character" w:customStyle="1" w:styleId="CommentTextChar">
    <w:name w:val="Comment Text Char"/>
    <w:basedOn w:val="DefaultParagraphFont"/>
    <w:link w:val="CommentText"/>
    <w:uiPriority w:val="99"/>
    <w:rsid w:val="006209FA"/>
    <w:rPr>
      <w:sz w:val="20"/>
      <w:szCs w:val="20"/>
    </w:rPr>
  </w:style>
  <w:style w:type="paragraph" w:styleId="CommentSubject">
    <w:name w:val="annotation subject"/>
    <w:basedOn w:val="CommentText"/>
    <w:next w:val="CommentText"/>
    <w:link w:val="CommentSubjectChar"/>
    <w:uiPriority w:val="99"/>
    <w:semiHidden/>
    <w:unhideWhenUsed/>
    <w:locked/>
    <w:rsid w:val="006209FA"/>
    <w:rPr>
      <w:b/>
      <w:bCs/>
    </w:rPr>
  </w:style>
  <w:style w:type="character" w:customStyle="1" w:styleId="CommentSubjectChar">
    <w:name w:val="Comment Subject Char"/>
    <w:basedOn w:val="CommentTextChar"/>
    <w:link w:val="CommentSubject"/>
    <w:uiPriority w:val="99"/>
    <w:semiHidden/>
    <w:rsid w:val="006209FA"/>
    <w:rPr>
      <w:b/>
      <w:bCs/>
      <w:sz w:val="20"/>
      <w:szCs w:val="20"/>
    </w:rPr>
  </w:style>
  <w:style w:type="character" w:customStyle="1" w:styleId="UnresolvedMention1">
    <w:name w:val="Unresolved Mention1"/>
    <w:basedOn w:val="DefaultParagraphFont"/>
    <w:uiPriority w:val="99"/>
    <w:semiHidden/>
    <w:unhideWhenUsed/>
    <w:locked/>
    <w:rsid w:val="002C0CFA"/>
    <w:rPr>
      <w:color w:val="605E5C"/>
      <w:shd w:val="clear" w:color="auto" w:fill="E1DFDD"/>
    </w:rPr>
  </w:style>
  <w:style w:type="character" w:styleId="EndnoteReference">
    <w:name w:val="endnote reference"/>
    <w:basedOn w:val="DefaultParagraphFont"/>
    <w:uiPriority w:val="99"/>
    <w:semiHidden/>
    <w:unhideWhenUsed/>
    <w:locked/>
    <w:rsid w:val="00FC5CE6"/>
    <w:rPr>
      <w:vertAlign w:val="superscript"/>
    </w:rPr>
  </w:style>
  <w:style w:type="paragraph" w:styleId="Revision">
    <w:name w:val="Revision"/>
    <w:hidden/>
    <w:uiPriority w:val="99"/>
    <w:semiHidden/>
    <w:rsid w:val="009A3B31"/>
    <w:pPr>
      <w:spacing w:after="0" w:line="240" w:lineRule="auto"/>
    </w:pPr>
  </w:style>
  <w:style w:type="paragraph" w:customStyle="1" w:styleId="VIRTBulletindent">
    <w:name w:val="VIRT Bullet indent"/>
    <w:basedOn w:val="VIRTBulletpoints"/>
    <w:link w:val="VIRTBulletindentChar"/>
    <w:qFormat/>
    <w:rsid w:val="0054045E"/>
    <w:pPr>
      <w:ind w:left="1080"/>
    </w:pPr>
  </w:style>
  <w:style w:type="character" w:customStyle="1" w:styleId="VIRTBulletindentChar">
    <w:name w:val="VIRT Bullet indent Char"/>
    <w:basedOn w:val="VIRTBulletpointsChar"/>
    <w:link w:val="VIRTBulletindent"/>
    <w:rsid w:val="0054045E"/>
    <w:rPr>
      <w:rFonts w:ascii="Calibri Light" w:eastAsiaTheme="minorEastAsia" w:hAnsi="Calibri Light" w:cs="Arial"/>
      <w:color w:val="4D4D4D" w:themeColor="accent6"/>
      <w:sz w:val="26"/>
      <w:szCs w:val="20"/>
    </w:rPr>
  </w:style>
  <w:style w:type="character" w:styleId="FollowedHyperlink">
    <w:name w:val="FollowedHyperlink"/>
    <w:basedOn w:val="DefaultParagraphFont"/>
    <w:uiPriority w:val="99"/>
    <w:semiHidden/>
    <w:unhideWhenUsed/>
    <w:locked/>
    <w:rsid w:val="00E145ED"/>
    <w:rPr>
      <w:color w:val="919191" w:themeColor="followedHyperlink"/>
      <w:u w:val="single"/>
    </w:rPr>
  </w:style>
  <w:style w:type="paragraph" w:customStyle="1" w:styleId="Tableheaderrow">
    <w:name w:val="Table header row"/>
    <w:link w:val="TableheaderrowChar"/>
    <w:autoRedefine/>
    <w:qFormat/>
    <w:rsid w:val="00CE268B"/>
    <w:pPr>
      <w:spacing w:after="0" w:line="240" w:lineRule="auto"/>
    </w:pPr>
    <w:rPr>
      <w:rFonts w:ascii="Calibri Light" w:eastAsia="Rockwell" w:hAnsi="Calibri Light" w:cs="Arial"/>
      <w:b/>
      <w:bCs/>
      <w:color w:val="FFFFFF" w:themeColor="background1"/>
    </w:rPr>
  </w:style>
  <w:style w:type="character" w:customStyle="1" w:styleId="TableheaderrowChar">
    <w:name w:val="Table header row Char"/>
    <w:basedOn w:val="DefaultParagraphFont"/>
    <w:link w:val="Tableheaderrow"/>
    <w:rsid w:val="00CE268B"/>
    <w:rPr>
      <w:rFonts w:ascii="Calibri Light" w:eastAsia="Rockwell" w:hAnsi="Calibri Light" w:cs="Arial"/>
      <w:b/>
      <w:bCs/>
      <w:color w:val="FFFFFF" w:themeColor="background1"/>
    </w:rPr>
  </w:style>
  <w:style w:type="paragraph" w:customStyle="1" w:styleId="VIRTCoverPageHeading">
    <w:name w:val="VIRT Cover Page Heading"/>
    <w:basedOn w:val="Normal"/>
    <w:rsid w:val="00DB79F0"/>
    <w:pPr>
      <w:spacing w:after="180" w:line="240" w:lineRule="auto"/>
    </w:pPr>
    <w:rPr>
      <w:noProof/>
      <w:color w:val="FFFFFF" w:themeColor="background1"/>
      <w:spacing w:val="20"/>
      <w:sz w:val="64"/>
      <w:lang w:val="en-US"/>
    </w:rPr>
  </w:style>
  <w:style w:type="numbering" w:customStyle="1" w:styleId="ZZNumbersdigit1">
    <w:name w:val="ZZ Numbers digit1"/>
    <w:basedOn w:val="NoList"/>
    <w:uiPriority w:val="99"/>
    <w:rsid w:val="00DB79F0"/>
  </w:style>
  <w:style w:type="paragraph" w:styleId="TOC1">
    <w:name w:val="toc 1"/>
    <w:basedOn w:val="Normal"/>
    <w:next w:val="Normal"/>
    <w:autoRedefine/>
    <w:uiPriority w:val="39"/>
    <w:unhideWhenUsed/>
    <w:locked/>
    <w:rsid w:val="00B20A57"/>
    <w:pPr>
      <w:spacing w:after="100"/>
    </w:pPr>
  </w:style>
  <w:style w:type="character" w:styleId="UnresolvedMention">
    <w:name w:val="Unresolved Mention"/>
    <w:basedOn w:val="DefaultParagraphFont"/>
    <w:uiPriority w:val="99"/>
    <w:semiHidden/>
    <w:unhideWhenUsed/>
    <w:rsid w:val="00376FEC"/>
    <w:rPr>
      <w:color w:val="605E5C"/>
      <w:shd w:val="clear" w:color="auto" w:fill="E1DFDD"/>
    </w:rPr>
  </w:style>
  <w:style w:type="character" w:customStyle="1" w:styleId="normaltextrun">
    <w:name w:val="normaltextrun"/>
    <w:basedOn w:val="DefaultParagraphFont"/>
    <w:rsid w:val="000163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610780">
      <w:bodyDiv w:val="1"/>
      <w:marLeft w:val="0"/>
      <w:marRight w:val="0"/>
      <w:marTop w:val="0"/>
      <w:marBottom w:val="0"/>
      <w:divBdr>
        <w:top w:val="none" w:sz="0" w:space="0" w:color="auto"/>
        <w:left w:val="none" w:sz="0" w:space="0" w:color="auto"/>
        <w:bottom w:val="none" w:sz="0" w:space="0" w:color="auto"/>
        <w:right w:val="none" w:sz="0" w:space="0" w:color="auto"/>
      </w:divBdr>
      <w:divsChild>
        <w:div w:id="1261838655">
          <w:marLeft w:val="0"/>
          <w:marRight w:val="0"/>
          <w:marTop w:val="0"/>
          <w:marBottom w:val="0"/>
          <w:divBdr>
            <w:top w:val="none" w:sz="0" w:space="0" w:color="auto"/>
            <w:left w:val="none" w:sz="0" w:space="0" w:color="auto"/>
            <w:bottom w:val="none" w:sz="0" w:space="0" w:color="auto"/>
            <w:right w:val="none" w:sz="0" w:space="0" w:color="auto"/>
          </w:divBdr>
        </w:div>
      </w:divsChild>
    </w:div>
    <w:div w:id="303777306">
      <w:bodyDiv w:val="1"/>
      <w:marLeft w:val="0"/>
      <w:marRight w:val="0"/>
      <w:marTop w:val="0"/>
      <w:marBottom w:val="0"/>
      <w:divBdr>
        <w:top w:val="none" w:sz="0" w:space="0" w:color="auto"/>
        <w:left w:val="none" w:sz="0" w:space="0" w:color="auto"/>
        <w:bottom w:val="none" w:sz="0" w:space="0" w:color="auto"/>
        <w:right w:val="none" w:sz="0" w:space="0" w:color="auto"/>
      </w:divBdr>
      <w:divsChild>
        <w:div w:id="647442559">
          <w:marLeft w:val="0"/>
          <w:marRight w:val="0"/>
          <w:marTop w:val="0"/>
          <w:marBottom w:val="0"/>
          <w:divBdr>
            <w:top w:val="none" w:sz="0" w:space="0" w:color="auto"/>
            <w:left w:val="none" w:sz="0" w:space="0" w:color="auto"/>
            <w:bottom w:val="none" w:sz="0" w:space="0" w:color="auto"/>
            <w:right w:val="none" w:sz="0" w:space="0" w:color="auto"/>
          </w:divBdr>
        </w:div>
      </w:divsChild>
    </w:div>
    <w:div w:id="1106924681">
      <w:bodyDiv w:val="1"/>
      <w:marLeft w:val="0"/>
      <w:marRight w:val="0"/>
      <w:marTop w:val="0"/>
      <w:marBottom w:val="0"/>
      <w:divBdr>
        <w:top w:val="none" w:sz="0" w:space="0" w:color="auto"/>
        <w:left w:val="none" w:sz="0" w:space="0" w:color="auto"/>
        <w:bottom w:val="none" w:sz="0" w:space="0" w:color="auto"/>
        <w:right w:val="none" w:sz="0" w:space="0" w:color="auto"/>
      </w:divBdr>
    </w:div>
    <w:div w:id="1306860211">
      <w:bodyDiv w:val="1"/>
      <w:marLeft w:val="0"/>
      <w:marRight w:val="0"/>
      <w:marTop w:val="0"/>
      <w:marBottom w:val="0"/>
      <w:divBdr>
        <w:top w:val="none" w:sz="0" w:space="0" w:color="auto"/>
        <w:left w:val="none" w:sz="0" w:space="0" w:color="auto"/>
        <w:bottom w:val="none" w:sz="0" w:space="0" w:color="auto"/>
        <w:right w:val="none" w:sz="0" w:space="0" w:color="auto"/>
      </w:divBdr>
      <w:divsChild>
        <w:div w:id="271321511">
          <w:marLeft w:val="0"/>
          <w:marRight w:val="0"/>
          <w:marTop w:val="0"/>
          <w:marBottom w:val="0"/>
          <w:divBdr>
            <w:top w:val="none" w:sz="0" w:space="0" w:color="auto"/>
            <w:left w:val="none" w:sz="0" w:space="0" w:color="auto"/>
            <w:bottom w:val="none" w:sz="0" w:space="0" w:color="auto"/>
            <w:right w:val="none" w:sz="0" w:space="0" w:color="auto"/>
          </w:divBdr>
        </w:div>
      </w:divsChild>
    </w:div>
    <w:div w:id="1802460445">
      <w:bodyDiv w:val="1"/>
      <w:marLeft w:val="0"/>
      <w:marRight w:val="0"/>
      <w:marTop w:val="0"/>
      <w:marBottom w:val="0"/>
      <w:divBdr>
        <w:top w:val="none" w:sz="0" w:space="0" w:color="auto"/>
        <w:left w:val="none" w:sz="0" w:space="0" w:color="auto"/>
        <w:bottom w:val="none" w:sz="0" w:space="0" w:color="auto"/>
        <w:right w:val="none" w:sz="0" w:space="0" w:color="auto"/>
      </w:divBdr>
    </w:div>
    <w:div w:id="1939409827">
      <w:bodyDiv w:val="1"/>
      <w:marLeft w:val="0"/>
      <w:marRight w:val="0"/>
      <w:marTop w:val="0"/>
      <w:marBottom w:val="0"/>
      <w:divBdr>
        <w:top w:val="none" w:sz="0" w:space="0" w:color="auto"/>
        <w:left w:val="none" w:sz="0" w:space="0" w:color="auto"/>
        <w:bottom w:val="none" w:sz="0" w:space="0" w:color="auto"/>
        <w:right w:val="none" w:sz="0" w:space="0" w:color="auto"/>
      </w:divBdr>
    </w:div>
    <w:div w:id="2009870586">
      <w:bodyDiv w:val="1"/>
      <w:marLeft w:val="0"/>
      <w:marRight w:val="0"/>
      <w:marTop w:val="0"/>
      <w:marBottom w:val="0"/>
      <w:divBdr>
        <w:top w:val="none" w:sz="0" w:space="0" w:color="auto"/>
        <w:left w:val="none" w:sz="0" w:space="0" w:color="auto"/>
        <w:bottom w:val="none" w:sz="0" w:space="0" w:color="auto"/>
        <w:right w:val="none" w:sz="0" w:space="0" w:color="auto"/>
      </w:divBdr>
      <w:divsChild>
        <w:div w:id="1363021868">
          <w:marLeft w:val="0"/>
          <w:marRight w:val="0"/>
          <w:marTop w:val="0"/>
          <w:marBottom w:val="0"/>
          <w:divBdr>
            <w:top w:val="none" w:sz="0" w:space="0" w:color="auto"/>
            <w:left w:val="none" w:sz="0" w:space="0" w:color="auto"/>
            <w:bottom w:val="none" w:sz="0" w:space="0" w:color="auto"/>
            <w:right w:val="none" w:sz="0" w:space="0" w:color="auto"/>
          </w:divBdr>
        </w:div>
      </w:divsChild>
    </w:div>
    <w:div w:id="2024354464">
      <w:bodyDiv w:val="1"/>
      <w:marLeft w:val="0"/>
      <w:marRight w:val="0"/>
      <w:marTop w:val="0"/>
      <w:marBottom w:val="0"/>
      <w:divBdr>
        <w:top w:val="none" w:sz="0" w:space="0" w:color="auto"/>
        <w:left w:val="none" w:sz="0" w:space="0" w:color="auto"/>
        <w:bottom w:val="none" w:sz="0" w:space="0" w:color="auto"/>
        <w:right w:val="none" w:sz="0" w:space="0" w:color="auto"/>
      </w:divBdr>
    </w:div>
    <w:div w:id="2136942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eader" Target="header3.xm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mailto:enquiries@remunerationtribunal.vic.gov.au"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5" Type="http://schemas.openxmlformats.org/officeDocument/2006/relationships/hyperlink" Target="https://www.vic.gov.au/sites/default/files/2020-04/Appeal%202020-01%20-%20Statement%20of%20Findings.pdf"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vic.gov.au/sites/default/files/2019-12/Members%20of%20Parliament%20%28Victoria%29%20Guidelines%20No.%2002%202019.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vic.gov.au/tribunals-determination-mp-salaries-and-allowances" TargetMode="External"/><Relationship Id="rId32" Type="http://schemas.microsoft.com/office/2018/08/relationships/commentsExtensible" Target="commentsExtensible.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yperlink" Target="mailto:enquiries@remunerationtribunal.vic.gov.au" TargetMode="External"/><Relationship Id="rId28" Type="http://schemas.openxmlformats.org/officeDocument/2006/relationships/header" Target="header5.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yperlink" Target="mailto:enquiries@remunerationtribunal.vic.gov.au" TargetMode="External"/><Relationship Id="rId27" Type="http://schemas.openxmlformats.org/officeDocument/2006/relationships/footer" Target="footer4.xml"/><Relationship Id="rId30"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emf"/></Relationships>
</file>

<file path=word/_rels/header4.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Tribunal colours">
      <a:dk1>
        <a:sysClr val="windowText" lastClr="000000"/>
      </a:dk1>
      <a:lt1>
        <a:sysClr val="window" lastClr="FFFFFF"/>
      </a:lt1>
      <a:dk2>
        <a:srgbClr val="000000"/>
      </a:dk2>
      <a:lt2>
        <a:srgbClr val="FFFFFF"/>
      </a:lt2>
      <a:accent1>
        <a:srgbClr val="26664E"/>
      </a:accent1>
      <a:accent2>
        <a:srgbClr val="148A5D"/>
      </a:accent2>
      <a:accent3>
        <a:srgbClr val="70BA85"/>
      </a:accent3>
      <a:accent4>
        <a:srgbClr val="618179"/>
      </a:accent4>
      <a:accent5>
        <a:srgbClr val="29C598"/>
      </a:accent5>
      <a:accent6>
        <a:srgbClr val="4D4D4D"/>
      </a:accent6>
      <a:hlink>
        <a:srgbClr val="5F5F5F"/>
      </a:hlink>
      <a:folHlink>
        <a:srgbClr val="919191"/>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0F8F5EC57BE3C42900C2D1C380D62D3" ma:contentTypeVersion="7" ma:contentTypeDescription="Create a new document." ma:contentTypeScope="" ma:versionID="3cd44478ea2907ce53b59e5874067818">
  <xsd:schema xmlns:xsd="http://www.w3.org/2001/XMLSchema" xmlns:xs="http://www.w3.org/2001/XMLSchema" xmlns:p="http://schemas.microsoft.com/office/2006/metadata/properties" xmlns:ns3="bcc863f4-e078-442c-8a56-ce5f82981abc" xmlns:ns4="3c139c9a-2274-4258-8d7c-b469c61b2e23" targetNamespace="http://schemas.microsoft.com/office/2006/metadata/properties" ma:root="true" ma:fieldsID="d2bdd7fa97ec35378ddb83586ce58d6d" ns3:_="" ns4:_="">
    <xsd:import namespace="bcc863f4-e078-442c-8a56-ce5f82981abc"/>
    <xsd:import namespace="3c139c9a-2274-4258-8d7c-b469c61b2e2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863f4-e078-442c-8a56-ce5f82981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139c9a-2274-4258-8d7c-b469c61b2e2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1 6 " ? > < K a p i s h F i l e n a m e T o U r i M a p p i n g s   x m l n s : x s i = " h t t p : / / w w w . w 3 . o r g / 2 0 0 1 / X M L S c h e m a - i n s t a n c e "   x m l n s : x s d = " h t t p : / / w w w . w 3 . o r g / 2 0 0 1 / X M L 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EA5016-3A5D-42B9-847B-842ADF7B379B}">
  <ds:schemaRefs>
    <ds:schemaRef ds:uri="http://www.w3.org/XML/1998/namespace"/>
    <ds:schemaRef ds:uri="http://schemas.microsoft.com/office/2006/documentManagement/types"/>
    <ds:schemaRef ds:uri="http://schemas.microsoft.com/office/2006/metadata/properties"/>
    <ds:schemaRef ds:uri="3c139c9a-2274-4258-8d7c-b469c61b2e23"/>
    <ds:schemaRef ds:uri="bcc863f4-e078-442c-8a56-ce5f82981abc"/>
    <ds:schemaRef ds:uri="http://purl.org/dc/elements/1.1/"/>
    <ds:schemaRef ds:uri="http://schemas.microsoft.com/office/infopath/2007/PartnerControls"/>
    <ds:schemaRef ds:uri="http://schemas.openxmlformats.org/package/2006/metadata/core-properties"/>
    <ds:schemaRef ds:uri="http://purl.org/dc/dcmitype/"/>
    <ds:schemaRef ds:uri="http://purl.org/dc/terms/"/>
  </ds:schemaRefs>
</ds:datastoreItem>
</file>

<file path=customXml/itemProps2.xml><?xml version="1.0" encoding="utf-8"?>
<ds:datastoreItem xmlns:ds="http://schemas.openxmlformats.org/officeDocument/2006/customXml" ds:itemID="{70BD0F69-3B26-4D83-8BA2-FEF9F8AF76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863f4-e078-442c-8a56-ce5f82981abc"/>
    <ds:schemaRef ds:uri="3c139c9a-2274-4258-8d7c-b469c61b2e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403B8A-BD6A-4B09-B11B-88D31536F147}">
  <ds:schemaRefs>
    <ds:schemaRef ds:uri="http://schemas.microsoft.com/sharepoint/v3/contenttype/forms"/>
  </ds:schemaRefs>
</ds:datastoreItem>
</file>

<file path=customXml/itemProps4.xml><?xml version="1.0" encoding="utf-8"?>
<ds:datastoreItem xmlns:ds="http://schemas.openxmlformats.org/officeDocument/2006/customXml" ds:itemID="{EDF57E9D-B339-425B-A04E-DF1AB8EB4D1F}">
  <ds:schemaRefs>
    <ds:schemaRef ds:uri="http://www.w3.org/2001/XMLSchema"/>
  </ds:schemaRefs>
</ds:datastoreItem>
</file>

<file path=customXml/itemProps5.xml><?xml version="1.0" encoding="utf-8"?>
<ds:datastoreItem xmlns:ds="http://schemas.openxmlformats.org/officeDocument/2006/customXml" ds:itemID="{C7DF4485-E298-4AA9-B8AD-3B5CB0064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4041</Words>
  <Characters>23040</Characters>
  <Application>Microsoft Office Word</Application>
  <DocSecurity>8</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27027</CharactersWithSpaces>
  <SharedDoc>false</SharedDoc>
  <HLinks>
    <vt:vector size="18" baseType="variant">
      <vt:variant>
        <vt:i4>4784226</vt:i4>
      </vt:variant>
      <vt:variant>
        <vt:i4>6</vt:i4>
      </vt:variant>
      <vt:variant>
        <vt:i4>0</vt:i4>
      </vt:variant>
      <vt:variant>
        <vt:i4>5</vt:i4>
      </vt:variant>
      <vt:variant>
        <vt:lpwstr>mailto:enquiries@remunerationtribunal.vic.gov.au</vt:lpwstr>
      </vt:variant>
      <vt:variant>
        <vt:lpwstr/>
      </vt:variant>
      <vt:variant>
        <vt:i4>4784226</vt:i4>
      </vt:variant>
      <vt:variant>
        <vt:i4>3</vt:i4>
      </vt:variant>
      <vt:variant>
        <vt:i4>0</vt:i4>
      </vt:variant>
      <vt:variant>
        <vt:i4>5</vt:i4>
      </vt:variant>
      <vt:variant>
        <vt:lpwstr>mailto:enquiries@remunerationtribunal.vic.gov.au</vt:lpwstr>
      </vt:variant>
      <vt:variant>
        <vt:lpwstr/>
      </vt:variant>
      <vt:variant>
        <vt:i4>4784226</vt:i4>
      </vt:variant>
      <vt:variant>
        <vt:i4>0</vt:i4>
      </vt:variant>
      <vt:variant>
        <vt:i4>0</vt:i4>
      </vt:variant>
      <vt:variant>
        <vt:i4>5</vt:i4>
      </vt:variant>
      <vt:variant>
        <vt:lpwstr>mailto:enquiries@remunerationtribunal.vic.gov.au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Dannielle Foster (DPC)</dc:creator>
  <cp:keywords/>
  <dc:description/>
  <cp:lastModifiedBy>Dannielle Foster (DPC)</cp:lastModifiedBy>
  <cp:revision>9</cp:revision>
  <cp:lastPrinted>2020-06-02T00:20:00Z</cp:lastPrinted>
  <dcterms:created xsi:type="dcterms:W3CDTF">2020-06-02T06:24:00Z</dcterms:created>
  <dcterms:modified xsi:type="dcterms:W3CDTF">2020-06-02T06:24:00Z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158ebbd-6c5e-441f-bfc9-4eb8c11e3978_Enabled">
    <vt:lpwstr>True</vt:lpwstr>
  </property>
  <property fmtid="{D5CDD505-2E9C-101B-9397-08002B2CF9AE}" pid="3" name="MSIP_Label_7158ebbd-6c5e-441f-bfc9-4eb8c11e3978_SiteId">
    <vt:lpwstr>722ea0be-3e1c-4b11-ad6f-9401d6856e24</vt:lpwstr>
  </property>
  <property fmtid="{D5CDD505-2E9C-101B-9397-08002B2CF9AE}" pid="4" name="MSIP_Label_7158ebbd-6c5e-441f-bfc9-4eb8c11e3978_Owner">
    <vt:lpwstr>dannielle.foster@dpc.vic.gov.au</vt:lpwstr>
  </property>
  <property fmtid="{D5CDD505-2E9C-101B-9397-08002B2CF9AE}" pid="5" name="MSIP_Label_7158ebbd-6c5e-441f-bfc9-4eb8c11e3978_SetDate">
    <vt:lpwstr>2019-10-11T06:31:15.3671432Z</vt:lpwstr>
  </property>
  <property fmtid="{D5CDD505-2E9C-101B-9397-08002B2CF9AE}" pid="6" name="MSIP_Label_7158ebbd-6c5e-441f-bfc9-4eb8c11e3978_Name">
    <vt:lpwstr>OFFICIAL</vt:lpwstr>
  </property>
  <property fmtid="{D5CDD505-2E9C-101B-9397-08002B2CF9AE}" pid="7" name="MSIP_Label_7158ebbd-6c5e-441f-bfc9-4eb8c11e3978_Application">
    <vt:lpwstr>Microsoft Azure Information Protection</vt:lpwstr>
  </property>
  <property fmtid="{D5CDD505-2E9C-101B-9397-08002B2CF9AE}" pid="8" name="MSIP_Label_7158ebbd-6c5e-441f-bfc9-4eb8c11e3978_Extended_MSFT_Method">
    <vt:lpwstr>Manual</vt:lpwstr>
  </property>
  <property fmtid="{D5CDD505-2E9C-101B-9397-08002B2CF9AE}" pid="9" name="Sensitivity">
    <vt:lpwstr>OFFICIAL</vt:lpwstr>
  </property>
  <property fmtid="{D5CDD505-2E9C-101B-9397-08002B2CF9AE}" pid="10" name="ZOTERO_PREF_1">
    <vt:lpwstr>&lt;data data-version="3" zotero-version="5.0.74"&gt;&lt;session id="sBtM8wd9"/&gt;&lt;style id="http://www.zotero.org/styles/chicago-fullnote-bibliography" locale="en-GB" hasBibliography="1" bibliographyStyleHasBeenSet="0"/&gt;&lt;prefs&gt;&lt;pref name="fieldType" value="Field"/&gt;</vt:lpwstr>
  </property>
  <property fmtid="{D5CDD505-2E9C-101B-9397-08002B2CF9AE}" pid="11" name="ZOTERO_PREF_2">
    <vt:lpwstr>&lt;pref name="noteType" value="1"/&gt;&lt;/prefs&gt;&lt;/data&gt;</vt:lpwstr>
  </property>
  <property fmtid="{D5CDD505-2E9C-101B-9397-08002B2CF9AE}" pid="12" name="ContentTypeId">
    <vt:lpwstr>0x01010030F8F5EC57BE3C42900C2D1C380D62D3</vt:lpwstr>
  </property>
</Properties>
</file>