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B568467" w14:textId="33161278" w:rsidR="00D05301" w:rsidRPr="000740FC" w:rsidRDefault="00EA54AB" w:rsidP="7F45E843">
      <w:pPr>
        <w:rPr>
          <w:rFonts w:ascii="Calibri Light" w:hAnsi="Calibri Light" w:cs="Calibri Light"/>
        </w:rPr>
      </w:pPr>
      <w:bookmarkStart w:id="0" w:name="_Toc35006349"/>
      <w:bookmarkStart w:id="1" w:name="_Hlk19784699"/>
      <w:bookmarkStart w:id="2" w:name="_GoBack"/>
      <w:bookmarkEnd w:id="2"/>
      <w:r w:rsidRPr="000740FC">
        <w:rPr>
          <w:rFonts w:ascii="Calibri Light" w:hAnsi="Calibri Light" w:cs="Calibri Light"/>
          <w:noProof/>
        </w:rPr>
        <w:drawing>
          <wp:anchor distT="0" distB="0" distL="114300" distR="114300" simplePos="0" relativeHeight="251658243" behindDoc="1" locked="0" layoutInCell="1" allowOverlap="1" wp14:anchorId="2CFCA316" wp14:editId="728B44B8">
            <wp:simplePos x="0" y="0"/>
            <wp:positionH relativeFrom="column">
              <wp:posOffset>-1078230</wp:posOffset>
            </wp:positionH>
            <wp:positionV relativeFrom="paragraph">
              <wp:posOffset>-1285240</wp:posOffset>
            </wp:positionV>
            <wp:extent cx="8081645" cy="235470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1645" cy="23547070"/>
                    </a:xfrm>
                    <a:prstGeom prst="rect">
                      <a:avLst/>
                    </a:prstGeom>
                    <a:noFill/>
                  </pic:spPr>
                </pic:pic>
              </a:graphicData>
            </a:graphic>
            <wp14:sizeRelH relativeFrom="margin">
              <wp14:pctWidth>0</wp14:pctWidth>
            </wp14:sizeRelH>
            <wp14:sizeRelV relativeFrom="margin">
              <wp14:pctHeight>0</wp14:pctHeight>
            </wp14:sizeRelV>
          </wp:anchor>
        </w:drawing>
      </w:r>
      <w:r w:rsidR="00A06A17" w:rsidRPr="000740FC">
        <w:rPr>
          <w:noProof/>
        </w:rPr>
        <w:drawing>
          <wp:anchor distT="0" distB="0" distL="114300" distR="114300" simplePos="0" relativeHeight="251658241" behindDoc="0" locked="0" layoutInCell="1" allowOverlap="1" wp14:anchorId="7219C4B6" wp14:editId="467CF839">
            <wp:simplePos x="0" y="0"/>
            <wp:positionH relativeFrom="column">
              <wp:posOffset>-162560</wp:posOffset>
            </wp:positionH>
            <wp:positionV relativeFrom="paragraph">
              <wp:posOffset>-194310</wp:posOffset>
            </wp:positionV>
            <wp:extent cx="1733550" cy="1437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33550" cy="1437770"/>
                    </a:xfrm>
                    <a:prstGeom prst="rect">
                      <a:avLst/>
                    </a:prstGeom>
                  </pic:spPr>
                </pic:pic>
              </a:graphicData>
            </a:graphic>
            <wp14:sizeRelH relativeFrom="margin">
              <wp14:pctWidth>0</wp14:pctWidth>
            </wp14:sizeRelH>
            <wp14:sizeRelV relativeFrom="margin">
              <wp14:pctHeight>0</wp14:pctHeight>
            </wp14:sizeRelV>
          </wp:anchor>
        </w:drawing>
      </w:r>
      <w:bookmarkEnd w:id="0"/>
      <w:r w:rsidR="516D2549" w:rsidRPr="000740FC">
        <w:rPr>
          <w:rFonts w:ascii="Calibri Light" w:hAnsi="Calibri Light" w:cs="Calibri Light"/>
        </w:rPr>
        <w:t xml:space="preserve"> </w:t>
      </w:r>
    </w:p>
    <w:p w14:paraId="0933230D" w14:textId="79B07D73" w:rsidR="00D05301" w:rsidRPr="000740FC" w:rsidRDefault="00D05301" w:rsidP="00D05301">
      <w:pPr>
        <w:pStyle w:val="VIRTCoverPageHeading"/>
        <w:ind w:left="-426"/>
        <w:outlineLvl w:val="0"/>
        <w:rPr>
          <w:rFonts w:ascii="Calibri Light" w:hAnsi="Calibri Light" w:cs="Calibri Light"/>
          <w:lang w:val="en-AU"/>
        </w:rPr>
      </w:pPr>
    </w:p>
    <w:p w14:paraId="30F756FF" w14:textId="4293E128" w:rsidR="00D05301" w:rsidRPr="000740FC" w:rsidRDefault="00D05301" w:rsidP="00D05301">
      <w:pPr>
        <w:pStyle w:val="VIRTCoverPageHeading"/>
        <w:ind w:left="-426"/>
        <w:outlineLvl w:val="0"/>
        <w:rPr>
          <w:rFonts w:ascii="Calibri Light" w:hAnsi="Calibri Light" w:cs="Calibri Light"/>
          <w:lang w:val="en-AU"/>
        </w:rPr>
      </w:pPr>
    </w:p>
    <w:p w14:paraId="4652404A" w14:textId="55F1FBDD" w:rsidR="00D05301" w:rsidRPr="000740FC" w:rsidRDefault="00D05301" w:rsidP="00D05301">
      <w:pPr>
        <w:pStyle w:val="VIRTCoverPageHeading"/>
        <w:ind w:left="-426"/>
        <w:outlineLvl w:val="0"/>
        <w:rPr>
          <w:rFonts w:ascii="Calibri Light" w:hAnsi="Calibri Light" w:cs="Calibri Light"/>
          <w:lang w:val="en-AU"/>
        </w:rPr>
      </w:pPr>
    </w:p>
    <w:p w14:paraId="2D919A70" w14:textId="48E88974" w:rsidR="00D05301" w:rsidRPr="000740FC" w:rsidRDefault="00D05301" w:rsidP="00D05301">
      <w:pPr>
        <w:pStyle w:val="VIRTCoverPageHeading"/>
        <w:ind w:left="-426"/>
        <w:outlineLvl w:val="0"/>
        <w:rPr>
          <w:rFonts w:ascii="Calibri Light" w:hAnsi="Calibri Light" w:cs="Calibri Light"/>
          <w:lang w:val="en-AU"/>
        </w:rPr>
      </w:pPr>
    </w:p>
    <w:p w14:paraId="0ACE1C33" w14:textId="62844A08" w:rsidR="002D4A56" w:rsidRPr="000740FC" w:rsidRDefault="00BC3C06" w:rsidP="00D05301">
      <w:pPr>
        <w:pStyle w:val="VIRTCoverPageHeading"/>
        <w:ind w:left="-426"/>
        <w:outlineLvl w:val="0"/>
        <w:rPr>
          <w:rFonts w:ascii="Calibri Light" w:hAnsi="Calibri Light" w:cs="Calibri Light"/>
          <w:lang w:val="en-AU"/>
        </w:rPr>
      </w:pPr>
      <w:bookmarkStart w:id="3" w:name="_Hlk8725293"/>
      <w:bookmarkEnd w:id="3"/>
      <w:r w:rsidRPr="000740FC">
        <w:rPr>
          <w:rFonts w:ascii="Calibri Light" w:hAnsi="Calibri Light" w:cs="Calibri Light"/>
          <w:lang w:val="en-AU"/>
        </w:rPr>
        <w:t>Review</w:t>
      </w:r>
      <w:r w:rsidR="00A81E9C">
        <w:rPr>
          <w:rFonts w:ascii="Calibri Light" w:hAnsi="Calibri Light" w:cs="Calibri Light"/>
          <w:lang w:val="en-AU"/>
        </w:rPr>
        <w:t xml:space="preserve"> and report</w:t>
      </w:r>
      <w:r w:rsidRPr="000740FC">
        <w:rPr>
          <w:rFonts w:ascii="Calibri Light" w:hAnsi="Calibri Light" w:cs="Calibri Light"/>
          <w:lang w:val="en-AU"/>
        </w:rPr>
        <w:t xml:space="preserve"> o</w:t>
      </w:r>
      <w:r w:rsidR="00A81E9C">
        <w:rPr>
          <w:rFonts w:ascii="Calibri Light" w:hAnsi="Calibri Light" w:cs="Calibri Light"/>
          <w:lang w:val="en-AU"/>
        </w:rPr>
        <w:t>n the</w:t>
      </w:r>
      <w:r w:rsidRPr="000740FC">
        <w:rPr>
          <w:rFonts w:ascii="Calibri Light" w:hAnsi="Calibri Light" w:cs="Calibri Light"/>
          <w:lang w:val="en-AU"/>
        </w:rPr>
        <w:t xml:space="preserve"> superannuation arrangements for </w:t>
      </w:r>
      <w:r w:rsidR="00B975F5">
        <w:rPr>
          <w:rFonts w:ascii="Calibri Light" w:hAnsi="Calibri Light" w:cs="Calibri Light"/>
          <w:lang w:val="en-AU"/>
        </w:rPr>
        <w:t xml:space="preserve">Members of the </w:t>
      </w:r>
      <w:r w:rsidR="00A81E9C">
        <w:rPr>
          <w:rFonts w:ascii="Calibri Light" w:hAnsi="Calibri Light" w:cs="Calibri Light"/>
          <w:lang w:val="en-AU"/>
        </w:rPr>
        <w:br/>
      </w:r>
      <w:r w:rsidRPr="000740FC">
        <w:rPr>
          <w:rFonts w:ascii="Calibri Light" w:hAnsi="Calibri Light" w:cs="Calibri Light"/>
          <w:lang w:val="en-AU"/>
        </w:rPr>
        <w:t>Parliament</w:t>
      </w:r>
      <w:r w:rsidR="00B975F5">
        <w:rPr>
          <w:rFonts w:ascii="Calibri Light" w:hAnsi="Calibri Light" w:cs="Calibri Light"/>
          <w:lang w:val="en-AU"/>
        </w:rPr>
        <w:t xml:space="preserve"> of Victoria</w:t>
      </w:r>
    </w:p>
    <w:p w14:paraId="18A11B7B" w14:textId="10048AC5" w:rsidR="00A73532" w:rsidRDefault="00A73532" w:rsidP="004B47B2">
      <w:pPr>
        <w:pStyle w:val="VIRTCoverPageHeading"/>
        <w:outlineLvl w:val="0"/>
        <w:rPr>
          <w:rFonts w:ascii="Calibri Light" w:hAnsi="Calibri Light" w:cs="Calibri Light"/>
          <w:lang w:val="en-AU"/>
        </w:rPr>
      </w:pPr>
    </w:p>
    <w:p w14:paraId="164B9162" w14:textId="77F3D3DA" w:rsidR="004E255E" w:rsidRPr="000740FC" w:rsidRDefault="004E255E" w:rsidP="00D05301">
      <w:pPr>
        <w:pStyle w:val="VIRTCoverPageHeading"/>
        <w:ind w:left="-426"/>
        <w:outlineLvl w:val="0"/>
        <w:rPr>
          <w:rFonts w:ascii="Calibri Light" w:hAnsi="Calibri Light" w:cs="Calibri Light"/>
          <w:lang w:val="en-AU"/>
        </w:rPr>
      </w:pPr>
      <w:r>
        <w:rPr>
          <w:rFonts w:ascii="Calibri Light" w:hAnsi="Calibri Light" w:cs="Calibri Light"/>
          <w:lang w:val="en-AU"/>
        </w:rPr>
        <w:t>September 2020</w:t>
      </w:r>
    </w:p>
    <w:p w14:paraId="201C8282" w14:textId="69DB051B" w:rsidR="002D4A56" w:rsidRPr="000740FC" w:rsidRDefault="002D4A56" w:rsidP="00B33183">
      <w:pPr>
        <w:pStyle w:val="Paragraph"/>
      </w:pPr>
    </w:p>
    <w:p w14:paraId="00C76EA0" w14:textId="682F1F95" w:rsidR="002D4A56" w:rsidRPr="000740FC" w:rsidRDefault="002D4A56" w:rsidP="00B33183">
      <w:pPr>
        <w:pStyle w:val="Paragraph"/>
      </w:pPr>
    </w:p>
    <w:p w14:paraId="7DEBA8D8" w14:textId="645EE03B" w:rsidR="002D4A56" w:rsidRPr="000740FC" w:rsidRDefault="002D4A56" w:rsidP="00B33183">
      <w:pPr>
        <w:pStyle w:val="Paragraph"/>
      </w:pPr>
    </w:p>
    <w:p w14:paraId="54B95391" w14:textId="7A838A2E" w:rsidR="002D4A56" w:rsidRPr="000740FC" w:rsidRDefault="002D4A56" w:rsidP="00B33183">
      <w:pPr>
        <w:pStyle w:val="Paragraph"/>
      </w:pPr>
    </w:p>
    <w:p w14:paraId="64C7B2AC" w14:textId="77777777" w:rsidR="002D4A56" w:rsidRPr="000740FC" w:rsidRDefault="002D4A56" w:rsidP="00B33183">
      <w:pPr>
        <w:pStyle w:val="Paragraph"/>
      </w:pPr>
    </w:p>
    <w:p w14:paraId="48333BEC" w14:textId="77777777" w:rsidR="002D4A56" w:rsidRPr="000740FC" w:rsidRDefault="002D4A56" w:rsidP="002D4A56">
      <w:pPr>
        <w:sectPr w:rsidR="002D4A56" w:rsidRPr="000740FC" w:rsidSect="0030758C">
          <w:headerReference w:type="even" r:id="rId14"/>
          <w:headerReference w:type="default" r:id="rId15"/>
          <w:footerReference w:type="even" r:id="rId16"/>
          <w:footerReference w:type="default" r:id="rId17"/>
          <w:headerReference w:type="first" r:id="rId18"/>
          <w:footerReference w:type="first" r:id="rId19"/>
          <w:type w:val="oddPage"/>
          <w:pgSz w:w="11900" w:h="16840"/>
          <w:pgMar w:top="1701" w:right="1701" w:bottom="1559" w:left="1701" w:header="708" w:footer="708" w:gutter="0"/>
          <w:pgNumType w:start="6"/>
          <w:cols w:space="708"/>
          <w:docGrid w:linePitch="286"/>
        </w:sectPr>
      </w:pPr>
    </w:p>
    <w:p w14:paraId="708EA73F" w14:textId="0ADE8700" w:rsidR="002D4A56" w:rsidRPr="000740FC" w:rsidRDefault="002D4A56" w:rsidP="002D4A56">
      <w:pPr>
        <w:rPr>
          <w:rFonts w:cs="Arial"/>
          <w:sz w:val="16"/>
          <w:szCs w:val="20"/>
        </w:rPr>
      </w:pPr>
    </w:p>
    <w:p w14:paraId="2BB305E9" w14:textId="77777777" w:rsidR="002D4A56" w:rsidRPr="000740FC" w:rsidRDefault="002D4A56" w:rsidP="002D4A56">
      <w:pPr>
        <w:rPr>
          <w:rFonts w:cs="Arial"/>
          <w:sz w:val="16"/>
          <w:szCs w:val="20"/>
        </w:rPr>
      </w:pPr>
    </w:p>
    <w:p w14:paraId="0DF69663" w14:textId="77777777" w:rsidR="002D4A56" w:rsidRPr="000740FC" w:rsidRDefault="002D4A56" w:rsidP="002D4A56">
      <w:pPr>
        <w:rPr>
          <w:rFonts w:cs="Arial"/>
          <w:sz w:val="16"/>
          <w:szCs w:val="20"/>
        </w:rPr>
      </w:pPr>
    </w:p>
    <w:p w14:paraId="47F4062B" w14:textId="77777777" w:rsidR="002D4A56" w:rsidRPr="000740FC" w:rsidRDefault="002D4A56" w:rsidP="002D4A56">
      <w:pPr>
        <w:rPr>
          <w:rFonts w:cs="Arial"/>
          <w:sz w:val="16"/>
          <w:szCs w:val="20"/>
        </w:rPr>
      </w:pPr>
    </w:p>
    <w:p w14:paraId="779D6DEB" w14:textId="77777777" w:rsidR="002D4A56" w:rsidRPr="000740FC" w:rsidRDefault="002D4A56" w:rsidP="002D4A56">
      <w:pPr>
        <w:rPr>
          <w:rFonts w:cs="Arial"/>
          <w:sz w:val="16"/>
          <w:szCs w:val="20"/>
        </w:rPr>
      </w:pPr>
    </w:p>
    <w:p w14:paraId="6D8EC974" w14:textId="77777777" w:rsidR="002D4A56" w:rsidRPr="000740FC" w:rsidRDefault="002D4A56" w:rsidP="002D4A56">
      <w:pPr>
        <w:rPr>
          <w:rFonts w:cs="Arial"/>
          <w:sz w:val="16"/>
          <w:szCs w:val="20"/>
        </w:rPr>
      </w:pPr>
    </w:p>
    <w:p w14:paraId="19D3555D" w14:textId="77777777" w:rsidR="002D4A56" w:rsidRPr="000740FC" w:rsidRDefault="002D4A56" w:rsidP="002D4A56">
      <w:pPr>
        <w:rPr>
          <w:rFonts w:cs="Arial"/>
          <w:sz w:val="16"/>
          <w:szCs w:val="20"/>
        </w:rPr>
      </w:pPr>
    </w:p>
    <w:p w14:paraId="5B7E8BC1" w14:textId="77777777" w:rsidR="002D4A56" w:rsidRPr="000740FC" w:rsidRDefault="002D4A56" w:rsidP="002D4A56">
      <w:pPr>
        <w:rPr>
          <w:rFonts w:cs="Arial"/>
          <w:sz w:val="16"/>
          <w:szCs w:val="20"/>
        </w:rPr>
      </w:pPr>
    </w:p>
    <w:p w14:paraId="20C44315" w14:textId="77777777" w:rsidR="002D4A56" w:rsidRPr="000740FC" w:rsidRDefault="002D4A56" w:rsidP="002D4A56">
      <w:pPr>
        <w:rPr>
          <w:rFonts w:cs="Arial"/>
          <w:sz w:val="16"/>
          <w:szCs w:val="20"/>
        </w:rPr>
      </w:pPr>
      <w:r w:rsidRPr="000740FC">
        <w:rPr>
          <w:noProof/>
          <w:sz w:val="16"/>
          <w:lang w:eastAsia="en-AU"/>
        </w:rPr>
        <w:drawing>
          <wp:anchor distT="0" distB="0" distL="114300" distR="114300" simplePos="0" relativeHeight="251658240" behindDoc="1" locked="0" layoutInCell="1" allowOverlap="1" wp14:anchorId="719A3B1A" wp14:editId="36BCBB34">
            <wp:simplePos x="0" y="0"/>
            <wp:positionH relativeFrom="column">
              <wp:posOffset>4114800</wp:posOffset>
            </wp:positionH>
            <wp:positionV relativeFrom="paragraph">
              <wp:posOffset>71120</wp:posOffset>
            </wp:positionV>
            <wp:extent cx="2186940" cy="13964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186940" cy="139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4E398C" w14:textId="77777777" w:rsidR="002D4A56" w:rsidRPr="000740FC" w:rsidRDefault="002D4A56" w:rsidP="002D4A56">
      <w:pPr>
        <w:rPr>
          <w:rFonts w:cs="Arial"/>
          <w:sz w:val="16"/>
          <w:szCs w:val="20"/>
        </w:rPr>
      </w:pPr>
    </w:p>
    <w:p w14:paraId="68027D2F" w14:textId="77777777" w:rsidR="002D4A56" w:rsidRPr="000740FC" w:rsidRDefault="002D4A56" w:rsidP="002D4A56">
      <w:pPr>
        <w:rPr>
          <w:rFonts w:cs="Arial"/>
          <w:sz w:val="16"/>
          <w:szCs w:val="20"/>
        </w:rPr>
      </w:pPr>
    </w:p>
    <w:p w14:paraId="42895F4C" w14:textId="77777777" w:rsidR="002D4A56" w:rsidRPr="000740FC" w:rsidRDefault="002D4A56" w:rsidP="002D4A56">
      <w:pPr>
        <w:rPr>
          <w:rFonts w:cs="Arial"/>
          <w:sz w:val="16"/>
          <w:szCs w:val="20"/>
        </w:rPr>
      </w:pPr>
    </w:p>
    <w:p w14:paraId="2B19BDAD" w14:textId="77777777" w:rsidR="002D4A56" w:rsidRPr="000740FC" w:rsidRDefault="002D4A56" w:rsidP="002D4A56">
      <w:pPr>
        <w:ind w:right="1077"/>
        <w:rPr>
          <w:rFonts w:cs="Arial"/>
          <w:sz w:val="16"/>
          <w:szCs w:val="20"/>
        </w:rPr>
      </w:pPr>
    </w:p>
    <w:p w14:paraId="158E723D" w14:textId="77777777" w:rsidR="002D4A56" w:rsidRPr="000740FC" w:rsidRDefault="002D4A56" w:rsidP="002D4A56">
      <w:pPr>
        <w:ind w:right="1757"/>
        <w:rPr>
          <w:rFonts w:cs="Arial"/>
          <w:b/>
          <w:sz w:val="16"/>
          <w:szCs w:val="20"/>
        </w:rPr>
      </w:pPr>
    </w:p>
    <w:p w14:paraId="14C14037" w14:textId="77777777" w:rsidR="002D4A56" w:rsidRPr="000740FC" w:rsidRDefault="002D4A56" w:rsidP="00971948">
      <w:pPr>
        <w:pStyle w:val="VIRTHeading2"/>
        <w:rPr>
          <w:lang w:val="en-AU"/>
        </w:rPr>
        <w:sectPr w:rsidR="002D4A56" w:rsidRPr="000740FC" w:rsidSect="00F95266">
          <w:headerReference w:type="even" r:id="rId21"/>
          <w:headerReference w:type="default" r:id="rId22"/>
          <w:headerReference w:type="first" r:id="rId23"/>
          <w:footerReference w:type="first" r:id="rId24"/>
          <w:pgSz w:w="11900" w:h="16840"/>
          <w:pgMar w:top="1440" w:right="2119" w:bottom="1440" w:left="1701" w:header="709" w:footer="709" w:gutter="0"/>
          <w:cols w:space="708"/>
          <w:titlePg/>
          <w:docGrid w:linePitch="354"/>
        </w:sectPr>
      </w:pPr>
    </w:p>
    <w:p w14:paraId="54C93E58" w14:textId="384254C8" w:rsidR="002D4A56" w:rsidRPr="000740FC" w:rsidRDefault="38D1914E" w:rsidP="00BF2DB2">
      <w:pPr>
        <w:pStyle w:val="ChapterHeading0"/>
        <w:rPr>
          <w:lang w:val="en-AU"/>
        </w:rPr>
      </w:pPr>
      <w:bookmarkStart w:id="4" w:name="_Toc20323584"/>
      <w:bookmarkStart w:id="5" w:name="_Toc33609439"/>
      <w:bookmarkStart w:id="6" w:name="_Toc35006353"/>
      <w:bookmarkStart w:id="7" w:name="_Toc35006519"/>
      <w:bookmarkStart w:id="8" w:name="_Toc50979035"/>
      <w:bookmarkStart w:id="9" w:name="_Toc50990405"/>
      <w:bookmarkStart w:id="10" w:name="_Toc51234114"/>
      <w:r w:rsidRPr="000740FC">
        <w:rPr>
          <w:lang w:val="en-AU"/>
        </w:rPr>
        <w:lastRenderedPageBreak/>
        <w:t>Contents</w:t>
      </w:r>
      <w:r w:rsidR="002D4A56" w:rsidRPr="000740FC">
        <w:rPr>
          <w:lang w:val="en-AU"/>
        </w:rPr>
        <w:br/>
      </w:r>
      <w:r w:rsidR="002D4A56" w:rsidRPr="000740FC">
        <w:rPr>
          <w:lang w:val="en-AU"/>
        </w:rPr>
        <w:drawing>
          <wp:inline distT="0" distB="0" distL="0" distR="0" wp14:anchorId="03452037" wp14:editId="01669AED">
            <wp:extent cx="2218055" cy="254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4"/>
      <w:bookmarkEnd w:id="5"/>
      <w:bookmarkEnd w:id="6"/>
      <w:bookmarkEnd w:id="7"/>
      <w:bookmarkEnd w:id="8"/>
      <w:bookmarkEnd w:id="9"/>
      <w:bookmarkEnd w:id="10"/>
    </w:p>
    <w:bookmarkStart w:id="11" w:name="_Toc33609440"/>
    <w:bookmarkStart w:id="12" w:name="_Toc35006354"/>
    <w:bookmarkStart w:id="13" w:name="_Toc50990406"/>
    <w:p w14:paraId="2D10C2A9" w14:textId="2FD9FA04" w:rsidR="004145AA" w:rsidRDefault="008F51B2">
      <w:pPr>
        <w:pStyle w:val="TOC1"/>
        <w:tabs>
          <w:tab w:val="right" w:leader="dot" w:pos="8488"/>
        </w:tabs>
        <w:rPr>
          <w:rFonts w:asciiTheme="minorHAnsi" w:eastAsiaTheme="minorEastAsia" w:hAnsiTheme="minorHAnsi"/>
          <w:b w:val="0"/>
          <w:bCs w:val="0"/>
          <w:noProof/>
          <w:color w:val="auto"/>
          <w:sz w:val="22"/>
          <w:szCs w:val="22"/>
          <w:lang w:eastAsia="en-AU"/>
        </w:rPr>
      </w:pPr>
      <w:r>
        <w:fldChar w:fldCharType="begin"/>
      </w:r>
      <w:r>
        <w:instrText xml:space="preserve"> TOC \h \z \t "VIRT Heading 2,2,Chapter Heading,1" </w:instrText>
      </w:r>
      <w:r>
        <w:fldChar w:fldCharType="separate"/>
      </w:r>
      <w:hyperlink w:anchor="_Toc51234114" w:history="1">
        <w:r w:rsidR="004145AA" w:rsidRPr="00117F0B">
          <w:rPr>
            <w:rStyle w:val="Hyperlink"/>
            <w:noProof/>
          </w:rPr>
          <w:t xml:space="preserve">Contents </w:t>
        </w:r>
        <w:r w:rsidR="004145AA">
          <w:rPr>
            <w:noProof/>
            <w:webHidden/>
          </w:rPr>
          <w:tab/>
        </w:r>
        <w:r w:rsidR="004145AA">
          <w:rPr>
            <w:noProof/>
            <w:webHidden/>
          </w:rPr>
          <w:fldChar w:fldCharType="begin"/>
        </w:r>
        <w:r w:rsidR="004145AA">
          <w:rPr>
            <w:noProof/>
            <w:webHidden/>
          </w:rPr>
          <w:instrText xml:space="preserve"> PAGEREF _Toc51234114 \h </w:instrText>
        </w:r>
        <w:r w:rsidR="004145AA">
          <w:rPr>
            <w:noProof/>
            <w:webHidden/>
          </w:rPr>
        </w:r>
        <w:r w:rsidR="004145AA">
          <w:rPr>
            <w:noProof/>
            <w:webHidden/>
          </w:rPr>
          <w:fldChar w:fldCharType="separate"/>
        </w:r>
        <w:r w:rsidR="00117024">
          <w:rPr>
            <w:noProof/>
            <w:webHidden/>
          </w:rPr>
          <w:t>i</w:t>
        </w:r>
        <w:r w:rsidR="004145AA">
          <w:rPr>
            <w:noProof/>
            <w:webHidden/>
          </w:rPr>
          <w:fldChar w:fldCharType="end"/>
        </w:r>
      </w:hyperlink>
    </w:p>
    <w:p w14:paraId="77088D9B" w14:textId="3C889A43"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15" w:history="1">
        <w:r w:rsidR="004145AA" w:rsidRPr="00117F0B">
          <w:rPr>
            <w:rStyle w:val="Hyperlink"/>
            <w:noProof/>
            <w:lang w:eastAsia="en-AU"/>
          </w:rPr>
          <w:t xml:space="preserve">Glossary </w:t>
        </w:r>
        <w:r w:rsidR="004145AA">
          <w:rPr>
            <w:noProof/>
            <w:webHidden/>
          </w:rPr>
          <w:tab/>
        </w:r>
        <w:r w:rsidR="004145AA">
          <w:rPr>
            <w:noProof/>
            <w:webHidden/>
          </w:rPr>
          <w:fldChar w:fldCharType="begin"/>
        </w:r>
        <w:r w:rsidR="004145AA">
          <w:rPr>
            <w:noProof/>
            <w:webHidden/>
          </w:rPr>
          <w:instrText xml:space="preserve"> PAGEREF _Toc51234115 \h </w:instrText>
        </w:r>
        <w:r w:rsidR="004145AA">
          <w:rPr>
            <w:noProof/>
            <w:webHidden/>
          </w:rPr>
        </w:r>
        <w:r w:rsidR="004145AA">
          <w:rPr>
            <w:noProof/>
            <w:webHidden/>
          </w:rPr>
          <w:fldChar w:fldCharType="separate"/>
        </w:r>
        <w:r w:rsidR="00117024">
          <w:rPr>
            <w:noProof/>
            <w:webHidden/>
          </w:rPr>
          <w:t>1</w:t>
        </w:r>
        <w:r w:rsidR="004145AA">
          <w:rPr>
            <w:noProof/>
            <w:webHidden/>
          </w:rPr>
          <w:fldChar w:fldCharType="end"/>
        </w:r>
      </w:hyperlink>
    </w:p>
    <w:p w14:paraId="1E2D66B3" w14:textId="1F3813FF"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16" w:history="1">
        <w:r w:rsidR="004145AA" w:rsidRPr="00117F0B">
          <w:rPr>
            <w:rStyle w:val="Hyperlink"/>
            <w:noProof/>
          </w:rPr>
          <w:t xml:space="preserve">Executive Summary </w:t>
        </w:r>
        <w:r w:rsidR="004145AA">
          <w:rPr>
            <w:noProof/>
            <w:webHidden/>
          </w:rPr>
          <w:tab/>
        </w:r>
        <w:r w:rsidR="004145AA">
          <w:rPr>
            <w:noProof/>
            <w:webHidden/>
          </w:rPr>
          <w:fldChar w:fldCharType="begin"/>
        </w:r>
        <w:r w:rsidR="004145AA">
          <w:rPr>
            <w:noProof/>
            <w:webHidden/>
          </w:rPr>
          <w:instrText xml:space="preserve"> PAGEREF _Toc51234116 \h </w:instrText>
        </w:r>
        <w:r w:rsidR="004145AA">
          <w:rPr>
            <w:noProof/>
            <w:webHidden/>
          </w:rPr>
        </w:r>
        <w:r w:rsidR="004145AA">
          <w:rPr>
            <w:noProof/>
            <w:webHidden/>
          </w:rPr>
          <w:fldChar w:fldCharType="separate"/>
        </w:r>
        <w:r w:rsidR="00117024">
          <w:rPr>
            <w:noProof/>
            <w:webHidden/>
          </w:rPr>
          <w:t>3</w:t>
        </w:r>
        <w:r w:rsidR="004145AA">
          <w:rPr>
            <w:noProof/>
            <w:webHidden/>
          </w:rPr>
          <w:fldChar w:fldCharType="end"/>
        </w:r>
      </w:hyperlink>
    </w:p>
    <w:p w14:paraId="4EC9B060" w14:textId="252E4B1C"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17" w:history="1">
        <w:r w:rsidR="004145AA" w:rsidRPr="00117F0B">
          <w:rPr>
            <w:rStyle w:val="Hyperlink"/>
            <w:noProof/>
          </w:rPr>
          <w:t>Superannuation arrangements for Victorian MPs</w:t>
        </w:r>
        <w:r w:rsidR="004145AA">
          <w:rPr>
            <w:noProof/>
            <w:webHidden/>
          </w:rPr>
          <w:tab/>
        </w:r>
        <w:r w:rsidR="004145AA">
          <w:rPr>
            <w:noProof/>
            <w:webHidden/>
          </w:rPr>
          <w:fldChar w:fldCharType="begin"/>
        </w:r>
        <w:r w:rsidR="004145AA">
          <w:rPr>
            <w:noProof/>
            <w:webHidden/>
          </w:rPr>
          <w:instrText xml:space="preserve"> PAGEREF _Toc51234117 \h </w:instrText>
        </w:r>
        <w:r w:rsidR="004145AA">
          <w:rPr>
            <w:noProof/>
            <w:webHidden/>
          </w:rPr>
        </w:r>
        <w:r w:rsidR="004145AA">
          <w:rPr>
            <w:noProof/>
            <w:webHidden/>
          </w:rPr>
          <w:fldChar w:fldCharType="separate"/>
        </w:r>
        <w:r w:rsidR="00117024">
          <w:rPr>
            <w:noProof/>
            <w:webHidden/>
          </w:rPr>
          <w:t>5</w:t>
        </w:r>
        <w:r w:rsidR="004145AA">
          <w:rPr>
            <w:noProof/>
            <w:webHidden/>
          </w:rPr>
          <w:fldChar w:fldCharType="end"/>
        </w:r>
      </w:hyperlink>
    </w:p>
    <w:p w14:paraId="2A803A6D" w14:textId="480CCE4F"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18" w:history="1">
        <w:r w:rsidR="004145AA" w:rsidRPr="00117F0B">
          <w:rPr>
            <w:rStyle w:val="Hyperlink"/>
            <w:noProof/>
          </w:rPr>
          <w:t>Superannuation arrangements for other Australians</w:t>
        </w:r>
        <w:r w:rsidR="004145AA">
          <w:rPr>
            <w:noProof/>
            <w:webHidden/>
          </w:rPr>
          <w:tab/>
        </w:r>
        <w:r w:rsidR="004145AA">
          <w:rPr>
            <w:noProof/>
            <w:webHidden/>
          </w:rPr>
          <w:fldChar w:fldCharType="begin"/>
        </w:r>
        <w:r w:rsidR="004145AA">
          <w:rPr>
            <w:noProof/>
            <w:webHidden/>
          </w:rPr>
          <w:instrText xml:space="preserve"> PAGEREF _Toc51234118 \h </w:instrText>
        </w:r>
        <w:r w:rsidR="004145AA">
          <w:rPr>
            <w:noProof/>
            <w:webHidden/>
          </w:rPr>
        </w:r>
        <w:r w:rsidR="004145AA">
          <w:rPr>
            <w:noProof/>
            <w:webHidden/>
          </w:rPr>
          <w:fldChar w:fldCharType="separate"/>
        </w:r>
        <w:r w:rsidR="00117024">
          <w:rPr>
            <w:noProof/>
            <w:webHidden/>
          </w:rPr>
          <w:t>9</w:t>
        </w:r>
        <w:r w:rsidR="004145AA">
          <w:rPr>
            <w:noProof/>
            <w:webHidden/>
          </w:rPr>
          <w:fldChar w:fldCharType="end"/>
        </w:r>
      </w:hyperlink>
    </w:p>
    <w:p w14:paraId="144E427D" w14:textId="5745D7D1"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19" w:history="1">
        <w:r w:rsidR="004145AA" w:rsidRPr="00117F0B">
          <w:rPr>
            <w:rStyle w:val="Hyperlink"/>
            <w:noProof/>
          </w:rPr>
          <w:t>Comparing Victorian MP superannuation schemes</w:t>
        </w:r>
        <w:r w:rsidR="004145AA">
          <w:rPr>
            <w:noProof/>
            <w:webHidden/>
          </w:rPr>
          <w:tab/>
        </w:r>
        <w:r w:rsidR="004145AA">
          <w:rPr>
            <w:noProof/>
            <w:webHidden/>
          </w:rPr>
          <w:fldChar w:fldCharType="begin"/>
        </w:r>
        <w:r w:rsidR="004145AA">
          <w:rPr>
            <w:noProof/>
            <w:webHidden/>
          </w:rPr>
          <w:instrText xml:space="preserve"> PAGEREF _Toc51234119 \h </w:instrText>
        </w:r>
        <w:r w:rsidR="004145AA">
          <w:rPr>
            <w:noProof/>
            <w:webHidden/>
          </w:rPr>
        </w:r>
        <w:r w:rsidR="004145AA">
          <w:rPr>
            <w:noProof/>
            <w:webHidden/>
          </w:rPr>
          <w:fldChar w:fldCharType="separate"/>
        </w:r>
        <w:r w:rsidR="00117024">
          <w:rPr>
            <w:noProof/>
            <w:webHidden/>
          </w:rPr>
          <w:t>10</w:t>
        </w:r>
        <w:r w:rsidR="004145AA">
          <w:rPr>
            <w:noProof/>
            <w:webHidden/>
          </w:rPr>
          <w:fldChar w:fldCharType="end"/>
        </w:r>
      </w:hyperlink>
    </w:p>
    <w:p w14:paraId="1959758D" w14:textId="0B55EEC5"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0" w:history="1">
        <w:r w:rsidR="004145AA" w:rsidRPr="00117F0B">
          <w:rPr>
            <w:rStyle w:val="Hyperlink"/>
            <w:noProof/>
          </w:rPr>
          <w:t>Recommendations</w:t>
        </w:r>
        <w:r w:rsidR="004145AA">
          <w:rPr>
            <w:noProof/>
            <w:webHidden/>
          </w:rPr>
          <w:tab/>
        </w:r>
        <w:r w:rsidR="004145AA">
          <w:rPr>
            <w:noProof/>
            <w:webHidden/>
          </w:rPr>
          <w:fldChar w:fldCharType="begin"/>
        </w:r>
        <w:r w:rsidR="004145AA">
          <w:rPr>
            <w:noProof/>
            <w:webHidden/>
          </w:rPr>
          <w:instrText xml:space="preserve"> PAGEREF _Toc51234120 \h </w:instrText>
        </w:r>
        <w:r w:rsidR="004145AA">
          <w:rPr>
            <w:noProof/>
            <w:webHidden/>
          </w:rPr>
        </w:r>
        <w:r w:rsidR="004145AA">
          <w:rPr>
            <w:noProof/>
            <w:webHidden/>
          </w:rPr>
          <w:fldChar w:fldCharType="separate"/>
        </w:r>
        <w:r w:rsidR="00117024">
          <w:rPr>
            <w:noProof/>
            <w:webHidden/>
          </w:rPr>
          <w:t>15</w:t>
        </w:r>
        <w:r w:rsidR="004145AA">
          <w:rPr>
            <w:noProof/>
            <w:webHidden/>
          </w:rPr>
          <w:fldChar w:fldCharType="end"/>
        </w:r>
      </w:hyperlink>
    </w:p>
    <w:p w14:paraId="17FF6849" w14:textId="6E269602" w:rsidR="004145AA" w:rsidRDefault="00205CE3">
      <w:pPr>
        <w:pStyle w:val="TOC1"/>
        <w:tabs>
          <w:tab w:val="left" w:pos="510"/>
          <w:tab w:val="right" w:leader="dot" w:pos="8488"/>
        </w:tabs>
        <w:rPr>
          <w:rFonts w:asciiTheme="minorHAnsi" w:eastAsiaTheme="minorEastAsia" w:hAnsiTheme="minorHAnsi"/>
          <w:b w:val="0"/>
          <w:bCs w:val="0"/>
          <w:noProof/>
          <w:color w:val="auto"/>
          <w:sz w:val="22"/>
          <w:szCs w:val="22"/>
          <w:lang w:eastAsia="en-AU"/>
        </w:rPr>
      </w:pPr>
      <w:hyperlink w:anchor="_Toc51234121" w:history="1">
        <w:r w:rsidR="004145AA" w:rsidRPr="00117F0B">
          <w:rPr>
            <w:rStyle w:val="Hyperlink"/>
            <w:noProof/>
          </w:rPr>
          <w:t>1</w:t>
        </w:r>
        <w:r w:rsidR="00516F81">
          <w:rPr>
            <w:rStyle w:val="Hyperlink"/>
            <w:noProof/>
          </w:rPr>
          <w:t xml:space="preserve"> </w:t>
        </w:r>
        <w:r w:rsidR="004145AA" w:rsidRPr="00117F0B">
          <w:rPr>
            <w:rStyle w:val="Hyperlink"/>
            <w:noProof/>
          </w:rPr>
          <w:t xml:space="preserve">Introduction </w:t>
        </w:r>
        <w:r w:rsidR="004145AA">
          <w:rPr>
            <w:noProof/>
            <w:webHidden/>
          </w:rPr>
          <w:tab/>
        </w:r>
        <w:r w:rsidR="004145AA">
          <w:rPr>
            <w:noProof/>
            <w:webHidden/>
          </w:rPr>
          <w:fldChar w:fldCharType="begin"/>
        </w:r>
        <w:r w:rsidR="004145AA">
          <w:rPr>
            <w:noProof/>
            <w:webHidden/>
          </w:rPr>
          <w:instrText xml:space="preserve"> PAGEREF _Toc51234121 \h </w:instrText>
        </w:r>
        <w:r w:rsidR="004145AA">
          <w:rPr>
            <w:noProof/>
            <w:webHidden/>
          </w:rPr>
        </w:r>
        <w:r w:rsidR="004145AA">
          <w:rPr>
            <w:noProof/>
            <w:webHidden/>
          </w:rPr>
          <w:fldChar w:fldCharType="separate"/>
        </w:r>
        <w:r w:rsidR="00117024">
          <w:rPr>
            <w:noProof/>
            <w:webHidden/>
          </w:rPr>
          <w:t>16</w:t>
        </w:r>
        <w:r w:rsidR="004145AA">
          <w:rPr>
            <w:noProof/>
            <w:webHidden/>
          </w:rPr>
          <w:fldChar w:fldCharType="end"/>
        </w:r>
      </w:hyperlink>
    </w:p>
    <w:p w14:paraId="3C5065A0" w14:textId="24B7A1A8"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2" w:history="1">
        <w:r w:rsidR="004145AA" w:rsidRPr="00117F0B">
          <w:rPr>
            <w:rStyle w:val="Hyperlink"/>
            <w:noProof/>
          </w:rPr>
          <w:t>1.1 Scope</w:t>
        </w:r>
        <w:r w:rsidR="004145AA">
          <w:rPr>
            <w:noProof/>
            <w:webHidden/>
          </w:rPr>
          <w:tab/>
        </w:r>
        <w:r w:rsidR="004145AA">
          <w:rPr>
            <w:noProof/>
            <w:webHidden/>
          </w:rPr>
          <w:fldChar w:fldCharType="begin"/>
        </w:r>
        <w:r w:rsidR="004145AA">
          <w:rPr>
            <w:noProof/>
            <w:webHidden/>
          </w:rPr>
          <w:instrText xml:space="preserve"> PAGEREF _Toc51234122 \h </w:instrText>
        </w:r>
        <w:r w:rsidR="004145AA">
          <w:rPr>
            <w:noProof/>
            <w:webHidden/>
          </w:rPr>
        </w:r>
        <w:r w:rsidR="004145AA">
          <w:rPr>
            <w:noProof/>
            <w:webHidden/>
          </w:rPr>
          <w:fldChar w:fldCharType="separate"/>
        </w:r>
        <w:r w:rsidR="00117024">
          <w:rPr>
            <w:noProof/>
            <w:webHidden/>
          </w:rPr>
          <w:t>17</w:t>
        </w:r>
        <w:r w:rsidR="004145AA">
          <w:rPr>
            <w:noProof/>
            <w:webHidden/>
          </w:rPr>
          <w:fldChar w:fldCharType="end"/>
        </w:r>
      </w:hyperlink>
    </w:p>
    <w:p w14:paraId="7357924C" w14:textId="1E2CBEE1"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3" w:history="1">
        <w:r w:rsidR="004145AA" w:rsidRPr="00117F0B">
          <w:rPr>
            <w:rStyle w:val="Hyperlink"/>
            <w:noProof/>
          </w:rPr>
          <w:t>1.2 Consultation</w:t>
        </w:r>
        <w:r w:rsidR="004145AA">
          <w:rPr>
            <w:noProof/>
            <w:webHidden/>
          </w:rPr>
          <w:tab/>
        </w:r>
        <w:r w:rsidR="004145AA">
          <w:rPr>
            <w:noProof/>
            <w:webHidden/>
          </w:rPr>
          <w:fldChar w:fldCharType="begin"/>
        </w:r>
        <w:r w:rsidR="004145AA">
          <w:rPr>
            <w:noProof/>
            <w:webHidden/>
          </w:rPr>
          <w:instrText xml:space="preserve"> PAGEREF _Toc51234123 \h </w:instrText>
        </w:r>
        <w:r w:rsidR="004145AA">
          <w:rPr>
            <w:noProof/>
            <w:webHidden/>
          </w:rPr>
        </w:r>
        <w:r w:rsidR="004145AA">
          <w:rPr>
            <w:noProof/>
            <w:webHidden/>
          </w:rPr>
          <w:fldChar w:fldCharType="separate"/>
        </w:r>
        <w:r w:rsidR="00117024">
          <w:rPr>
            <w:noProof/>
            <w:webHidden/>
          </w:rPr>
          <w:t>18</w:t>
        </w:r>
        <w:r w:rsidR="004145AA">
          <w:rPr>
            <w:noProof/>
            <w:webHidden/>
          </w:rPr>
          <w:fldChar w:fldCharType="end"/>
        </w:r>
      </w:hyperlink>
    </w:p>
    <w:p w14:paraId="01947263" w14:textId="5F37633B"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4" w:history="1">
        <w:r w:rsidR="004145AA" w:rsidRPr="00117F0B">
          <w:rPr>
            <w:rStyle w:val="Hyperlink"/>
            <w:noProof/>
          </w:rPr>
          <w:t>1.3 Analytical framework</w:t>
        </w:r>
        <w:r w:rsidR="004145AA">
          <w:rPr>
            <w:noProof/>
            <w:webHidden/>
          </w:rPr>
          <w:tab/>
        </w:r>
        <w:r w:rsidR="004145AA">
          <w:rPr>
            <w:noProof/>
            <w:webHidden/>
          </w:rPr>
          <w:fldChar w:fldCharType="begin"/>
        </w:r>
        <w:r w:rsidR="004145AA">
          <w:rPr>
            <w:noProof/>
            <w:webHidden/>
          </w:rPr>
          <w:instrText xml:space="preserve"> PAGEREF _Toc51234124 \h </w:instrText>
        </w:r>
        <w:r w:rsidR="004145AA">
          <w:rPr>
            <w:noProof/>
            <w:webHidden/>
          </w:rPr>
        </w:r>
        <w:r w:rsidR="004145AA">
          <w:rPr>
            <w:noProof/>
            <w:webHidden/>
          </w:rPr>
          <w:fldChar w:fldCharType="separate"/>
        </w:r>
        <w:r w:rsidR="00117024">
          <w:rPr>
            <w:noProof/>
            <w:webHidden/>
          </w:rPr>
          <w:t>19</w:t>
        </w:r>
        <w:r w:rsidR="004145AA">
          <w:rPr>
            <w:noProof/>
            <w:webHidden/>
          </w:rPr>
          <w:fldChar w:fldCharType="end"/>
        </w:r>
      </w:hyperlink>
    </w:p>
    <w:p w14:paraId="36F4EE59" w14:textId="4BD278B9" w:rsidR="004145AA" w:rsidRDefault="00205CE3">
      <w:pPr>
        <w:pStyle w:val="TOC1"/>
        <w:tabs>
          <w:tab w:val="left" w:pos="510"/>
          <w:tab w:val="right" w:leader="dot" w:pos="8488"/>
        </w:tabs>
        <w:rPr>
          <w:rFonts w:asciiTheme="minorHAnsi" w:eastAsiaTheme="minorEastAsia" w:hAnsiTheme="minorHAnsi"/>
          <w:b w:val="0"/>
          <w:bCs w:val="0"/>
          <w:noProof/>
          <w:color w:val="auto"/>
          <w:sz w:val="22"/>
          <w:szCs w:val="22"/>
          <w:lang w:eastAsia="en-AU"/>
        </w:rPr>
      </w:pPr>
      <w:hyperlink w:anchor="_Toc51234125" w:history="1">
        <w:r w:rsidR="004145AA" w:rsidRPr="00117F0B">
          <w:rPr>
            <w:rStyle w:val="Hyperlink"/>
            <w:noProof/>
          </w:rPr>
          <w:t>2</w:t>
        </w:r>
        <w:r w:rsidR="00516F81">
          <w:rPr>
            <w:rStyle w:val="Hyperlink"/>
            <w:noProof/>
          </w:rPr>
          <w:t xml:space="preserve"> </w:t>
        </w:r>
        <w:r w:rsidR="004145AA" w:rsidRPr="00117F0B">
          <w:rPr>
            <w:rStyle w:val="Hyperlink"/>
            <w:noProof/>
          </w:rPr>
          <w:t xml:space="preserve">Superannuation for other Australians </w:t>
        </w:r>
        <w:r w:rsidR="004145AA">
          <w:rPr>
            <w:noProof/>
            <w:webHidden/>
          </w:rPr>
          <w:tab/>
        </w:r>
        <w:r w:rsidR="004145AA">
          <w:rPr>
            <w:noProof/>
            <w:webHidden/>
          </w:rPr>
          <w:fldChar w:fldCharType="begin"/>
        </w:r>
        <w:r w:rsidR="004145AA">
          <w:rPr>
            <w:noProof/>
            <w:webHidden/>
          </w:rPr>
          <w:instrText xml:space="preserve"> PAGEREF _Toc51234125 \h </w:instrText>
        </w:r>
        <w:r w:rsidR="004145AA">
          <w:rPr>
            <w:noProof/>
            <w:webHidden/>
          </w:rPr>
        </w:r>
        <w:r w:rsidR="004145AA">
          <w:rPr>
            <w:noProof/>
            <w:webHidden/>
          </w:rPr>
          <w:fldChar w:fldCharType="separate"/>
        </w:r>
        <w:r w:rsidR="00117024">
          <w:rPr>
            <w:noProof/>
            <w:webHidden/>
          </w:rPr>
          <w:t>23</w:t>
        </w:r>
        <w:r w:rsidR="004145AA">
          <w:rPr>
            <w:noProof/>
            <w:webHidden/>
          </w:rPr>
          <w:fldChar w:fldCharType="end"/>
        </w:r>
      </w:hyperlink>
    </w:p>
    <w:p w14:paraId="6D689084" w14:textId="50A14DF0"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6" w:history="1">
        <w:r w:rsidR="004145AA" w:rsidRPr="00117F0B">
          <w:rPr>
            <w:rStyle w:val="Hyperlink"/>
            <w:noProof/>
          </w:rPr>
          <w:t xml:space="preserve">2.1 </w:t>
        </w:r>
        <w:r w:rsidR="00516F81">
          <w:rPr>
            <w:rStyle w:val="Hyperlink"/>
            <w:noProof/>
          </w:rPr>
          <w:t>Context</w:t>
        </w:r>
        <w:r w:rsidR="004145AA">
          <w:rPr>
            <w:noProof/>
            <w:webHidden/>
          </w:rPr>
          <w:tab/>
        </w:r>
        <w:r w:rsidR="004145AA">
          <w:rPr>
            <w:noProof/>
            <w:webHidden/>
          </w:rPr>
          <w:fldChar w:fldCharType="begin"/>
        </w:r>
        <w:r w:rsidR="004145AA">
          <w:rPr>
            <w:noProof/>
            <w:webHidden/>
          </w:rPr>
          <w:instrText xml:space="preserve"> PAGEREF _Toc51234126 \h </w:instrText>
        </w:r>
        <w:r w:rsidR="004145AA">
          <w:rPr>
            <w:noProof/>
            <w:webHidden/>
          </w:rPr>
        </w:r>
        <w:r w:rsidR="004145AA">
          <w:rPr>
            <w:noProof/>
            <w:webHidden/>
          </w:rPr>
          <w:fldChar w:fldCharType="separate"/>
        </w:r>
        <w:r w:rsidR="00117024">
          <w:rPr>
            <w:noProof/>
            <w:webHidden/>
          </w:rPr>
          <w:t>23</w:t>
        </w:r>
        <w:r w:rsidR="004145AA">
          <w:rPr>
            <w:noProof/>
            <w:webHidden/>
          </w:rPr>
          <w:fldChar w:fldCharType="end"/>
        </w:r>
      </w:hyperlink>
    </w:p>
    <w:p w14:paraId="5F7D087E" w14:textId="49F859C6"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7" w:history="1">
        <w:r w:rsidR="004145AA" w:rsidRPr="00117F0B">
          <w:rPr>
            <w:rStyle w:val="Hyperlink"/>
            <w:noProof/>
          </w:rPr>
          <w:t>2.2 Superannuation arrangements for other Australian MPs</w:t>
        </w:r>
        <w:r w:rsidR="004145AA">
          <w:rPr>
            <w:noProof/>
            <w:webHidden/>
          </w:rPr>
          <w:tab/>
        </w:r>
        <w:r w:rsidR="004145AA">
          <w:rPr>
            <w:noProof/>
            <w:webHidden/>
          </w:rPr>
          <w:fldChar w:fldCharType="begin"/>
        </w:r>
        <w:r w:rsidR="004145AA">
          <w:rPr>
            <w:noProof/>
            <w:webHidden/>
          </w:rPr>
          <w:instrText xml:space="preserve"> PAGEREF _Toc51234127 \h </w:instrText>
        </w:r>
        <w:r w:rsidR="004145AA">
          <w:rPr>
            <w:noProof/>
            <w:webHidden/>
          </w:rPr>
        </w:r>
        <w:r w:rsidR="004145AA">
          <w:rPr>
            <w:noProof/>
            <w:webHidden/>
          </w:rPr>
          <w:fldChar w:fldCharType="separate"/>
        </w:r>
        <w:r w:rsidR="00117024">
          <w:rPr>
            <w:noProof/>
            <w:webHidden/>
          </w:rPr>
          <w:t>26</w:t>
        </w:r>
        <w:r w:rsidR="004145AA">
          <w:rPr>
            <w:noProof/>
            <w:webHidden/>
          </w:rPr>
          <w:fldChar w:fldCharType="end"/>
        </w:r>
      </w:hyperlink>
    </w:p>
    <w:p w14:paraId="5ABBC361" w14:textId="20F8E79E"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8" w:history="1">
        <w:r w:rsidR="004145AA" w:rsidRPr="00117F0B">
          <w:rPr>
            <w:rStyle w:val="Hyperlink"/>
            <w:noProof/>
          </w:rPr>
          <w:t>2.3 Superannuation arrangements for other Victorian Government roles</w:t>
        </w:r>
        <w:r w:rsidR="004145AA">
          <w:rPr>
            <w:noProof/>
            <w:webHidden/>
          </w:rPr>
          <w:tab/>
        </w:r>
        <w:r w:rsidR="004145AA">
          <w:rPr>
            <w:noProof/>
            <w:webHidden/>
          </w:rPr>
          <w:fldChar w:fldCharType="begin"/>
        </w:r>
        <w:r w:rsidR="004145AA">
          <w:rPr>
            <w:noProof/>
            <w:webHidden/>
          </w:rPr>
          <w:instrText xml:space="preserve"> PAGEREF _Toc51234128 \h </w:instrText>
        </w:r>
        <w:r w:rsidR="004145AA">
          <w:rPr>
            <w:noProof/>
            <w:webHidden/>
          </w:rPr>
        </w:r>
        <w:r w:rsidR="004145AA">
          <w:rPr>
            <w:noProof/>
            <w:webHidden/>
          </w:rPr>
          <w:fldChar w:fldCharType="separate"/>
        </w:r>
        <w:r w:rsidR="00117024">
          <w:rPr>
            <w:noProof/>
            <w:webHidden/>
          </w:rPr>
          <w:t>32</w:t>
        </w:r>
        <w:r w:rsidR="004145AA">
          <w:rPr>
            <w:noProof/>
            <w:webHidden/>
          </w:rPr>
          <w:fldChar w:fldCharType="end"/>
        </w:r>
      </w:hyperlink>
    </w:p>
    <w:p w14:paraId="704358DF" w14:textId="5CF3DE2A"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29" w:history="1">
        <w:r w:rsidR="004145AA" w:rsidRPr="00117F0B">
          <w:rPr>
            <w:rStyle w:val="Hyperlink"/>
            <w:noProof/>
          </w:rPr>
          <w:t>2.4 Summary</w:t>
        </w:r>
        <w:r w:rsidR="004145AA">
          <w:rPr>
            <w:noProof/>
            <w:webHidden/>
          </w:rPr>
          <w:tab/>
        </w:r>
        <w:r w:rsidR="004145AA">
          <w:rPr>
            <w:noProof/>
            <w:webHidden/>
          </w:rPr>
          <w:fldChar w:fldCharType="begin"/>
        </w:r>
        <w:r w:rsidR="004145AA">
          <w:rPr>
            <w:noProof/>
            <w:webHidden/>
          </w:rPr>
          <w:instrText xml:space="preserve"> PAGEREF _Toc51234129 \h </w:instrText>
        </w:r>
        <w:r w:rsidR="004145AA">
          <w:rPr>
            <w:noProof/>
            <w:webHidden/>
          </w:rPr>
        </w:r>
        <w:r w:rsidR="004145AA">
          <w:rPr>
            <w:noProof/>
            <w:webHidden/>
          </w:rPr>
          <w:fldChar w:fldCharType="separate"/>
        </w:r>
        <w:r w:rsidR="00117024">
          <w:rPr>
            <w:noProof/>
            <w:webHidden/>
          </w:rPr>
          <w:t>33</w:t>
        </w:r>
        <w:r w:rsidR="004145AA">
          <w:rPr>
            <w:noProof/>
            <w:webHidden/>
          </w:rPr>
          <w:fldChar w:fldCharType="end"/>
        </w:r>
      </w:hyperlink>
    </w:p>
    <w:p w14:paraId="62B54DC8" w14:textId="75491D0E"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30" w:history="1">
        <w:r w:rsidR="004145AA" w:rsidRPr="00117F0B">
          <w:rPr>
            <w:rStyle w:val="Hyperlink"/>
            <w:noProof/>
          </w:rPr>
          <w:t xml:space="preserve">3 Overview of Victorian MP superannuation arrangements </w:t>
        </w:r>
        <w:r w:rsidR="004145AA">
          <w:rPr>
            <w:noProof/>
            <w:webHidden/>
          </w:rPr>
          <w:tab/>
        </w:r>
        <w:r w:rsidR="004145AA">
          <w:rPr>
            <w:noProof/>
            <w:webHidden/>
          </w:rPr>
          <w:fldChar w:fldCharType="begin"/>
        </w:r>
        <w:r w:rsidR="004145AA">
          <w:rPr>
            <w:noProof/>
            <w:webHidden/>
          </w:rPr>
          <w:instrText xml:space="preserve"> PAGEREF _Toc51234130 \h </w:instrText>
        </w:r>
        <w:r w:rsidR="004145AA">
          <w:rPr>
            <w:noProof/>
            <w:webHidden/>
          </w:rPr>
        </w:r>
        <w:r w:rsidR="004145AA">
          <w:rPr>
            <w:noProof/>
            <w:webHidden/>
          </w:rPr>
          <w:fldChar w:fldCharType="separate"/>
        </w:r>
        <w:r w:rsidR="00117024">
          <w:rPr>
            <w:noProof/>
            <w:webHidden/>
          </w:rPr>
          <w:t>35</w:t>
        </w:r>
        <w:r w:rsidR="004145AA">
          <w:rPr>
            <w:noProof/>
            <w:webHidden/>
          </w:rPr>
          <w:fldChar w:fldCharType="end"/>
        </w:r>
      </w:hyperlink>
    </w:p>
    <w:p w14:paraId="6075EBB6" w14:textId="60688AA5"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1" w:history="1">
        <w:r w:rsidR="004145AA" w:rsidRPr="00117F0B">
          <w:rPr>
            <w:rStyle w:val="Hyperlink"/>
            <w:noProof/>
          </w:rPr>
          <w:t>3.1 Key historical events</w:t>
        </w:r>
        <w:r w:rsidR="004145AA">
          <w:rPr>
            <w:noProof/>
            <w:webHidden/>
          </w:rPr>
          <w:tab/>
        </w:r>
        <w:r w:rsidR="004145AA">
          <w:rPr>
            <w:noProof/>
            <w:webHidden/>
          </w:rPr>
          <w:fldChar w:fldCharType="begin"/>
        </w:r>
        <w:r w:rsidR="004145AA">
          <w:rPr>
            <w:noProof/>
            <w:webHidden/>
          </w:rPr>
          <w:instrText xml:space="preserve"> PAGEREF _Toc51234131 \h </w:instrText>
        </w:r>
        <w:r w:rsidR="004145AA">
          <w:rPr>
            <w:noProof/>
            <w:webHidden/>
          </w:rPr>
        </w:r>
        <w:r w:rsidR="004145AA">
          <w:rPr>
            <w:noProof/>
            <w:webHidden/>
          </w:rPr>
          <w:fldChar w:fldCharType="separate"/>
        </w:r>
        <w:r w:rsidR="00117024">
          <w:rPr>
            <w:noProof/>
            <w:webHidden/>
          </w:rPr>
          <w:t>35</w:t>
        </w:r>
        <w:r w:rsidR="004145AA">
          <w:rPr>
            <w:noProof/>
            <w:webHidden/>
          </w:rPr>
          <w:fldChar w:fldCharType="end"/>
        </w:r>
      </w:hyperlink>
    </w:p>
    <w:p w14:paraId="26E0A133" w14:textId="665F345D"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2" w:history="1">
        <w:r w:rsidR="004145AA" w:rsidRPr="00117F0B">
          <w:rPr>
            <w:rStyle w:val="Hyperlink"/>
            <w:noProof/>
          </w:rPr>
          <w:t>3.2 Superannuation schemes for existing and former Victorian MPs</w:t>
        </w:r>
        <w:r w:rsidR="004145AA">
          <w:rPr>
            <w:noProof/>
            <w:webHidden/>
          </w:rPr>
          <w:tab/>
        </w:r>
        <w:r w:rsidR="004145AA">
          <w:rPr>
            <w:noProof/>
            <w:webHidden/>
          </w:rPr>
          <w:fldChar w:fldCharType="begin"/>
        </w:r>
        <w:r w:rsidR="004145AA">
          <w:rPr>
            <w:noProof/>
            <w:webHidden/>
          </w:rPr>
          <w:instrText xml:space="preserve"> PAGEREF _Toc51234132 \h </w:instrText>
        </w:r>
        <w:r w:rsidR="004145AA">
          <w:rPr>
            <w:noProof/>
            <w:webHidden/>
          </w:rPr>
        </w:r>
        <w:r w:rsidR="004145AA">
          <w:rPr>
            <w:noProof/>
            <w:webHidden/>
          </w:rPr>
          <w:fldChar w:fldCharType="separate"/>
        </w:r>
        <w:r w:rsidR="00117024">
          <w:rPr>
            <w:noProof/>
            <w:webHidden/>
          </w:rPr>
          <w:t>39</w:t>
        </w:r>
        <w:r w:rsidR="004145AA">
          <w:rPr>
            <w:noProof/>
            <w:webHidden/>
          </w:rPr>
          <w:fldChar w:fldCharType="end"/>
        </w:r>
      </w:hyperlink>
    </w:p>
    <w:p w14:paraId="1294F394" w14:textId="65C52EAE"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3" w:history="1">
        <w:r w:rsidR="004145AA" w:rsidRPr="00117F0B">
          <w:rPr>
            <w:rStyle w:val="Hyperlink"/>
            <w:noProof/>
          </w:rPr>
          <w:t>3.3 Summary</w:t>
        </w:r>
        <w:r w:rsidR="004145AA">
          <w:rPr>
            <w:noProof/>
            <w:webHidden/>
          </w:rPr>
          <w:tab/>
        </w:r>
        <w:r w:rsidR="004145AA">
          <w:rPr>
            <w:noProof/>
            <w:webHidden/>
          </w:rPr>
          <w:fldChar w:fldCharType="begin"/>
        </w:r>
        <w:r w:rsidR="004145AA">
          <w:rPr>
            <w:noProof/>
            <w:webHidden/>
          </w:rPr>
          <w:instrText xml:space="preserve"> PAGEREF _Toc51234133 \h </w:instrText>
        </w:r>
        <w:r w:rsidR="004145AA">
          <w:rPr>
            <w:noProof/>
            <w:webHidden/>
          </w:rPr>
        </w:r>
        <w:r w:rsidR="004145AA">
          <w:rPr>
            <w:noProof/>
            <w:webHidden/>
          </w:rPr>
          <w:fldChar w:fldCharType="separate"/>
        </w:r>
        <w:r w:rsidR="00117024">
          <w:rPr>
            <w:noProof/>
            <w:webHidden/>
          </w:rPr>
          <w:t>50</w:t>
        </w:r>
        <w:r w:rsidR="004145AA">
          <w:rPr>
            <w:noProof/>
            <w:webHidden/>
          </w:rPr>
          <w:fldChar w:fldCharType="end"/>
        </w:r>
      </w:hyperlink>
    </w:p>
    <w:p w14:paraId="77512444" w14:textId="0FBA1246"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34" w:history="1">
        <w:r w:rsidR="004145AA" w:rsidRPr="00117F0B">
          <w:rPr>
            <w:rStyle w:val="Hyperlink"/>
            <w:noProof/>
          </w:rPr>
          <w:t xml:space="preserve">4 Qualitative differences between the schemes </w:t>
        </w:r>
        <w:r w:rsidR="004145AA">
          <w:rPr>
            <w:noProof/>
            <w:webHidden/>
          </w:rPr>
          <w:tab/>
        </w:r>
        <w:r w:rsidR="004145AA">
          <w:rPr>
            <w:noProof/>
            <w:webHidden/>
          </w:rPr>
          <w:fldChar w:fldCharType="begin"/>
        </w:r>
        <w:r w:rsidR="004145AA">
          <w:rPr>
            <w:noProof/>
            <w:webHidden/>
          </w:rPr>
          <w:instrText xml:space="preserve"> PAGEREF _Toc51234134 \h </w:instrText>
        </w:r>
        <w:r w:rsidR="004145AA">
          <w:rPr>
            <w:noProof/>
            <w:webHidden/>
          </w:rPr>
        </w:r>
        <w:r w:rsidR="004145AA">
          <w:rPr>
            <w:noProof/>
            <w:webHidden/>
          </w:rPr>
          <w:fldChar w:fldCharType="separate"/>
        </w:r>
        <w:r w:rsidR="00117024">
          <w:rPr>
            <w:noProof/>
            <w:webHidden/>
          </w:rPr>
          <w:t>51</w:t>
        </w:r>
        <w:r w:rsidR="004145AA">
          <w:rPr>
            <w:noProof/>
            <w:webHidden/>
          </w:rPr>
          <w:fldChar w:fldCharType="end"/>
        </w:r>
      </w:hyperlink>
    </w:p>
    <w:p w14:paraId="7EE94B0C" w14:textId="09213356"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5" w:history="1">
        <w:r w:rsidR="004145AA" w:rsidRPr="00117F0B">
          <w:rPr>
            <w:rStyle w:val="Hyperlink"/>
            <w:noProof/>
          </w:rPr>
          <w:t>4.1 When superannuation benefits can be accessed</w:t>
        </w:r>
        <w:r w:rsidR="004145AA">
          <w:rPr>
            <w:noProof/>
            <w:webHidden/>
          </w:rPr>
          <w:tab/>
        </w:r>
        <w:r w:rsidR="004145AA">
          <w:rPr>
            <w:noProof/>
            <w:webHidden/>
          </w:rPr>
          <w:fldChar w:fldCharType="begin"/>
        </w:r>
        <w:r w:rsidR="004145AA">
          <w:rPr>
            <w:noProof/>
            <w:webHidden/>
          </w:rPr>
          <w:instrText xml:space="preserve"> PAGEREF _Toc51234135 \h </w:instrText>
        </w:r>
        <w:r w:rsidR="004145AA">
          <w:rPr>
            <w:noProof/>
            <w:webHidden/>
          </w:rPr>
        </w:r>
        <w:r w:rsidR="004145AA">
          <w:rPr>
            <w:noProof/>
            <w:webHidden/>
          </w:rPr>
          <w:fldChar w:fldCharType="separate"/>
        </w:r>
        <w:r w:rsidR="00117024">
          <w:rPr>
            <w:noProof/>
            <w:webHidden/>
          </w:rPr>
          <w:t>51</w:t>
        </w:r>
        <w:r w:rsidR="004145AA">
          <w:rPr>
            <w:noProof/>
            <w:webHidden/>
          </w:rPr>
          <w:fldChar w:fldCharType="end"/>
        </w:r>
      </w:hyperlink>
    </w:p>
    <w:p w14:paraId="56F0FF6C" w14:textId="7CFF5007"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6" w:history="1">
        <w:r w:rsidR="004145AA" w:rsidRPr="00117F0B">
          <w:rPr>
            <w:rStyle w:val="Hyperlink"/>
            <w:noProof/>
          </w:rPr>
          <w:t>4.2 Sources of uncertainty and risk</w:t>
        </w:r>
        <w:r w:rsidR="004145AA">
          <w:rPr>
            <w:noProof/>
            <w:webHidden/>
          </w:rPr>
          <w:tab/>
        </w:r>
        <w:r w:rsidR="004145AA">
          <w:rPr>
            <w:noProof/>
            <w:webHidden/>
          </w:rPr>
          <w:fldChar w:fldCharType="begin"/>
        </w:r>
        <w:r w:rsidR="004145AA">
          <w:rPr>
            <w:noProof/>
            <w:webHidden/>
          </w:rPr>
          <w:instrText xml:space="preserve"> PAGEREF _Toc51234136 \h </w:instrText>
        </w:r>
        <w:r w:rsidR="004145AA">
          <w:rPr>
            <w:noProof/>
            <w:webHidden/>
          </w:rPr>
        </w:r>
        <w:r w:rsidR="004145AA">
          <w:rPr>
            <w:noProof/>
            <w:webHidden/>
          </w:rPr>
          <w:fldChar w:fldCharType="separate"/>
        </w:r>
        <w:r w:rsidR="00117024">
          <w:rPr>
            <w:noProof/>
            <w:webHidden/>
          </w:rPr>
          <w:t>52</w:t>
        </w:r>
        <w:r w:rsidR="004145AA">
          <w:rPr>
            <w:noProof/>
            <w:webHidden/>
          </w:rPr>
          <w:fldChar w:fldCharType="end"/>
        </w:r>
      </w:hyperlink>
    </w:p>
    <w:p w14:paraId="7683BA02" w14:textId="54ABFE80"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7" w:history="1">
        <w:r w:rsidR="004145AA" w:rsidRPr="00117F0B">
          <w:rPr>
            <w:rStyle w:val="Hyperlink"/>
            <w:noProof/>
          </w:rPr>
          <w:t>4.3 Flexibility</w:t>
        </w:r>
        <w:r w:rsidR="004145AA">
          <w:rPr>
            <w:noProof/>
            <w:webHidden/>
          </w:rPr>
          <w:tab/>
        </w:r>
        <w:r w:rsidR="004145AA">
          <w:rPr>
            <w:noProof/>
            <w:webHidden/>
          </w:rPr>
          <w:fldChar w:fldCharType="begin"/>
        </w:r>
        <w:r w:rsidR="004145AA">
          <w:rPr>
            <w:noProof/>
            <w:webHidden/>
          </w:rPr>
          <w:instrText xml:space="preserve"> PAGEREF _Toc51234137 \h </w:instrText>
        </w:r>
        <w:r w:rsidR="004145AA">
          <w:rPr>
            <w:noProof/>
            <w:webHidden/>
          </w:rPr>
        </w:r>
        <w:r w:rsidR="004145AA">
          <w:rPr>
            <w:noProof/>
            <w:webHidden/>
          </w:rPr>
          <w:fldChar w:fldCharType="separate"/>
        </w:r>
        <w:r w:rsidR="00117024">
          <w:rPr>
            <w:noProof/>
            <w:webHidden/>
          </w:rPr>
          <w:t>53</w:t>
        </w:r>
        <w:r w:rsidR="004145AA">
          <w:rPr>
            <w:noProof/>
            <w:webHidden/>
          </w:rPr>
          <w:fldChar w:fldCharType="end"/>
        </w:r>
      </w:hyperlink>
    </w:p>
    <w:p w14:paraId="3683CE85" w14:textId="2DD398E9"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38" w:history="1">
        <w:r w:rsidR="004145AA" w:rsidRPr="00117F0B">
          <w:rPr>
            <w:rStyle w:val="Hyperlink"/>
            <w:noProof/>
          </w:rPr>
          <w:t>4.4 Summary</w:t>
        </w:r>
        <w:r w:rsidR="004145AA">
          <w:rPr>
            <w:noProof/>
            <w:webHidden/>
          </w:rPr>
          <w:tab/>
        </w:r>
        <w:r w:rsidR="004145AA">
          <w:rPr>
            <w:noProof/>
            <w:webHidden/>
          </w:rPr>
          <w:fldChar w:fldCharType="begin"/>
        </w:r>
        <w:r w:rsidR="004145AA">
          <w:rPr>
            <w:noProof/>
            <w:webHidden/>
          </w:rPr>
          <w:instrText xml:space="preserve"> PAGEREF _Toc51234138 \h </w:instrText>
        </w:r>
        <w:r w:rsidR="004145AA">
          <w:rPr>
            <w:noProof/>
            <w:webHidden/>
          </w:rPr>
        </w:r>
        <w:r w:rsidR="004145AA">
          <w:rPr>
            <w:noProof/>
            <w:webHidden/>
          </w:rPr>
          <w:fldChar w:fldCharType="separate"/>
        </w:r>
        <w:r w:rsidR="00117024">
          <w:rPr>
            <w:noProof/>
            <w:webHidden/>
          </w:rPr>
          <w:t>56</w:t>
        </w:r>
        <w:r w:rsidR="004145AA">
          <w:rPr>
            <w:noProof/>
            <w:webHidden/>
          </w:rPr>
          <w:fldChar w:fldCharType="end"/>
        </w:r>
      </w:hyperlink>
    </w:p>
    <w:p w14:paraId="7164C6E7" w14:textId="77777777" w:rsidR="00135A55" w:rsidRDefault="00135A55">
      <w:pPr>
        <w:pStyle w:val="TOC1"/>
        <w:tabs>
          <w:tab w:val="right" w:leader="dot" w:pos="8488"/>
        </w:tabs>
      </w:pPr>
      <w:r>
        <w:br w:type="page"/>
      </w:r>
    </w:p>
    <w:p w14:paraId="79969E74" w14:textId="290C3F56"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39" w:history="1">
        <w:r w:rsidR="004145AA" w:rsidRPr="00117F0B">
          <w:rPr>
            <w:rStyle w:val="Hyperlink"/>
            <w:noProof/>
          </w:rPr>
          <w:t xml:space="preserve">5 Quantitative comparison of the schemes </w:t>
        </w:r>
        <w:r w:rsidR="004145AA">
          <w:rPr>
            <w:noProof/>
            <w:webHidden/>
          </w:rPr>
          <w:tab/>
        </w:r>
        <w:r w:rsidR="004145AA">
          <w:rPr>
            <w:noProof/>
            <w:webHidden/>
          </w:rPr>
          <w:fldChar w:fldCharType="begin"/>
        </w:r>
        <w:r w:rsidR="004145AA">
          <w:rPr>
            <w:noProof/>
            <w:webHidden/>
          </w:rPr>
          <w:instrText xml:space="preserve"> PAGEREF _Toc51234139 \h </w:instrText>
        </w:r>
        <w:r w:rsidR="004145AA">
          <w:rPr>
            <w:noProof/>
            <w:webHidden/>
          </w:rPr>
        </w:r>
        <w:r w:rsidR="004145AA">
          <w:rPr>
            <w:noProof/>
            <w:webHidden/>
          </w:rPr>
          <w:fldChar w:fldCharType="separate"/>
        </w:r>
        <w:r w:rsidR="00117024">
          <w:rPr>
            <w:noProof/>
            <w:webHidden/>
          </w:rPr>
          <w:t>57</w:t>
        </w:r>
        <w:r w:rsidR="004145AA">
          <w:rPr>
            <w:noProof/>
            <w:webHidden/>
          </w:rPr>
          <w:fldChar w:fldCharType="end"/>
        </w:r>
      </w:hyperlink>
    </w:p>
    <w:p w14:paraId="2249B5B0" w14:textId="0BDFF412"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0" w:history="1">
        <w:r w:rsidR="004145AA" w:rsidRPr="00117F0B">
          <w:rPr>
            <w:rStyle w:val="Hyperlink"/>
            <w:noProof/>
          </w:rPr>
          <w:t>5.1 Actuarial modelling approach</w:t>
        </w:r>
        <w:r w:rsidR="004145AA">
          <w:rPr>
            <w:noProof/>
            <w:webHidden/>
          </w:rPr>
          <w:tab/>
        </w:r>
        <w:r w:rsidR="004145AA">
          <w:rPr>
            <w:noProof/>
            <w:webHidden/>
          </w:rPr>
          <w:fldChar w:fldCharType="begin"/>
        </w:r>
        <w:r w:rsidR="004145AA">
          <w:rPr>
            <w:noProof/>
            <w:webHidden/>
          </w:rPr>
          <w:instrText xml:space="preserve"> PAGEREF _Toc51234140 \h </w:instrText>
        </w:r>
        <w:r w:rsidR="004145AA">
          <w:rPr>
            <w:noProof/>
            <w:webHidden/>
          </w:rPr>
        </w:r>
        <w:r w:rsidR="004145AA">
          <w:rPr>
            <w:noProof/>
            <w:webHidden/>
          </w:rPr>
          <w:fldChar w:fldCharType="separate"/>
        </w:r>
        <w:r w:rsidR="00117024">
          <w:rPr>
            <w:noProof/>
            <w:webHidden/>
          </w:rPr>
          <w:t>57</w:t>
        </w:r>
        <w:r w:rsidR="004145AA">
          <w:rPr>
            <w:noProof/>
            <w:webHidden/>
          </w:rPr>
          <w:fldChar w:fldCharType="end"/>
        </w:r>
      </w:hyperlink>
    </w:p>
    <w:p w14:paraId="00CBE9FF" w14:textId="70819914"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1" w:history="1">
        <w:r w:rsidR="004145AA" w:rsidRPr="00117F0B">
          <w:rPr>
            <w:rStyle w:val="Hyperlink"/>
            <w:noProof/>
          </w:rPr>
          <w:t>5.2 Outcomes of modelling</w:t>
        </w:r>
        <w:r w:rsidR="004145AA">
          <w:rPr>
            <w:noProof/>
            <w:webHidden/>
          </w:rPr>
          <w:tab/>
        </w:r>
        <w:r w:rsidR="004145AA">
          <w:rPr>
            <w:noProof/>
            <w:webHidden/>
          </w:rPr>
          <w:fldChar w:fldCharType="begin"/>
        </w:r>
        <w:r w:rsidR="004145AA">
          <w:rPr>
            <w:noProof/>
            <w:webHidden/>
          </w:rPr>
          <w:instrText xml:space="preserve"> PAGEREF _Toc51234141 \h </w:instrText>
        </w:r>
        <w:r w:rsidR="004145AA">
          <w:rPr>
            <w:noProof/>
            <w:webHidden/>
          </w:rPr>
        </w:r>
        <w:r w:rsidR="004145AA">
          <w:rPr>
            <w:noProof/>
            <w:webHidden/>
          </w:rPr>
          <w:fldChar w:fldCharType="separate"/>
        </w:r>
        <w:r w:rsidR="00117024">
          <w:rPr>
            <w:noProof/>
            <w:webHidden/>
          </w:rPr>
          <w:t>61</w:t>
        </w:r>
        <w:r w:rsidR="004145AA">
          <w:rPr>
            <w:noProof/>
            <w:webHidden/>
          </w:rPr>
          <w:fldChar w:fldCharType="end"/>
        </w:r>
      </w:hyperlink>
    </w:p>
    <w:p w14:paraId="29DC92EF" w14:textId="76B01D1B"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2" w:history="1">
        <w:r w:rsidR="004145AA" w:rsidRPr="00117F0B">
          <w:rPr>
            <w:rStyle w:val="Hyperlink"/>
            <w:noProof/>
          </w:rPr>
          <w:t>5.3 Effect of particular variables on benefits</w:t>
        </w:r>
        <w:r w:rsidR="004145AA">
          <w:rPr>
            <w:noProof/>
            <w:webHidden/>
          </w:rPr>
          <w:tab/>
        </w:r>
        <w:r w:rsidR="004145AA">
          <w:rPr>
            <w:noProof/>
            <w:webHidden/>
          </w:rPr>
          <w:fldChar w:fldCharType="begin"/>
        </w:r>
        <w:r w:rsidR="004145AA">
          <w:rPr>
            <w:noProof/>
            <w:webHidden/>
          </w:rPr>
          <w:instrText xml:space="preserve"> PAGEREF _Toc51234142 \h </w:instrText>
        </w:r>
        <w:r w:rsidR="004145AA">
          <w:rPr>
            <w:noProof/>
            <w:webHidden/>
          </w:rPr>
        </w:r>
        <w:r w:rsidR="004145AA">
          <w:rPr>
            <w:noProof/>
            <w:webHidden/>
          </w:rPr>
          <w:fldChar w:fldCharType="separate"/>
        </w:r>
        <w:r w:rsidR="00117024">
          <w:rPr>
            <w:noProof/>
            <w:webHidden/>
          </w:rPr>
          <w:t>66</w:t>
        </w:r>
        <w:r w:rsidR="004145AA">
          <w:rPr>
            <w:noProof/>
            <w:webHidden/>
          </w:rPr>
          <w:fldChar w:fldCharType="end"/>
        </w:r>
      </w:hyperlink>
    </w:p>
    <w:p w14:paraId="0DFDB69E" w14:textId="4D49AD5B"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3" w:history="1">
        <w:r w:rsidR="004145AA" w:rsidRPr="00117F0B">
          <w:rPr>
            <w:rStyle w:val="Hyperlink"/>
            <w:noProof/>
          </w:rPr>
          <w:t>5.4 Summary</w:t>
        </w:r>
        <w:r w:rsidR="004145AA">
          <w:rPr>
            <w:noProof/>
            <w:webHidden/>
          </w:rPr>
          <w:tab/>
        </w:r>
        <w:r w:rsidR="004145AA">
          <w:rPr>
            <w:noProof/>
            <w:webHidden/>
          </w:rPr>
          <w:fldChar w:fldCharType="begin"/>
        </w:r>
        <w:r w:rsidR="004145AA">
          <w:rPr>
            <w:noProof/>
            <w:webHidden/>
          </w:rPr>
          <w:instrText xml:space="preserve"> PAGEREF _Toc51234143 \h </w:instrText>
        </w:r>
        <w:r w:rsidR="004145AA">
          <w:rPr>
            <w:noProof/>
            <w:webHidden/>
          </w:rPr>
        </w:r>
        <w:r w:rsidR="004145AA">
          <w:rPr>
            <w:noProof/>
            <w:webHidden/>
          </w:rPr>
          <w:fldChar w:fldCharType="separate"/>
        </w:r>
        <w:r w:rsidR="00117024">
          <w:rPr>
            <w:noProof/>
            <w:webHidden/>
          </w:rPr>
          <w:t>69</w:t>
        </w:r>
        <w:r w:rsidR="004145AA">
          <w:rPr>
            <w:noProof/>
            <w:webHidden/>
          </w:rPr>
          <w:fldChar w:fldCharType="end"/>
        </w:r>
      </w:hyperlink>
    </w:p>
    <w:p w14:paraId="59537791" w14:textId="0971C29A"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44" w:history="1">
        <w:r w:rsidR="004145AA" w:rsidRPr="00117F0B">
          <w:rPr>
            <w:rStyle w:val="Hyperlink"/>
            <w:noProof/>
          </w:rPr>
          <w:t xml:space="preserve">6 Assessment of potential inequalities </w:t>
        </w:r>
        <w:r w:rsidR="004145AA">
          <w:rPr>
            <w:noProof/>
            <w:webHidden/>
          </w:rPr>
          <w:tab/>
        </w:r>
        <w:r w:rsidR="004145AA">
          <w:rPr>
            <w:noProof/>
            <w:webHidden/>
          </w:rPr>
          <w:fldChar w:fldCharType="begin"/>
        </w:r>
        <w:r w:rsidR="004145AA">
          <w:rPr>
            <w:noProof/>
            <w:webHidden/>
          </w:rPr>
          <w:instrText xml:space="preserve"> PAGEREF _Toc51234144 \h </w:instrText>
        </w:r>
        <w:r w:rsidR="004145AA">
          <w:rPr>
            <w:noProof/>
            <w:webHidden/>
          </w:rPr>
        </w:r>
        <w:r w:rsidR="004145AA">
          <w:rPr>
            <w:noProof/>
            <w:webHidden/>
          </w:rPr>
          <w:fldChar w:fldCharType="separate"/>
        </w:r>
        <w:r w:rsidR="00117024">
          <w:rPr>
            <w:noProof/>
            <w:webHidden/>
          </w:rPr>
          <w:t>71</w:t>
        </w:r>
        <w:r w:rsidR="004145AA">
          <w:rPr>
            <w:noProof/>
            <w:webHidden/>
          </w:rPr>
          <w:fldChar w:fldCharType="end"/>
        </w:r>
      </w:hyperlink>
    </w:p>
    <w:p w14:paraId="721EE5A7" w14:textId="692F150E"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5" w:history="1">
        <w:r w:rsidR="004145AA" w:rsidRPr="00117F0B">
          <w:rPr>
            <w:rStyle w:val="Hyperlink"/>
            <w:noProof/>
          </w:rPr>
          <w:t>6.1 Options for addressing inequalities</w:t>
        </w:r>
        <w:r w:rsidR="004145AA">
          <w:rPr>
            <w:noProof/>
            <w:webHidden/>
          </w:rPr>
          <w:tab/>
        </w:r>
        <w:r w:rsidR="004145AA">
          <w:rPr>
            <w:noProof/>
            <w:webHidden/>
          </w:rPr>
          <w:fldChar w:fldCharType="begin"/>
        </w:r>
        <w:r w:rsidR="004145AA">
          <w:rPr>
            <w:noProof/>
            <w:webHidden/>
          </w:rPr>
          <w:instrText xml:space="preserve"> PAGEREF _Toc51234145 \h </w:instrText>
        </w:r>
        <w:r w:rsidR="004145AA">
          <w:rPr>
            <w:noProof/>
            <w:webHidden/>
          </w:rPr>
        </w:r>
        <w:r w:rsidR="004145AA">
          <w:rPr>
            <w:noProof/>
            <w:webHidden/>
          </w:rPr>
          <w:fldChar w:fldCharType="separate"/>
        </w:r>
        <w:r w:rsidR="00117024">
          <w:rPr>
            <w:noProof/>
            <w:webHidden/>
          </w:rPr>
          <w:t>71</w:t>
        </w:r>
        <w:r w:rsidR="004145AA">
          <w:rPr>
            <w:noProof/>
            <w:webHidden/>
          </w:rPr>
          <w:fldChar w:fldCharType="end"/>
        </w:r>
      </w:hyperlink>
    </w:p>
    <w:p w14:paraId="265D3673" w14:textId="2C44AE49"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6" w:history="1">
        <w:r w:rsidR="004145AA" w:rsidRPr="00117F0B">
          <w:rPr>
            <w:rStyle w:val="Hyperlink"/>
            <w:noProof/>
          </w:rPr>
          <w:t>6.2 The Tribunal’s considerations</w:t>
        </w:r>
        <w:r w:rsidR="004145AA">
          <w:rPr>
            <w:noProof/>
            <w:webHidden/>
          </w:rPr>
          <w:tab/>
        </w:r>
        <w:r w:rsidR="004145AA">
          <w:rPr>
            <w:noProof/>
            <w:webHidden/>
          </w:rPr>
          <w:fldChar w:fldCharType="begin"/>
        </w:r>
        <w:r w:rsidR="004145AA">
          <w:rPr>
            <w:noProof/>
            <w:webHidden/>
          </w:rPr>
          <w:instrText xml:space="preserve"> PAGEREF _Toc51234146 \h </w:instrText>
        </w:r>
        <w:r w:rsidR="004145AA">
          <w:rPr>
            <w:noProof/>
            <w:webHidden/>
          </w:rPr>
        </w:r>
        <w:r w:rsidR="004145AA">
          <w:rPr>
            <w:noProof/>
            <w:webHidden/>
          </w:rPr>
          <w:fldChar w:fldCharType="separate"/>
        </w:r>
        <w:r w:rsidR="00117024">
          <w:rPr>
            <w:noProof/>
            <w:webHidden/>
          </w:rPr>
          <w:t>72</w:t>
        </w:r>
        <w:r w:rsidR="004145AA">
          <w:rPr>
            <w:noProof/>
            <w:webHidden/>
          </w:rPr>
          <w:fldChar w:fldCharType="end"/>
        </w:r>
      </w:hyperlink>
    </w:p>
    <w:p w14:paraId="60FE9A24" w14:textId="42DE5DF0"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7" w:history="1">
        <w:r w:rsidR="004145AA" w:rsidRPr="00117F0B">
          <w:rPr>
            <w:rStyle w:val="Hyperlink"/>
            <w:noProof/>
          </w:rPr>
          <w:t>6.3 Conclusion and recommendations</w:t>
        </w:r>
        <w:r w:rsidR="004145AA">
          <w:rPr>
            <w:noProof/>
            <w:webHidden/>
          </w:rPr>
          <w:tab/>
        </w:r>
        <w:r w:rsidR="004145AA">
          <w:rPr>
            <w:noProof/>
            <w:webHidden/>
          </w:rPr>
          <w:fldChar w:fldCharType="begin"/>
        </w:r>
        <w:r w:rsidR="004145AA">
          <w:rPr>
            <w:noProof/>
            <w:webHidden/>
          </w:rPr>
          <w:instrText xml:space="preserve"> PAGEREF _Toc51234147 \h </w:instrText>
        </w:r>
        <w:r w:rsidR="004145AA">
          <w:rPr>
            <w:noProof/>
            <w:webHidden/>
          </w:rPr>
        </w:r>
        <w:r w:rsidR="004145AA">
          <w:rPr>
            <w:noProof/>
            <w:webHidden/>
          </w:rPr>
          <w:fldChar w:fldCharType="separate"/>
        </w:r>
        <w:r w:rsidR="00117024">
          <w:rPr>
            <w:noProof/>
            <w:webHidden/>
          </w:rPr>
          <w:t>79</w:t>
        </w:r>
        <w:r w:rsidR="004145AA">
          <w:rPr>
            <w:noProof/>
            <w:webHidden/>
          </w:rPr>
          <w:fldChar w:fldCharType="end"/>
        </w:r>
      </w:hyperlink>
    </w:p>
    <w:p w14:paraId="226C320B" w14:textId="4B1538F0"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48" w:history="1">
        <w:r w:rsidR="004145AA" w:rsidRPr="00117F0B">
          <w:rPr>
            <w:rStyle w:val="Hyperlink"/>
            <w:noProof/>
          </w:rPr>
          <w:t xml:space="preserve">7 Potential irregularities </w:t>
        </w:r>
        <w:r w:rsidR="004145AA">
          <w:rPr>
            <w:noProof/>
            <w:webHidden/>
          </w:rPr>
          <w:tab/>
        </w:r>
        <w:r w:rsidR="004145AA">
          <w:rPr>
            <w:noProof/>
            <w:webHidden/>
          </w:rPr>
          <w:fldChar w:fldCharType="begin"/>
        </w:r>
        <w:r w:rsidR="004145AA">
          <w:rPr>
            <w:noProof/>
            <w:webHidden/>
          </w:rPr>
          <w:instrText xml:space="preserve"> PAGEREF _Toc51234148 \h </w:instrText>
        </w:r>
        <w:r w:rsidR="004145AA">
          <w:rPr>
            <w:noProof/>
            <w:webHidden/>
          </w:rPr>
        </w:r>
        <w:r w:rsidR="004145AA">
          <w:rPr>
            <w:noProof/>
            <w:webHidden/>
          </w:rPr>
          <w:fldChar w:fldCharType="separate"/>
        </w:r>
        <w:r w:rsidR="00117024">
          <w:rPr>
            <w:noProof/>
            <w:webHidden/>
          </w:rPr>
          <w:t>81</w:t>
        </w:r>
        <w:r w:rsidR="004145AA">
          <w:rPr>
            <w:noProof/>
            <w:webHidden/>
          </w:rPr>
          <w:fldChar w:fldCharType="end"/>
        </w:r>
      </w:hyperlink>
    </w:p>
    <w:p w14:paraId="2BC8971B" w14:textId="1ED11A3D"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49" w:history="1">
        <w:r w:rsidR="004145AA" w:rsidRPr="00117F0B">
          <w:rPr>
            <w:rStyle w:val="Hyperlink"/>
            <w:noProof/>
          </w:rPr>
          <w:t>7.1 Potential irregularities related to the BSP</w:t>
        </w:r>
        <w:r w:rsidR="004145AA">
          <w:rPr>
            <w:noProof/>
            <w:webHidden/>
          </w:rPr>
          <w:tab/>
        </w:r>
        <w:r w:rsidR="004145AA">
          <w:rPr>
            <w:noProof/>
            <w:webHidden/>
          </w:rPr>
          <w:fldChar w:fldCharType="begin"/>
        </w:r>
        <w:r w:rsidR="004145AA">
          <w:rPr>
            <w:noProof/>
            <w:webHidden/>
          </w:rPr>
          <w:instrText xml:space="preserve"> PAGEREF _Toc51234149 \h </w:instrText>
        </w:r>
        <w:r w:rsidR="004145AA">
          <w:rPr>
            <w:noProof/>
            <w:webHidden/>
          </w:rPr>
        </w:r>
        <w:r w:rsidR="004145AA">
          <w:rPr>
            <w:noProof/>
            <w:webHidden/>
          </w:rPr>
          <w:fldChar w:fldCharType="separate"/>
        </w:r>
        <w:r w:rsidR="00117024">
          <w:rPr>
            <w:noProof/>
            <w:webHidden/>
          </w:rPr>
          <w:t>81</w:t>
        </w:r>
        <w:r w:rsidR="004145AA">
          <w:rPr>
            <w:noProof/>
            <w:webHidden/>
          </w:rPr>
          <w:fldChar w:fldCharType="end"/>
        </w:r>
      </w:hyperlink>
    </w:p>
    <w:p w14:paraId="4959A8BF" w14:textId="28FEBCA5"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50" w:history="1">
        <w:r w:rsidR="004145AA" w:rsidRPr="00117F0B">
          <w:rPr>
            <w:rStyle w:val="Hyperlink"/>
            <w:noProof/>
          </w:rPr>
          <w:t>7.2 Potential irregularities related to Commonwealth legislation</w:t>
        </w:r>
        <w:r w:rsidR="004145AA">
          <w:rPr>
            <w:noProof/>
            <w:webHidden/>
          </w:rPr>
          <w:tab/>
        </w:r>
        <w:r w:rsidR="004145AA">
          <w:rPr>
            <w:noProof/>
            <w:webHidden/>
          </w:rPr>
          <w:fldChar w:fldCharType="begin"/>
        </w:r>
        <w:r w:rsidR="004145AA">
          <w:rPr>
            <w:noProof/>
            <w:webHidden/>
          </w:rPr>
          <w:instrText xml:space="preserve"> PAGEREF _Toc51234150 \h </w:instrText>
        </w:r>
        <w:r w:rsidR="004145AA">
          <w:rPr>
            <w:noProof/>
            <w:webHidden/>
          </w:rPr>
        </w:r>
        <w:r w:rsidR="004145AA">
          <w:rPr>
            <w:noProof/>
            <w:webHidden/>
          </w:rPr>
          <w:fldChar w:fldCharType="separate"/>
        </w:r>
        <w:r w:rsidR="00117024">
          <w:rPr>
            <w:noProof/>
            <w:webHidden/>
          </w:rPr>
          <w:t>83</w:t>
        </w:r>
        <w:r w:rsidR="004145AA">
          <w:rPr>
            <w:noProof/>
            <w:webHidden/>
          </w:rPr>
          <w:fldChar w:fldCharType="end"/>
        </w:r>
      </w:hyperlink>
    </w:p>
    <w:p w14:paraId="0FAB7B3C" w14:textId="10488F24" w:rsidR="004145AA" w:rsidRDefault="00205CE3">
      <w:pPr>
        <w:pStyle w:val="TOC2"/>
        <w:tabs>
          <w:tab w:val="right" w:leader="dot" w:pos="8488"/>
        </w:tabs>
        <w:rPr>
          <w:rFonts w:asciiTheme="minorHAnsi" w:eastAsiaTheme="minorEastAsia" w:hAnsiTheme="minorHAnsi"/>
          <w:iCs w:val="0"/>
          <w:noProof/>
          <w:color w:val="auto"/>
          <w:sz w:val="22"/>
          <w:szCs w:val="22"/>
          <w:lang w:eastAsia="en-AU"/>
        </w:rPr>
      </w:pPr>
      <w:hyperlink w:anchor="_Toc51234151" w:history="1">
        <w:r w:rsidR="004145AA" w:rsidRPr="00117F0B">
          <w:rPr>
            <w:rStyle w:val="Hyperlink"/>
            <w:noProof/>
          </w:rPr>
          <w:t>7.3 Conclusion and recommendations</w:t>
        </w:r>
        <w:r w:rsidR="004145AA">
          <w:rPr>
            <w:noProof/>
            <w:webHidden/>
          </w:rPr>
          <w:tab/>
        </w:r>
        <w:r w:rsidR="004145AA">
          <w:rPr>
            <w:noProof/>
            <w:webHidden/>
          </w:rPr>
          <w:fldChar w:fldCharType="begin"/>
        </w:r>
        <w:r w:rsidR="004145AA">
          <w:rPr>
            <w:noProof/>
            <w:webHidden/>
          </w:rPr>
          <w:instrText xml:space="preserve"> PAGEREF _Toc51234151 \h </w:instrText>
        </w:r>
        <w:r w:rsidR="004145AA">
          <w:rPr>
            <w:noProof/>
            <w:webHidden/>
          </w:rPr>
        </w:r>
        <w:r w:rsidR="004145AA">
          <w:rPr>
            <w:noProof/>
            <w:webHidden/>
          </w:rPr>
          <w:fldChar w:fldCharType="separate"/>
        </w:r>
        <w:r w:rsidR="00117024">
          <w:rPr>
            <w:noProof/>
            <w:webHidden/>
          </w:rPr>
          <w:t>86</w:t>
        </w:r>
        <w:r w:rsidR="004145AA">
          <w:rPr>
            <w:noProof/>
            <w:webHidden/>
          </w:rPr>
          <w:fldChar w:fldCharType="end"/>
        </w:r>
      </w:hyperlink>
    </w:p>
    <w:p w14:paraId="40A36A17" w14:textId="2EA477AB"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52" w:history="1">
        <w:r w:rsidR="004145AA" w:rsidRPr="00117F0B">
          <w:rPr>
            <w:rStyle w:val="Hyperlink"/>
            <w:noProof/>
          </w:rPr>
          <w:t>Appendix A – Historical context</w:t>
        </w:r>
        <w:r w:rsidR="004145AA">
          <w:rPr>
            <w:noProof/>
            <w:webHidden/>
          </w:rPr>
          <w:tab/>
        </w:r>
        <w:r w:rsidR="004145AA">
          <w:rPr>
            <w:noProof/>
            <w:webHidden/>
          </w:rPr>
          <w:fldChar w:fldCharType="begin"/>
        </w:r>
        <w:r w:rsidR="004145AA">
          <w:rPr>
            <w:noProof/>
            <w:webHidden/>
          </w:rPr>
          <w:instrText xml:space="preserve"> PAGEREF _Toc51234152 \h </w:instrText>
        </w:r>
        <w:r w:rsidR="004145AA">
          <w:rPr>
            <w:noProof/>
            <w:webHidden/>
          </w:rPr>
        </w:r>
        <w:r w:rsidR="004145AA">
          <w:rPr>
            <w:noProof/>
            <w:webHidden/>
          </w:rPr>
          <w:fldChar w:fldCharType="separate"/>
        </w:r>
        <w:r w:rsidR="00117024">
          <w:rPr>
            <w:noProof/>
            <w:webHidden/>
          </w:rPr>
          <w:t>87</w:t>
        </w:r>
        <w:r w:rsidR="004145AA">
          <w:rPr>
            <w:noProof/>
            <w:webHidden/>
          </w:rPr>
          <w:fldChar w:fldCharType="end"/>
        </w:r>
      </w:hyperlink>
    </w:p>
    <w:p w14:paraId="01FCA352" w14:textId="01A5587A"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58" w:history="1">
        <w:r w:rsidR="004145AA" w:rsidRPr="00117F0B">
          <w:rPr>
            <w:rStyle w:val="Hyperlink"/>
            <w:noProof/>
          </w:rPr>
          <w:t xml:space="preserve">Appendix B – Summary of MP defined benefit schemes </w:t>
        </w:r>
        <w:r w:rsidR="004145AA">
          <w:rPr>
            <w:noProof/>
            <w:webHidden/>
          </w:rPr>
          <w:tab/>
        </w:r>
        <w:r w:rsidR="004145AA">
          <w:rPr>
            <w:noProof/>
            <w:webHidden/>
          </w:rPr>
          <w:fldChar w:fldCharType="begin"/>
        </w:r>
        <w:r w:rsidR="004145AA">
          <w:rPr>
            <w:noProof/>
            <w:webHidden/>
          </w:rPr>
          <w:instrText xml:space="preserve"> PAGEREF _Toc51234158 \h </w:instrText>
        </w:r>
        <w:r w:rsidR="004145AA">
          <w:rPr>
            <w:noProof/>
            <w:webHidden/>
          </w:rPr>
        </w:r>
        <w:r w:rsidR="004145AA">
          <w:rPr>
            <w:noProof/>
            <w:webHidden/>
          </w:rPr>
          <w:fldChar w:fldCharType="separate"/>
        </w:r>
        <w:r w:rsidR="00117024">
          <w:rPr>
            <w:noProof/>
            <w:webHidden/>
          </w:rPr>
          <w:t>95</w:t>
        </w:r>
        <w:r w:rsidR="004145AA">
          <w:rPr>
            <w:noProof/>
            <w:webHidden/>
          </w:rPr>
          <w:fldChar w:fldCharType="end"/>
        </w:r>
      </w:hyperlink>
    </w:p>
    <w:p w14:paraId="16FDF89E" w14:textId="1098CBE5"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68" w:history="1">
        <w:r w:rsidR="004145AA" w:rsidRPr="00117F0B">
          <w:rPr>
            <w:rStyle w:val="Hyperlink"/>
            <w:noProof/>
          </w:rPr>
          <w:t xml:space="preserve">Appendix C – Commonwealth taxes on MP superannuation </w:t>
        </w:r>
        <w:r w:rsidR="004145AA">
          <w:rPr>
            <w:noProof/>
            <w:webHidden/>
          </w:rPr>
          <w:tab/>
        </w:r>
        <w:r w:rsidR="004145AA">
          <w:rPr>
            <w:noProof/>
            <w:webHidden/>
          </w:rPr>
          <w:fldChar w:fldCharType="begin"/>
        </w:r>
        <w:r w:rsidR="004145AA">
          <w:rPr>
            <w:noProof/>
            <w:webHidden/>
          </w:rPr>
          <w:instrText xml:space="preserve"> PAGEREF _Toc51234168 \h </w:instrText>
        </w:r>
        <w:r w:rsidR="004145AA">
          <w:rPr>
            <w:noProof/>
            <w:webHidden/>
          </w:rPr>
        </w:r>
        <w:r w:rsidR="004145AA">
          <w:rPr>
            <w:noProof/>
            <w:webHidden/>
          </w:rPr>
          <w:fldChar w:fldCharType="separate"/>
        </w:r>
        <w:r w:rsidR="00117024">
          <w:rPr>
            <w:noProof/>
            <w:webHidden/>
          </w:rPr>
          <w:t>104</w:t>
        </w:r>
        <w:r w:rsidR="004145AA">
          <w:rPr>
            <w:noProof/>
            <w:webHidden/>
          </w:rPr>
          <w:fldChar w:fldCharType="end"/>
        </w:r>
      </w:hyperlink>
    </w:p>
    <w:p w14:paraId="186A6A0A" w14:textId="0C091159"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72" w:history="1">
        <w:r w:rsidR="004145AA" w:rsidRPr="00117F0B">
          <w:rPr>
            <w:rStyle w:val="Hyperlink"/>
            <w:noProof/>
          </w:rPr>
          <w:t xml:space="preserve">Appendix D – Actuarial modelling methodology </w:t>
        </w:r>
        <w:r w:rsidR="004145AA">
          <w:rPr>
            <w:noProof/>
            <w:webHidden/>
          </w:rPr>
          <w:tab/>
        </w:r>
        <w:r w:rsidR="004145AA">
          <w:rPr>
            <w:noProof/>
            <w:webHidden/>
          </w:rPr>
          <w:fldChar w:fldCharType="begin"/>
        </w:r>
        <w:r w:rsidR="004145AA">
          <w:rPr>
            <w:noProof/>
            <w:webHidden/>
          </w:rPr>
          <w:instrText xml:space="preserve"> PAGEREF _Toc51234172 \h </w:instrText>
        </w:r>
        <w:r w:rsidR="004145AA">
          <w:rPr>
            <w:noProof/>
            <w:webHidden/>
          </w:rPr>
        </w:r>
        <w:r w:rsidR="004145AA">
          <w:rPr>
            <w:noProof/>
            <w:webHidden/>
          </w:rPr>
          <w:fldChar w:fldCharType="separate"/>
        </w:r>
        <w:r w:rsidR="00117024">
          <w:rPr>
            <w:noProof/>
            <w:webHidden/>
          </w:rPr>
          <w:t>115</w:t>
        </w:r>
        <w:r w:rsidR="004145AA">
          <w:rPr>
            <w:noProof/>
            <w:webHidden/>
          </w:rPr>
          <w:fldChar w:fldCharType="end"/>
        </w:r>
      </w:hyperlink>
    </w:p>
    <w:p w14:paraId="4572B5C8" w14:textId="26F85A5D" w:rsidR="004145AA" w:rsidRDefault="00205CE3">
      <w:pPr>
        <w:pStyle w:val="TOC1"/>
        <w:tabs>
          <w:tab w:val="right" w:leader="dot" w:pos="8488"/>
        </w:tabs>
        <w:rPr>
          <w:rFonts w:asciiTheme="minorHAnsi" w:eastAsiaTheme="minorEastAsia" w:hAnsiTheme="minorHAnsi"/>
          <w:b w:val="0"/>
          <w:bCs w:val="0"/>
          <w:noProof/>
          <w:color w:val="auto"/>
          <w:sz w:val="22"/>
          <w:szCs w:val="22"/>
          <w:lang w:eastAsia="en-AU"/>
        </w:rPr>
      </w:pPr>
      <w:hyperlink w:anchor="_Toc51234176" w:history="1">
        <w:r w:rsidR="004145AA" w:rsidRPr="00117F0B">
          <w:rPr>
            <w:rStyle w:val="Hyperlink"/>
            <w:noProof/>
          </w:rPr>
          <w:t xml:space="preserve">References </w:t>
        </w:r>
        <w:r w:rsidR="004145AA">
          <w:rPr>
            <w:noProof/>
            <w:webHidden/>
          </w:rPr>
          <w:tab/>
        </w:r>
        <w:r w:rsidR="004145AA">
          <w:rPr>
            <w:noProof/>
            <w:webHidden/>
          </w:rPr>
          <w:fldChar w:fldCharType="begin"/>
        </w:r>
        <w:r w:rsidR="004145AA">
          <w:rPr>
            <w:noProof/>
            <w:webHidden/>
          </w:rPr>
          <w:instrText xml:space="preserve"> PAGEREF _Toc51234176 \h </w:instrText>
        </w:r>
        <w:r w:rsidR="004145AA">
          <w:rPr>
            <w:noProof/>
            <w:webHidden/>
          </w:rPr>
        </w:r>
        <w:r w:rsidR="004145AA">
          <w:rPr>
            <w:noProof/>
            <w:webHidden/>
          </w:rPr>
          <w:fldChar w:fldCharType="separate"/>
        </w:r>
        <w:r w:rsidR="00747313">
          <w:rPr>
            <w:noProof/>
            <w:webHidden/>
          </w:rPr>
          <w:t>119</w:t>
        </w:r>
        <w:r w:rsidR="004145AA">
          <w:rPr>
            <w:noProof/>
            <w:webHidden/>
          </w:rPr>
          <w:fldChar w:fldCharType="end"/>
        </w:r>
      </w:hyperlink>
    </w:p>
    <w:p w14:paraId="76EE77E9" w14:textId="29B1AB2A" w:rsidR="008F51B2" w:rsidRDefault="008F51B2" w:rsidP="008F51B2">
      <w:pPr>
        <w:pStyle w:val="Paragraph"/>
      </w:pPr>
      <w:r>
        <w:fldChar w:fldCharType="end"/>
      </w:r>
    </w:p>
    <w:p w14:paraId="7276E388" w14:textId="77777777" w:rsidR="008F51B2" w:rsidRDefault="008F51B2" w:rsidP="008F51B2">
      <w:pPr>
        <w:pStyle w:val="Paragraph"/>
      </w:pPr>
    </w:p>
    <w:p w14:paraId="364806AC" w14:textId="77777777" w:rsidR="008F51B2" w:rsidRDefault="008F51B2" w:rsidP="008F51B2">
      <w:pPr>
        <w:pStyle w:val="Paragraph"/>
        <w:sectPr w:rsidR="008F51B2" w:rsidSect="008F51B2">
          <w:headerReference w:type="even" r:id="rId26"/>
          <w:headerReference w:type="default" r:id="rId27"/>
          <w:footerReference w:type="even" r:id="rId28"/>
          <w:headerReference w:type="first" r:id="rId29"/>
          <w:footerReference w:type="first" r:id="rId30"/>
          <w:type w:val="oddPage"/>
          <w:pgSz w:w="11900" w:h="16840"/>
          <w:pgMar w:top="1701" w:right="1701" w:bottom="1559" w:left="1701" w:header="709" w:footer="709" w:gutter="0"/>
          <w:pgNumType w:fmt="lowerRoman" w:start="1"/>
          <w:cols w:space="708"/>
          <w:titlePg/>
          <w:docGrid w:linePitch="299"/>
        </w:sectPr>
      </w:pPr>
    </w:p>
    <w:p w14:paraId="3E8A5F3D" w14:textId="43964554" w:rsidR="00341DAF" w:rsidRPr="0007293B" w:rsidRDefault="38D1914E" w:rsidP="0007293B">
      <w:pPr>
        <w:pStyle w:val="ChapterHeading0"/>
        <w:rPr>
          <w:lang w:val="en-AU" w:eastAsia="en-AU"/>
        </w:rPr>
      </w:pPr>
      <w:bookmarkStart w:id="14" w:name="_Toc51234115"/>
      <w:r w:rsidRPr="000740FC">
        <w:rPr>
          <w:lang w:val="en-AU" w:eastAsia="en-AU"/>
        </w:rPr>
        <w:lastRenderedPageBreak/>
        <w:t>Glossary</w:t>
      </w:r>
      <w:r w:rsidR="002D4A56" w:rsidRPr="000740FC">
        <w:rPr>
          <w:lang w:val="en-AU" w:eastAsia="en-AU"/>
        </w:rPr>
        <w:br/>
      </w:r>
      <w:r w:rsidR="002D4A56" w:rsidRPr="000740FC">
        <w:rPr>
          <w:lang w:val="en-AU" w:eastAsia="en-AU"/>
        </w:rPr>
        <w:drawing>
          <wp:inline distT="0" distB="0" distL="0" distR="0" wp14:anchorId="087CDAA3" wp14:editId="58523230">
            <wp:extent cx="2218055" cy="25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1"/>
      <w:bookmarkEnd w:id="12"/>
      <w:bookmarkEnd w:id="13"/>
      <w:bookmarkEnd w:id="14"/>
    </w:p>
    <w:tbl>
      <w:tblPr>
        <w:tblStyle w:val="ListTable3-Accent21"/>
        <w:tblW w:w="8647" w:type="dxa"/>
        <w:tblInd w:w="-108" w:type="dxa"/>
        <w:tblLayout w:type="fixed"/>
        <w:tblLook w:val="01A0" w:firstRow="1" w:lastRow="0" w:firstColumn="1" w:lastColumn="1" w:noHBand="0" w:noVBand="0"/>
      </w:tblPr>
      <w:tblGrid>
        <w:gridCol w:w="2519"/>
        <w:gridCol w:w="6021"/>
        <w:gridCol w:w="107"/>
      </w:tblGrid>
      <w:tr w:rsidR="001F033F" w:rsidRPr="000740FC" w14:paraId="0968D574" w14:textId="77777777" w:rsidTr="0074110E">
        <w:trPr>
          <w:gridAfter w:val="1"/>
          <w:cnfStyle w:val="100000000000" w:firstRow="1" w:lastRow="0" w:firstColumn="0" w:lastColumn="0" w:oddVBand="0" w:evenVBand="0" w:oddHBand="0" w:evenHBand="0" w:firstRowFirstColumn="0" w:firstRowLastColumn="0" w:lastRowFirstColumn="0" w:lastRowLastColumn="0"/>
          <w:wAfter w:w="107" w:type="dxa"/>
          <w:trHeight w:val="244"/>
          <w:tblHeader/>
        </w:trPr>
        <w:tc>
          <w:tcPr>
            <w:cnfStyle w:val="001000000100" w:firstRow="0" w:lastRow="0" w:firstColumn="1" w:lastColumn="0" w:oddVBand="0" w:evenVBand="0" w:oddHBand="0" w:evenHBand="0" w:firstRowFirstColumn="1" w:firstRowLastColumn="0" w:lastRowFirstColumn="0" w:lastRowLastColumn="0"/>
            <w:tcW w:w="2519" w:type="dxa"/>
            <w:tcBorders>
              <w:top w:val="single" w:sz="4" w:space="0" w:color="148A5D" w:themeColor="accent2"/>
            </w:tcBorders>
          </w:tcPr>
          <w:p w14:paraId="72167F64" w14:textId="77777777" w:rsidR="001F033F" w:rsidRPr="000740FC" w:rsidRDefault="001F033F" w:rsidP="00E14855">
            <w:pPr>
              <w:pStyle w:val="Tableheaderrow"/>
              <w:jc w:val="left"/>
              <w:rPr>
                <w:b/>
              </w:rPr>
            </w:pPr>
            <w:bookmarkStart w:id="15" w:name="_Toc50990407"/>
            <w:r w:rsidRPr="000740FC">
              <w:rPr>
                <w:b/>
              </w:rPr>
              <w:t xml:space="preserve">Term or abbreviation </w:t>
            </w:r>
          </w:p>
        </w:tc>
        <w:tc>
          <w:tcPr>
            <w:cnfStyle w:val="000100001000" w:firstRow="0" w:lastRow="0" w:firstColumn="0" w:lastColumn="1" w:oddVBand="0" w:evenVBand="0" w:oddHBand="0" w:evenHBand="0" w:firstRowFirstColumn="0" w:firstRowLastColumn="1" w:lastRowFirstColumn="0" w:lastRowLastColumn="0"/>
            <w:tcW w:w="6021" w:type="dxa"/>
            <w:tcBorders>
              <w:top w:val="single" w:sz="4" w:space="0" w:color="148A5D" w:themeColor="accent2"/>
            </w:tcBorders>
          </w:tcPr>
          <w:p w14:paraId="64220D65" w14:textId="77777777" w:rsidR="001F033F" w:rsidRPr="000740FC" w:rsidRDefault="001F033F" w:rsidP="00E14855">
            <w:pPr>
              <w:pStyle w:val="Tableheaderrow"/>
              <w:jc w:val="left"/>
              <w:rPr>
                <w:rFonts w:eastAsia="Arial Narrow"/>
                <w:b/>
              </w:rPr>
            </w:pPr>
            <w:r w:rsidRPr="000740FC">
              <w:rPr>
                <w:b/>
              </w:rPr>
              <w:t xml:space="preserve">Definition </w:t>
            </w:r>
          </w:p>
        </w:tc>
      </w:tr>
      <w:tr w:rsidR="001F033F" w:rsidRPr="000740FC" w14:paraId="4F207DA2"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nil"/>
              <w:bottom w:val="single" w:sz="4" w:space="0" w:color="148A5D" w:themeColor="accent2"/>
            </w:tcBorders>
          </w:tcPr>
          <w:p w14:paraId="15D17CFD" w14:textId="77777777" w:rsidR="001F033F" w:rsidRPr="000740FC" w:rsidRDefault="001F033F" w:rsidP="00F836E1">
            <w:pPr>
              <w:pStyle w:val="Textinthetable"/>
              <w:rPr>
                <w:lang w:val="en-AU"/>
              </w:rPr>
            </w:pPr>
            <w:r>
              <w:rPr>
                <w:lang w:val="en-AU"/>
              </w:rPr>
              <w:t>2019 Determination</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nil"/>
              <w:bottom w:val="single" w:sz="4" w:space="0" w:color="148A5D" w:themeColor="accent2"/>
            </w:tcBorders>
          </w:tcPr>
          <w:p w14:paraId="20B4B214" w14:textId="77777777" w:rsidR="001F033F" w:rsidRPr="008E45A6" w:rsidRDefault="001F033F" w:rsidP="00F836E1">
            <w:pPr>
              <w:pStyle w:val="Textinthetable"/>
            </w:pPr>
            <w:r w:rsidRPr="008E45A6">
              <w:rPr>
                <w:i/>
                <w:iCs/>
                <w:lang w:val="en-AU"/>
              </w:rPr>
              <w:t>Members of Parliament (</w:t>
            </w:r>
            <w:r>
              <w:rPr>
                <w:i/>
                <w:iCs/>
                <w:lang w:val="en-AU"/>
              </w:rPr>
              <w:t>Victoria</w:t>
            </w:r>
            <w:r w:rsidRPr="008E45A6">
              <w:rPr>
                <w:i/>
                <w:iCs/>
                <w:lang w:val="en-AU"/>
              </w:rPr>
              <w:t>)</w:t>
            </w:r>
            <w:r>
              <w:rPr>
                <w:i/>
                <w:iCs/>
                <w:lang w:val="en-AU"/>
              </w:rPr>
              <w:t xml:space="preserve"> Determination</w:t>
            </w:r>
            <w:r w:rsidRPr="008E45A6">
              <w:rPr>
                <w:i/>
                <w:iCs/>
                <w:lang w:val="en-AU"/>
              </w:rPr>
              <w:t xml:space="preserve"> 01/2019</w:t>
            </w:r>
            <w:r>
              <w:rPr>
                <w:lang w:val="en-AU"/>
              </w:rPr>
              <w:t>. The Tribunal’s first Determination of salaries and allowances for Victorian MPs.</w:t>
            </w:r>
          </w:p>
        </w:tc>
      </w:tr>
      <w:tr w:rsidR="001F033F" w:rsidRPr="000740FC" w14:paraId="2ABB0454"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C809DEC" w14:textId="77777777" w:rsidR="001F033F" w:rsidRPr="000740FC" w:rsidRDefault="001F033F" w:rsidP="00F836E1">
            <w:pPr>
              <w:pStyle w:val="Textinthetable"/>
              <w:rPr>
                <w:lang w:val="en-AU"/>
              </w:rPr>
            </w:pPr>
            <w:r>
              <w:rPr>
                <w:lang w:val="en-AU"/>
              </w:rPr>
              <w:t>ABS</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D373A0E" w14:textId="77777777" w:rsidR="001F033F" w:rsidRPr="008E45A6" w:rsidRDefault="001F033F" w:rsidP="00F836E1">
            <w:pPr>
              <w:pStyle w:val="Textinthetable"/>
            </w:pPr>
            <w:r>
              <w:rPr>
                <w:lang w:val="en-AU"/>
              </w:rPr>
              <w:t>Australian Bureau of Statistics</w:t>
            </w:r>
          </w:p>
        </w:tc>
      </w:tr>
      <w:tr w:rsidR="001F033F" w:rsidRPr="000740FC" w14:paraId="58A1FA9B"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63A1CACD" w14:textId="77777777" w:rsidR="001F033F" w:rsidRPr="000740FC" w:rsidRDefault="001F033F" w:rsidP="00F836E1">
            <w:pPr>
              <w:pStyle w:val="Textinthetable"/>
              <w:rPr>
                <w:lang w:val="en-AU"/>
              </w:rPr>
            </w:pPr>
            <w:r>
              <w:rPr>
                <w:lang w:val="en-AU"/>
              </w:rPr>
              <w:t>Accumulation scheme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0EE14D4" w14:textId="77777777" w:rsidR="001F033F" w:rsidRPr="008E45A6" w:rsidRDefault="001F033F" w:rsidP="00F836E1">
            <w:pPr>
              <w:pStyle w:val="Textinthetable"/>
            </w:pPr>
            <w:r>
              <w:rPr>
                <w:lang w:val="en-AU"/>
              </w:rPr>
              <w:t xml:space="preserve">An accumulation </w:t>
            </w:r>
            <w:r w:rsidRPr="00A86899">
              <w:rPr>
                <w:lang w:val="en-AU"/>
              </w:rPr>
              <w:t>superannuation scheme provided to MPs under Part 4 of the PSAS Act. Applies to MPs elected since 2004.</w:t>
            </w:r>
          </w:p>
        </w:tc>
      </w:tr>
      <w:tr w:rsidR="001F033F" w:rsidRPr="000740FC" w14:paraId="5E921227"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5917F43C" w14:textId="77777777" w:rsidR="001F033F" w:rsidRPr="000740FC" w:rsidRDefault="001F033F" w:rsidP="00F836E1">
            <w:pPr>
              <w:pStyle w:val="Textinthetable"/>
              <w:rPr>
                <w:lang w:val="en-AU"/>
              </w:rPr>
            </w:pPr>
            <w:r w:rsidRPr="000740FC">
              <w:rPr>
                <w:lang w:val="en-AU"/>
              </w:rPr>
              <w:t>Additional salary</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0701792B" w14:textId="77777777" w:rsidR="001F033F" w:rsidRPr="00212E56" w:rsidRDefault="001F033F" w:rsidP="00F836E1">
            <w:pPr>
              <w:pStyle w:val="Textinthetable"/>
            </w:pPr>
            <w:r w:rsidRPr="00212E56">
              <w:rPr>
                <w:lang w:val="en-AU"/>
              </w:rPr>
              <w:t>Salary payable to MPs who are ‘specified parliamentary office holders’ as defined in s3 of the VIRTIPS Act.</w:t>
            </w:r>
          </w:p>
        </w:tc>
      </w:tr>
      <w:tr w:rsidR="001F033F" w:rsidRPr="000740FC" w14:paraId="246D1099"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4CF5077" w14:textId="77777777" w:rsidR="001F033F" w:rsidRPr="000740FC" w:rsidRDefault="001F033F" w:rsidP="00F836E1">
            <w:pPr>
              <w:pStyle w:val="Textinthetable"/>
              <w:rPr>
                <w:lang w:val="en-AU"/>
              </w:rPr>
            </w:pPr>
            <w:r>
              <w:rPr>
                <w:lang w:val="en-AU"/>
              </w:rPr>
              <w:t>APRA</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404EA718" w14:textId="77777777" w:rsidR="001F033F" w:rsidRPr="008E45A6" w:rsidRDefault="001F033F" w:rsidP="00F836E1">
            <w:pPr>
              <w:pStyle w:val="Textinthetable"/>
            </w:pPr>
            <w:r w:rsidRPr="000740FC">
              <w:t>Australian Prudential Regulation Authority</w:t>
            </w:r>
          </w:p>
        </w:tc>
      </w:tr>
      <w:tr w:rsidR="001F033F" w:rsidRPr="000740FC" w14:paraId="21B15451"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07227F00" w14:textId="77777777" w:rsidR="001F033F" w:rsidRPr="000740FC" w:rsidRDefault="001F033F" w:rsidP="00F836E1">
            <w:pPr>
              <w:pStyle w:val="Textinthetable"/>
              <w:rPr>
                <w:lang w:val="en-AU"/>
              </w:rPr>
            </w:pPr>
            <w:r>
              <w:rPr>
                <w:lang w:val="en-AU"/>
              </w:rPr>
              <w:t>ASIC</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16EC611" w14:textId="77777777" w:rsidR="001F033F" w:rsidRPr="008E45A6" w:rsidRDefault="001F033F" w:rsidP="00F836E1">
            <w:pPr>
              <w:pStyle w:val="Textinthetable"/>
            </w:pPr>
            <w:r>
              <w:t>Australian Securities and Investments Commission</w:t>
            </w:r>
          </w:p>
        </w:tc>
      </w:tr>
      <w:tr w:rsidR="001F033F" w:rsidRPr="000740FC" w14:paraId="04C4407E"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AFC6E9C" w14:textId="77777777" w:rsidR="001F033F" w:rsidRPr="00EB5B12" w:rsidRDefault="001F033F" w:rsidP="00F836E1">
            <w:pPr>
              <w:pStyle w:val="Textinthetable"/>
              <w:rPr>
                <w:lang w:val="en-AU"/>
              </w:rPr>
            </w:pPr>
            <w:r w:rsidRPr="00EB5B12">
              <w:rPr>
                <w:lang w:val="en-AU"/>
              </w:rPr>
              <w:t>ASP</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312C1F94" w14:textId="77777777" w:rsidR="001F033F" w:rsidRPr="00EB5B12" w:rsidRDefault="001F033F" w:rsidP="00F836E1">
            <w:pPr>
              <w:pStyle w:val="Textinthetable"/>
              <w:rPr>
                <w:bCs w:val="0"/>
              </w:rPr>
            </w:pPr>
            <w:r w:rsidRPr="00EB5B12">
              <w:t>Additional salary percentage. Used to calculate additional contributions and benefits for specified parliamentary office holders in the Existing Benefits Scheme and New Benefits Scheme.</w:t>
            </w:r>
          </w:p>
        </w:tc>
      </w:tr>
      <w:tr w:rsidR="001F033F" w:rsidRPr="000740FC" w14:paraId="4CCE7D67"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77EADF70" w14:textId="77777777" w:rsidR="001F033F" w:rsidRPr="000740FC" w:rsidRDefault="001F033F" w:rsidP="00F836E1">
            <w:pPr>
              <w:pStyle w:val="Textinthetable"/>
              <w:rPr>
                <w:lang w:val="en-AU"/>
              </w:rPr>
            </w:pPr>
            <w:r>
              <w:rPr>
                <w:lang w:val="en-AU"/>
              </w:rPr>
              <w:t>ATO</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088AB856" w14:textId="77777777" w:rsidR="001F033F" w:rsidRPr="008E45A6" w:rsidRDefault="001F033F" w:rsidP="00F836E1">
            <w:pPr>
              <w:pStyle w:val="Textinthetable"/>
            </w:pPr>
            <w:r>
              <w:t>Australian Taxation Office</w:t>
            </w:r>
          </w:p>
        </w:tc>
      </w:tr>
      <w:tr w:rsidR="001F033F" w:rsidRPr="000740FC" w14:paraId="04CA8CF1"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8ADC12B" w14:textId="77777777" w:rsidR="001F033F" w:rsidRPr="000740FC" w:rsidRDefault="001F033F" w:rsidP="00F836E1">
            <w:pPr>
              <w:pStyle w:val="Textinthetable"/>
              <w:rPr>
                <w:lang w:val="en-AU"/>
              </w:rPr>
            </w:pPr>
            <w:r>
              <w:rPr>
                <w:lang w:val="en-AU"/>
              </w:rPr>
              <w:t>AWOTE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2CD865EA" w14:textId="77777777" w:rsidR="001F033F" w:rsidRPr="008E45A6" w:rsidRDefault="001F033F" w:rsidP="00F836E1">
            <w:pPr>
              <w:pStyle w:val="Textinthetable"/>
            </w:pPr>
            <w:r>
              <w:t>Average Weekly Ordinary Time Earnings</w:t>
            </w:r>
          </w:p>
        </w:tc>
      </w:tr>
      <w:tr w:rsidR="001F033F" w:rsidRPr="000740FC" w14:paraId="476C767D"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698D9F3D" w14:textId="77777777" w:rsidR="001F033F" w:rsidRPr="00EB5B12" w:rsidRDefault="001F033F" w:rsidP="00F836E1">
            <w:pPr>
              <w:pStyle w:val="Textinthetable"/>
              <w:rPr>
                <w:lang w:val="en-AU"/>
              </w:rPr>
            </w:pPr>
            <w:r w:rsidRPr="00EB5B12">
              <w:rPr>
                <w:lang w:val="en-AU"/>
              </w:rPr>
              <w:t>Basic salary</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7922CF02" w14:textId="77777777" w:rsidR="001F033F" w:rsidRPr="00EB5B12" w:rsidRDefault="001F033F" w:rsidP="00F836E1">
            <w:pPr>
              <w:pStyle w:val="Textinthetable"/>
            </w:pPr>
            <w:r w:rsidRPr="00EB5B12">
              <w:rPr>
                <w:lang w:val="en-AU"/>
              </w:rPr>
              <w:t>Salary payable to all Victorian MPs.</w:t>
            </w:r>
          </w:p>
        </w:tc>
      </w:tr>
      <w:tr w:rsidR="001F033F" w:rsidRPr="000740FC" w14:paraId="671E9B97"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70A6F81" w14:textId="77777777" w:rsidR="001F033F" w:rsidRPr="00EB5B12" w:rsidRDefault="001F033F" w:rsidP="00F836E1">
            <w:pPr>
              <w:pStyle w:val="Textinthetable"/>
              <w:rPr>
                <w:lang w:val="en-AU"/>
              </w:rPr>
            </w:pPr>
            <w:r>
              <w:t>BSP</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6647663" w14:textId="77777777" w:rsidR="001F033F" w:rsidRPr="00EB5B12" w:rsidRDefault="001F033F" w:rsidP="00F836E1">
            <w:pPr>
              <w:pStyle w:val="Textinthetable"/>
            </w:pPr>
            <w:r>
              <w:rPr>
                <w:lang w:val="en-AU"/>
              </w:rPr>
              <w:t xml:space="preserve">Basic salary portion. </w:t>
            </w:r>
            <w:r w:rsidRPr="00EB5B12">
              <w:rPr>
                <w:lang w:val="en-AU"/>
              </w:rPr>
              <w:t>A value used to calculate contributions and benefits for MPs in the Existing Benefits Scheme and New Benefits Scheme.</w:t>
            </w:r>
          </w:p>
        </w:tc>
      </w:tr>
      <w:tr w:rsidR="001F033F" w:rsidRPr="000740FC" w14:paraId="203295EF"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1C43D1B7" w14:textId="77777777" w:rsidR="001F033F" w:rsidRDefault="001F033F" w:rsidP="00705CE5">
            <w:pPr>
              <w:pStyle w:val="Textinthetable"/>
              <w:rPr>
                <w:lang w:val="en-AU"/>
              </w:rPr>
            </w:pPr>
            <w:r>
              <w:rPr>
                <w:lang w:val="en-AU"/>
              </w:rPr>
              <w:t>CCC</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70D1157F" w14:textId="77777777" w:rsidR="001F033F" w:rsidRDefault="001F033F" w:rsidP="00705CE5">
            <w:pPr>
              <w:pStyle w:val="Textinthetable"/>
              <w:rPr>
                <w:lang w:val="en-AU"/>
              </w:rPr>
            </w:pPr>
            <w:r>
              <w:rPr>
                <w:lang w:val="en-AU"/>
              </w:rPr>
              <w:t>Concessional contributions cap</w:t>
            </w:r>
          </w:p>
        </w:tc>
      </w:tr>
      <w:tr w:rsidR="001F033F" w:rsidRPr="000740FC" w14:paraId="5BF65DC8"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4FAEC1C6" w14:textId="77777777" w:rsidR="001F033F" w:rsidRPr="000740FC" w:rsidRDefault="001F033F" w:rsidP="00705CE5">
            <w:pPr>
              <w:pStyle w:val="Textinthetable"/>
              <w:rPr>
                <w:lang w:val="en-AU"/>
              </w:rPr>
            </w:pPr>
            <w:r>
              <w:rPr>
                <w:lang w:val="en-AU"/>
              </w:rPr>
              <w:t>CPI</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7E4C9B7F" w14:textId="77777777" w:rsidR="001F033F" w:rsidRPr="000740FC" w:rsidRDefault="001F033F" w:rsidP="00705CE5">
            <w:pPr>
              <w:pStyle w:val="Textinthetable"/>
              <w:rPr>
                <w:lang w:val="en-AU"/>
              </w:rPr>
            </w:pPr>
            <w:r>
              <w:rPr>
                <w:lang w:val="en-AU"/>
              </w:rPr>
              <w:t>Consumer Price Index</w:t>
            </w:r>
          </w:p>
        </w:tc>
      </w:tr>
      <w:tr w:rsidR="001F033F" w:rsidRPr="000740FC" w14:paraId="30D743A1"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1578AB3C" w14:textId="77777777" w:rsidR="001F033F" w:rsidRPr="000740FC" w:rsidRDefault="001F033F" w:rsidP="00705CE5">
            <w:pPr>
              <w:pStyle w:val="Textinthetable"/>
              <w:rPr>
                <w:lang w:val="en-AU"/>
              </w:rPr>
            </w:pPr>
            <w:r>
              <w:rPr>
                <w:lang w:val="en-AU"/>
              </w:rPr>
              <w:t>Defined benefit schemes</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14DCDA6" w14:textId="2F57E2FA" w:rsidR="001F033F" w:rsidRPr="000740FC" w:rsidRDefault="001F033F" w:rsidP="00705CE5">
            <w:pPr>
              <w:pStyle w:val="Textinthetable"/>
              <w:rPr>
                <w:lang w:val="en-AU"/>
              </w:rPr>
            </w:pPr>
            <w:r w:rsidRPr="001C367F">
              <w:rPr>
                <w:lang w:val="en-AU"/>
              </w:rPr>
              <w:t>T</w:t>
            </w:r>
            <w:r>
              <w:rPr>
                <w:lang w:val="en-AU"/>
              </w:rPr>
              <w:t>he superannuation schemes provided to MPs under Part 3 of the PSAS Act. See ‘Existing Benefits Scheme’ and ‘New Benefits Scheme’</w:t>
            </w:r>
            <w:r w:rsidR="00F3663E">
              <w:rPr>
                <w:lang w:val="en-AU"/>
              </w:rPr>
              <w:t>.</w:t>
            </w:r>
          </w:p>
        </w:tc>
      </w:tr>
      <w:tr w:rsidR="001F033F" w:rsidRPr="000740FC" w14:paraId="236A0FEF"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4D4A47A9" w14:textId="77777777" w:rsidR="001F033F" w:rsidRPr="000740FC" w:rsidDel="00CE268B" w:rsidRDefault="001F033F" w:rsidP="00705CE5">
            <w:pPr>
              <w:pStyle w:val="Textinthetable"/>
              <w:rPr>
                <w:lang w:val="en-AU"/>
              </w:rPr>
            </w:pPr>
            <w:r w:rsidRPr="000740FC">
              <w:rPr>
                <w:lang w:val="en-AU"/>
              </w:rPr>
              <w:t>ESSSuper</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35AC05DF" w14:textId="77777777" w:rsidR="001F033F" w:rsidRPr="000740FC" w:rsidDel="00CE268B" w:rsidRDefault="001F033F" w:rsidP="00705CE5">
            <w:pPr>
              <w:pStyle w:val="Textinthetable"/>
              <w:rPr>
                <w:lang w:val="en-AU"/>
              </w:rPr>
            </w:pPr>
            <w:r w:rsidRPr="000740FC">
              <w:rPr>
                <w:lang w:val="en-AU"/>
              </w:rPr>
              <w:t>Emergency Services and State Super. Administers the defined benefit schemes under Part 3 of the PSAS Act</w:t>
            </w:r>
            <w:r>
              <w:rPr>
                <w:lang w:val="en-AU"/>
              </w:rPr>
              <w:t>.</w:t>
            </w:r>
          </w:p>
        </w:tc>
      </w:tr>
      <w:tr w:rsidR="001F033F" w:rsidRPr="000740FC" w14:paraId="1E7338D7"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36F20816" w14:textId="77777777" w:rsidR="001F033F" w:rsidRPr="000740FC" w:rsidDel="00CE268B" w:rsidRDefault="001F033F" w:rsidP="00705CE5">
            <w:pPr>
              <w:pStyle w:val="Textinthetable"/>
              <w:rPr>
                <w:lang w:val="en-AU"/>
              </w:rPr>
            </w:pPr>
            <w:r w:rsidRPr="000740FC">
              <w:rPr>
                <w:lang w:val="en-AU"/>
              </w:rPr>
              <w:t>Existing Benefits Scheme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7E2CF9AC" w14:textId="77777777" w:rsidR="001F033F" w:rsidRPr="000740FC" w:rsidDel="00CE268B" w:rsidRDefault="001F033F" w:rsidP="00705CE5">
            <w:pPr>
              <w:pStyle w:val="Textinthetable"/>
              <w:rPr>
                <w:lang w:val="en-AU"/>
              </w:rPr>
            </w:pPr>
            <w:r w:rsidRPr="000740FC">
              <w:rPr>
                <w:lang w:val="en-AU"/>
              </w:rPr>
              <w:t>A defined benefit scheme provided to MPs under Part 3, Division 2 of the PSAS Act for MPs elected before 1996</w:t>
            </w:r>
            <w:r>
              <w:rPr>
                <w:lang w:val="en-AU"/>
              </w:rPr>
              <w:t>. Closed to new members in 1996.</w:t>
            </w:r>
          </w:p>
        </w:tc>
      </w:tr>
      <w:tr w:rsidR="001F033F" w:rsidRPr="000740FC" w14:paraId="58116839"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45586599" w14:textId="77777777" w:rsidR="001F033F" w:rsidRPr="000740FC" w:rsidDel="00CE268B" w:rsidRDefault="001F033F" w:rsidP="00705CE5">
            <w:pPr>
              <w:pStyle w:val="Textinthetable"/>
              <w:rPr>
                <w:lang w:val="en-AU"/>
              </w:rPr>
            </w:pPr>
            <w:r w:rsidRPr="000740FC">
              <w:rPr>
                <w:lang w:val="en-AU"/>
              </w:rPr>
              <w:t>Hazell Review</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6B3E8216" w14:textId="77777777" w:rsidR="001F033F" w:rsidRPr="000740FC" w:rsidDel="00CE268B" w:rsidRDefault="001F033F" w:rsidP="00705CE5">
            <w:pPr>
              <w:pStyle w:val="Textinthetable"/>
              <w:rPr>
                <w:lang w:val="en-AU"/>
              </w:rPr>
            </w:pPr>
            <w:r w:rsidRPr="000740FC">
              <w:rPr>
                <w:lang w:val="en-AU"/>
              </w:rPr>
              <w:t>Hazell, M</w:t>
            </w:r>
            <w:r>
              <w:rPr>
                <w:lang w:val="en-AU"/>
              </w:rPr>
              <w:t xml:space="preserve"> (CVO AM)</w:t>
            </w:r>
            <w:r w:rsidRPr="000740FC">
              <w:rPr>
                <w:lang w:val="en-AU"/>
              </w:rPr>
              <w:t xml:space="preserve">. </w:t>
            </w:r>
            <w:r w:rsidRPr="000740FC">
              <w:rPr>
                <w:i/>
                <w:iCs/>
                <w:lang w:val="en-AU"/>
              </w:rPr>
              <w:t>Independent Review of Victorian MPs’ Salary Entitlements, Allowances and Other Arrangements</w:t>
            </w:r>
            <w:r w:rsidRPr="000740FC">
              <w:rPr>
                <w:lang w:val="en-AU"/>
              </w:rPr>
              <w:t>. Report prepared for the Department of Premier and Cabinet</w:t>
            </w:r>
            <w:r>
              <w:rPr>
                <w:lang w:val="en-AU"/>
              </w:rPr>
              <w:t>, Victoria, 2013.</w:t>
            </w:r>
          </w:p>
        </w:tc>
      </w:tr>
      <w:tr w:rsidR="001F033F" w:rsidRPr="000740FC" w14:paraId="799B035C"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ED831A4" w14:textId="77777777" w:rsidR="001F033F" w:rsidRPr="000740FC" w:rsidDel="00CE268B" w:rsidRDefault="001F033F" w:rsidP="00705CE5">
            <w:pPr>
              <w:pStyle w:val="Textinthetable"/>
              <w:rPr>
                <w:lang w:val="en-AU"/>
              </w:rPr>
            </w:pPr>
            <w:r w:rsidRPr="000740FC">
              <w:rPr>
                <w:lang w:val="en-AU"/>
              </w:rPr>
              <w:t>MP</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36F53FBD" w14:textId="77777777" w:rsidR="001F033F" w:rsidRPr="000740FC" w:rsidDel="00CE268B" w:rsidRDefault="001F033F" w:rsidP="00705CE5">
            <w:pPr>
              <w:pStyle w:val="Textinthetable"/>
              <w:rPr>
                <w:lang w:val="en-AU"/>
              </w:rPr>
            </w:pPr>
            <w:r w:rsidRPr="000740FC">
              <w:rPr>
                <w:lang w:val="en-AU"/>
              </w:rPr>
              <w:t xml:space="preserve">Member of </w:t>
            </w:r>
            <w:r>
              <w:rPr>
                <w:lang w:val="en-AU"/>
              </w:rPr>
              <w:t xml:space="preserve">the </w:t>
            </w:r>
            <w:r w:rsidRPr="000740FC">
              <w:rPr>
                <w:lang w:val="en-AU"/>
              </w:rPr>
              <w:t>Parliament</w:t>
            </w:r>
            <w:r>
              <w:rPr>
                <w:lang w:val="en-AU"/>
              </w:rPr>
              <w:t xml:space="preserve"> of Victoria</w:t>
            </w:r>
          </w:p>
        </w:tc>
      </w:tr>
      <w:tr w:rsidR="001F033F" w:rsidRPr="000740FC" w14:paraId="0A85C841" w14:textId="77777777" w:rsidTr="0074110E">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none" w:sz="0" w:space="0" w:color="auto"/>
              <w:right w:val="none" w:sz="0" w:space="0" w:color="auto"/>
            </w:tcBorders>
          </w:tcPr>
          <w:p w14:paraId="4ADCC81F" w14:textId="77777777" w:rsidR="001F033F" w:rsidRDefault="001F033F" w:rsidP="00705CE5">
            <w:pPr>
              <w:pStyle w:val="Textinthetable"/>
              <w:rPr>
                <w:lang w:val="en-AU"/>
              </w:rPr>
            </w:pPr>
            <w:r>
              <w:rPr>
                <w:lang w:val="en-AU"/>
              </w:rPr>
              <w:t>NCCC</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left w:val="none" w:sz="0" w:space="0" w:color="auto"/>
              <w:bottom w:val="none" w:sz="0" w:space="0" w:color="auto"/>
            </w:tcBorders>
          </w:tcPr>
          <w:p w14:paraId="12F63617" w14:textId="13A4AB9A" w:rsidR="001F033F" w:rsidRDefault="001F033F" w:rsidP="00705CE5">
            <w:pPr>
              <w:pStyle w:val="Textinthetable"/>
              <w:rPr>
                <w:lang w:val="en-AU"/>
              </w:rPr>
            </w:pPr>
            <w:r>
              <w:rPr>
                <w:lang w:val="en-AU"/>
              </w:rPr>
              <w:t>Non</w:t>
            </w:r>
            <w:r w:rsidR="00F3663E">
              <w:rPr>
                <w:lang w:val="en-AU"/>
              </w:rPr>
              <w:t>-</w:t>
            </w:r>
            <w:r>
              <w:rPr>
                <w:lang w:val="en-AU"/>
              </w:rPr>
              <w:t>concessional contributions cap</w:t>
            </w:r>
          </w:p>
        </w:tc>
      </w:tr>
      <w:tr w:rsidR="001F033F" w:rsidRPr="000740FC" w14:paraId="32EDF2BA" w14:textId="77777777" w:rsidTr="0074110E">
        <w:trPr>
          <w:cantSplit/>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bottom w:val="single" w:sz="4" w:space="0" w:color="148A5D" w:themeColor="accent2"/>
            </w:tcBorders>
          </w:tcPr>
          <w:p w14:paraId="49602C6C" w14:textId="77777777" w:rsidR="001F033F" w:rsidRPr="000740FC" w:rsidDel="00CE268B" w:rsidRDefault="001F033F" w:rsidP="00705CE5">
            <w:pPr>
              <w:pStyle w:val="Textinthetable"/>
              <w:rPr>
                <w:lang w:val="en-AU"/>
              </w:rPr>
            </w:pPr>
            <w:r>
              <w:rPr>
                <w:lang w:val="en-AU"/>
              </w:rPr>
              <w:lastRenderedPageBreak/>
              <w:t>NER</w:t>
            </w:r>
          </w:p>
        </w:tc>
        <w:tc>
          <w:tcPr>
            <w:cnfStyle w:val="000100000000" w:firstRow="0" w:lastRow="0" w:firstColumn="0" w:lastColumn="1" w:oddVBand="0" w:evenVBand="0" w:oddHBand="0" w:evenHBand="0" w:firstRowFirstColumn="0" w:firstRowLastColumn="0" w:lastRowFirstColumn="0" w:lastRowLastColumn="0"/>
            <w:tcW w:w="6128" w:type="dxa"/>
            <w:gridSpan w:val="2"/>
            <w:tcBorders>
              <w:bottom w:val="single" w:sz="4" w:space="0" w:color="148A5D" w:themeColor="accent2"/>
            </w:tcBorders>
          </w:tcPr>
          <w:p w14:paraId="0994F7AA" w14:textId="77777777" w:rsidR="001F033F" w:rsidRPr="00EB5B12" w:rsidDel="00CE268B" w:rsidRDefault="001F033F" w:rsidP="00705CE5">
            <w:pPr>
              <w:pStyle w:val="Textinthetable"/>
            </w:pPr>
            <w:r>
              <w:rPr>
                <w:lang w:val="en-AU"/>
              </w:rPr>
              <w:t xml:space="preserve">New entrant rate. </w:t>
            </w:r>
            <w:r>
              <w:t>R</w:t>
            </w:r>
            <w:r w:rsidRPr="00347D83">
              <w:t xml:space="preserve">epresents the long-term cost (as a percentage of </w:t>
            </w:r>
            <w:r>
              <w:t>the basic salary portion</w:t>
            </w:r>
            <w:r w:rsidRPr="00347D83">
              <w:t xml:space="preserve">) of providing the benefit payable to a hypothetical new entrant </w:t>
            </w:r>
            <w:r>
              <w:t xml:space="preserve">of the PCSF </w:t>
            </w:r>
            <w:r w:rsidRPr="00347D83">
              <w:t>on voluntary exit.</w:t>
            </w:r>
            <w:r>
              <w:t xml:space="preserve"> Used to calculate NTC.</w:t>
            </w:r>
          </w:p>
        </w:tc>
      </w:tr>
      <w:tr w:rsidR="001F033F" w:rsidRPr="000740FC" w14:paraId="3971813C"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6D85855C" w14:textId="77777777" w:rsidR="001F033F" w:rsidRPr="000740FC" w:rsidDel="00CE268B" w:rsidRDefault="001F033F" w:rsidP="00705CE5">
            <w:pPr>
              <w:pStyle w:val="Textinthetable"/>
              <w:rPr>
                <w:lang w:val="en-AU"/>
              </w:rPr>
            </w:pPr>
            <w:r w:rsidRPr="000740FC">
              <w:rPr>
                <w:lang w:val="en-AU"/>
              </w:rPr>
              <w:t>New Benefits Scheme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365A18AD" w14:textId="77777777" w:rsidR="001F033F" w:rsidRPr="000740FC" w:rsidDel="00CE268B" w:rsidRDefault="001F033F" w:rsidP="00705CE5">
            <w:pPr>
              <w:pStyle w:val="Textinthetable"/>
              <w:rPr>
                <w:lang w:val="en-AU"/>
              </w:rPr>
            </w:pPr>
            <w:r w:rsidRPr="000740FC">
              <w:rPr>
                <w:lang w:val="en-AU"/>
              </w:rPr>
              <w:t>A defined benefit scheme provided to MPs under Part 3, Division 3 of the PSAS Act for MPs elected after 1996</w:t>
            </w:r>
            <w:r>
              <w:rPr>
                <w:lang w:val="en-AU"/>
              </w:rPr>
              <w:t>. C</w:t>
            </w:r>
            <w:r w:rsidRPr="000740FC">
              <w:rPr>
                <w:lang w:val="en-AU"/>
              </w:rPr>
              <w:t xml:space="preserve">losed to new </w:t>
            </w:r>
            <w:r>
              <w:rPr>
                <w:lang w:val="en-AU"/>
              </w:rPr>
              <w:t>members</w:t>
            </w:r>
            <w:r w:rsidRPr="000740FC">
              <w:rPr>
                <w:lang w:val="en-AU"/>
              </w:rPr>
              <w:t xml:space="preserve"> in 2004</w:t>
            </w:r>
            <w:r>
              <w:rPr>
                <w:lang w:val="en-AU"/>
              </w:rPr>
              <w:t>.</w:t>
            </w:r>
          </w:p>
        </w:tc>
      </w:tr>
      <w:tr w:rsidR="001F033F" w:rsidRPr="000740FC" w14:paraId="3B90DBEF"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5277B336" w14:textId="77777777" w:rsidR="001F033F" w:rsidRPr="000740FC" w:rsidDel="00CE268B" w:rsidRDefault="001F033F" w:rsidP="00705CE5">
            <w:pPr>
              <w:pStyle w:val="Textinthetable"/>
              <w:rPr>
                <w:lang w:val="en-AU"/>
              </w:rPr>
            </w:pPr>
            <w:r>
              <w:rPr>
                <w:lang w:val="en-AU"/>
              </w:rPr>
              <w:t>NTC</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5230558" w14:textId="77777777" w:rsidR="001F033F" w:rsidRPr="000740FC" w:rsidDel="00CE268B" w:rsidRDefault="001F033F" w:rsidP="00705CE5">
            <w:pPr>
              <w:pStyle w:val="Textinthetable"/>
              <w:rPr>
                <w:lang w:val="en-AU"/>
              </w:rPr>
            </w:pPr>
            <w:r>
              <w:rPr>
                <w:lang w:val="en-AU"/>
              </w:rPr>
              <w:t xml:space="preserve">Notional taxed contributions. </w:t>
            </w:r>
            <w:r>
              <w:t>R</w:t>
            </w:r>
            <w:r w:rsidRPr="00347D83">
              <w:t xml:space="preserve">epresent the notional superannuation contributions made by the State of Victoria on behalf of MPs in the </w:t>
            </w:r>
            <w:r>
              <w:t>Existing Benefits Scheme and New Benefits Scheme.</w:t>
            </w:r>
          </w:p>
        </w:tc>
      </w:tr>
      <w:tr w:rsidR="001F033F" w:rsidRPr="000740FC" w14:paraId="6908ECAF"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3F5226EE" w14:textId="77777777" w:rsidR="001F033F" w:rsidRPr="000740FC" w:rsidRDefault="001F033F" w:rsidP="00705CE5">
            <w:pPr>
              <w:pStyle w:val="Textinthetable"/>
              <w:rPr>
                <w:lang w:val="en-AU"/>
              </w:rPr>
            </w:pPr>
            <w:r>
              <w:rPr>
                <w:lang w:val="en-AU"/>
              </w:rPr>
              <w:t>p.a.</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4DAC60C3" w14:textId="77777777" w:rsidR="001F033F" w:rsidRPr="000740FC" w:rsidRDefault="001F033F" w:rsidP="00705CE5">
            <w:pPr>
              <w:pStyle w:val="Textinthetable"/>
              <w:rPr>
                <w:lang w:val="en-AU"/>
              </w:rPr>
            </w:pPr>
            <w:r>
              <w:rPr>
                <w:lang w:val="en-AU"/>
              </w:rPr>
              <w:t>Per annum</w:t>
            </w:r>
          </w:p>
        </w:tc>
      </w:tr>
      <w:tr w:rsidR="001F033F" w:rsidRPr="000740FC" w14:paraId="0682D8C8"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166CD93B" w14:textId="77777777" w:rsidR="001F033F" w:rsidRPr="000740FC" w:rsidRDefault="001F033F" w:rsidP="00705CE5">
            <w:pPr>
              <w:pStyle w:val="Textinthetable"/>
              <w:rPr>
                <w:lang w:val="en-AU"/>
              </w:rPr>
            </w:pPr>
            <w:r w:rsidRPr="000740FC">
              <w:rPr>
                <w:lang w:val="en-AU"/>
              </w:rPr>
              <w:t>Parliament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68D6763C" w14:textId="77777777" w:rsidR="001F033F" w:rsidRPr="000740FC" w:rsidRDefault="001F033F" w:rsidP="00705CE5">
            <w:pPr>
              <w:pStyle w:val="Textinthetable"/>
              <w:rPr>
                <w:lang w:val="en-AU"/>
              </w:rPr>
            </w:pPr>
            <w:r w:rsidRPr="000740FC">
              <w:rPr>
                <w:lang w:val="en-AU"/>
              </w:rPr>
              <w:t>Parliament of Victoria</w:t>
            </w:r>
          </w:p>
        </w:tc>
      </w:tr>
      <w:tr w:rsidR="001F033F" w:rsidRPr="000740FC" w14:paraId="78CA0EE1"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64C3233B" w14:textId="77777777" w:rsidR="001F033F" w:rsidRPr="000740FC" w:rsidRDefault="001F033F" w:rsidP="00705CE5">
            <w:pPr>
              <w:pStyle w:val="Textinthetable"/>
              <w:rPr>
                <w:lang w:val="en-AU"/>
              </w:rPr>
            </w:pPr>
            <w:r w:rsidRPr="000740FC">
              <w:rPr>
                <w:lang w:val="en-AU"/>
              </w:rPr>
              <w:t>PCSF</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2D2B7F94" w14:textId="77777777" w:rsidR="001F033F" w:rsidRPr="000740FC" w:rsidRDefault="001F033F" w:rsidP="00705CE5">
            <w:pPr>
              <w:pStyle w:val="Textinthetable"/>
              <w:rPr>
                <w:lang w:val="en-AU"/>
              </w:rPr>
            </w:pPr>
            <w:r w:rsidRPr="000740FC">
              <w:rPr>
                <w:lang w:val="en-AU"/>
              </w:rPr>
              <w:t>Parliamentary Contributory Superannuation Fund</w:t>
            </w:r>
            <w:r>
              <w:rPr>
                <w:lang w:val="en-AU"/>
              </w:rPr>
              <w:t>. T</w:t>
            </w:r>
            <w:r w:rsidRPr="000740FC">
              <w:rPr>
                <w:lang w:val="en-AU"/>
              </w:rPr>
              <w:t xml:space="preserve">he defined benefit fund which applies to MPs in the Existing </w:t>
            </w:r>
            <w:r>
              <w:rPr>
                <w:lang w:val="en-AU"/>
              </w:rPr>
              <w:t xml:space="preserve">Benefits Scheme </w:t>
            </w:r>
            <w:r w:rsidRPr="000740FC">
              <w:rPr>
                <w:lang w:val="en-AU"/>
              </w:rPr>
              <w:t>and New Benefits schemes</w:t>
            </w:r>
            <w:r>
              <w:rPr>
                <w:lang w:val="en-AU"/>
              </w:rPr>
              <w:t>.</w:t>
            </w:r>
            <w:r w:rsidRPr="000740FC">
              <w:rPr>
                <w:lang w:val="en-AU"/>
              </w:rPr>
              <w:t xml:space="preserve"> </w:t>
            </w:r>
          </w:p>
        </w:tc>
      </w:tr>
      <w:tr w:rsidR="001F033F" w:rsidRPr="000740FC" w14:paraId="40DE3DAE"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7AA9BDD4" w14:textId="77777777" w:rsidR="001F033F" w:rsidRPr="000740FC" w:rsidRDefault="001F033F" w:rsidP="00705CE5">
            <w:pPr>
              <w:pStyle w:val="Textinthetable"/>
              <w:rPr>
                <w:lang w:val="en-AU"/>
              </w:rPr>
            </w:pPr>
            <w:r>
              <w:rPr>
                <w:lang w:val="en-AU"/>
              </w:rPr>
              <w:t>Prescribed percentage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5CE46407" w14:textId="77777777" w:rsidR="001F033F" w:rsidRPr="000740FC" w:rsidRDefault="001F033F" w:rsidP="00705CE5">
            <w:pPr>
              <w:pStyle w:val="Textinthetable"/>
              <w:rPr>
                <w:lang w:val="en-AU"/>
              </w:rPr>
            </w:pPr>
            <w:r>
              <w:rPr>
                <w:lang w:val="en-AU"/>
              </w:rPr>
              <w:t>The rate of contributions payable to MPs in the accumulation scheme. Expressed as a percentage of the sum of basic and additional salary (15.5 per cent for the 2020-21 financial year).</w:t>
            </w:r>
          </w:p>
        </w:tc>
      </w:tr>
      <w:tr w:rsidR="001F033F" w:rsidRPr="000740FC" w14:paraId="0004B871"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8F10D96" w14:textId="77777777" w:rsidR="001F033F" w:rsidRDefault="001F033F" w:rsidP="00705CE5">
            <w:pPr>
              <w:pStyle w:val="Textinthetable"/>
              <w:rPr>
                <w:lang w:val="en-AU"/>
              </w:rPr>
            </w:pPr>
            <w:r>
              <w:rPr>
                <w:lang w:val="en-AU"/>
              </w:rPr>
              <w:t>Preservation age</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42A2F102" w14:textId="77777777" w:rsidR="001F033F" w:rsidRDefault="001F033F" w:rsidP="00705CE5">
            <w:pPr>
              <w:pStyle w:val="Textinthetable"/>
              <w:rPr>
                <w:lang w:val="en-AU"/>
              </w:rPr>
            </w:pPr>
            <w:r>
              <w:rPr>
                <w:lang w:val="en-AU"/>
              </w:rPr>
              <w:t>The age at which an individual can ordinarily access their superannuation for the first time. Ranges from 55 to 60 depending on date of birth.</w:t>
            </w:r>
          </w:p>
        </w:tc>
      </w:tr>
      <w:tr w:rsidR="001F033F" w:rsidRPr="000740FC" w14:paraId="2571707A"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50246AF1" w14:textId="77777777" w:rsidR="001F033F" w:rsidRPr="000740FC" w:rsidRDefault="001F033F" w:rsidP="00705CE5">
            <w:pPr>
              <w:pStyle w:val="Textinthetable"/>
              <w:rPr>
                <w:rFonts w:eastAsia="Arial Narrow"/>
                <w:lang w:val="en-AU"/>
              </w:rPr>
            </w:pPr>
            <w:r w:rsidRPr="000740FC">
              <w:rPr>
                <w:lang w:val="en-AU"/>
              </w:rPr>
              <w:t>PSAS Act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2027799E" w14:textId="77777777" w:rsidR="001F033F" w:rsidRPr="000740FC" w:rsidRDefault="001F033F" w:rsidP="00705CE5">
            <w:pPr>
              <w:pStyle w:val="Textinthetable"/>
              <w:rPr>
                <w:rFonts w:eastAsia="Arial Narrow"/>
                <w:lang w:val="en-AU"/>
              </w:rPr>
            </w:pPr>
            <w:r w:rsidRPr="00416163">
              <w:rPr>
                <w:i/>
                <w:iCs/>
                <w:lang w:val="en-AU"/>
              </w:rPr>
              <w:t>Parliamentary Salaries, Allowances and Superannuation Act</w:t>
            </w:r>
            <w:r w:rsidRPr="00416163">
              <w:rPr>
                <w:i/>
                <w:iCs/>
                <w:spacing w:val="-9"/>
                <w:lang w:val="en-AU"/>
              </w:rPr>
              <w:t xml:space="preserve"> </w:t>
            </w:r>
            <w:r w:rsidRPr="00416163">
              <w:rPr>
                <w:i/>
                <w:iCs/>
                <w:lang w:val="en-AU"/>
              </w:rPr>
              <w:t>1968</w:t>
            </w:r>
            <w:r w:rsidRPr="000740FC">
              <w:rPr>
                <w:lang w:val="en-AU"/>
              </w:rPr>
              <w:t xml:space="preserve"> (Vic)</w:t>
            </w:r>
          </w:p>
        </w:tc>
      </w:tr>
      <w:tr w:rsidR="001F033F" w:rsidRPr="000740FC" w14:paraId="76EE20F4"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0BF4B624" w14:textId="77777777" w:rsidR="001F033F" w:rsidRPr="000740FC" w:rsidRDefault="001F033F" w:rsidP="00705CE5">
            <w:pPr>
              <w:pStyle w:val="Textinthetable"/>
              <w:rPr>
                <w:lang w:val="en-AU"/>
              </w:rPr>
            </w:pPr>
            <w:r>
              <w:rPr>
                <w:lang w:val="en-AU"/>
              </w:rPr>
              <w:t>PSS Act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45FC30EF" w14:textId="77777777" w:rsidR="001F033F" w:rsidRPr="000740FC" w:rsidRDefault="001F033F" w:rsidP="00705CE5">
            <w:pPr>
              <w:pStyle w:val="Textinthetable"/>
              <w:rPr>
                <w:lang w:val="en-AU"/>
              </w:rPr>
            </w:pPr>
            <w:r w:rsidRPr="00416163">
              <w:rPr>
                <w:i/>
                <w:iCs/>
                <w:lang w:val="en-AU"/>
              </w:rPr>
              <w:t>Parliamentary Salaries and Superannuation Act 1968</w:t>
            </w:r>
            <w:r>
              <w:rPr>
                <w:lang w:val="en-AU"/>
              </w:rPr>
              <w:t xml:space="preserve"> (Vic) — Renamed the PSAS Act in 2019</w:t>
            </w:r>
          </w:p>
        </w:tc>
      </w:tr>
      <w:tr w:rsidR="001F033F" w:rsidRPr="000740FC" w14:paraId="34D6A1B2"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8733291" w14:textId="77777777" w:rsidR="001F033F" w:rsidRPr="000740FC" w:rsidRDefault="001F033F" w:rsidP="00705CE5">
            <w:pPr>
              <w:pStyle w:val="Textinthetable"/>
              <w:rPr>
                <w:lang w:val="en-AU"/>
              </w:rPr>
            </w:pPr>
            <w:r w:rsidRPr="000740FC">
              <w:rPr>
                <w:lang w:val="en-AU"/>
              </w:rPr>
              <w:t>Resettlement allowance (or equivalent)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6667BD50" w14:textId="77777777" w:rsidR="001F033F" w:rsidRPr="000740FC" w:rsidRDefault="001F033F" w:rsidP="00705CE5">
            <w:pPr>
              <w:pStyle w:val="Textinthetable"/>
              <w:rPr>
                <w:lang w:val="en-AU"/>
              </w:rPr>
            </w:pPr>
            <w:r w:rsidRPr="000740FC">
              <w:rPr>
                <w:lang w:val="en-AU"/>
              </w:rPr>
              <w:t>A payment made to eligible MPs in Australian jurisdictions (except for New South Wales and Tasmania) upon leaving Parliament. Eligibility criteria differs between jurisdictions</w:t>
            </w:r>
            <w:r>
              <w:rPr>
                <w:lang w:val="en-AU"/>
              </w:rPr>
              <w:t>.</w:t>
            </w:r>
          </w:p>
        </w:tc>
      </w:tr>
      <w:tr w:rsidR="001F033F" w:rsidRPr="000740FC" w14:paraId="01207E90"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905F844" w14:textId="77777777" w:rsidR="001F033F" w:rsidRPr="000740FC" w:rsidRDefault="001F033F" w:rsidP="00705CE5">
            <w:pPr>
              <w:pStyle w:val="Textinthetable"/>
              <w:rPr>
                <w:lang w:val="en-AU"/>
              </w:rPr>
            </w:pPr>
            <w:r w:rsidRPr="000740FC">
              <w:rPr>
                <w:lang w:val="en-AU"/>
              </w:rPr>
              <w:t>Separation payment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651210EF" w14:textId="77777777" w:rsidR="001F033F" w:rsidRPr="000740FC" w:rsidRDefault="001F033F" w:rsidP="00705CE5">
            <w:pPr>
              <w:pStyle w:val="Textinthetable"/>
              <w:rPr>
                <w:lang w:val="en-AU"/>
              </w:rPr>
            </w:pPr>
            <w:r w:rsidRPr="000740FC">
              <w:rPr>
                <w:lang w:val="en-AU"/>
              </w:rPr>
              <w:t>A payment made to a Victorian MP, who is not a member of a defined benefit scheme</w:t>
            </w:r>
            <w:r>
              <w:rPr>
                <w:lang w:val="en-AU"/>
              </w:rPr>
              <w:t>, upon leaving the Parliament for reasons other corrupt conduct or wilful breach of duties.</w:t>
            </w:r>
          </w:p>
        </w:tc>
      </w:tr>
      <w:tr w:rsidR="001F033F" w:rsidRPr="000740FC" w14:paraId="7942C6ED"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56A416B4" w14:textId="77777777" w:rsidR="001F033F" w:rsidRPr="000740FC" w:rsidRDefault="001F033F" w:rsidP="00705CE5">
            <w:pPr>
              <w:pStyle w:val="Textinthetable"/>
              <w:rPr>
                <w:lang w:val="en-AU"/>
              </w:rPr>
            </w:pPr>
            <w:r>
              <w:rPr>
                <w:lang w:val="en-AU"/>
              </w:rPr>
              <w:t>SMSF</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7007E0AA" w14:textId="77777777" w:rsidR="001F033F" w:rsidRPr="000740FC" w:rsidRDefault="001F033F" w:rsidP="00705CE5">
            <w:pPr>
              <w:pStyle w:val="Textinthetable"/>
              <w:rPr>
                <w:lang w:val="en-AU"/>
              </w:rPr>
            </w:pPr>
            <w:r>
              <w:t>S</w:t>
            </w:r>
            <w:r w:rsidRPr="000740FC">
              <w:t>elf-managed superannuation fund</w:t>
            </w:r>
          </w:p>
        </w:tc>
      </w:tr>
      <w:tr w:rsidR="001F033F" w:rsidRPr="000740FC" w14:paraId="451763AA" w14:textId="77777777" w:rsidTr="0074110E">
        <w:trPr>
          <w:gridAfter w:val="1"/>
          <w:cnfStyle w:val="000000100000" w:firstRow="0" w:lastRow="0" w:firstColumn="0" w:lastColumn="0" w:oddVBand="0" w:evenVBand="0" w:oddHBand="1" w:evenHBand="0" w:firstRowFirstColumn="0" w:firstRowLastColumn="0" w:lastRowFirstColumn="0" w:lastRowLastColumn="0"/>
          <w:wAfter w:w="107" w:type="dxa"/>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nil"/>
              <w:bottom w:val="single" w:sz="4" w:space="0" w:color="148A5D" w:themeColor="accent2"/>
            </w:tcBorders>
          </w:tcPr>
          <w:p w14:paraId="11D664F7" w14:textId="77777777" w:rsidR="001F033F" w:rsidRPr="002363DE" w:rsidRDefault="001F033F" w:rsidP="00705CE5">
            <w:pPr>
              <w:pStyle w:val="Textinthetable"/>
              <w:rPr>
                <w:lang w:val="en-AU"/>
              </w:rPr>
            </w:pPr>
            <w:r w:rsidRPr="002363DE">
              <w:rPr>
                <w:lang w:val="en-AU"/>
              </w:rPr>
              <w:t>Specified parliamentary office holder</w:t>
            </w:r>
          </w:p>
        </w:tc>
        <w:tc>
          <w:tcPr>
            <w:cnfStyle w:val="000100000000" w:firstRow="0" w:lastRow="0" w:firstColumn="0" w:lastColumn="1" w:oddVBand="0" w:evenVBand="0" w:oddHBand="0" w:evenHBand="0" w:firstRowFirstColumn="0" w:firstRowLastColumn="0" w:lastRowFirstColumn="0" w:lastRowLastColumn="0"/>
            <w:tcW w:w="6021" w:type="dxa"/>
            <w:tcBorders>
              <w:top w:val="nil"/>
              <w:bottom w:val="single" w:sz="4" w:space="0" w:color="148A5D" w:themeColor="accent2"/>
            </w:tcBorders>
          </w:tcPr>
          <w:p w14:paraId="68EC1CBD" w14:textId="59AB54DB" w:rsidR="001F033F" w:rsidRPr="002363DE" w:rsidRDefault="001F033F" w:rsidP="00705CE5">
            <w:pPr>
              <w:pStyle w:val="Textinthetable"/>
            </w:pPr>
            <w:r w:rsidRPr="002363DE">
              <w:rPr>
                <w:lang w:val="en-AU"/>
              </w:rPr>
              <w:t>Refers to an MP who holds a ‘specified parliamentary office’ under s3 of the VIRTIPS Act</w:t>
            </w:r>
            <w:r w:rsidR="00F3663E">
              <w:rPr>
                <w:lang w:val="en-AU"/>
              </w:rPr>
              <w:t>.</w:t>
            </w:r>
          </w:p>
        </w:tc>
      </w:tr>
      <w:tr w:rsidR="001F033F" w:rsidRPr="000740FC" w14:paraId="49B0A450"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nil"/>
              <w:bottom w:val="single" w:sz="4" w:space="0" w:color="148A5D" w:themeColor="accent2"/>
            </w:tcBorders>
          </w:tcPr>
          <w:p w14:paraId="2D5744E7" w14:textId="77777777" w:rsidR="001F033F" w:rsidRPr="000740FC" w:rsidRDefault="001F033F" w:rsidP="00705CE5">
            <w:pPr>
              <w:pStyle w:val="Textinthetable"/>
              <w:rPr>
                <w:lang w:val="en-AU"/>
              </w:rPr>
            </w:pPr>
            <w:r w:rsidRPr="000740FC">
              <w:rPr>
                <w:lang w:val="en-AU"/>
              </w:rPr>
              <w:t xml:space="preserve">Superannuation Guarantee (SG) </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nil"/>
              <w:bottom w:val="single" w:sz="4" w:space="0" w:color="148A5D" w:themeColor="accent2"/>
            </w:tcBorders>
          </w:tcPr>
          <w:p w14:paraId="07FB2B16" w14:textId="77777777" w:rsidR="001F033F" w:rsidRPr="000740FC" w:rsidRDefault="001F033F" w:rsidP="00705CE5">
            <w:pPr>
              <w:pStyle w:val="Textinthetable"/>
              <w:rPr>
                <w:lang w:val="en-AU"/>
              </w:rPr>
            </w:pPr>
            <w:r w:rsidRPr="000740FC">
              <w:rPr>
                <w:lang w:val="en-AU"/>
              </w:rPr>
              <w:t xml:space="preserve">The minimum rate of employer </w:t>
            </w:r>
            <w:r>
              <w:rPr>
                <w:lang w:val="en-AU"/>
              </w:rPr>
              <w:t>superannuation</w:t>
            </w:r>
            <w:r w:rsidRPr="000740FC">
              <w:rPr>
                <w:lang w:val="en-AU"/>
              </w:rPr>
              <w:t xml:space="preserve"> contributions</w:t>
            </w:r>
            <w:r>
              <w:rPr>
                <w:lang w:val="en-AU"/>
              </w:rPr>
              <w:t>,</w:t>
            </w:r>
            <w:r w:rsidRPr="000740FC">
              <w:rPr>
                <w:lang w:val="en-AU"/>
              </w:rPr>
              <w:t xml:space="preserve"> as specified in the </w:t>
            </w:r>
            <w:r w:rsidRPr="000740FC">
              <w:rPr>
                <w:i/>
                <w:iCs/>
                <w:lang w:val="en-AU"/>
              </w:rPr>
              <w:t>Superannuation Guarantee (Administration Act) 1992</w:t>
            </w:r>
            <w:r w:rsidRPr="000740FC">
              <w:rPr>
                <w:lang w:val="en-AU"/>
              </w:rPr>
              <w:t xml:space="preserve"> (Cth)</w:t>
            </w:r>
            <w:r>
              <w:rPr>
                <w:lang w:val="en-AU"/>
              </w:rPr>
              <w:t>. Expressed as a percentage of ordinary time earnings (9.5 per cent for the 2020-21 financial year).</w:t>
            </w:r>
          </w:p>
        </w:tc>
      </w:tr>
      <w:tr w:rsidR="001F033F" w:rsidRPr="000740FC" w14:paraId="009683C4" w14:textId="77777777" w:rsidTr="007411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189C692E" w14:textId="77777777" w:rsidR="001F033F" w:rsidRPr="000740FC" w:rsidRDefault="001F033F" w:rsidP="00705CE5">
            <w:pPr>
              <w:pStyle w:val="Textinthetable"/>
              <w:rPr>
                <w:lang w:val="en-AU"/>
              </w:rPr>
            </w:pPr>
            <w:r w:rsidRPr="000740FC">
              <w:rPr>
                <w:lang w:val="en-AU"/>
              </w:rPr>
              <w:t>Tribunal</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437BD490" w14:textId="77777777" w:rsidR="001F033F" w:rsidRPr="000740FC" w:rsidRDefault="001F033F" w:rsidP="00705CE5">
            <w:pPr>
              <w:pStyle w:val="Textinthetable"/>
              <w:rPr>
                <w:lang w:val="en-AU"/>
              </w:rPr>
            </w:pPr>
            <w:r w:rsidRPr="000740FC">
              <w:rPr>
                <w:lang w:val="en-AU"/>
              </w:rPr>
              <w:t>Victorian Independent Remuneration Tribunal</w:t>
            </w:r>
          </w:p>
        </w:tc>
      </w:tr>
      <w:tr w:rsidR="001F033F" w:rsidRPr="000740FC" w14:paraId="537E9983" w14:textId="77777777" w:rsidTr="0074110E">
        <w:trPr>
          <w:trHeight w:val="397"/>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148A5D" w:themeColor="accent2"/>
              <w:bottom w:val="single" w:sz="4" w:space="0" w:color="148A5D" w:themeColor="accent2"/>
            </w:tcBorders>
          </w:tcPr>
          <w:p w14:paraId="29499573" w14:textId="77777777" w:rsidR="001F033F" w:rsidRPr="000740FC" w:rsidRDefault="001F033F" w:rsidP="00705CE5">
            <w:pPr>
              <w:pStyle w:val="Textinthetable"/>
              <w:rPr>
                <w:lang w:val="en-AU"/>
              </w:rPr>
            </w:pPr>
            <w:r w:rsidRPr="000740FC">
              <w:rPr>
                <w:lang w:val="en-AU"/>
              </w:rPr>
              <w:t>VIRTIPS Act</w:t>
            </w:r>
          </w:p>
        </w:tc>
        <w:tc>
          <w:tcPr>
            <w:cnfStyle w:val="000100000000" w:firstRow="0" w:lastRow="0" w:firstColumn="0" w:lastColumn="1" w:oddVBand="0" w:evenVBand="0" w:oddHBand="0" w:evenHBand="0" w:firstRowFirstColumn="0" w:firstRowLastColumn="0" w:lastRowFirstColumn="0" w:lastRowLastColumn="0"/>
            <w:tcW w:w="6128" w:type="dxa"/>
            <w:gridSpan w:val="2"/>
            <w:tcBorders>
              <w:top w:val="single" w:sz="4" w:space="0" w:color="148A5D" w:themeColor="accent2"/>
              <w:bottom w:val="single" w:sz="4" w:space="0" w:color="148A5D" w:themeColor="accent2"/>
            </w:tcBorders>
          </w:tcPr>
          <w:p w14:paraId="06F72CCE" w14:textId="77777777" w:rsidR="001F033F" w:rsidRPr="000740FC" w:rsidRDefault="001F033F" w:rsidP="00705CE5">
            <w:pPr>
              <w:pStyle w:val="Textinthetable"/>
              <w:rPr>
                <w:lang w:val="en-AU"/>
              </w:rPr>
            </w:pPr>
            <w:r w:rsidRPr="00416163">
              <w:rPr>
                <w:i/>
                <w:iCs/>
                <w:lang w:val="en-AU"/>
              </w:rPr>
              <w:t>Victorian Independent Remuneration Tribunal and Improving Parliamentary Standards Act 2019</w:t>
            </w:r>
            <w:r w:rsidRPr="000740FC">
              <w:rPr>
                <w:lang w:val="en-AU"/>
              </w:rPr>
              <w:t xml:space="preserve"> (Vic) </w:t>
            </w:r>
          </w:p>
        </w:tc>
      </w:tr>
    </w:tbl>
    <w:p w14:paraId="5622E542" w14:textId="77777777" w:rsidR="008F51B2" w:rsidRDefault="008F51B2" w:rsidP="00CC2991">
      <w:pPr>
        <w:pStyle w:val="Paragraph"/>
        <w:ind w:firstLine="720"/>
        <w:rPr>
          <w:rFonts w:asciiTheme="minorHAnsi" w:eastAsiaTheme="minorHAnsi" w:hAnsiTheme="minorHAnsi" w:cs="Times New Roman (Body CS)"/>
          <w:noProof/>
          <w:color w:val="26664E" w:themeColor="accent1"/>
          <w:sz w:val="72"/>
          <w:szCs w:val="36"/>
          <w:lang w:eastAsia="en-AU"/>
        </w:rPr>
      </w:pPr>
    </w:p>
    <w:p w14:paraId="5129F9A8" w14:textId="44AF95CE" w:rsidR="008F51B2" w:rsidRDefault="008F51B2" w:rsidP="00CC2991">
      <w:pPr>
        <w:pStyle w:val="Paragraph"/>
        <w:tabs>
          <w:tab w:val="left" w:pos="730"/>
        </w:tabs>
        <w:sectPr w:rsidR="008F51B2" w:rsidSect="008F51B2">
          <w:footerReference w:type="first" r:id="rId31"/>
          <w:type w:val="oddPage"/>
          <w:pgSz w:w="11900" w:h="16840"/>
          <w:pgMar w:top="1701" w:right="1701" w:bottom="1559" w:left="1701" w:header="709" w:footer="709" w:gutter="0"/>
          <w:pgNumType w:start="1"/>
          <w:cols w:space="708"/>
          <w:titlePg/>
          <w:docGrid w:linePitch="299"/>
        </w:sectPr>
      </w:pPr>
    </w:p>
    <w:p w14:paraId="25960243" w14:textId="195D526F" w:rsidR="7C812097" w:rsidRPr="000740FC" w:rsidRDefault="2D8DDA82" w:rsidP="00076456">
      <w:pPr>
        <w:pStyle w:val="ChapterHeading0"/>
        <w:rPr>
          <w:lang w:val="en-AU"/>
        </w:rPr>
      </w:pPr>
      <w:bookmarkStart w:id="16" w:name="_Toc51234116"/>
      <w:r w:rsidRPr="000740FC">
        <w:rPr>
          <w:lang w:val="en-AU"/>
        </w:rPr>
        <w:lastRenderedPageBreak/>
        <w:t>Executive Summary</w:t>
      </w:r>
      <w:r w:rsidR="000057B2" w:rsidRPr="000740FC">
        <w:rPr>
          <w:lang w:val="en-AU"/>
        </w:rPr>
        <w:br/>
      </w:r>
      <w:r w:rsidR="000057B2" w:rsidRPr="000740FC">
        <w:rPr>
          <w:lang w:val="en-AU"/>
        </w:rPr>
        <w:drawing>
          <wp:inline distT="0" distB="0" distL="0" distR="0" wp14:anchorId="436C166D" wp14:editId="24A51F34">
            <wp:extent cx="2218055" cy="254635"/>
            <wp:effectExtent l="0" t="0" r="0" b="0"/>
            <wp:docPr id="1398068749" name="Picture 139806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5"/>
      <w:bookmarkEnd w:id="16"/>
    </w:p>
    <w:p w14:paraId="0D868AA3" w14:textId="77777777" w:rsidR="005A3CA1" w:rsidRDefault="005A3CA1" w:rsidP="00B33183">
      <w:pPr>
        <w:pStyle w:val="Paragraph"/>
      </w:pPr>
      <w:bookmarkStart w:id="17" w:name="_Toc19554262"/>
      <w:bookmarkStart w:id="18" w:name="_Toc33609442"/>
      <w:bookmarkStart w:id="19" w:name="_Toc35006356"/>
      <w:bookmarkStart w:id="20" w:name="_Toc344541"/>
      <w:bookmarkStart w:id="21" w:name="_Toc5783357"/>
      <w:r>
        <w:t xml:space="preserve">Superannuation arrangements for existing and former Members of the Parliament of Victoria (MPs) largely depend on the date they first entered Parliament. </w:t>
      </w:r>
    </w:p>
    <w:p w14:paraId="7D813726" w14:textId="746CD73B" w:rsidR="005A3CA1" w:rsidRDefault="005A3CA1" w:rsidP="00B33183">
      <w:pPr>
        <w:pStyle w:val="Paragraph"/>
      </w:pPr>
      <w:r>
        <w:t>Until late 2004 MPs were members of defined benefit superannuation schemes. In 2004 these defined benefit schemes were closed to new members and replaced with an accumulation superannuation scheme. Existing and former members of the defined benefi</w:t>
      </w:r>
      <w:r w:rsidR="00737D79">
        <w:t>t</w:t>
      </w:r>
      <w:r>
        <w:t xml:space="preserve"> schemes retained their entitlements when the schemes were closed. From late 2004 new MPs were members of the accumulation scheme.</w:t>
      </w:r>
    </w:p>
    <w:p w14:paraId="612DA5E3" w14:textId="2727F8FB" w:rsidR="005A3CA1" w:rsidRDefault="005A3CA1" w:rsidP="00B33183">
      <w:pPr>
        <w:pStyle w:val="Paragraph"/>
      </w:pPr>
      <w:r>
        <w:t xml:space="preserve">Part 3 of the </w:t>
      </w:r>
      <w:r w:rsidRPr="00441DAE">
        <w:rPr>
          <w:i/>
          <w:iCs/>
        </w:rPr>
        <w:t>Parliamentary Salaries, Allowances and Superannuation Act 1</w:t>
      </w:r>
      <w:r>
        <w:rPr>
          <w:i/>
          <w:iCs/>
        </w:rPr>
        <w:t>9</w:t>
      </w:r>
      <w:r w:rsidRPr="00441DAE">
        <w:rPr>
          <w:i/>
          <w:iCs/>
        </w:rPr>
        <w:t>68</w:t>
      </w:r>
      <w:r>
        <w:rPr>
          <w:i/>
          <w:iCs/>
        </w:rPr>
        <w:t xml:space="preserve"> </w:t>
      </w:r>
      <w:r w:rsidRPr="00132F07">
        <w:t>(Vic)</w:t>
      </w:r>
      <w:r>
        <w:t xml:space="preserve"> (PSAS Act) prov</w:t>
      </w:r>
      <w:r w:rsidR="00EE527E">
        <w:t>id</w:t>
      </w:r>
      <w:r>
        <w:t>es the rules for the defined benefit schemes and Part 4 of the PSAS Act provides the rules for the accumulation scheme.</w:t>
      </w:r>
    </w:p>
    <w:p w14:paraId="2F41E3B0" w14:textId="77777777" w:rsidR="005A3CA1" w:rsidRDefault="005A3CA1" w:rsidP="00B33183">
      <w:pPr>
        <w:pStyle w:val="Paragraph"/>
      </w:pPr>
      <w:r w:rsidRPr="00E61042">
        <w:t xml:space="preserve">Seventeen existing MPs are members of </w:t>
      </w:r>
      <w:r>
        <w:t>defined benefit schemes</w:t>
      </w:r>
      <w:r w:rsidRPr="00E61042">
        <w:t xml:space="preserve"> and all other existing MPs are members of the accumulation scheme.</w:t>
      </w:r>
      <w:r>
        <w:t xml:space="preserve"> </w:t>
      </w:r>
    </w:p>
    <w:p w14:paraId="0DC891D6" w14:textId="70CCFE59" w:rsidR="005A3CA1" w:rsidRDefault="005A3CA1" w:rsidP="00B33183">
      <w:pPr>
        <w:pStyle w:val="Paragraph"/>
      </w:pPr>
      <w:r>
        <w:t xml:space="preserve">The Victorian Independent Remuneration Tribunal (Tribunal) was tasked under section 39 of the </w:t>
      </w:r>
      <w:r w:rsidRPr="005A7DD2">
        <w:rPr>
          <w:i/>
          <w:iCs/>
        </w:rPr>
        <w:t>Victorian Independent Remuneration Tribunal and Improving Parliamentary Standards Act</w:t>
      </w:r>
      <w:r>
        <w:rPr>
          <w:i/>
          <w:iCs/>
        </w:rPr>
        <w:t xml:space="preserve"> 2019</w:t>
      </w:r>
      <w:r w:rsidRPr="005A3CA1">
        <w:t xml:space="preserve"> (Vic)</w:t>
      </w:r>
      <w:r>
        <w:t xml:space="preserve"> (VIRTIPS Act) with reviewing and reporting on the superannuation arrangements for MPs, including on potential inequalities and irregularities between the arrangements. In conducting the review, </w:t>
      </w:r>
      <w:r w:rsidRPr="004B129D">
        <w:t xml:space="preserve">the Tribunal </w:t>
      </w:r>
      <w:r>
        <w:t xml:space="preserve">was required </w:t>
      </w:r>
      <w:r w:rsidRPr="004B129D">
        <w:t xml:space="preserve">not </w:t>
      </w:r>
      <w:r>
        <w:t xml:space="preserve">to </w:t>
      </w:r>
      <w:r w:rsidRPr="004B129D">
        <w:t>consider any option that would result in an existing or former MP being in a less favourable position overall (s39(2)).</w:t>
      </w:r>
    </w:p>
    <w:p w14:paraId="628F6960" w14:textId="40CE8EEB" w:rsidR="005A3CA1" w:rsidRDefault="005A3CA1" w:rsidP="00076456">
      <w:pPr>
        <w:pStyle w:val="Paragraph"/>
      </w:pPr>
      <w:r>
        <w:t>As part of the review, the Tribunal published an Issues Paper in May 2020 and sought submissions from</w:t>
      </w:r>
      <w:r w:rsidRPr="00076456">
        <w:t xml:space="preserve"> </w:t>
      </w:r>
      <w:r w:rsidR="6E7F84E8" w:rsidRPr="00076456">
        <w:t>affected or</w:t>
      </w:r>
      <w:r w:rsidR="6E7F84E8" w:rsidRPr="00076456">
        <w:rPr>
          <w:color w:val="FF0000"/>
        </w:rPr>
        <w:t xml:space="preserve"> </w:t>
      </w:r>
      <w:r>
        <w:t>interested persons or parties. The Tribunal received three submissions and also consulted with a consultative committee comprised of MPs from across the Parliament</w:t>
      </w:r>
      <w:r w:rsidR="00285369">
        <w:t xml:space="preserve"> of Victoria (Parliament)</w:t>
      </w:r>
      <w:r>
        <w:t>.</w:t>
      </w:r>
    </w:p>
    <w:p w14:paraId="443111B3" w14:textId="0F09E4E8" w:rsidR="00DA429E" w:rsidRDefault="009815AE" w:rsidP="00B33183">
      <w:pPr>
        <w:pStyle w:val="Parabeforeabulletlist"/>
      </w:pPr>
      <w:r>
        <w:t>The Tribunal considered:</w:t>
      </w:r>
    </w:p>
    <w:p w14:paraId="14BCD19F" w14:textId="0E89F051" w:rsidR="00C747F0" w:rsidRDefault="00C747F0" w:rsidP="00C747F0">
      <w:pPr>
        <w:pStyle w:val="VIRTBulletpoints"/>
      </w:pPr>
      <w:r>
        <w:t xml:space="preserve">the superannuation arrangements for Victorian MPs, including their history, the nature of the defined benefit schemes (the Existing Benefits Scheme which was closed to new members in July 1996 and the New Benefits Scheme which was closed to new members in November 2004) and the accumulation </w:t>
      </w:r>
      <w:r>
        <w:lastRenderedPageBreak/>
        <w:t>scheme, the contributions required to be made to those schemes and their respective superannuation payments</w:t>
      </w:r>
    </w:p>
    <w:p w14:paraId="2AC27BF5" w14:textId="77777777" w:rsidR="00C747F0" w:rsidRDefault="00C747F0" w:rsidP="00C747F0">
      <w:pPr>
        <w:pStyle w:val="VIRTBulletpoints"/>
      </w:pPr>
      <w:r>
        <w:t>the superannuation arrangements for other Australians, including MPs in other jurisdictions and employees in the public and private sectors</w:t>
      </w:r>
    </w:p>
    <w:p w14:paraId="67D18C1A" w14:textId="5DED9E34" w:rsidR="009815AE" w:rsidRDefault="00C747F0" w:rsidP="00C747F0">
      <w:pPr>
        <w:pStyle w:val="VIRTBulletpoints"/>
      </w:pPr>
      <w:r>
        <w:t>the qualitative and quantitative differences between the superannuation schemes for Victorian MPs and the potential inequalities and irregularities between the schemes.</w:t>
      </w:r>
    </w:p>
    <w:p w14:paraId="0DB130F4" w14:textId="1094E8A5" w:rsidR="00FD31B8" w:rsidRDefault="00FD31B8" w:rsidP="00B33183">
      <w:pPr>
        <w:pStyle w:val="Paragraph"/>
      </w:pPr>
      <w:r>
        <w:t>Further, actuarial modelling on the quantitative differences between the schemes shows that in general the New Benefit</w:t>
      </w:r>
      <w:r w:rsidR="0047255B">
        <w:t>s</w:t>
      </w:r>
      <w:r>
        <w:t xml:space="preserve"> Scheme provides an MP with a significantly greater superannuation </w:t>
      </w:r>
      <w:r w:rsidR="00076456">
        <w:t xml:space="preserve">benefit </w:t>
      </w:r>
      <w:r>
        <w:t>th</w:t>
      </w:r>
      <w:r w:rsidR="00076456">
        <w:t>a</w:t>
      </w:r>
      <w:r>
        <w:t xml:space="preserve">n the accumulation scheme. </w:t>
      </w:r>
    </w:p>
    <w:p w14:paraId="2C9DB492" w14:textId="65886161" w:rsidR="00FD31B8" w:rsidRDefault="00FD31B8" w:rsidP="00B33183">
      <w:pPr>
        <w:pStyle w:val="Paragraph"/>
      </w:pPr>
      <w:r>
        <w:t xml:space="preserve">The Tribunal considered several options to address the inequalities arising from the significant qualitative and quantitative differences between the superannuation schemes for MPs. These options included increasing the superannuation contributions made for MPs in the accumulation scheme, opening or re-opening defined benefit schemes to existing and future MPs, increasing the separation payment for MPs </w:t>
      </w:r>
      <w:r w:rsidR="00CE4D92">
        <w:t>in</w:t>
      </w:r>
      <w:r>
        <w:t xml:space="preserve"> the accumulation scheme and compensating MPs in the accumulation scheme for the difference between expected superannuation </w:t>
      </w:r>
      <w:r w:rsidR="00582D95">
        <w:t>benefits</w:t>
      </w:r>
      <w:r>
        <w:t xml:space="preserve"> under each scheme when they leave</w:t>
      </w:r>
      <w:r w:rsidR="000A2B24">
        <w:t xml:space="preserve"> the</w:t>
      </w:r>
      <w:r>
        <w:t xml:space="preserve"> Parliament. </w:t>
      </w:r>
    </w:p>
    <w:p w14:paraId="39251E6E" w14:textId="74F4F77C" w:rsidR="00FD31B8" w:rsidRDefault="00FD31B8" w:rsidP="00B33183">
      <w:pPr>
        <w:pStyle w:val="Parabeforeabulletlist"/>
      </w:pPr>
      <w:r w:rsidRPr="00A47BBC">
        <w:t xml:space="preserve">The Tribunal considers that it would </w:t>
      </w:r>
      <w:r>
        <w:t xml:space="preserve">be </w:t>
      </w:r>
      <w:r w:rsidRPr="00A47BBC">
        <w:t xml:space="preserve">out of step with </w:t>
      </w:r>
      <w:r>
        <w:t xml:space="preserve">superannuation </w:t>
      </w:r>
      <w:r w:rsidRPr="00A47BBC">
        <w:t>arrangements in the broader economy</w:t>
      </w:r>
      <w:r>
        <w:t xml:space="preserve">, including for MPs in other jurisdictions and the Victorian public sector, </w:t>
      </w:r>
      <w:r w:rsidRPr="00A47BBC">
        <w:t xml:space="preserve">and with community </w:t>
      </w:r>
      <w:r>
        <w:t>standards to:</w:t>
      </w:r>
    </w:p>
    <w:p w14:paraId="7404769F" w14:textId="77777777" w:rsidR="004C091B" w:rsidRPr="004C091B" w:rsidRDefault="004C091B" w:rsidP="004C091B">
      <w:pPr>
        <w:pStyle w:val="VIRTBulletpoints"/>
      </w:pPr>
      <w:r w:rsidRPr="004C091B">
        <w:t>open (or re-open) a defined benefit scheme for MPs not currently entitled to such a scheme; or</w:t>
      </w:r>
    </w:p>
    <w:p w14:paraId="6A47AF57" w14:textId="3B7758A5" w:rsidR="004C091B" w:rsidRPr="004C091B" w:rsidRDefault="004C091B" w:rsidP="004C091B">
      <w:pPr>
        <w:pStyle w:val="VIRTBulletpoints"/>
      </w:pPr>
      <w:r w:rsidRPr="004C091B">
        <w:t xml:space="preserve">increase the superannuation </w:t>
      </w:r>
      <w:r w:rsidR="00B96941">
        <w:t>benefits</w:t>
      </w:r>
      <w:r w:rsidRPr="004C091B">
        <w:t xml:space="preserve"> of MPs in the accumulation scheme above the </w:t>
      </w:r>
      <w:r w:rsidR="00B96941">
        <w:t>benefits</w:t>
      </w:r>
      <w:r w:rsidRPr="004C091B">
        <w:t xml:space="preserve"> they already receive; or </w:t>
      </w:r>
    </w:p>
    <w:p w14:paraId="5B1E86ED" w14:textId="77777777" w:rsidR="004C091B" w:rsidRPr="004C091B" w:rsidRDefault="004C091B" w:rsidP="004C091B">
      <w:pPr>
        <w:pStyle w:val="VIRTBulletpoints"/>
      </w:pPr>
      <w:r w:rsidRPr="004C091B">
        <w:t xml:space="preserve">increase the separation payment for MPs in the accumulation scheme. </w:t>
      </w:r>
    </w:p>
    <w:p w14:paraId="5608D4A1" w14:textId="32DC5C51" w:rsidR="00D078B3" w:rsidRDefault="2AD2AEBB" w:rsidP="00B33183">
      <w:pPr>
        <w:pStyle w:val="Paragraph"/>
      </w:pPr>
      <w:r>
        <w:t xml:space="preserve">On this basis, </w:t>
      </w:r>
      <w:r w:rsidR="641ACD5A">
        <w:t>the Tribunal recommend</w:t>
      </w:r>
      <w:r w:rsidR="643E4A5E">
        <w:t>s</w:t>
      </w:r>
      <w:r w:rsidR="641ACD5A">
        <w:t xml:space="preserve"> that there be no changes </w:t>
      </w:r>
      <w:r w:rsidR="003952AD">
        <w:t>t</w:t>
      </w:r>
      <w:r w:rsidR="641ACD5A">
        <w:t>o the superannuation arrangements for Victorian MPs at this time</w:t>
      </w:r>
      <w:r w:rsidR="4A550E76">
        <w:t>, notwithstanding the inequalities between the schemes.</w:t>
      </w:r>
      <w:r w:rsidR="641ACD5A">
        <w:t xml:space="preserve"> </w:t>
      </w:r>
    </w:p>
    <w:p w14:paraId="3FFB410F" w14:textId="1122DCC9" w:rsidR="002C0199" w:rsidRDefault="002C0199" w:rsidP="00B33183">
      <w:pPr>
        <w:pStyle w:val="Paragraph"/>
      </w:pPr>
      <w:r w:rsidRPr="00401B2A">
        <w:t>Nonetheless, the Tribunal recognised that some MPs may still face the risk of inadequate retirement income, if they lose their seat early on in their parliamentary careers and are unable to accumulate sufficient superannuation contributions by other means</w:t>
      </w:r>
      <w:r w:rsidR="00CE4D92">
        <w:t>.</w:t>
      </w:r>
      <w:r w:rsidRPr="00401B2A">
        <w:t xml:space="preserve"> </w:t>
      </w:r>
      <w:r w:rsidR="00CE4D92">
        <w:t>E</w:t>
      </w:r>
      <w:r w:rsidRPr="00401B2A">
        <w:t xml:space="preserve">nhanced transitional support could help existing and former MPs in this regard by </w:t>
      </w:r>
      <w:r>
        <w:t>assist</w:t>
      </w:r>
      <w:r w:rsidR="3DCD8A6C">
        <w:t>ing</w:t>
      </w:r>
      <w:r w:rsidRPr="00401B2A">
        <w:t xml:space="preserve"> them in finding further employment.</w:t>
      </w:r>
      <w:r w:rsidR="00076456">
        <w:t xml:space="preserve"> </w:t>
      </w:r>
      <w:r w:rsidR="00076456">
        <w:lastRenderedPageBreak/>
        <w:t>The Tribunal has made recommendations that such enhanced transitional support be funded by the State and developed in consultation with key stakeholders.</w:t>
      </w:r>
    </w:p>
    <w:p w14:paraId="6F115D42" w14:textId="017CCF35" w:rsidR="008E5D82" w:rsidRPr="00A13E6A" w:rsidRDefault="008E5D82" w:rsidP="00B33183">
      <w:pPr>
        <w:pStyle w:val="Parabeforeabulletlist"/>
      </w:pPr>
      <w:r w:rsidRPr="00A13E6A">
        <w:t xml:space="preserve">The Tribunal also considered potential irregularities </w:t>
      </w:r>
      <w:r w:rsidR="00CE4D92">
        <w:t xml:space="preserve">in relation </w:t>
      </w:r>
      <w:r w:rsidRPr="00A13E6A">
        <w:t>to:</w:t>
      </w:r>
    </w:p>
    <w:p w14:paraId="08339D00" w14:textId="28A6EA57" w:rsidR="008E5D82" w:rsidRPr="002E1BF8" w:rsidRDefault="008E5D82" w:rsidP="002E1BF8">
      <w:pPr>
        <w:pStyle w:val="VIRTBulletpoints"/>
      </w:pPr>
      <w:r w:rsidRPr="002E1BF8">
        <w:t>the calculation of</w:t>
      </w:r>
      <w:r w:rsidR="63697AB1">
        <w:t>,</w:t>
      </w:r>
      <w:r w:rsidRPr="002E1BF8">
        <w:t xml:space="preserve"> and indexation arrangements for</w:t>
      </w:r>
      <w:r w:rsidR="1060EF22">
        <w:t>,</w:t>
      </w:r>
      <w:r w:rsidRPr="002E1BF8">
        <w:t xml:space="preserve"> the basic salary portion (BSP)</w:t>
      </w:r>
    </w:p>
    <w:p w14:paraId="30B294F3" w14:textId="3E2BC636" w:rsidR="00FE5897" w:rsidRDefault="6ABD5B64" w:rsidP="002E1BF8">
      <w:pPr>
        <w:pStyle w:val="VIRTBulletpoints"/>
      </w:pPr>
      <w:r>
        <w:t>the interaction of Commonwealth taxation legislation with the MP superannuation schemes, in particular the impact of the concessional contributions cap on MPs in the accumulation scheme and the effect of superannuation balance limits on M</w:t>
      </w:r>
      <w:r w:rsidRPr="00F86AC2">
        <w:t>Ps in the New Be</w:t>
      </w:r>
      <w:r>
        <w:t>nefits Scheme.</w:t>
      </w:r>
    </w:p>
    <w:p w14:paraId="56A35868" w14:textId="76845B97" w:rsidR="00076456" w:rsidRPr="007D0325" w:rsidRDefault="4A550E76" w:rsidP="00076456">
      <w:pPr>
        <w:pStyle w:val="Paragraph"/>
      </w:pPr>
      <w:r>
        <w:t xml:space="preserve">However, the potential irregularities </w:t>
      </w:r>
      <w:r w:rsidRPr="003952AD">
        <w:t>relating to the BSP were evident when the Tribunal made its Determination on the BSP in 2019</w:t>
      </w:r>
      <w:r w:rsidR="2A23CF2F" w:rsidRPr="003952AD">
        <w:t xml:space="preserve"> </w:t>
      </w:r>
      <w:r w:rsidR="2215D4FB" w:rsidRPr="003952AD">
        <w:t>(</w:t>
      </w:r>
      <w:r w:rsidR="2215D4FB" w:rsidRPr="00C2308F">
        <w:rPr>
          <w:i/>
          <w:iCs/>
        </w:rPr>
        <w:t>Members of Parliament (Victoria) Determination</w:t>
      </w:r>
      <w:r w:rsidR="5A81D777" w:rsidRPr="00C2308F">
        <w:rPr>
          <w:i/>
          <w:iCs/>
        </w:rPr>
        <w:t xml:space="preserve"> 01/2019</w:t>
      </w:r>
      <w:r w:rsidR="5A81D777" w:rsidRPr="003952AD">
        <w:t>)</w:t>
      </w:r>
      <w:r w:rsidRPr="003952AD">
        <w:t xml:space="preserve"> and there </w:t>
      </w:r>
      <w:r w:rsidR="00D56496" w:rsidRPr="003952AD">
        <w:t>were no submissions suggesting changes to existing arrangements to address</w:t>
      </w:r>
      <w:r w:rsidRPr="003952AD">
        <w:t xml:space="preserve"> the potential</w:t>
      </w:r>
      <w:r>
        <w:t xml:space="preserve"> irregularities arising from taxation</w:t>
      </w:r>
      <w:r w:rsidR="009D1F85">
        <w:t>,</w:t>
      </w:r>
      <w:r>
        <w:t xml:space="preserve"> making the necessity and effect of options to deal with them uncertain. The Tribunal has also recommended that there be no changes to the superannuation arrangements for MPs at this time, in relation to these irregularities.</w:t>
      </w:r>
    </w:p>
    <w:p w14:paraId="305FE826" w14:textId="0B6F06A5" w:rsidR="00076456" w:rsidRPr="002E1BF8" w:rsidRDefault="00076456" w:rsidP="00076456">
      <w:pPr>
        <w:pStyle w:val="Paragraph"/>
      </w:pPr>
      <w:r>
        <w:t>The findings and conclusions of the Tribunal, together with the recommendations in the Tribunal’s report, are more broadly set out below</w:t>
      </w:r>
      <w:r w:rsidR="00724300">
        <w:t>.</w:t>
      </w:r>
    </w:p>
    <w:p w14:paraId="479E05B4" w14:textId="38E4BED4" w:rsidR="00FE5897" w:rsidRPr="000740FC" w:rsidRDefault="00D50374" w:rsidP="00FE5897">
      <w:pPr>
        <w:pStyle w:val="VIRTHeading2"/>
        <w:rPr>
          <w:lang w:val="en-AU"/>
        </w:rPr>
      </w:pPr>
      <w:bookmarkStart w:id="22" w:name="_Toc49940525"/>
      <w:bookmarkStart w:id="23" w:name="_Toc50990408"/>
      <w:bookmarkStart w:id="24" w:name="_Toc51234117"/>
      <w:r>
        <w:rPr>
          <w:lang w:val="en-AU"/>
        </w:rPr>
        <w:t xml:space="preserve">Superannuation </w:t>
      </w:r>
      <w:r w:rsidR="133B837F" w:rsidRPr="395A6FB9">
        <w:rPr>
          <w:lang w:val="en-AU"/>
        </w:rPr>
        <w:t>a</w:t>
      </w:r>
      <w:r w:rsidRPr="395A6FB9">
        <w:rPr>
          <w:lang w:val="en-AU"/>
        </w:rPr>
        <w:t>rrangements</w:t>
      </w:r>
      <w:r>
        <w:rPr>
          <w:lang w:val="en-AU"/>
        </w:rPr>
        <w:t xml:space="preserve"> for </w:t>
      </w:r>
      <w:r w:rsidR="00D44F65">
        <w:rPr>
          <w:lang w:val="en-AU"/>
        </w:rPr>
        <w:t xml:space="preserve">Victorian </w:t>
      </w:r>
      <w:r>
        <w:rPr>
          <w:lang w:val="en-AU"/>
        </w:rPr>
        <w:t>MPs</w:t>
      </w:r>
      <w:bookmarkEnd w:id="22"/>
      <w:bookmarkEnd w:id="23"/>
      <w:bookmarkEnd w:id="24"/>
    </w:p>
    <w:p w14:paraId="144DB697" w14:textId="51CB2756" w:rsidR="00FE5897" w:rsidRPr="000740FC" w:rsidRDefault="00255F14" w:rsidP="00B33183">
      <w:pPr>
        <w:pStyle w:val="Paragraph"/>
      </w:pPr>
      <w:r>
        <w:t xml:space="preserve">Existing and former Victorian MPs are members of </w:t>
      </w:r>
      <w:r w:rsidR="00CE4D92">
        <w:t xml:space="preserve">either </w:t>
      </w:r>
      <w:r>
        <w:t>a defined benefit scheme or an accumulation scheme.</w:t>
      </w:r>
      <w:r w:rsidR="00FE5897" w:rsidRPr="000740FC">
        <w:t xml:space="preserve"> </w:t>
      </w:r>
    </w:p>
    <w:p w14:paraId="04627D6D" w14:textId="624BAF6C" w:rsidR="00FE5897" w:rsidRPr="000740FC" w:rsidRDefault="00FE5897" w:rsidP="00FE5897">
      <w:pPr>
        <w:pStyle w:val="VIRTHeading3"/>
        <w:keepNext/>
        <w:rPr>
          <w:lang w:val="en-AU"/>
        </w:rPr>
      </w:pPr>
      <w:r w:rsidRPr="000740FC">
        <w:rPr>
          <w:lang w:val="en-AU"/>
        </w:rPr>
        <w:t>Defined benefit schemes</w:t>
      </w:r>
    </w:p>
    <w:p w14:paraId="1FAA101D" w14:textId="77777777" w:rsidR="00A304F7" w:rsidRDefault="00A304F7" w:rsidP="00B33183">
      <w:pPr>
        <w:pStyle w:val="Paragraph"/>
      </w:pPr>
      <w:r w:rsidRPr="0071258E">
        <w:t>A defined benefit scheme guarantees its members a defined (i.e. fixed) benefit upon retirement, such as a pension or lump sum.</w:t>
      </w:r>
    </w:p>
    <w:p w14:paraId="5A38D903" w14:textId="77777777" w:rsidR="00A304F7" w:rsidRPr="00E61042" w:rsidRDefault="00A304F7" w:rsidP="00B33183">
      <w:pPr>
        <w:pStyle w:val="Parabeforeabulletlist"/>
      </w:pPr>
      <w:r w:rsidRPr="00E61042">
        <w:t xml:space="preserve">Part 3 of the PSAS Act provides the rules for </w:t>
      </w:r>
      <w:r>
        <w:t xml:space="preserve">the </w:t>
      </w:r>
      <w:r w:rsidRPr="00E61042">
        <w:t>two defined benefit schemes</w:t>
      </w:r>
      <w:r>
        <w:t xml:space="preserve"> for MPs</w:t>
      </w:r>
      <w:r w:rsidRPr="00E61042">
        <w:t>:</w:t>
      </w:r>
    </w:p>
    <w:p w14:paraId="51EA35EF" w14:textId="77777777" w:rsidR="00A304F7" w:rsidRPr="00E61042" w:rsidRDefault="00A304F7" w:rsidP="00A304F7">
      <w:pPr>
        <w:pStyle w:val="VIRTBulletpoints"/>
      </w:pPr>
      <w:r w:rsidRPr="00E61042">
        <w:t>an Existing Benefits Scheme, closed to new members on 2 July 1996</w:t>
      </w:r>
    </w:p>
    <w:p w14:paraId="2123F69B" w14:textId="77777777" w:rsidR="00A304F7" w:rsidRPr="00E61042" w:rsidRDefault="00A304F7" w:rsidP="00A304F7">
      <w:pPr>
        <w:pStyle w:val="VIRTBulletpoints"/>
      </w:pPr>
      <w:proofErr w:type="gramStart"/>
      <w:r w:rsidRPr="00E61042">
        <w:t>a New Benefits Scheme,</w:t>
      </w:r>
      <w:proofErr w:type="gramEnd"/>
      <w:r w:rsidRPr="00E61042">
        <w:t xml:space="preserve"> closed to new members on 10 November 2004.</w:t>
      </w:r>
    </w:p>
    <w:p w14:paraId="7BB8578B" w14:textId="4705C4DA" w:rsidR="00A304F7" w:rsidRDefault="00A304F7" w:rsidP="00303A5C">
      <w:pPr>
        <w:pStyle w:val="Paragraph"/>
      </w:pPr>
      <w:r>
        <w:lastRenderedPageBreak/>
        <w:t xml:space="preserve">The Tribunal focused its analysis on the New Benefits Scheme, as this scheme covers all 17 </w:t>
      </w:r>
      <w:r w:rsidR="00115D96">
        <w:t xml:space="preserve">existing </w:t>
      </w:r>
      <w:r>
        <w:t xml:space="preserve">MPs with defined benefit entitlements (i.e. there are no </w:t>
      </w:r>
      <w:r w:rsidR="00115D96">
        <w:t xml:space="preserve">existing </w:t>
      </w:r>
      <w:r>
        <w:t xml:space="preserve">MPs who are members of the Existing Benefits Scheme). </w:t>
      </w:r>
    </w:p>
    <w:p w14:paraId="6A037B63" w14:textId="26076625" w:rsidR="00A304F7" w:rsidRPr="00E61042" w:rsidRDefault="00A304F7" w:rsidP="00B33183">
      <w:pPr>
        <w:pStyle w:val="Paragraph"/>
      </w:pPr>
      <w:r w:rsidRPr="00E61042">
        <w:t xml:space="preserve">MPs in the </w:t>
      </w:r>
      <w:r>
        <w:t>New Benefits S</w:t>
      </w:r>
      <w:r w:rsidRPr="00E61042">
        <w:t>cheme are required to make after-tax contributions from their parliamentary salary to the Parliamentary Contributory Superannuation Fund</w:t>
      </w:r>
      <w:r>
        <w:t xml:space="preserve"> (PCSF)</w:t>
      </w:r>
      <w:r w:rsidRPr="00E61042">
        <w:t xml:space="preserve"> in exchange for the defined benefit. All eligible MPs are required to contribute an amount equal to 11.5 per cent of </w:t>
      </w:r>
      <w:r w:rsidR="000C5E24">
        <w:t>the BSP</w:t>
      </w:r>
      <w:r w:rsidRPr="00F86C4C">
        <w:t xml:space="preserve">. </w:t>
      </w:r>
      <w:r w:rsidR="002363DE" w:rsidRPr="00F86C4C">
        <w:t>Specified</w:t>
      </w:r>
      <w:r w:rsidR="002363DE">
        <w:t xml:space="preserve"> p</w:t>
      </w:r>
      <w:r w:rsidRPr="00E61042">
        <w:t xml:space="preserve">arliamentary office holders that receive an additional salary </w:t>
      </w:r>
      <w:r>
        <w:t xml:space="preserve">for their position </w:t>
      </w:r>
      <w:r w:rsidRPr="00E61042">
        <w:t>are required to make additional contributions to the PCSF</w:t>
      </w:r>
      <w:r>
        <w:t>.</w:t>
      </w:r>
    </w:p>
    <w:p w14:paraId="22A1639A" w14:textId="1056900C" w:rsidR="00A304F7" w:rsidRPr="00E61042" w:rsidRDefault="00A304F7" w:rsidP="00B33183">
      <w:pPr>
        <w:pStyle w:val="Paragraph"/>
      </w:pPr>
      <w:r w:rsidRPr="00E61042">
        <w:t xml:space="preserve">The PCSF is administered by Emergency Services and State Super (ESSSuper), which pools and invests member contributions to pay the superannuation </w:t>
      </w:r>
      <w:r w:rsidR="00902B23">
        <w:t>benefits</w:t>
      </w:r>
      <w:r w:rsidRPr="00E61042">
        <w:t xml:space="preserve"> of members of the schemes. </w:t>
      </w:r>
    </w:p>
    <w:p w14:paraId="5751FCA1" w14:textId="526E7B97" w:rsidR="00AA45B8" w:rsidRDefault="00A304F7" w:rsidP="00B33183">
      <w:pPr>
        <w:pStyle w:val="Paragraph"/>
      </w:pPr>
      <w:r w:rsidRPr="00E61042">
        <w:t xml:space="preserve">Subject to meeting eligibility requirements, former MPs in a defined benefit scheme </w:t>
      </w:r>
      <w:r>
        <w:t xml:space="preserve">can begin </w:t>
      </w:r>
      <w:r w:rsidRPr="00E61042">
        <w:t>receiv</w:t>
      </w:r>
      <w:r>
        <w:t>ing</w:t>
      </w:r>
      <w:r w:rsidRPr="00E61042">
        <w:t xml:space="preserve"> a pension</w:t>
      </w:r>
      <w:r>
        <w:t xml:space="preserve"> after they leave the Parliament</w:t>
      </w:r>
      <w:r w:rsidRPr="00E61042">
        <w:t xml:space="preserve">, which is revertible to their partner or eligible children upon </w:t>
      </w:r>
      <w:r w:rsidR="00AF7689">
        <w:t>an</w:t>
      </w:r>
      <w:r w:rsidRPr="00E61042">
        <w:t xml:space="preserve"> MP</w:t>
      </w:r>
      <w:r w:rsidR="00115D96">
        <w:t>’</w:t>
      </w:r>
      <w:r w:rsidRPr="00E61042">
        <w:t>s death. The pensions of eligible former MPs in the New Benefits Scheme are calculated as a percentage of the current BSP.</w:t>
      </w:r>
      <w:r>
        <w:t xml:space="preserve"> </w:t>
      </w:r>
      <w:r w:rsidR="005140E1" w:rsidRPr="00CB0339">
        <w:t>The minimum value of the pension</w:t>
      </w:r>
      <w:r w:rsidR="005140E1">
        <w:t xml:space="preserve"> for an MP who does not hold any specified parliamentary offices</w:t>
      </w:r>
      <w:r w:rsidR="005140E1" w:rsidRPr="00CB0339">
        <w:t xml:space="preserve"> is</w:t>
      </w:r>
      <w:r w:rsidRPr="00E61042">
        <w:t xml:space="preserve"> 50 per cent of the BSP (</w:t>
      </w:r>
      <w:r>
        <w:t>as at 30 June 2020,</w:t>
      </w:r>
      <w:r w:rsidRPr="00E61042">
        <w:t xml:space="preserve"> $84,450</w:t>
      </w:r>
      <w:r>
        <w:t>.</w:t>
      </w:r>
      <w:r w:rsidRPr="00E61042">
        <w:t>50 per annum</w:t>
      </w:r>
      <w:r w:rsidR="00A11817">
        <w:t xml:space="preserve"> (p.a.)</w:t>
      </w:r>
      <w:r w:rsidRPr="00E61042">
        <w:t>), and the maximum is 75 per cent of the BSP</w:t>
      </w:r>
      <w:r>
        <w:t xml:space="preserve"> (as at 30 June </w:t>
      </w:r>
      <w:r w:rsidRPr="00AA45B8">
        <w:t xml:space="preserve">2020, </w:t>
      </w:r>
      <w:r w:rsidR="00AA45B8">
        <w:t>$</w:t>
      </w:r>
      <w:r w:rsidR="00AA45B8" w:rsidRPr="00AA45B8">
        <w:t>126,676</w:t>
      </w:r>
      <w:r w:rsidRPr="00AA45B8">
        <w:t xml:space="preserve"> </w:t>
      </w:r>
      <w:r w:rsidR="00A11817">
        <w:t>p.a.</w:t>
      </w:r>
      <w:r>
        <w:t>)</w:t>
      </w:r>
      <w:r w:rsidRPr="00E61042">
        <w:t xml:space="preserve">. </w:t>
      </w:r>
      <w:r w:rsidR="00EE3519" w:rsidRPr="00EE3519">
        <w:t xml:space="preserve">MPs who held a specified parliamentary office also receive an additional pension based on the years they held </w:t>
      </w:r>
      <w:r w:rsidR="006D4C04">
        <w:t xml:space="preserve">that </w:t>
      </w:r>
      <w:r w:rsidR="00EE3519" w:rsidRPr="00EE3519">
        <w:t>office</w:t>
      </w:r>
      <w:r w:rsidR="00C14F78">
        <w:t>.</w:t>
      </w:r>
    </w:p>
    <w:p w14:paraId="7CD28B9D" w14:textId="79B0DFC3" w:rsidR="00A304F7" w:rsidRPr="00E61042" w:rsidRDefault="00A304F7" w:rsidP="00B33183">
      <w:pPr>
        <w:pStyle w:val="Paragraph"/>
      </w:pPr>
      <w:r>
        <w:t xml:space="preserve">An MP may also elect to commute all or part of their pension into a lump sum. </w:t>
      </w:r>
      <w:r w:rsidRPr="00E61042">
        <w:t>MPs who are not eligible for a pension receive a lump sum payment.</w:t>
      </w:r>
      <w:r>
        <w:t xml:space="preserve"> Lump sums are transferred into an accumulation fund and can be accessed when the MP reaches their preservation age and retires.</w:t>
      </w:r>
    </w:p>
    <w:p w14:paraId="3F6DD7A4" w14:textId="634E7EA8" w:rsidR="00D62CC9" w:rsidRDefault="3CBBE981" w:rsidP="008F51B2">
      <w:pPr>
        <w:pStyle w:val="Figureheading"/>
        <w:spacing w:after="0"/>
        <w:rPr>
          <w:noProof/>
        </w:rPr>
      </w:pPr>
      <w:r>
        <w:lastRenderedPageBreak/>
        <w:t xml:space="preserve"> </w:t>
      </w:r>
      <w:r w:rsidR="00D62CC9" w:rsidRPr="000740FC">
        <w:t xml:space="preserve">Figure </w:t>
      </w:r>
      <w:r w:rsidR="00213884">
        <w:t>1</w:t>
      </w:r>
      <w:r w:rsidR="00D62CC9" w:rsidRPr="000740FC">
        <w:t>: how the MP defined benefit schemes operate</w:t>
      </w:r>
      <w:r w:rsidR="00E17D28">
        <w:t xml:space="preserve"> </w:t>
      </w:r>
    </w:p>
    <w:p w14:paraId="2C377A8A" w14:textId="69E583C4" w:rsidR="006B2B44" w:rsidRDefault="0051064E" w:rsidP="008F51B2">
      <w:pPr>
        <w:pStyle w:val="Figureheading"/>
        <w:spacing w:after="0"/>
        <w:rPr>
          <w:noProof/>
        </w:rPr>
      </w:pPr>
      <w:r w:rsidRPr="002E5262">
        <w:rPr>
          <w:noProof/>
        </w:rPr>
        <w:drawing>
          <wp:inline distT="0" distB="0" distL="0" distR="0" wp14:anchorId="24FCF12A" wp14:editId="48713365">
            <wp:extent cx="5396230" cy="4035811"/>
            <wp:effectExtent l="19050" t="19050" r="1397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6230" cy="4035811"/>
                    </a:xfrm>
                    <a:prstGeom prst="rect">
                      <a:avLst/>
                    </a:prstGeom>
                    <a:noFill/>
                    <a:ln>
                      <a:solidFill>
                        <a:schemeClr val="accent6">
                          <a:lumMod val="20000"/>
                          <a:lumOff val="80000"/>
                        </a:schemeClr>
                      </a:solidFill>
                    </a:ln>
                  </pic:spPr>
                </pic:pic>
              </a:graphicData>
            </a:graphic>
          </wp:inline>
        </w:drawing>
      </w:r>
    </w:p>
    <w:p w14:paraId="4CD85537" w14:textId="58E1A5B0" w:rsidR="00EA78F8" w:rsidRDefault="00847829" w:rsidP="00847829">
      <w:pPr>
        <w:pStyle w:val="Notesfortablesfigures"/>
      </w:pPr>
      <w:r w:rsidRPr="000740FC">
        <w:t>Notes: (a) MPs are required to contribute from their basic salary for the first 20.5 years of service, and from their additional salary (if any) during all years of service. For an explanation of how contributions are calculated</w:t>
      </w:r>
      <w:r w:rsidR="004D53D5">
        <w:t xml:space="preserve">, see </w:t>
      </w:r>
      <w:r w:rsidRPr="001747F0">
        <w:t>appendix B</w:t>
      </w:r>
      <w:r w:rsidR="001747F0" w:rsidRPr="001747F0">
        <w:t>.</w:t>
      </w:r>
      <w:r w:rsidRPr="000740FC">
        <w:t xml:space="preserve"> (b) </w:t>
      </w:r>
      <w:r w:rsidR="001747F0">
        <w:t>E</w:t>
      </w:r>
      <w:r w:rsidRPr="000740FC">
        <w:t>ligible MPs can begin receiving a pension after they leave the Parliament, regardless of their age. They may also elect to commute all or part of their pension into a lump sum. MPs who are not eligible for a pension receive a lump sum</w:t>
      </w:r>
      <w:r w:rsidR="009D2702">
        <w:t>.</w:t>
      </w:r>
      <w:r w:rsidRPr="000740FC">
        <w:t xml:space="preserve"> (c) </w:t>
      </w:r>
      <w:r w:rsidR="001747F0">
        <w:t>L</w:t>
      </w:r>
      <w:r w:rsidRPr="000740FC">
        <w:t xml:space="preserve">ump sums are transferred into an accumulation fund when the MP leaves the Parliament, and can be accessed when the MP reaches their preservation age (ranges from 55 to 60 </w:t>
      </w:r>
      <w:r w:rsidR="001747F0">
        <w:t xml:space="preserve">years </w:t>
      </w:r>
      <w:r w:rsidRPr="000740FC">
        <w:t>depending on their date of birth) and retires. Once in the accumulation fund, the MP may choose to access the lump sum as an income stream or use it to purchase an annuity (subject to Commonwealth preservation rules).</w:t>
      </w:r>
    </w:p>
    <w:p w14:paraId="7B2C0C29" w14:textId="72E42A88" w:rsidR="00FE5897" w:rsidRPr="000740FC" w:rsidRDefault="00FE5897" w:rsidP="005133A2">
      <w:pPr>
        <w:spacing w:before="120" w:after="120" w:line="276" w:lineRule="auto"/>
        <w:jc w:val="both"/>
        <w:rPr>
          <w:rFonts w:asciiTheme="minorHAnsi" w:hAnsiTheme="minorHAnsi" w:cs="Arial"/>
          <w:noProof/>
          <w:color w:val="0F6745" w:themeColor="accent2" w:themeShade="BF"/>
          <w:spacing w:val="20"/>
          <w:sz w:val="30"/>
        </w:rPr>
      </w:pPr>
      <w:r w:rsidRPr="000740FC">
        <w:rPr>
          <w:rFonts w:asciiTheme="minorHAnsi" w:hAnsiTheme="minorHAnsi" w:cs="Arial"/>
          <w:noProof/>
          <w:color w:val="0F6745" w:themeColor="accent2" w:themeShade="BF"/>
          <w:spacing w:val="20"/>
          <w:sz w:val="30"/>
        </w:rPr>
        <w:t>Accumulation scheme</w:t>
      </w:r>
    </w:p>
    <w:p w14:paraId="1D0F170E" w14:textId="65B8EA90" w:rsidR="009124D2" w:rsidRPr="00E61042" w:rsidRDefault="009124D2" w:rsidP="009124D2">
      <w:pPr>
        <w:spacing w:before="120" w:after="120" w:line="276" w:lineRule="auto"/>
        <w:jc w:val="both"/>
        <w:rPr>
          <w:rFonts w:ascii="Calibri Light" w:eastAsia="Rockwell" w:hAnsi="Calibri Light" w:cs="Arial"/>
          <w:color w:val="4D4D4D" w:themeColor="accent6"/>
          <w:sz w:val="26"/>
          <w:szCs w:val="20"/>
          <w:lang w:val="en-US"/>
        </w:rPr>
      </w:pPr>
      <w:r w:rsidRPr="00E61042">
        <w:rPr>
          <w:rFonts w:ascii="Calibri Light" w:eastAsia="Rockwell" w:hAnsi="Calibri Light" w:cs="Arial"/>
          <w:color w:val="4D4D4D" w:themeColor="accent6"/>
          <w:sz w:val="26"/>
          <w:szCs w:val="20"/>
          <w:lang w:val="en-US"/>
        </w:rPr>
        <w:t xml:space="preserve">MPs elected </w:t>
      </w:r>
      <w:r w:rsidR="00F04636">
        <w:rPr>
          <w:rFonts w:ascii="Calibri Light" w:eastAsia="Rockwell" w:hAnsi="Calibri Light" w:cs="Arial"/>
          <w:color w:val="4D4D4D" w:themeColor="accent6"/>
          <w:sz w:val="26"/>
          <w:szCs w:val="20"/>
          <w:lang w:val="en-US"/>
        </w:rPr>
        <w:t xml:space="preserve">from 10 </w:t>
      </w:r>
      <w:r w:rsidRPr="00E61042">
        <w:rPr>
          <w:rFonts w:ascii="Calibri Light" w:eastAsia="Rockwell" w:hAnsi="Calibri Light" w:cs="Arial"/>
          <w:color w:val="4D4D4D" w:themeColor="accent6"/>
          <w:sz w:val="26"/>
          <w:szCs w:val="20"/>
          <w:lang w:val="en-US"/>
        </w:rPr>
        <w:t>November 2004 are members of the accumulation scheme.</w:t>
      </w:r>
    </w:p>
    <w:p w14:paraId="66F43007" w14:textId="23BF10DF" w:rsidR="009124D2" w:rsidRPr="00E61042" w:rsidRDefault="009124D2" w:rsidP="00B33183">
      <w:pPr>
        <w:pStyle w:val="Parabeforeabulletlist"/>
      </w:pPr>
      <w:r w:rsidRPr="00E61042">
        <w:t xml:space="preserve">Part 4 of the PSAS Act provides the rules for </w:t>
      </w:r>
      <w:r w:rsidR="00115D96">
        <w:t>the</w:t>
      </w:r>
      <w:r w:rsidRPr="00E61042">
        <w:t xml:space="preserve"> accumulation scheme. MPs are paid contributions by the State into an accumulation fund of their choice. The State is required to make contributions that are equal to the greater of:</w:t>
      </w:r>
    </w:p>
    <w:p w14:paraId="40E3625F" w14:textId="51CB4A0E" w:rsidR="009124D2" w:rsidRPr="00E61042" w:rsidRDefault="009124D2" w:rsidP="009124D2">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‘prescribed percentage’ </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currently 15.</w:t>
      </w:r>
      <w:r>
        <w:rPr>
          <w:rFonts w:ascii="Calibri Light" w:hAnsi="Calibri Light" w:cs="Arial"/>
          <w:color w:val="4D4D4D" w:themeColor="accent6"/>
          <w:sz w:val="26"/>
          <w:szCs w:val="20"/>
        </w:rPr>
        <w:t>5</w:t>
      </w:r>
      <w:r w:rsidRPr="00E61042">
        <w:rPr>
          <w:rFonts w:ascii="Calibri Light" w:hAnsi="Calibri Light" w:cs="Arial"/>
          <w:color w:val="4D4D4D" w:themeColor="accent6"/>
          <w:sz w:val="26"/>
          <w:szCs w:val="20"/>
        </w:rPr>
        <w:t xml:space="preserve"> per cent</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 xml:space="preserve"> of the basic salary and additional salary (if any)</w:t>
      </w:r>
      <w:r>
        <w:rPr>
          <w:rFonts w:ascii="Calibri Light" w:hAnsi="Calibri Light" w:cs="Arial"/>
          <w:color w:val="4D4D4D" w:themeColor="accent6"/>
          <w:sz w:val="26"/>
          <w:szCs w:val="20"/>
        </w:rPr>
        <w:t xml:space="preserve"> (the prescribed percentage contribution amount) </w:t>
      </w:r>
    </w:p>
    <w:p w14:paraId="6E41AA94" w14:textId="15FA1620" w:rsidR="009124D2" w:rsidRDefault="009124D2" w:rsidP="009124D2">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minimum amount necessary to avoid a </w:t>
      </w:r>
      <w:r w:rsidR="004D790B">
        <w:rPr>
          <w:rFonts w:ascii="Calibri Light" w:hAnsi="Calibri Light" w:cs="Arial"/>
          <w:color w:val="4D4D4D" w:themeColor="accent6"/>
          <w:sz w:val="26"/>
          <w:szCs w:val="20"/>
        </w:rPr>
        <w:t>S</w:t>
      </w:r>
      <w:r w:rsidRPr="00E61042">
        <w:rPr>
          <w:rFonts w:ascii="Calibri Light" w:hAnsi="Calibri Light" w:cs="Arial"/>
          <w:color w:val="4D4D4D" w:themeColor="accent6"/>
          <w:sz w:val="26"/>
          <w:szCs w:val="20"/>
        </w:rPr>
        <w:t xml:space="preserve">uperannuation </w:t>
      </w:r>
      <w:r w:rsidR="004D790B">
        <w:rPr>
          <w:rFonts w:ascii="Calibri Light" w:hAnsi="Calibri Light" w:cs="Arial"/>
          <w:color w:val="4D4D4D" w:themeColor="accent6"/>
          <w:sz w:val="26"/>
          <w:szCs w:val="20"/>
        </w:rPr>
        <w:t>G</w:t>
      </w:r>
      <w:r w:rsidRPr="00E61042">
        <w:rPr>
          <w:rFonts w:ascii="Calibri Light" w:hAnsi="Calibri Light" w:cs="Arial"/>
          <w:color w:val="4D4D4D" w:themeColor="accent6"/>
          <w:sz w:val="26"/>
          <w:szCs w:val="20"/>
        </w:rPr>
        <w:t>uarantee</w:t>
      </w:r>
      <w:r w:rsidR="00417D3F">
        <w:rPr>
          <w:rFonts w:ascii="Calibri Light" w:hAnsi="Calibri Light" w:cs="Arial"/>
          <w:color w:val="4D4D4D" w:themeColor="accent6"/>
          <w:sz w:val="26"/>
          <w:szCs w:val="20"/>
        </w:rPr>
        <w:t xml:space="preserve"> (SG)</w:t>
      </w:r>
      <w:r w:rsidRPr="00E61042">
        <w:rPr>
          <w:rFonts w:ascii="Calibri Light" w:hAnsi="Calibri Light" w:cs="Arial"/>
          <w:color w:val="4D4D4D" w:themeColor="accent6"/>
          <w:sz w:val="26"/>
          <w:szCs w:val="20"/>
        </w:rPr>
        <w:t xml:space="preserve"> shortfall under Commonwealth law </w:t>
      </w:r>
      <w:r>
        <w:rPr>
          <w:rFonts w:ascii="Calibri Light" w:hAnsi="Calibri Light" w:cs="Arial"/>
          <w:color w:val="4D4D4D" w:themeColor="accent6"/>
          <w:sz w:val="26"/>
          <w:szCs w:val="20"/>
        </w:rPr>
        <w:t>(the shortfall contribution amount).</w:t>
      </w:r>
    </w:p>
    <w:p w14:paraId="2D1FAEB6" w14:textId="6854B5C7" w:rsidR="009124D2" w:rsidRPr="00E61042" w:rsidRDefault="009124D2" w:rsidP="00B33183">
      <w:pPr>
        <w:pStyle w:val="Paragraph"/>
      </w:pPr>
      <w:r>
        <w:t>T</w:t>
      </w:r>
      <w:r w:rsidRPr="00E61042">
        <w:t>he prescribed percentage</w:t>
      </w:r>
      <w:r>
        <w:t xml:space="preserve"> contribution amount</w:t>
      </w:r>
      <w:r w:rsidRPr="00E61042">
        <w:t xml:space="preserve"> typically </w:t>
      </w:r>
      <w:r>
        <w:t>exceeds the shortfall contribution amount.</w:t>
      </w:r>
    </w:p>
    <w:p w14:paraId="10929C09" w14:textId="3F5C1E9F" w:rsidR="009124D2" w:rsidRPr="00E61042" w:rsidRDefault="009124D2" w:rsidP="009124D2">
      <w:pPr>
        <w:spacing w:before="120" w:after="120" w:line="276" w:lineRule="auto"/>
        <w:jc w:val="both"/>
        <w:rPr>
          <w:rFonts w:ascii="Calibri Light" w:eastAsia="Rockwell" w:hAnsi="Calibri Light" w:cs="Arial"/>
          <w:color w:val="4D4D4D" w:themeColor="accent6"/>
          <w:sz w:val="26"/>
          <w:szCs w:val="20"/>
          <w:lang w:val="en-US"/>
        </w:rPr>
      </w:pPr>
      <w:r w:rsidRPr="00E61042">
        <w:rPr>
          <w:rFonts w:ascii="Calibri Light" w:eastAsia="Rockwell" w:hAnsi="Calibri Light" w:cs="Arial"/>
          <w:color w:val="4D4D4D" w:themeColor="accent6"/>
          <w:sz w:val="26"/>
          <w:szCs w:val="20"/>
          <w:lang w:val="en-US"/>
        </w:rPr>
        <w:lastRenderedPageBreak/>
        <w:t xml:space="preserve">The superannuation balance, including investment returns and any additional contributions, are accessible </w:t>
      </w:r>
      <w:r w:rsidRPr="003F328C">
        <w:rPr>
          <w:rFonts w:ascii="Calibri Light" w:eastAsia="Rockwell" w:hAnsi="Calibri Light" w:cs="Arial"/>
          <w:color w:val="4D4D4D" w:themeColor="accent6"/>
          <w:sz w:val="26"/>
          <w:szCs w:val="20"/>
          <w:lang w:val="en-US"/>
        </w:rPr>
        <w:t>as an account-based pension, annuity or lump sum</w:t>
      </w:r>
      <w:r>
        <w:rPr>
          <w:rFonts w:ascii="Calibri Light" w:eastAsia="Rockwell" w:hAnsi="Calibri Light" w:cs="Arial"/>
          <w:color w:val="4D4D4D" w:themeColor="accent6"/>
          <w:sz w:val="26"/>
          <w:szCs w:val="20"/>
          <w:lang w:val="en-US"/>
        </w:rPr>
        <w:t xml:space="preserve"> </w:t>
      </w:r>
      <w:r w:rsidRPr="00E61042">
        <w:rPr>
          <w:rFonts w:ascii="Calibri Light" w:eastAsia="Rockwell" w:hAnsi="Calibri Light" w:cs="Arial"/>
          <w:color w:val="4D4D4D" w:themeColor="accent6"/>
          <w:sz w:val="26"/>
          <w:szCs w:val="20"/>
          <w:lang w:val="en-US"/>
        </w:rPr>
        <w:t xml:space="preserve">once the MP (or former MP) reaches their preservation age (which ranges from 55-60 </w:t>
      </w:r>
      <w:r>
        <w:rPr>
          <w:rFonts w:ascii="Calibri Light" w:eastAsia="Rockwell" w:hAnsi="Calibri Light" w:cs="Arial"/>
          <w:color w:val="4D4D4D" w:themeColor="accent6"/>
          <w:sz w:val="26"/>
          <w:szCs w:val="20"/>
          <w:lang w:val="en-US"/>
        </w:rPr>
        <w:t>years d</w:t>
      </w:r>
      <w:r w:rsidRPr="00E61042">
        <w:rPr>
          <w:rFonts w:ascii="Calibri Light" w:eastAsia="Rockwell" w:hAnsi="Calibri Light" w:cs="Arial"/>
          <w:color w:val="4D4D4D" w:themeColor="accent6"/>
          <w:sz w:val="26"/>
          <w:szCs w:val="20"/>
          <w:lang w:val="en-US"/>
        </w:rPr>
        <w:t xml:space="preserve">epending on </w:t>
      </w:r>
      <w:r>
        <w:rPr>
          <w:rFonts w:ascii="Calibri Light" w:eastAsia="Rockwell" w:hAnsi="Calibri Light" w:cs="Arial"/>
          <w:color w:val="4D4D4D" w:themeColor="accent6"/>
          <w:sz w:val="26"/>
          <w:szCs w:val="20"/>
          <w:lang w:val="en-US"/>
        </w:rPr>
        <w:t>the MP</w:t>
      </w:r>
      <w:r w:rsidR="00115D96">
        <w:rPr>
          <w:rFonts w:ascii="Calibri Light" w:eastAsia="Rockwell" w:hAnsi="Calibri Light" w:cs="Arial"/>
          <w:color w:val="4D4D4D" w:themeColor="accent6"/>
          <w:sz w:val="26"/>
          <w:szCs w:val="20"/>
          <w:lang w:val="en-US"/>
        </w:rPr>
        <w:t>’</w:t>
      </w:r>
      <w:r>
        <w:rPr>
          <w:rFonts w:ascii="Calibri Light" w:eastAsia="Rockwell" w:hAnsi="Calibri Light" w:cs="Arial"/>
          <w:color w:val="4D4D4D" w:themeColor="accent6"/>
          <w:sz w:val="26"/>
          <w:szCs w:val="20"/>
          <w:lang w:val="en-US"/>
        </w:rPr>
        <w:t xml:space="preserve">s </w:t>
      </w:r>
      <w:r w:rsidRPr="00E61042">
        <w:rPr>
          <w:rFonts w:ascii="Calibri Light" w:eastAsia="Rockwell" w:hAnsi="Calibri Light" w:cs="Arial"/>
          <w:color w:val="4D4D4D" w:themeColor="accent6"/>
          <w:sz w:val="26"/>
          <w:szCs w:val="20"/>
          <w:lang w:val="en-US"/>
        </w:rPr>
        <w:t xml:space="preserve">date of birth). </w:t>
      </w:r>
    </w:p>
    <w:p w14:paraId="60B39711" w14:textId="2398407C" w:rsidR="00FE5897" w:rsidRPr="000740FC" w:rsidRDefault="009124D2" w:rsidP="009124D2">
      <w:pPr>
        <w:spacing w:before="120" w:after="120" w:line="276" w:lineRule="auto"/>
        <w:jc w:val="both"/>
        <w:rPr>
          <w:rFonts w:ascii="Calibri Light" w:eastAsia="Rockwell" w:hAnsi="Calibri Light" w:cs="Arial"/>
          <w:color w:val="4D4D4D" w:themeColor="accent6"/>
          <w:sz w:val="26"/>
          <w:szCs w:val="26"/>
        </w:rPr>
      </w:pPr>
      <w:r w:rsidRPr="395A6FB9">
        <w:rPr>
          <w:rFonts w:ascii="Calibri Light" w:eastAsia="Rockwell" w:hAnsi="Calibri Light" w:cs="Arial"/>
          <w:color w:val="4D4D4D" w:themeColor="accent6"/>
          <w:sz w:val="26"/>
          <w:szCs w:val="26"/>
          <w:lang w:val="en-US"/>
        </w:rPr>
        <w:t xml:space="preserve">Former MPs who are not members of the defined benefit schemes are also eligible to receive a separation payment upon leaving the Parliament, to facilitate the completion of their parliamentary and electorate business and support them as they transition from working as an MP. The separation </w:t>
      </w:r>
      <w:r w:rsidRPr="00EE16FD">
        <w:rPr>
          <w:rFonts w:ascii="Calibri Light" w:eastAsia="Rockwell" w:hAnsi="Calibri Light" w:cs="Arial"/>
          <w:color w:val="4D4D4D" w:themeColor="accent6"/>
          <w:sz w:val="26"/>
          <w:szCs w:val="26"/>
          <w:lang w:val="en-US"/>
        </w:rPr>
        <w:t xml:space="preserve">payment is equal to </w:t>
      </w:r>
      <w:r w:rsidR="009B2396" w:rsidRPr="00EE16FD">
        <w:rPr>
          <w:rFonts w:ascii="Calibri Light" w:eastAsia="Rockwell" w:hAnsi="Calibri Light" w:cs="Arial"/>
          <w:color w:val="4D4D4D" w:themeColor="accent6"/>
          <w:sz w:val="26"/>
          <w:szCs w:val="26"/>
          <w:lang w:val="en-US"/>
        </w:rPr>
        <w:t>3</w:t>
      </w:r>
      <w:r w:rsidR="00EE16FD" w:rsidRPr="00EE16FD">
        <w:rPr>
          <w:rFonts w:ascii="Calibri Light" w:eastAsia="Rockwell" w:hAnsi="Calibri Light" w:cs="Arial"/>
          <w:color w:val="4D4D4D" w:themeColor="accent6"/>
          <w:sz w:val="26"/>
          <w:szCs w:val="26"/>
          <w:lang w:val="en-US"/>
        </w:rPr>
        <w:t> </w:t>
      </w:r>
      <w:r w:rsidRPr="00EE16FD">
        <w:rPr>
          <w:rFonts w:ascii="Calibri Light" w:eastAsia="Rockwell" w:hAnsi="Calibri Light" w:cs="Arial"/>
          <w:color w:val="4D4D4D" w:themeColor="accent6"/>
          <w:sz w:val="26"/>
          <w:szCs w:val="26"/>
          <w:lang w:val="en-US"/>
        </w:rPr>
        <w:t>months</w:t>
      </w:r>
      <w:r w:rsidR="009B2396" w:rsidRPr="00EE16FD">
        <w:rPr>
          <w:rFonts w:ascii="Calibri Light" w:eastAsia="Rockwell" w:hAnsi="Calibri Light" w:cs="Arial"/>
          <w:color w:val="4D4D4D" w:themeColor="accent6"/>
          <w:sz w:val="26"/>
          <w:szCs w:val="26"/>
          <w:lang w:val="en-US"/>
        </w:rPr>
        <w:t>’</w:t>
      </w:r>
      <w:r w:rsidRPr="00EE16FD">
        <w:rPr>
          <w:rFonts w:ascii="Calibri Light" w:eastAsia="Rockwell" w:hAnsi="Calibri Light" w:cs="Arial"/>
          <w:color w:val="4D4D4D" w:themeColor="accent6"/>
          <w:sz w:val="26"/>
          <w:szCs w:val="26"/>
          <w:lang w:val="en-US"/>
        </w:rPr>
        <w:t xml:space="preserve"> basic salary (currently approximately $45,000) where</w:t>
      </w:r>
      <w:r w:rsidRPr="395A6FB9">
        <w:rPr>
          <w:rFonts w:ascii="Calibri Light" w:eastAsia="Rockwell" w:hAnsi="Calibri Light" w:cs="Arial"/>
          <w:color w:val="4D4D4D" w:themeColor="accent6"/>
          <w:sz w:val="26"/>
          <w:szCs w:val="26"/>
          <w:lang w:val="en-US"/>
        </w:rPr>
        <w:t xml:space="preserve"> an MP has served one term, and </w:t>
      </w:r>
      <w:r w:rsidR="009B2396">
        <w:rPr>
          <w:rFonts w:ascii="Calibri Light" w:eastAsia="Rockwell" w:hAnsi="Calibri Light" w:cs="Arial"/>
          <w:color w:val="4D4D4D" w:themeColor="accent6"/>
          <w:sz w:val="26"/>
          <w:szCs w:val="26"/>
          <w:lang w:val="en-US"/>
        </w:rPr>
        <w:t>6</w:t>
      </w:r>
      <w:r w:rsidRPr="395A6FB9">
        <w:rPr>
          <w:rFonts w:ascii="Calibri Light" w:eastAsia="Rockwell" w:hAnsi="Calibri Light" w:cs="Arial"/>
          <w:color w:val="4D4D4D" w:themeColor="accent6"/>
          <w:sz w:val="26"/>
          <w:szCs w:val="26"/>
          <w:lang w:val="en-US"/>
        </w:rPr>
        <w:t xml:space="preserve"> months</w:t>
      </w:r>
      <w:r w:rsidR="009B2396">
        <w:rPr>
          <w:rFonts w:ascii="Calibri Light" w:eastAsia="Rockwell" w:hAnsi="Calibri Light" w:cs="Arial"/>
          <w:color w:val="4D4D4D" w:themeColor="accent6"/>
          <w:sz w:val="26"/>
          <w:szCs w:val="26"/>
          <w:lang w:val="en-US"/>
        </w:rPr>
        <w:t>’</w:t>
      </w:r>
      <w:r w:rsidRPr="395A6FB9">
        <w:rPr>
          <w:rFonts w:ascii="Calibri Light" w:eastAsia="Rockwell" w:hAnsi="Calibri Light" w:cs="Arial"/>
          <w:color w:val="4D4D4D" w:themeColor="accent6"/>
          <w:sz w:val="26"/>
          <w:szCs w:val="26"/>
          <w:lang w:val="en-US"/>
        </w:rPr>
        <w:t xml:space="preserve"> basic salary (current</w:t>
      </w:r>
      <w:r w:rsidR="2CCF6231" w:rsidRPr="395A6FB9">
        <w:rPr>
          <w:rFonts w:ascii="Calibri Light" w:eastAsia="Rockwell" w:hAnsi="Calibri Light" w:cs="Arial"/>
          <w:color w:val="4D4D4D" w:themeColor="accent6"/>
          <w:sz w:val="26"/>
          <w:szCs w:val="26"/>
          <w:lang w:val="en-US"/>
        </w:rPr>
        <w:t>ly</w:t>
      </w:r>
      <w:r w:rsidRPr="395A6FB9">
        <w:rPr>
          <w:rFonts w:ascii="Calibri Light" w:eastAsia="Rockwell" w:hAnsi="Calibri Light" w:cs="Arial"/>
          <w:color w:val="4D4D4D" w:themeColor="accent6"/>
          <w:sz w:val="26"/>
          <w:szCs w:val="26"/>
          <w:lang w:val="en-US"/>
        </w:rPr>
        <w:t xml:space="preserve"> approximately $91,000) where an MP has served two or more terms. This payment aims </w:t>
      </w:r>
      <w:r w:rsidR="00B435AD">
        <w:rPr>
          <w:rFonts w:ascii="Calibri Light" w:eastAsia="Rockwell" w:hAnsi="Calibri Light" w:cs="Arial"/>
          <w:color w:val="4D4D4D" w:themeColor="accent6"/>
          <w:sz w:val="26"/>
          <w:szCs w:val="26"/>
          <w:lang w:val="en-US"/>
        </w:rPr>
        <w:t xml:space="preserve">in part </w:t>
      </w:r>
      <w:r w:rsidRPr="395A6FB9">
        <w:rPr>
          <w:rFonts w:ascii="Calibri Light" w:eastAsia="Rockwell" w:hAnsi="Calibri Light" w:cs="Arial"/>
          <w:color w:val="4D4D4D" w:themeColor="accent6"/>
          <w:sz w:val="26"/>
          <w:szCs w:val="26"/>
          <w:lang w:val="en-US"/>
        </w:rPr>
        <w:t>to bridge the gap between the superannuation arrangements of MPs in the defined benefit schemes and those in the accumulation scheme.</w:t>
      </w:r>
    </w:p>
    <w:p w14:paraId="280F6BAE" w14:textId="555DEBF7" w:rsidR="00D62CC9" w:rsidRPr="000740FC" w:rsidRDefault="00D62CC9" w:rsidP="00D62CC9">
      <w:pPr>
        <w:pStyle w:val="Figureheading"/>
      </w:pPr>
      <w:r w:rsidRPr="000740FC">
        <w:t xml:space="preserve">Figure </w:t>
      </w:r>
      <w:r w:rsidR="007F5E6D">
        <w:t>2</w:t>
      </w:r>
      <w:r w:rsidRPr="000740FC">
        <w:t>: how the accumulation scheme</w:t>
      </w:r>
      <w:r w:rsidR="002469C3" w:rsidRPr="000740FC">
        <w:t xml:space="preserve"> operate</w:t>
      </w:r>
      <w:r w:rsidR="00995E2F">
        <w:t>s</w:t>
      </w:r>
      <w:r w:rsidR="004C5BC7">
        <w:t xml:space="preserve"> </w:t>
      </w:r>
    </w:p>
    <w:p w14:paraId="72A2C5D4" w14:textId="1BB7F812" w:rsidR="00D62CC9" w:rsidRPr="000740FC" w:rsidRDefault="00751B68" w:rsidP="0077203F">
      <w:pPr>
        <w:pStyle w:val="Parabeforebulletlist"/>
        <w:spacing w:after="0"/>
      </w:pPr>
      <w:r w:rsidRPr="00751B68">
        <w:rPr>
          <w:noProof/>
        </w:rPr>
        <w:drawing>
          <wp:inline distT="0" distB="0" distL="0" distR="0" wp14:anchorId="1E50E64C" wp14:editId="08263B8E">
            <wp:extent cx="5328987" cy="3427095"/>
            <wp:effectExtent l="19050" t="19050" r="2413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9354" cy="3427331"/>
                    </a:xfrm>
                    <a:prstGeom prst="rect">
                      <a:avLst/>
                    </a:prstGeom>
                    <a:noFill/>
                    <a:ln>
                      <a:solidFill>
                        <a:schemeClr val="accent6">
                          <a:lumMod val="20000"/>
                          <a:lumOff val="80000"/>
                        </a:schemeClr>
                      </a:solidFill>
                    </a:ln>
                  </pic:spPr>
                </pic:pic>
              </a:graphicData>
            </a:graphic>
          </wp:inline>
        </w:drawing>
      </w:r>
    </w:p>
    <w:p w14:paraId="15B85657" w14:textId="0CD04CBB" w:rsidR="00A77808" w:rsidRDefault="00CC139E" w:rsidP="00355584">
      <w:pPr>
        <w:pStyle w:val="Notesfortablesfigures"/>
      </w:pPr>
      <w:r w:rsidRPr="000740FC">
        <w:t xml:space="preserve">Notes: (a) </w:t>
      </w:r>
      <w:r w:rsidR="00E14DE5">
        <w:t>U</w:t>
      </w:r>
      <w:r w:rsidRPr="000740FC">
        <w:t xml:space="preserve">nder s31 of the PSAS Act, MPs can elect to limit the amount </w:t>
      </w:r>
      <w:r w:rsidR="0031172A">
        <w:t xml:space="preserve">of </w:t>
      </w:r>
      <w:r w:rsidRPr="000740FC">
        <w:t>contributions they receive to prevent them exceeding the concessional contributions cap</w:t>
      </w:r>
      <w:r w:rsidR="00E14DE5">
        <w:t>.</w:t>
      </w:r>
      <w:r w:rsidRPr="000740FC">
        <w:t xml:space="preserve"> (</w:t>
      </w:r>
      <w:r w:rsidR="00E14DE5">
        <w:t>b</w:t>
      </w:r>
      <w:r w:rsidRPr="000740FC">
        <w:t xml:space="preserve">) </w:t>
      </w:r>
      <w:r w:rsidR="00E14DE5">
        <w:t>I</w:t>
      </w:r>
      <w:r w:rsidRPr="000740FC">
        <w:t>n some circumstances, an MP may be able to access their superannuation prior to reaching their preservation age (e.g. due to severe financial hardship or ill-health).</w:t>
      </w:r>
      <w:bookmarkStart w:id="25" w:name="_Toc49940526"/>
    </w:p>
    <w:p w14:paraId="09BD2C1C" w14:textId="49C13FC5" w:rsidR="00FE5897" w:rsidRPr="000740FC" w:rsidRDefault="00FE5897" w:rsidP="00FE5897">
      <w:pPr>
        <w:pStyle w:val="VIRTHeading2"/>
        <w:rPr>
          <w:lang w:val="en-AU"/>
        </w:rPr>
      </w:pPr>
      <w:bookmarkStart w:id="26" w:name="_Toc50990409"/>
      <w:bookmarkStart w:id="27" w:name="_Toc51234118"/>
      <w:r w:rsidRPr="000740FC">
        <w:rPr>
          <w:lang w:val="en-AU"/>
        </w:rPr>
        <w:lastRenderedPageBreak/>
        <w:t>Superannuation arrangements for other Australian</w:t>
      </w:r>
      <w:r w:rsidR="00465AD3" w:rsidRPr="000740FC">
        <w:rPr>
          <w:lang w:val="en-AU"/>
        </w:rPr>
        <w:t>s</w:t>
      </w:r>
      <w:bookmarkEnd w:id="25"/>
      <w:bookmarkEnd w:id="26"/>
      <w:bookmarkEnd w:id="27"/>
    </w:p>
    <w:p w14:paraId="3951F43B" w14:textId="2292C9B6" w:rsidR="00FE5897" w:rsidRPr="000740FC" w:rsidRDefault="00FE5897" w:rsidP="00B33183">
      <w:pPr>
        <w:pStyle w:val="Paragraph"/>
      </w:pPr>
      <w:r w:rsidRPr="000740FC">
        <w:t>In reviewing the superannuation arrangements for MPs, the Tribunal considered the superannuation entitlements provided to other Australian</w:t>
      </w:r>
      <w:r w:rsidR="00DB5055" w:rsidRPr="000740FC">
        <w:t>s</w:t>
      </w:r>
      <w:r w:rsidRPr="000740FC">
        <w:t>. This assisted the Tribunal to establish a community standard by which to assess MP superannuation arrangements.</w:t>
      </w:r>
    </w:p>
    <w:p w14:paraId="18134EE8" w14:textId="522D828C" w:rsidR="00FE5897" w:rsidRPr="000740FC" w:rsidRDefault="12A4F956" w:rsidP="00B33183">
      <w:pPr>
        <w:pStyle w:val="Paragraph"/>
      </w:pPr>
      <w:r>
        <w:t>Compulsory superannuation is one pillar of the Australian Government’s retirement income policy, which aims to allow older Australians to achieve adequate income in retirement. The Australian Government established the SG in 1992, with employers required to make superannuation contributions on behalf of their employees. The current SG rate is 9.5 per cent</w:t>
      </w:r>
      <w:r w:rsidR="4EC95B4C">
        <w:t xml:space="preserve"> of ordinary time earnings</w:t>
      </w:r>
      <w:r>
        <w:t xml:space="preserve">. </w:t>
      </w:r>
    </w:p>
    <w:p w14:paraId="37C6DB18" w14:textId="544058B5" w:rsidR="00FE5897" w:rsidRPr="000740FC" w:rsidRDefault="00FE5897" w:rsidP="00B33183">
      <w:pPr>
        <w:pStyle w:val="Paragraph"/>
      </w:pPr>
      <w:r w:rsidRPr="000740FC">
        <w:t>Around 70 per cent of Australians now hold a superannuation account, with most having an accumulation</w:t>
      </w:r>
      <w:r w:rsidR="00451572">
        <w:noBreakHyphen/>
        <w:t>t</w:t>
      </w:r>
      <w:r w:rsidRPr="000740FC">
        <w:t>ype superannuation account. Only 4 per cent of superannuation accounts (excluding self-managed superannuation funds) are wholly defined benefit in nature or have a defined benefit component.</w:t>
      </w:r>
    </w:p>
    <w:p w14:paraId="45E74677" w14:textId="3EA1A02F" w:rsidR="00617671" w:rsidRDefault="00F77D65" w:rsidP="00B33183">
      <w:pPr>
        <w:pStyle w:val="Paragraph"/>
      </w:pPr>
      <w:r>
        <w:t>M</w:t>
      </w:r>
      <w:r w:rsidR="00825D6F">
        <w:t xml:space="preserve">ost Australians do not have enough superannuation to solely rely on those funds in retirement, and the main source of income of retirees is the </w:t>
      </w:r>
      <w:r w:rsidR="00A72AD9">
        <w:t>A</w:t>
      </w:r>
      <w:r w:rsidR="00825D6F">
        <w:t xml:space="preserve">ge </w:t>
      </w:r>
      <w:r w:rsidR="00A72AD9">
        <w:t>P</w:t>
      </w:r>
      <w:r w:rsidR="00825D6F">
        <w:t>ension. The Association of Superannuation Funds of Australia in 2018 estimated — based on the assumption that retirees also receive a part Age Pension — that a single person would require $545,000 in savings at retirement to have a comfortable lifestyle, while a couple would require $640,000, assuming the retirees also received a part Age Pension. In contrast, the median superannuation account balance of Australians aged 65-74 i</w:t>
      </w:r>
      <w:r w:rsidR="00825D6F" w:rsidRPr="7B89C0FC">
        <w:rPr>
          <w:rFonts w:eastAsia="Calibri Light" w:cs="Calibri Light"/>
        </w:rPr>
        <w:t>n 2017-18</w:t>
      </w:r>
      <w:r w:rsidR="00825D6F">
        <w:t xml:space="preserve"> was $225,700.</w:t>
      </w:r>
    </w:p>
    <w:p w14:paraId="62D00620" w14:textId="4ACE4E5D" w:rsidR="00FE5897" w:rsidRPr="000740FC" w:rsidRDefault="00FE5897" w:rsidP="00B33183">
      <w:pPr>
        <w:pStyle w:val="Paragraph"/>
      </w:pPr>
      <w:r w:rsidRPr="000740FC">
        <w:t>Until the mid</w:t>
      </w:r>
      <w:r w:rsidR="00995E2F">
        <w:t>-</w:t>
      </w:r>
      <w:r w:rsidRPr="000740FC">
        <w:t xml:space="preserve">1990s, MPs and Victorian public servants were covered by defined benefit schemes. Most Victorian public sector defined benefit schemes were closed to new members due to the financial burden on the State of maintaining them, with new employees required to instead participate in an accumulation scheme. Public sector employees covered by an accumulation scheme are entitled to the SG rate of 9.5 per cent. Defined benefit schemes remain open to a limited number of public sector roles, in particular, the ESSSuper defined benefit fund remains open to operational employees of emergency services entities. Some former judges may be eligible for a judicial pension. </w:t>
      </w:r>
    </w:p>
    <w:p w14:paraId="6187F4BB" w14:textId="7A0C02F0" w:rsidR="00FE5897" w:rsidRPr="000740FC" w:rsidRDefault="00FE5897" w:rsidP="00B33183">
      <w:pPr>
        <w:pStyle w:val="Paragraph"/>
      </w:pPr>
      <w:r w:rsidRPr="000740FC">
        <w:t xml:space="preserve">In 2004, the Commonwealth Government closed </w:t>
      </w:r>
      <w:r w:rsidR="00115D96">
        <w:t xml:space="preserve">its </w:t>
      </w:r>
      <w:r w:rsidRPr="000740FC">
        <w:t xml:space="preserve">MP defined benefit scheme to new members and established an accumulation scheme. Other jurisdictions, </w:t>
      </w:r>
      <w:r w:rsidRPr="000740FC">
        <w:lastRenderedPageBreak/>
        <w:t>including Victoria, followed soon after. At the time, the rationale given for moving to an accumulation scheme for Victorian MPs was to bring superannuation arrangements into line with those available to the broader community.</w:t>
      </w:r>
    </w:p>
    <w:p w14:paraId="37C4947C" w14:textId="48B4342C" w:rsidR="00FE5897" w:rsidRPr="000740FC" w:rsidRDefault="12A4F956" w:rsidP="00B33183">
      <w:pPr>
        <w:pStyle w:val="Paragraph"/>
      </w:pPr>
      <w:r>
        <w:t xml:space="preserve">Following a review of Victorian MP entitlements in 2013, superannuation contributions for MPs in the accumulation scheme were increased from 9 per cent to </w:t>
      </w:r>
      <w:r w:rsidR="00FE4449">
        <w:t>the SG rate pl</w:t>
      </w:r>
      <w:r w:rsidR="001F17CB">
        <w:t>us</w:t>
      </w:r>
      <w:r w:rsidR="00FE4449">
        <w:t xml:space="preserve"> 6 per cent</w:t>
      </w:r>
      <w:r>
        <w:t xml:space="preserve">. </w:t>
      </w:r>
      <w:r w:rsidR="00B77FE4">
        <w:t>T</w:t>
      </w:r>
      <w:r>
        <w:t xml:space="preserve">he </w:t>
      </w:r>
      <w:r w:rsidR="006F3A9B">
        <w:t xml:space="preserve">contribution </w:t>
      </w:r>
      <w:r>
        <w:t xml:space="preserve">rate is now 15.5 per cent, well above the rate applicable to other Australian workers. </w:t>
      </w:r>
      <w:r w:rsidR="63635ADD">
        <w:t xml:space="preserve">Further, </w:t>
      </w:r>
      <w:r w:rsidR="0545ABF1">
        <w:t xml:space="preserve">increases to </w:t>
      </w:r>
      <w:r w:rsidR="3B45D017">
        <w:t>the S</w:t>
      </w:r>
      <w:r w:rsidR="3E3E63A3">
        <w:t>G</w:t>
      </w:r>
      <w:r w:rsidR="3B45D017">
        <w:t xml:space="preserve"> </w:t>
      </w:r>
      <w:r w:rsidR="7832E40B">
        <w:t xml:space="preserve">percentage </w:t>
      </w:r>
      <w:r w:rsidR="3B45D017">
        <w:t>have been legislated by the Commonwealth</w:t>
      </w:r>
      <w:r w:rsidR="6960381F">
        <w:t xml:space="preserve"> Government</w:t>
      </w:r>
      <w:r w:rsidR="3B45D017">
        <w:t>.</w:t>
      </w:r>
    </w:p>
    <w:p w14:paraId="270A7F50" w14:textId="24B2FFCE" w:rsidR="00095D5E" w:rsidRDefault="00FE5897" w:rsidP="00B33183">
      <w:pPr>
        <w:pStyle w:val="Paragraph"/>
        <w:rPr>
          <w:highlight w:val="green"/>
        </w:rPr>
      </w:pPr>
      <w:r w:rsidRPr="000740FC">
        <w:t>Of all Australian jurisdictions, Victoria’s accumulation scheme provides MPs with the highest contribution in percentage terms</w:t>
      </w:r>
      <w:r w:rsidRPr="130BC82D">
        <w:t xml:space="preserve"> </w:t>
      </w:r>
      <w:r w:rsidRPr="000740FC">
        <w:t xml:space="preserve">and the </w:t>
      </w:r>
      <w:r w:rsidR="1E00F94A" w:rsidRPr="130BC82D">
        <w:t>third</w:t>
      </w:r>
      <w:r w:rsidRPr="000740FC">
        <w:t xml:space="preserve"> highest in dollar terms, behind the Commonwealth</w:t>
      </w:r>
      <w:r w:rsidR="00995E2F">
        <w:t xml:space="preserve"> and South Australia</w:t>
      </w:r>
      <w:r w:rsidRPr="000740FC">
        <w:t>.</w:t>
      </w:r>
    </w:p>
    <w:p w14:paraId="0B8117C4" w14:textId="2712B550" w:rsidR="00FE5897" w:rsidRPr="000740FC" w:rsidRDefault="00C42618" w:rsidP="00321A3D">
      <w:pPr>
        <w:pStyle w:val="Paragraph"/>
      </w:pPr>
      <w:r>
        <w:t xml:space="preserve">The Commonwealth and each of the states and territories (except for New South Wales and Tasmania) also provide a one-off payment to MPs </w:t>
      </w:r>
      <w:r w:rsidR="00115D96">
        <w:t xml:space="preserve">who </w:t>
      </w:r>
      <w:r>
        <w:t xml:space="preserve">leave </w:t>
      </w:r>
      <w:r w:rsidR="00343E07">
        <w:t>p</w:t>
      </w:r>
      <w:r>
        <w:t>arliament in particular circumstances, similar to Victoria’s separation payment for MPs. While the size of the payment in Victoria falls in the middle of the range provided by other Australian jurisdictions, Victoria has fewer eligibility requirements than most jurisdictions.</w:t>
      </w:r>
      <w:r w:rsidR="00FE5897" w:rsidRPr="000740FC">
        <w:t xml:space="preserve"> </w:t>
      </w:r>
    </w:p>
    <w:p w14:paraId="72796EF3" w14:textId="1EE8D8A9" w:rsidR="00FE5897" w:rsidRPr="000740FC" w:rsidRDefault="00FE5897" w:rsidP="00FE5897">
      <w:pPr>
        <w:pStyle w:val="VIRTHeading2"/>
        <w:rPr>
          <w:lang w:val="en-AU"/>
        </w:rPr>
      </w:pPr>
      <w:bookmarkStart w:id="28" w:name="_Toc49940527"/>
      <w:bookmarkStart w:id="29" w:name="_Toc50990410"/>
      <w:bookmarkStart w:id="30" w:name="_Toc51234119"/>
      <w:r w:rsidRPr="000740FC">
        <w:rPr>
          <w:lang w:val="en-AU"/>
        </w:rPr>
        <w:t xml:space="preserve">Comparing </w:t>
      </w:r>
      <w:r w:rsidR="00C42618">
        <w:rPr>
          <w:lang w:val="en-AU"/>
        </w:rPr>
        <w:t xml:space="preserve">Victorian </w:t>
      </w:r>
      <w:r w:rsidRPr="000740FC">
        <w:rPr>
          <w:lang w:val="en-AU"/>
        </w:rPr>
        <w:t>MP superannuation schemes</w:t>
      </w:r>
      <w:bookmarkEnd w:id="28"/>
      <w:bookmarkEnd w:id="29"/>
      <w:bookmarkEnd w:id="30"/>
    </w:p>
    <w:p w14:paraId="37A25BAF" w14:textId="6865C8E4" w:rsidR="00FE5897" w:rsidRPr="000740FC" w:rsidRDefault="00FE5897" w:rsidP="00B33183">
      <w:pPr>
        <w:pStyle w:val="Paragraph"/>
      </w:pPr>
      <w:r w:rsidRPr="000740FC">
        <w:t xml:space="preserve">The Tribunal compared the </w:t>
      </w:r>
      <w:r w:rsidR="00C42618">
        <w:t xml:space="preserve">Victorian </w:t>
      </w:r>
      <w:r w:rsidRPr="000740FC">
        <w:t xml:space="preserve">MP superannuation schemes from both qualitative </w:t>
      </w:r>
      <w:r w:rsidR="00C42618">
        <w:t xml:space="preserve">and </w:t>
      </w:r>
      <w:r w:rsidRPr="000740FC">
        <w:t xml:space="preserve">quantitative perspectives. </w:t>
      </w:r>
    </w:p>
    <w:p w14:paraId="6AA428B4" w14:textId="36CBF54C" w:rsidR="00FE5897" w:rsidRPr="000740FC" w:rsidRDefault="00FE5897" w:rsidP="00B33183">
      <w:pPr>
        <w:pStyle w:val="Paragraph"/>
      </w:pPr>
      <w:r w:rsidRPr="000740FC">
        <w:t>The Tribunal found three key qualitative differences between the schemes. In broad terms, two of these differences favo</w:t>
      </w:r>
      <w:r w:rsidR="00995E2F">
        <w:t>u</w:t>
      </w:r>
      <w:r w:rsidRPr="000740FC">
        <w:t>r members of defined benefit schemes, while the other may favo</w:t>
      </w:r>
      <w:r w:rsidR="00995E2F">
        <w:t>u</w:t>
      </w:r>
      <w:r w:rsidRPr="000740FC">
        <w:t>r members of the accumulation scheme:</w:t>
      </w:r>
    </w:p>
    <w:p w14:paraId="36BA8351" w14:textId="139BF90F" w:rsidR="00FE5897" w:rsidRPr="000740FC" w:rsidRDefault="00D67BC5" w:rsidP="00FE5897">
      <w:pPr>
        <w:pStyle w:val="VIRTBulletpoints"/>
      </w:pPr>
      <w:r>
        <w:rPr>
          <w:i/>
          <w:iCs/>
        </w:rPr>
        <w:t>T</w:t>
      </w:r>
      <w:r w:rsidR="00FE5897" w:rsidRPr="000740FC">
        <w:rPr>
          <w:i/>
          <w:iCs/>
        </w:rPr>
        <w:t>he timing of when superannuation benefits can be accessed</w:t>
      </w:r>
      <w:r w:rsidR="00FE5897" w:rsidRPr="000740FC">
        <w:t xml:space="preserve">: eligible members of defined benefit schemes start to receive their pension as soon as they leave </w:t>
      </w:r>
      <w:r>
        <w:t xml:space="preserve">the </w:t>
      </w:r>
      <w:r w:rsidR="00FE5897" w:rsidRPr="000740FC">
        <w:t>Parliament, whereas members of the accumulation scheme need to meet preservation age requirements</w:t>
      </w:r>
      <w:r>
        <w:t>.</w:t>
      </w:r>
    </w:p>
    <w:p w14:paraId="2C4C92EB" w14:textId="075CB369" w:rsidR="00FE5897" w:rsidRPr="000740FC" w:rsidRDefault="00D67BC5" w:rsidP="00FE5897">
      <w:pPr>
        <w:pStyle w:val="VIRTBulletpoints"/>
      </w:pPr>
      <w:r>
        <w:rPr>
          <w:i/>
          <w:iCs/>
        </w:rPr>
        <w:t>S</w:t>
      </w:r>
      <w:r w:rsidR="00FE5897" w:rsidRPr="000740FC">
        <w:rPr>
          <w:i/>
          <w:iCs/>
        </w:rPr>
        <w:t>ources of uncertainty and risk</w:t>
      </w:r>
      <w:r w:rsidR="00FE5897" w:rsidRPr="000740FC">
        <w:t xml:space="preserve">: eligible members of defined benefit schemes receive a guaranteed pension for the remainder of their and their partner’s </w:t>
      </w:r>
      <w:r w:rsidR="00C42618">
        <w:t xml:space="preserve">and eligible children’s </w:t>
      </w:r>
      <w:r w:rsidR="00FE5897" w:rsidRPr="000740FC">
        <w:t>lives, whereas the superannuation benefit accrued by an MP in the accumulation scheme is subject to investment risk and may be insufficient to fund their retirement</w:t>
      </w:r>
      <w:r>
        <w:t>.</w:t>
      </w:r>
    </w:p>
    <w:p w14:paraId="10AD08B5" w14:textId="123B3030" w:rsidR="00FE5897" w:rsidRDefault="00D67BC5" w:rsidP="00FE5897">
      <w:pPr>
        <w:pStyle w:val="VIRTBulletpoints"/>
      </w:pPr>
      <w:r>
        <w:rPr>
          <w:i/>
          <w:iCs/>
        </w:rPr>
        <w:lastRenderedPageBreak/>
        <w:t>F</w:t>
      </w:r>
      <w:r w:rsidR="00FE5897" w:rsidRPr="000740FC">
        <w:rPr>
          <w:i/>
          <w:iCs/>
        </w:rPr>
        <w:t>lexibility</w:t>
      </w:r>
      <w:r w:rsidR="00FE5897" w:rsidRPr="000740FC">
        <w:t>: members of an accumulation fund have relatively greater choice and control over their superannuation fund, including the option to set up a self</w:t>
      </w:r>
      <w:r w:rsidR="00D36742">
        <w:noBreakHyphen/>
      </w:r>
      <w:r w:rsidR="00FE5897" w:rsidRPr="000740FC">
        <w:t>managed superannuation fund, the level of contributions they make, how their superannuation is invested, and how they access their superannuation benefits.</w:t>
      </w:r>
    </w:p>
    <w:p w14:paraId="08A51E48" w14:textId="4B1CB28B" w:rsidR="006C6261" w:rsidRPr="006C6261" w:rsidRDefault="00945111" w:rsidP="007F5E6D">
      <w:pPr>
        <w:pStyle w:val="Paragraph"/>
      </w:pPr>
      <w:r>
        <w:t>On balance, the Tribunal considered these differences place MPs in the defined benefit schemes at a significant advantage compared with their counterparts in the accumulation scheme.</w:t>
      </w:r>
    </w:p>
    <w:p w14:paraId="5933B83B" w14:textId="31253BDD" w:rsidR="00FE5897" w:rsidRPr="000740FC" w:rsidRDefault="00FE5897" w:rsidP="007F5E6D">
      <w:pPr>
        <w:pStyle w:val="Parabeforeabulletlist"/>
      </w:pPr>
      <w:r w:rsidRPr="000740FC">
        <w:t xml:space="preserve">The Tribunal commissioned actuarial analysis using industry standard </w:t>
      </w:r>
      <w:r w:rsidR="0010758C">
        <w:t xml:space="preserve">methodologies and </w:t>
      </w:r>
      <w:r w:rsidRPr="000740FC">
        <w:t>assumptions to model the quantitative differences between the New Benefits Scheme and the accumulation scheme (including the separation payment). The modelling involved</w:t>
      </w:r>
      <w:r w:rsidR="00945111">
        <w:t xml:space="preserve"> a</w:t>
      </w:r>
      <w:r w:rsidRPr="000740FC">
        <w:t>:</w:t>
      </w:r>
    </w:p>
    <w:p w14:paraId="302F9D48" w14:textId="0D350EED" w:rsidR="00FE5897" w:rsidRPr="000740FC" w:rsidRDefault="00FE5897" w:rsidP="00FE5897">
      <w:pPr>
        <w:pStyle w:val="VIRTBulletpoints"/>
      </w:pPr>
      <w:r w:rsidRPr="000740FC">
        <w:rPr>
          <w:i/>
          <w:iCs/>
        </w:rPr>
        <w:t>backward-looking approach</w:t>
      </w:r>
      <w:r w:rsidRPr="000740FC">
        <w:t xml:space="preserve">: estimating the total superannuation benefit of a hypothetical MP </w:t>
      </w:r>
      <w:r w:rsidR="00F35E2B">
        <w:t>who</w:t>
      </w:r>
      <w:r w:rsidRPr="000740FC">
        <w:t xml:space="preserve"> was a member of either scheme and </w:t>
      </w:r>
      <w:r w:rsidR="00DF791B">
        <w:t>who</w:t>
      </w:r>
      <w:r w:rsidRPr="000740FC">
        <w:t xml:space="preserve"> served in the Parliament between 2004 and 2019</w:t>
      </w:r>
    </w:p>
    <w:p w14:paraId="2DB19193" w14:textId="2F260196" w:rsidR="00FE5897" w:rsidRPr="000740FC" w:rsidRDefault="00FE5897" w:rsidP="00FE5897">
      <w:pPr>
        <w:pStyle w:val="VIRTBulletpoints"/>
      </w:pPr>
      <w:r w:rsidRPr="000740FC">
        <w:rPr>
          <w:i/>
          <w:iCs/>
        </w:rPr>
        <w:t>forward-looking approach</w:t>
      </w:r>
      <w:r w:rsidRPr="000740FC">
        <w:t xml:space="preserve">: estimating the total superannuation benefit of a hypothetical MP </w:t>
      </w:r>
      <w:r w:rsidR="00F35E2B">
        <w:t>who</w:t>
      </w:r>
      <w:r w:rsidRPr="000740FC">
        <w:t xml:space="preserve"> was a member of either scheme and </w:t>
      </w:r>
      <w:r w:rsidR="00DF791B">
        <w:t>who</w:t>
      </w:r>
      <w:r w:rsidRPr="000740FC">
        <w:t xml:space="preserve"> served in the Parliament from 2020 and left </w:t>
      </w:r>
      <w:r w:rsidR="004D5FBA">
        <w:t xml:space="preserve">the </w:t>
      </w:r>
      <w:r w:rsidRPr="000740FC">
        <w:t>Parliament on a specified end date, for example, 2032.</w:t>
      </w:r>
    </w:p>
    <w:p w14:paraId="102A73A5" w14:textId="6F78A045" w:rsidR="00FE5897" w:rsidRPr="000740FC" w:rsidRDefault="00FE5897" w:rsidP="00B33183">
      <w:pPr>
        <w:pStyle w:val="Paragraph"/>
      </w:pPr>
      <w:r w:rsidRPr="000740FC">
        <w:t xml:space="preserve">The base case for the modelling was a representative MP who joined </w:t>
      </w:r>
      <w:r w:rsidR="009C7C91">
        <w:t xml:space="preserve">the </w:t>
      </w:r>
      <w:r w:rsidRPr="000740FC">
        <w:t xml:space="preserve">Parliament at age 43 and served for </w:t>
      </w:r>
      <w:r w:rsidR="006E379E">
        <w:t>12</w:t>
      </w:r>
      <w:r w:rsidRPr="000740FC">
        <w:t xml:space="preserve"> years</w:t>
      </w:r>
      <w:r w:rsidR="00D36742" w:rsidRPr="00076456">
        <w:t xml:space="preserve">, reflecting </w:t>
      </w:r>
      <w:r w:rsidR="00AF0D79" w:rsidRPr="00076456">
        <w:t xml:space="preserve">the average </w:t>
      </w:r>
      <w:r w:rsidR="0024573C" w:rsidRPr="00076456">
        <w:t xml:space="preserve">starting age </w:t>
      </w:r>
      <w:r w:rsidR="00AF0D79" w:rsidRPr="00076456">
        <w:t>and length of service of</w:t>
      </w:r>
      <w:r w:rsidR="0024573C" w:rsidRPr="00076456">
        <w:t xml:space="preserve"> MPs </w:t>
      </w:r>
      <w:r w:rsidR="00115D96">
        <w:t>who</w:t>
      </w:r>
      <w:r w:rsidR="0024573C" w:rsidRPr="00076456">
        <w:t xml:space="preserve"> left the Parliament in the last </w:t>
      </w:r>
      <w:r w:rsidR="00256C12">
        <w:t>10</w:t>
      </w:r>
      <w:r w:rsidR="0024573C" w:rsidRPr="00076456">
        <w:t xml:space="preserve"> years</w:t>
      </w:r>
      <w:r w:rsidRPr="00076456">
        <w:t>.</w:t>
      </w:r>
      <w:r w:rsidR="0024573C" w:rsidRPr="00076456">
        <w:t xml:space="preserve"> </w:t>
      </w:r>
      <w:r w:rsidRPr="000740FC">
        <w:t>A range of other scenarios were also modelled, taking into account different starting ages, term</w:t>
      </w:r>
      <w:r w:rsidR="00082D26">
        <w:t>s</w:t>
      </w:r>
      <w:r w:rsidRPr="000740FC">
        <w:t xml:space="preserve"> of service and whether an MP held a</w:t>
      </w:r>
      <w:r w:rsidR="0068442A">
        <w:t xml:space="preserve"> specified parliamentary</w:t>
      </w:r>
      <w:r w:rsidRPr="000740FC">
        <w:t xml:space="preserve"> office.</w:t>
      </w:r>
    </w:p>
    <w:p w14:paraId="47A3401B" w14:textId="0A4A0E0E" w:rsidR="00FE5897" w:rsidRDefault="00FE5897" w:rsidP="00B33183">
      <w:pPr>
        <w:pStyle w:val="Paragraph"/>
      </w:pPr>
      <w:r w:rsidRPr="000740FC">
        <w:t xml:space="preserve">In general, the actuarial modelling showed that the New Benefits Scheme would provide an MP with a significantly greater superannuation </w:t>
      </w:r>
      <w:r w:rsidR="00076456">
        <w:t xml:space="preserve">benefit </w:t>
      </w:r>
      <w:r w:rsidR="00E1213C">
        <w:t>than the accumulation scheme</w:t>
      </w:r>
      <w:r w:rsidRPr="000740FC">
        <w:t>. The</w:t>
      </w:r>
      <w:r w:rsidR="00E1213C">
        <w:t xml:space="preserve"> relative</w:t>
      </w:r>
      <w:r w:rsidRPr="000740FC">
        <w:t xml:space="preserve"> difference is most pronounced once an MP has served for long enough to be eligible for a pension (8 years assuming involuntary exit from Parliament)</w:t>
      </w:r>
      <w:r w:rsidR="001846A0" w:rsidRPr="001846A0">
        <w:t xml:space="preserve"> </w:t>
      </w:r>
      <w:r w:rsidR="001846A0">
        <w:t>and less pronounced where MPs serve for much longer periods</w:t>
      </w:r>
      <w:r w:rsidRPr="000740FC">
        <w:t>.</w:t>
      </w:r>
    </w:p>
    <w:p w14:paraId="134C70DF" w14:textId="164F56D6" w:rsidR="008A166B" w:rsidRDefault="00B57FE3" w:rsidP="007F5E6D">
      <w:pPr>
        <w:pStyle w:val="Parabeforeabulletlist"/>
      </w:pPr>
      <w:r w:rsidRPr="00F4563E">
        <w:t>For example, for the representative MP scenario</w:t>
      </w:r>
      <w:r w:rsidR="0016669F">
        <w:t xml:space="preserve"> </w:t>
      </w:r>
      <w:r w:rsidR="0016669F" w:rsidRPr="00076456">
        <w:t>(in June 2020 dollars)</w:t>
      </w:r>
      <w:r w:rsidRPr="00076456">
        <w:t>:</w:t>
      </w:r>
    </w:p>
    <w:p w14:paraId="58050A76" w14:textId="1C5EFC87" w:rsidR="0073094F" w:rsidRPr="000740FC" w:rsidRDefault="0073094F" w:rsidP="0073094F">
      <w:pPr>
        <w:pStyle w:val="VIRTBulletpoints"/>
      </w:pPr>
      <w:r w:rsidRPr="000740FC">
        <w:t xml:space="preserve">in the backward-looking approach, the </w:t>
      </w:r>
      <w:r w:rsidR="00F13617">
        <w:t xml:space="preserve">estimated </w:t>
      </w:r>
      <w:r>
        <w:t>accumulation scheme</w:t>
      </w:r>
      <w:r w:rsidR="00C445F6">
        <w:t xml:space="preserve"> benefit</w:t>
      </w:r>
      <w:r w:rsidRPr="000740FC">
        <w:t xml:space="preserve"> is around $0.5</w:t>
      </w:r>
      <w:r>
        <w:t>2</w:t>
      </w:r>
      <w:r w:rsidRPr="000740FC">
        <w:t xml:space="preserve"> million, whereas the </w:t>
      </w:r>
      <w:r w:rsidR="00F13617">
        <w:t xml:space="preserve">estimated </w:t>
      </w:r>
      <w:r>
        <w:t xml:space="preserve">the New Benefits Scheme lump sum </w:t>
      </w:r>
      <w:r w:rsidR="00C445F6">
        <w:t xml:space="preserve">benefit </w:t>
      </w:r>
      <w:r w:rsidRPr="000740FC">
        <w:t>is around $0.96</w:t>
      </w:r>
      <w:r>
        <w:t xml:space="preserve"> </w:t>
      </w:r>
      <w:r w:rsidRPr="000740FC">
        <w:t>m</w:t>
      </w:r>
      <w:r>
        <w:t>illion</w:t>
      </w:r>
      <w:r w:rsidRPr="000740FC">
        <w:t xml:space="preserve"> (or around 84 per cent </w:t>
      </w:r>
      <w:r w:rsidRPr="000740FC">
        <w:lastRenderedPageBreak/>
        <w:t xml:space="preserve">higher) and the </w:t>
      </w:r>
      <w:r w:rsidR="00F13617">
        <w:t xml:space="preserve">estimated </w:t>
      </w:r>
      <w:r>
        <w:t>New Benefits Scheme pension</w:t>
      </w:r>
      <w:r w:rsidR="00C445F6">
        <w:t xml:space="preserve"> benefit</w:t>
      </w:r>
      <w:r w:rsidRPr="000740FC">
        <w:t xml:space="preserve"> is around $2.</w:t>
      </w:r>
      <w:r>
        <w:t>3</w:t>
      </w:r>
      <w:r w:rsidRPr="000740FC">
        <w:t>4 million (or around 350 per cent higher)</w:t>
      </w:r>
    </w:p>
    <w:p w14:paraId="546F3652" w14:textId="17C8634C" w:rsidR="0073094F" w:rsidRDefault="0073094F" w:rsidP="0073094F">
      <w:pPr>
        <w:pStyle w:val="VIRTBulletpoints"/>
      </w:pPr>
      <w:r w:rsidRPr="000740FC">
        <w:t xml:space="preserve">in the forward-looking approach, the </w:t>
      </w:r>
      <w:r w:rsidR="00F13617">
        <w:t xml:space="preserve">estimated </w:t>
      </w:r>
      <w:r>
        <w:t>accumulation scheme</w:t>
      </w:r>
      <w:r w:rsidR="00C445F6">
        <w:t xml:space="preserve"> benefit</w:t>
      </w:r>
      <w:r w:rsidRPr="000740FC">
        <w:t xml:space="preserve"> is around $0.7</w:t>
      </w:r>
      <w:r>
        <w:t>0</w:t>
      </w:r>
      <w:r w:rsidRPr="000740FC">
        <w:t xml:space="preserve"> million, whereas the </w:t>
      </w:r>
      <w:r w:rsidR="00F13617">
        <w:t xml:space="preserve">estimated </w:t>
      </w:r>
      <w:r>
        <w:t>New Benefits Scheme lump sum</w:t>
      </w:r>
      <w:r w:rsidR="00C445F6">
        <w:t xml:space="preserve"> benefit</w:t>
      </w:r>
      <w:r w:rsidRPr="000740FC">
        <w:t xml:space="preserve"> is around $1.</w:t>
      </w:r>
      <w:r>
        <w:t xml:space="preserve">09 </w:t>
      </w:r>
      <w:r w:rsidRPr="000740FC">
        <w:t>m</w:t>
      </w:r>
      <w:r>
        <w:t>illion</w:t>
      </w:r>
      <w:r w:rsidRPr="000740FC">
        <w:t xml:space="preserve"> (or around 55 per cent higher) and the </w:t>
      </w:r>
      <w:r w:rsidR="00F13617">
        <w:t xml:space="preserve">estimated </w:t>
      </w:r>
      <w:r>
        <w:t xml:space="preserve">New Benefits Scheme pension </w:t>
      </w:r>
      <w:r w:rsidR="00C445F6">
        <w:t xml:space="preserve">benefit </w:t>
      </w:r>
      <w:r w:rsidRPr="000740FC">
        <w:t>is around $</w:t>
      </w:r>
      <w:r>
        <w:t>2.96</w:t>
      </w:r>
      <w:r w:rsidRPr="000740FC">
        <w:t xml:space="preserve"> million (or around 320 per cent higher)</w:t>
      </w:r>
      <w:r w:rsidR="00FF566B">
        <w:t>.</w:t>
      </w:r>
    </w:p>
    <w:p w14:paraId="2F7CDB7F" w14:textId="49913E08" w:rsidR="00896134" w:rsidRDefault="0045307E" w:rsidP="00EF4F59">
      <w:pPr>
        <w:pStyle w:val="Paragraph"/>
      </w:pPr>
      <w:r w:rsidRPr="0045307E">
        <w:t>The modelling suggests that changes to the accumulation scheme over time, in particular</w:t>
      </w:r>
      <w:r w:rsidR="00850A8E">
        <w:t>,</w:t>
      </w:r>
      <w:r w:rsidRPr="0045307E">
        <w:t xml:space="preserve"> the increase to the contribution rate in 2013 and the introduction of the resettlement allowance/separation payment, have helped to</w:t>
      </w:r>
      <w:r w:rsidR="00D01C8B">
        <w:t xml:space="preserve"> </w:t>
      </w:r>
      <w:r w:rsidRPr="0045307E">
        <w:t>bridge the gap between the schemes.</w:t>
      </w:r>
    </w:p>
    <w:p w14:paraId="6405A420" w14:textId="7A7C758E" w:rsidR="00896134" w:rsidRPr="0045307E" w:rsidRDefault="00896134" w:rsidP="00EF4F59">
      <w:pPr>
        <w:pStyle w:val="Paragraph"/>
      </w:pPr>
      <w:r>
        <w:t>The Tribunal has not included in this</w:t>
      </w:r>
      <w:r w:rsidR="00CB3FFA">
        <w:t xml:space="preserve"> public</w:t>
      </w:r>
      <w:r>
        <w:t xml:space="preserve"> report modelling</w:t>
      </w:r>
      <w:r w:rsidRPr="00896134">
        <w:t xml:space="preserve"> </w:t>
      </w:r>
      <w:r w:rsidR="00CB3FFA">
        <w:t xml:space="preserve">results </w:t>
      </w:r>
      <w:r w:rsidRPr="00896134">
        <w:t>that could potentially identify the superannuation entitlements of individuals</w:t>
      </w:r>
      <w:r>
        <w:t>.</w:t>
      </w:r>
    </w:p>
    <w:p w14:paraId="5CDF2A5E" w14:textId="77777777" w:rsidR="00FE5897" w:rsidRPr="000740FC" w:rsidRDefault="00FE5897" w:rsidP="00FE5897">
      <w:pPr>
        <w:keepNext/>
        <w:spacing w:before="120" w:after="240"/>
        <w:outlineLvl w:val="0"/>
        <w:rPr>
          <w:rFonts w:asciiTheme="minorHAnsi" w:hAnsiTheme="minorHAnsi" w:cs="Arial"/>
          <w:noProof/>
          <w:color w:val="0F6745" w:themeColor="accent2" w:themeShade="BF"/>
          <w:spacing w:val="20"/>
          <w:sz w:val="30"/>
        </w:rPr>
      </w:pPr>
      <w:r w:rsidRPr="000740FC">
        <w:rPr>
          <w:rFonts w:asciiTheme="minorHAnsi" w:hAnsiTheme="minorHAnsi" w:cs="Arial"/>
          <w:noProof/>
          <w:color w:val="0F6745" w:themeColor="accent2" w:themeShade="BF"/>
          <w:spacing w:val="20"/>
          <w:sz w:val="30"/>
        </w:rPr>
        <w:t>Potential inequalities</w:t>
      </w:r>
    </w:p>
    <w:p w14:paraId="007BFD95" w14:textId="77777777" w:rsidR="00736737" w:rsidRPr="00F4563E" w:rsidRDefault="00736737" w:rsidP="00B33183">
      <w:pPr>
        <w:pStyle w:val="Paragraph"/>
      </w:pPr>
      <w:r w:rsidRPr="00F4563E">
        <w:t xml:space="preserve">The Tribunal noted the potential inequalities arising from the significant qualitative and quantitative differences between the superannuation schemes for Victorian MPs. </w:t>
      </w:r>
    </w:p>
    <w:p w14:paraId="2FBBE212" w14:textId="1049F1A9" w:rsidR="00736737" w:rsidRPr="00F4563E" w:rsidRDefault="00736737" w:rsidP="00B33183">
      <w:pPr>
        <w:pStyle w:val="Paragraph"/>
      </w:pPr>
      <w:r w:rsidRPr="00F4563E">
        <w:t>The Tribunal considered several options to address those inequalities, including increasing the superannuation contributions made for MPs in the accumulation scheme, opening or re-opening defined benefit schemes to existing and future MPs, increasing the separation payment for MPs subject to the accumulation scheme</w:t>
      </w:r>
      <w:r w:rsidR="00FB7AD1">
        <w:t>,</w:t>
      </w:r>
      <w:r w:rsidRPr="00F4563E">
        <w:t xml:space="preserve"> and compensating MPs in the accumulation scheme for the difference between expected superannuation </w:t>
      </w:r>
      <w:r w:rsidR="00775DA9">
        <w:t>benefits</w:t>
      </w:r>
      <w:r w:rsidRPr="00F4563E">
        <w:t xml:space="preserve"> under each scheme when they leave </w:t>
      </w:r>
      <w:r w:rsidR="00577665">
        <w:t xml:space="preserve">the </w:t>
      </w:r>
      <w:r w:rsidRPr="00F4563E">
        <w:t xml:space="preserve">Parliament. </w:t>
      </w:r>
    </w:p>
    <w:p w14:paraId="55DC9512" w14:textId="77777777" w:rsidR="00736737" w:rsidRPr="00F4563E" w:rsidRDefault="00736737" w:rsidP="00B33183">
      <w:pPr>
        <w:pStyle w:val="Paragraph"/>
      </w:pPr>
      <w:r w:rsidRPr="00F4563E">
        <w:t>In doing so the Tribunal recognised that MPs have a relatively unique role without access to many of the employment standards and conditions afforded to other workers and face the risk of losing their job at each election.</w:t>
      </w:r>
    </w:p>
    <w:p w14:paraId="0A4FB24A" w14:textId="77777777" w:rsidR="00736737" w:rsidRPr="00F4563E" w:rsidRDefault="00736737" w:rsidP="00B33183">
      <w:pPr>
        <w:pStyle w:val="Paragraph"/>
      </w:pPr>
      <w:r w:rsidRPr="00F4563E">
        <w:t>Nonetheless, the superannuation entitlements for Victorian MPs, including those in the accumulation scheme, compare favourably to those of MPs in other Australian jurisdictions, other Victorian public sector roles and Australians more generally.</w:t>
      </w:r>
    </w:p>
    <w:p w14:paraId="2E777B7A" w14:textId="09D61421" w:rsidR="00736737" w:rsidRPr="00F4563E" w:rsidRDefault="00736737" w:rsidP="00B33183">
      <w:pPr>
        <w:pStyle w:val="Paragraph"/>
      </w:pPr>
      <w:r>
        <w:t xml:space="preserve">The modelling conducted by the Tribunal indicates that a hypothetical MP </w:t>
      </w:r>
      <w:r w:rsidR="00BA49F1">
        <w:t>who</w:t>
      </w:r>
      <w:r>
        <w:t xml:space="preserve"> joins the Parliament in 2020 and serves for 12 years </w:t>
      </w:r>
      <w:r w:rsidR="00A75E5C">
        <w:t xml:space="preserve">(without holding </w:t>
      </w:r>
      <w:r w:rsidR="0099577E">
        <w:t>specified parliamentary</w:t>
      </w:r>
      <w:r w:rsidR="00A75E5C">
        <w:t xml:space="preserve"> offices) </w:t>
      </w:r>
      <w:r>
        <w:t xml:space="preserve">will leave the Parliament with approximately $390,000 in </w:t>
      </w:r>
      <w:r w:rsidR="009663CF">
        <w:lastRenderedPageBreak/>
        <w:t>benefits</w:t>
      </w:r>
      <w:r>
        <w:t xml:space="preserve"> in real (June 2020) terms from their </w:t>
      </w:r>
      <w:r w:rsidR="009663CF">
        <w:t>p</w:t>
      </w:r>
      <w:r>
        <w:t>arliamentary service alone</w:t>
      </w:r>
      <w:r w:rsidR="00792253">
        <w:t>, without making additional contributions</w:t>
      </w:r>
      <w:r>
        <w:t xml:space="preserve">. In comparison, in 2017-18 the </w:t>
      </w:r>
      <w:r w:rsidR="00B11E59">
        <w:t>median</w:t>
      </w:r>
      <w:r>
        <w:t xml:space="preserve"> superannuation balance of Australians that </w:t>
      </w:r>
      <w:r w:rsidR="003B46C1">
        <w:t>were</w:t>
      </w:r>
      <w:r>
        <w:t xml:space="preserve"> </w:t>
      </w:r>
      <w:r w:rsidR="35D97E8F">
        <w:t xml:space="preserve">aged </w:t>
      </w:r>
      <w:r>
        <w:t>65-74 was $225,700.</w:t>
      </w:r>
    </w:p>
    <w:p w14:paraId="38C8D2CF" w14:textId="483F813D" w:rsidR="00736737" w:rsidRPr="00F4563E" w:rsidRDefault="00736737" w:rsidP="00B33183">
      <w:pPr>
        <w:pStyle w:val="Paragraph"/>
      </w:pPr>
      <w:r w:rsidRPr="00F4563E">
        <w:t>Further, the 2013 increase in superannuation contributions for Victorian MPs in the accumulation scheme was in part provided to recognise that MPs do not receive accrued recreation and long service leave</w:t>
      </w:r>
      <w:r w:rsidR="00274254">
        <w:t>.</w:t>
      </w:r>
      <w:r w:rsidRPr="00F4563E">
        <w:t xml:space="preserve"> </w:t>
      </w:r>
      <w:r w:rsidR="00274254">
        <w:t>T</w:t>
      </w:r>
      <w:r w:rsidRPr="00F4563E">
        <w:t xml:space="preserve">he separation payment (and the former resettlement allowance) was </w:t>
      </w:r>
      <w:r w:rsidR="008962BE">
        <w:t xml:space="preserve">also </w:t>
      </w:r>
      <w:r w:rsidRPr="00F4563E">
        <w:t>provided to assist MPs to re-establish themselves in professional or business life or the workforce. The separation payment is akin to the redundancy payments to which many workers are entitled on termination of their employment.</w:t>
      </w:r>
    </w:p>
    <w:p w14:paraId="0B4C20BA" w14:textId="792578EE" w:rsidR="00736737" w:rsidRPr="00F4563E" w:rsidRDefault="00736737" w:rsidP="00B33183">
      <w:pPr>
        <w:pStyle w:val="Paragraph"/>
      </w:pPr>
      <w:r w:rsidRPr="00F4563E">
        <w:t xml:space="preserve">The Tribunal </w:t>
      </w:r>
      <w:r w:rsidR="007177D0">
        <w:t>was also</w:t>
      </w:r>
      <w:r w:rsidRPr="00F4563E">
        <w:t xml:space="preserve"> mindful of Victoria’s current challenging economic and fiscal environment and outlook arising from the COVID-19 pandemic and that any option that fully addressed the quantitative differences between the New Benefits Scheme and accumulation scheme would come at a substantial cost to the State.</w:t>
      </w:r>
    </w:p>
    <w:p w14:paraId="73FCD58A" w14:textId="029024AA" w:rsidR="00FE5897" w:rsidRDefault="00736737" w:rsidP="007F5E6D">
      <w:pPr>
        <w:pStyle w:val="Parabeforeabulletlist"/>
      </w:pPr>
      <w:r w:rsidRPr="00F4563E">
        <w:t>The Tribunal considers that it would be out of step with superannuation arrangements in the broader economy and with community standards to:</w:t>
      </w:r>
    </w:p>
    <w:p w14:paraId="6D8747F2" w14:textId="7FBB25B9" w:rsidR="005E1EFF" w:rsidRPr="00F4563E" w:rsidRDefault="005E1EFF" w:rsidP="005E1EFF">
      <w:pPr>
        <w:pStyle w:val="VIRTBulletpoints"/>
      </w:pPr>
      <w:r w:rsidRPr="00F4563E">
        <w:t>open (or re-open) a defined benefit scheme for MPs not currently entitled to such a scheme; or</w:t>
      </w:r>
    </w:p>
    <w:p w14:paraId="79E006DF" w14:textId="67F456A6" w:rsidR="005E1EFF" w:rsidRPr="00F4563E" w:rsidRDefault="005E1EFF" w:rsidP="005E1EFF">
      <w:pPr>
        <w:pStyle w:val="VIRTBulletpoints"/>
        <w:rPr>
          <w:rFonts w:ascii="Rockwell" w:eastAsia="HGMinchoB" w:hAnsi="Rockwell" w:cs="Times New Roman"/>
        </w:rPr>
      </w:pPr>
      <w:r w:rsidRPr="00F4563E">
        <w:t xml:space="preserve">increase the superannuation </w:t>
      </w:r>
      <w:r w:rsidR="005A556E">
        <w:t>benefits</w:t>
      </w:r>
      <w:r w:rsidRPr="00F4563E">
        <w:t xml:space="preserve"> of MPs above the entitlements they already rece</w:t>
      </w:r>
      <w:r w:rsidRPr="00F4563E">
        <w:rPr>
          <w:rFonts w:eastAsia="HGMinchoB"/>
          <w:szCs w:val="26"/>
        </w:rPr>
        <w:t xml:space="preserve">ive; or </w:t>
      </w:r>
    </w:p>
    <w:p w14:paraId="6A41776E" w14:textId="77777777" w:rsidR="00661020" w:rsidRPr="00661020" w:rsidRDefault="005E1EFF" w:rsidP="005E1EFF">
      <w:pPr>
        <w:pStyle w:val="VIRTBulletpoints"/>
        <w:rPr>
          <w:rFonts w:ascii="Rockwell" w:eastAsia="HGMinchoB" w:hAnsi="Rockwell" w:cs="Times New Roman"/>
        </w:rPr>
      </w:pPr>
      <w:r w:rsidRPr="00F4563E">
        <w:t>increase the separation payment for MPs in the accumulation scheme</w:t>
      </w:r>
      <w:r w:rsidRPr="00F4563E">
        <w:rPr>
          <w:rFonts w:eastAsia="HGMinchoB"/>
          <w:szCs w:val="26"/>
        </w:rPr>
        <w:t>.</w:t>
      </w:r>
    </w:p>
    <w:p w14:paraId="227491E0" w14:textId="67A135CD" w:rsidR="005E1EFF" w:rsidRPr="003B46C1" w:rsidRDefault="00426F30" w:rsidP="00426F30">
      <w:pPr>
        <w:pStyle w:val="Paragraph"/>
      </w:pPr>
      <w:r w:rsidRPr="003B46C1">
        <w:t>For these reasons, the Tribunal has recommended that there be no changes made to the superannuation arrangements for Victorian MPs at this time</w:t>
      </w:r>
      <w:r w:rsidR="003B46C1">
        <w:t xml:space="preserve">, </w:t>
      </w:r>
      <w:r w:rsidR="003B46C1" w:rsidRPr="0077203F">
        <w:t>in relation to the inequalities between the schemes</w:t>
      </w:r>
      <w:r w:rsidRPr="0077203F">
        <w:t>.</w:t>
      </w:r>
      <w:r w:rsidRPr="003B46C1">
        <w:t xml:space="preserve"> </w:t>
      </w:r>
    </w:p>
    <w:p w14:paraId="14E397B9" w14:textId="33843DBF" w:rsidR="00DF0C4F" w:rsidRPr="00A21197" w:rsidRDefault="003B46C1" w:rsidP="00B33183">
      <w:pPr>
        <w:pStyle w:val="Paragraph"/>
        <w:rPr>
          <w:highlight w:val="green"/>
        </w:rPr>
      </w:pPr>
      <w:r>
        <w:t>However, h</w:t>
      </w:r>
      <w:r w:rsidR="0040174B">
        <w:t>aving recognised that some MPs might face the risk of inadequate retirement income, the Tribunal considers that enhanced transitional support might assist existing and former MPs in finding future employment</w:t>
      </w:r>
      <w:r>
        <w:t xml:space="preserve"> and has made recommendations in this regard</w:t>
      </w:r>
      <w:r w:rsidR="0040174B">
        <w:t>.</w:t>
      </w:r>
    </w:p>
    <w:p w14:paraId="45990EA9" w14:textId="77777777" w:rsidR="00FE5897" w:rsidRDefault="00FE5897" w:rsidP="00FE5897">
      <w:pPr>
        <w:keepNext/>
        <w:spacing w:before="120" w:after="240"/>
        <w:outlineLvl w:val="0"/>
        <w:rPr>
          <w:rFonts w:asciiTheme="minorHAnsi" w:hAnsiTheme="minorHAnsi" w:cs="Arial"/>
          <w:noProof/>
          <w:color w:val="0F6745" w:themeColor="accent2" w:themeShade="BF"/>
          <w:spacing w:val="20"/>
          <w:sz w:val="30"/>
        </w:rPr>
      </w:pPr>
      <w:r w:rsidRPr="000740FC">
        <w:rPr>
          <w:rFonts w:asciiTheme="minorHAnsi" w:hAnsiTheme="minorHAnsi" w:cs="Arial"/>
          <w:noProof/>
          <w:color w:val="0F6745" w:themeColor="accent2" w:themeShade="BF"/>
          <w:spacing w:val="20"/>
          <w:sz w:val="30"/>
        </w:rPr>
        <w:t>Potential irregularities</w:t>
      </w:r>
    </w:p>
    <w:p w14:paraId="0146457A" w14:textId="4821A9D3" w:rsidR="00AE5B2B" w:rsidRDefault="00AE5B2B" w:rsidP="00B33183">
      <w:pPr>
        <w:pStyle w:val="Paragraph"/>
      </w:pPr>
      <w:r>
        <w:t>The Tribunal considered potential irregularities with respect to the calculation of</w:t>
      </w:r>
      <w:r w:rsidR="00A25F6C">
        <w:t>,</w:t>
      </w:r>
      <w:r>
        <w:t xml:space="preserve"> and indexation arrangements for</w:t>
      </w:r>
      <w:r w:rsidR="00A25F6C">
        <w:t>,</w:t>
      </w:r>
      <w:r>
        <w:t xml:space="preserve"> the </w:t>
      </w:r>
      <w:r w:rsidR="00A25F6C">
        <w:t>BSP</w:t>
      </w:r>
      <w:r w:rsidRPr="00F54C91">
        <w:t>.</w:t>
      </w:r>
    </w:p>
    <w:p w14:paraId="7FE40F1E" w14:textId="561136EE" w:rsidR="00AE5B2B" w:rsidRDefault="00AE5B2B" w:rsidP="00B33183">
      <w:pPr>
        <w:pStyle w:val="Paragraph"/>
      </w:pPr>
      <w:r>
        <w:t xml:space="preserve">The BSP was </w:t>
      </w:r>
      <w:r w:rsidRPr="008D3804">
        <w:t>introduced by legislative changes made in 2019 as a mechanism</w:t>
      </w:r>
      <w:r>
        <w:t xml:space="preserve"> for calculating contributions and pension entitlements for MPs in the defined benefit </w:t>
      </w:r>
      <w:r>
        <w:lastRenderedPageBreak/>
        <w:t xml:space="preserve">schemes. The initial value of the BSP was set at $168,901 </w:t>
      </w:r>
      <w:r w:rsidR="00166137">
        <w:t>p.a.</w:t>
      </w:r>
      <w:r>
        <w:t xml:space="preserve"> by the Tribunal in its</w:t>
      </w:r>
      <w:r w:rsidRPr="00A77467">
        <w:t xml:space="preserve"> </w:t>
      </w:r>
      <w:r>
        <w:t>2019 Determination</w:t>
      </w:r>
      <w:r w:rsidRPr="00152262">
        <w:t>,</w:t>
      </w:r>
      <w:r>
        <w:t xml:space="preserve"> lower than the basic salary for MPs set by that Determination ($182,413 </w:t>
      </w:r>
      <w:r w:rsidR="009A02D6">
        <w:t>p.a.</w:t>
      </w:r>
      <w:r>
        <w:t>). The BSP is indexed each financial year according to the greater of three form</w:t>
      </w:r>
      <w:r w:rsidRPr="00717D89">
        <w:t>ula</w:t>
      </w:r>
      <w:r w:rsidR="452F2627" w:rsidRPr="00717D89">
        <w:t>e</w:t>
      </w:r>
      <w:r>
        <w:t xml:space="preserve"> outlined in the PSAS Act and the 2019 Determination. </w:t>
      </w:r>
    </w:p>
    <w:p w14:paraId="4ECED792" w14:textId="00B7EB50" w:rsidR="003B46C1" w:rsidRDefault="00AE5B2B" w:rsidP="003B46C1">
      <w:pPr>
        <w:pStyle w:val="Paragraph"/>
      </w:pPr>
      <w:r>
        <w:t>There is no sound basis for altering the calculation of the value of the BSP at this time. The indexation arrangements ensure the superannuation pension keeps pace with broad changes in community living standards as reflected by prices and wages, and the Parliament’s intention when introducing the BSP. The data which should be used for each of the indexation formula</w:t>
      </w:r>
      <w:r w:rsidR="00CB5693">
        <w:t>e</w:t>
      </w:r>
      <w:r>
        <w:t xml:space="preserve"> is that available as at 15 June each year. This could be clarified through guidance or </w:t>
      </w:r>
      <w:r w:rsidR="003B46C1">
        <w:t xml:space="preserve">by </w:t>
      </w:r>
      <w:r>
        <w:t>using legislation</w:t>
      </w:r>
      <w:r w:rsidR="00687086">
        <w:t xml:space="preserve"> </w:t>
      </w:r>
      <w:r w:rsidR="003B46C1">
        <w:t xml:space="preserve">with </w:t>
      </w:r>
      <w:r w:rsidR="002568B0">
        <w:t xml:space="preserve">consideration </w:t>
      </w:r>
      <w:r w:rsidR="003B46C1">
        <w:t xml:space="preserve">being given </w:t>
      </w:r>
      <w:r w:rsidR="002568B0">
        <w:t>to whether regulations can be made under section 25 of the PSAS Act to clarify th</w:t>
      </w:r>
      <w:r w:rsidR="003B46C1">
        <w:t>e</w:t>
      </w:r>
      <w:r w:rsidR="002568B0">
        <w:t xml:space="preserve"> matter. </w:t>
      </w:r>
      <w:r w:rsidR="003B46C1">
        <w:t>Accordingly, the Tribunal has recommended there be no changes to the superannuation arrangements for MPs at this time, relating to these potential irregularities.</w:t>
      </w:r>
    </w:p>
    <w:p w14:paraId="00101346" w14:textId="77777777" w:rsidR="00AE5B2B" w:rsidRDefault="00AE5B2B" w:rsidP="00B33183">
      <w:pPr>
        <w:pStyle w:val="Paragraph"/>
      </w:pPr>
      <w:r w:rsidRPr="00F54C91">
        <w:t>The</w:t>
      </w:r>
      <w:r>
        <w:t xml:space="preserve"> Tribunal also considered potential irregularities relating to the interaction of Commonwealth taxation legislation with the MP superannuation schemes, in particular the impact of the concessional contributions cap on MPs in the accumulation scheme and the effect of superannuation balance limits on MPs in the New Benefits Scheme.</w:t>
      </w:r>
    </w:p>
    <w:p w14:paraId="1E6D87FF" w14:textId="344E8637" w:rsidR="0077203F" w:rsidRDefault="5554D088" w:rsidP="00AA68F5">
      <w:pPr>
        <w:pStyle w:val="Paragraph"/>
      </w:pPr>
      <w:r>
        <w:t xml:space="preserve">Given that the Tribunal did not receive any submissions </w:t>
      </w:r>
      <w:r w:rsidR="00F44DF3">
        <w:t>on changes for</w:t>
      </w:r>
      <w:r>
        <w:t xml:space="preserve"> these potential irregularities and the uncertain effect of options to deal with them, the Tribunal recommend</w:t>
      </w:r>
      <w:r w:rsidR="7C1F3AD8">
        <w:t>s that</w:t>
      </w:r>
      <w:r w:rsidR="535B4AD6">
        <w:t xml:space="preserve"> there be</w:t>
      </w:r>
      <w:r>
        <w:t xml:space="preserve"> </w:t>
      </w:r>
      <w:r w:rsidR="4D241528">
        <w:t>no</w:t>
      </w:r>
      <w:r>
        <w:t xml:space="preserve"> changes to the superannuation </w:t>
      </w:r>
      <w:r w:rsidR="535B4AD6">
        <w:t xml:space="preserve">arrangements at this time </w:t>
      </w:r>
      <w:r w:rsidR="0CD09809">
        <w:t>to address the</w:t>
      </w:r>
      <w:r w:rsidR="535B4AD6">
        <w:t>m</w:t>
      </w:r>
      <w:r>
        <w:t>.</w:t>
      </w:r>
      <w:bookmarkStart w:id="31" w:name="_Toc50990411"/>
      <w:r w:rsidR="0077203F">
        <w:br w:type="page"/>
      </w:r>
    </w:p>
    <w:p w14:paraId="351CB9E9" w14:textId="237018A0" w:rsidR="00D70124" w:rsidRPr="00DC5304" w:rsidRDefault="00D70124" w:rsidP="00D70124">
      <w:pPr>
        <w:pStyle w:val="VIRTHeading2"/>
        <w:rPr>
          <w:lang w:val="en-AU"/>
        </w:rPr>
      </w:pPr>
      <w:bookmarkStart w:id="32" w:name="_Toc51234120"/>
      <w:r w:rsidRPr="00DC5304">
        <w:rPr>
          <w:lang w:val="en-AU"/>
        </w:rPr>
        <w:lastRenderedPageBreak/>
        <w:t>Recommendations</w:t>
      </w:r>
      <w:bookmarkEnd w:id="31"/>
      <w:bookmarkEnd w:id="32"/>
    </w:p>
    <w:p w14:paraId="2A14E7F4" w14:textId="77777777" w:rsidR="00D70124" w:rsidRPr="00DC5304" w:rsidRDefault="00D70124" w:rsidP="007F5E6D">
      <w:pPr>
        <w:pStyle w:val="Parabeforeabulletlist"/>
      </w:pPr>
      <w:r w:rsidRPr="00DC5304">
        <w:t xml:space="preserve">The Tribunal </w:t>
      </w:r>
      <w:r w:rsidRPr="00FA7822">
        <w:t>recommends</w:t>
      </w:r>
      <w:r w:rsidRPr="00DC5304">
        <w:t xml:space="preserve"> that:</w:t>
      </w:r>
    </w:p>
    <w:p w14:paraId="61E1B634" w14:textId="36C5703E" w:rsidR="00485C90" w:rsidRDefault="00BF371E" w:rsidP="00B1613C">
      <w:pPr>
        <w:pStyle w:val="VIRTBulletpoints"/>
      </w:pPr>
      <w:r>
        <w:t>t</w:t>
      </w:r>
      <w:r w:rsidR="00B1613C">
        <w:t xml:space="preserve">here be no changes to the superannuation arrangements for Victorian MPs at this time </w:t>
      </w:r>
    </w:p>
    <w:p w14:paraId="7F1339FA" w14:textId="1960F61A" w:rsidR="00D70124" w:rsidRPr="00DC5304" w:rsidRDefault="00BF371E" w:rsidP="00B1613C">
      <w:pPr>
        <w:pStyle w:val="VIRTBulletpoints"/>
      </w:pPr>
      <w:r>
        <w:t>e</w:t>
      </w:r>
      <w:r w:rsidR="643FBCC8">
        <w:t>xisting and former MPs be provided with enhanced transitional support funded by the State to assist them in finding further employment when they leave the Parliament. Such support could include</w:t>
      </w:r>
      <w:r w:rsidR="45D48030">
        <w:t xml:space="preserve">, </w:t>
      </w:r>
      <w:r w:rsidR="643FBCC8">
        <w:t xml:space="preserve">career or financial counselling, resume building, networking </w:t>
      </w:r>
      <w:r w:rsidR="535B4AD6">
        <w:t xml:space="preserve">support </w:t>
      </w:r>
      <w:r w:rsidR="643FBCC8">
        <w:t>and outplacement</w:t>
      </w:r>
      <w:r w:rsidR="535B4AD6">
        <w:t xml:space="preserve"> service</w:t>
      </w:r>
      <w:r w:rsidR="00D01C11">
        <w:t>s</w:t>
      </w:r>
    </w:p>
    <w:p w14:paraId="2625C2AA" w14:textId="436D0D8F" w:rsidR="00AE5B2B" w:rsidRPr="00452803" w:rsidRDefault="00BF371E" w:rsidP="000A5616">
      <w:pPr>
        <w:pStyle w:val="VIRTBulletpoints"/>
      </w:pPr>
      <w:r>
        <w:t>k</w:t>
      </w:r>
      <w:r w:rsidR="00D70124">
        <w:t>ey</w:t>
      </w:r>
      <w:r w:rsidR="00D70124" w:rsidRPr="00DC5304">
        <w:t xml:space="preserve"> stakeholders, including the Presiding Officers of the Parliament, the Department of Parliamentary Services and the Victorian Parliamentary Former Members Association, are consulted on the enhanced transitional support needed to ensure a fit-for-purpose program of support is developed, appropriately funded and evaluated after an appropriate interval.</w:t>
      </w:r>
    </w:p>
    <w:p w14:paraId="05E1E09B" w14:textId="77777777" w:rsidR="00670D22" w:rsidRDefault="00670D22" w:rsidP="00B33183">
      <w:pPr>
        <w:pStyle w:val="Paragraph"/>
      </w:pPr>
    </w:p>
    <w:p w14:paraId="6A6A2841" w14:textId="77777777" w:rsidR="0077203F" w:rsidRDefault="0077203F" w:rsidP="00B33183">
      <w:pPr>
        <w:pStyle w:val="Paragraph"/>
      </w:pPr>
    </w:p>
    <w:p w14:paraId="69AF9A2B" w14:textId="77777777" w:rsidR="00562E8F" w:rsidRDefault="00562E8F" w:rsidP="00B33183">
      <w:pPr>
        <w:pStyle w:val="Paragraph"/>
      </w:pPr>
    </w:p>
    <w:p w14:paraId="594F6A6D" w14:textId="405CF9CC" w:rsidR="00562E8F" w:rsidRDefault="00562E8F" w:rsidP="00B33183">
      <w:pPr>
        <w:pStyle w:val="Paragraph"/>
      </w:pPr>
    </w:p>
    <w:p w14:paraId="6F9A45EF" w14:textId="1FECBA91" w:rsidR="007168E3" w:rsidRDefault="007168E3" w:rsidP="00B33183">
      <w:pPr>
        <w:pStyle w:val="Paragraph"/>
      </w:pPr>
    </w:p>
    <w:p w14:paraId="6D2B5B9E" w14:textId="77777777" w:rsidR="00110DD2" w:rsidRDefault="00110DD2" w:rsidP="00B33183">
      <w:pPr>
        <w:pStyle w:val="Paragraph"/>
      </w:pPr>
    </w:p>
    <w:p w14:paraId="238F81DB" w14:textId="77777777" w:rsidR="00562E8F" w:rsidRDefault="00562E8F" w:rsidP="00B33183">
      <w:pPr>
        <w:pStyle w:val="Paragraph"/>
      </w:pPr>
    </w:p>
    <w:p w14:paraId="5F871A3B" w14:textId="2D462CF0" w:rsidR="00562E8F" w:rsidRDefault="007168E3" w:rsidP="00B33183">
      <w:pPr>
        <w:pStyle w:val="Paragraph"/>
      </w:pPr>
      <w:r w:rsidRPr="007168E3">
        <w:rPr>
          <w:noProof/>
        </w:rPr>
        <w:drawing>
          <wp:anchor distT="0" distB="0" distL="114300" distR="114300" simplePos="0" relativeHeight="251658248" behindDoc="0" locked="0" layoutInCell="1" allowOverlap="1" wp14:anchorId="7836BC50" wp14:editId="66E3540D">
            <wp:simplePos x="0" y="0"/>
            <wp:positionH relativeFrom="column">
              <wp:posOffset>0</wp:posOffset>
            </wp:positionH>
            <wp:positionV relativeFrom="paragraph">
              <wp:posOffset>353695</wp:posOffset>
            </wp:positionV>
            <wp:extent cx="1571625" cy="517244"/>
            <wp:effectExtent l="0" t="0" r="0" b="0"/>
            <wp:wrapSquare wrapText="bothSides"/>
            <wp:docPr id="2031193038" name="Picture 203119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71625" cy="517244"/>
                    </a:xfrm>
                    <a:prstGeom prst="rect">
                      <a:avLst/>
                    </a:prstGeom>
                  </pic:spPr>
                </pic:pic>
              </a:graphicData>
            </a:graphic>
          </wp:anchor>
        </w:drawing>
      </w:r>
      <w:r w:rsidRPr="007168E3">
        <w:rPr>
          <w:noProof/>
        </w:rPr>
        <w:drawing>
          <wp:anchor distT="0" distB="0" distL="114300" distR="114300" simplePos="0" relativeHeight="251658249" behindDoc="0" locked="0" layoutInCell="1" allowOverlap="1" wp14:anchorId="3A1C74D4" wp14:editId="70BAB763">
            <wp:simplePos x="0" y="0"/>
            <wp:positionH relativeFrom="column">
              <wp:posOffset>1720215</wp:posOffset>
            </wp:positionH>
            <wp:positionV relativeFrom="paragraph">
              <wp:posOffset>317500</wp:posOffset>
            </wp:positionV>
            <wp:extent cx="1866900" cy="553085"/>
            <wp:effectExtent l="0" t="0" r="0" b="0"/>
            <wp:wrapSquare wrapText="bothSides"/>
            <wp:docPr id="2031193039" name="Picture 203119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900" cy="553085"/>
                    </a:xfrm>
                    <a:prstGeom prst="rect">
                      <a:avLst/>
                    </a:prstGeom>
                    <a:noFill/>
                    <a:ln>
                      <a:noFill/>
                    </a:ln>
                  </pic:spPr>
                </pic:pic>
              </a:graphicData>
            </a:graphic>
          </wp:anchor>
        </w:drawing>
      </w:r>
      <w:r w:rsidRPr="007168E3">
        <w:rPr>
          <w:noProof/>
        </w:rPr>
        <w:drawing>
          <wp:anchor distT="0" distB="0" distL="114300" distR="114300" simplePos="0" relativeHeight="251658250" behindDoc="1" locked="0" layoutInCell="1" allowOverlap="1" wp14:anchorId="461A5104" wp14:editId="7AA2F0A0">
            <wp:simplePos x="0" y="0"/>
            <wp:positionH relativeFrom="column">
              <wp:posOffset>3701415</wp:posOffset>
            </wp:positionH>
            <wp:positionV relativeFrom="paragraph">
              <wp:posOffset>317500</wp:posOffset>
            </wp:positionV>
            <wp:extent cx="1742440" cy="514350"/>
            <wp:effectExtent l="0" t="0" r="0" b="0"/>
            <wp:wrapTight wrapText="bothSides">
              <wp:wrapPolygon edited="0">
                <wp:start x="0" y="0"/>
                <wp:lineTo x="0" y="20800"/>
                <wp:lineTo x="21254" y="20800"/>
                <wp:lineTo x="21254" y="0"/>
                <wp:lineTo x="0" y="0"/>
              </wp:wrapPolygon>
            </wp:wrapTight>
            <wp:docPr id="2031193040" name="Picture 20311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2440" cy="514350"/>
                    </a:xfrm>
                    <a:prstGeom prst="rect">
                      <a:avLst/>
                    </a:prstGeom>
                    <a:noFill/>
                    <a:ln>
                      <a:noFill/>
                    </a:ln>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832"/>
        <w:gridCol w:w="2833"/>
      </w:tblGrid>
      <w:tr w:rsidR="00562E8F" w:rsidRPr="00E16F75" w14:paraId="6F69B4AF" w14:textId="77777777" w:rsidTr="007168E3">
        <w:trPr>
          <w:trHeight w:val="842"/>
        </w:trPr>
        <w:tc>
          <w:tcPr>
            <w:tcW w:w="2833" w:type="dxa"/>
            <w:hideMark/>
          </w:tcPr>
          <w:p w14:paraId="4BE79F95" w14:textId="77777777" w:rsidR="00562E8F" w:rsidRPr="00E16F75" w:rsidRDefault="00562E8F" w:rsidP="00DA3D89">
            <w:pPr>
              <w:spacing w:line="276" w:lineRule="auto"/>
              <w:ind w:hanging="114"/>
              <w:rPr>
                <w:rFonts w:ascii="Calibri Light" w:eastAsia="Calibri" w:hAnsi="Calibri Light" w:cs="Times New Roman (Body CS)"/>
                <w:i/>
                <w:color w:val="4D4D4D"/>
                <w:sz w:val="26"/>
                <w:szCs w:val="44"/>
              </w:rPr>
            </w:pPr>
            <w:bookmarkStart w:id="33" w:name="_Toc50990412"/>
            <w:r w:rsidRPr="00E16F75">
              <w:rPr>
                <w:rFonts w:ascii="Calibri Light" w:eastAsia="Calibri" w:hAnsi="Calibri Light" w:cs="Times New Roman (Body CS)"/>
                <w:color w:val="4D4D4D"/>
                <w:sz w:val="26"/>
                <w:szCs w:val="44"/>
              </w:rPr>
              <w:t>Warren McCann</w:t>
            </w:r>
          </w:p>
        </w:tc>
        <w:tc>
          <w:tcPr>
            <w:tcW w:w="2832" w:type="dxa"/>
          </w:tcPr>
          <w:p w14:paraId="0FE1F039" w14:textId="77777777" w:rsidR="00562E8F" w:rsidRPr="00E16F75" w:rsidRDefault="00562E8F" w:rsidP="00DA3D89">
            <w:pPr>
              <w:spacing w:line="276" w:lineRule="auto"/>
              <w:rPr>
                <w:rFonts w:ascii="Calibri Light" w:eastAsia="Calibri" w:hAnsi="Calibri Light" w:cs="Times New Roman (Body CS)"/>
                <w:color w:val="4D4D4D"/>
                <w:sz w:val="26"/>
                <w:szCs w:val="44"/>
              </w:rPr>
            </w:pPr>
            <w:r w:rsidRPr="00E16F75">
              <w:rPr>
                <w:rFonts w:ascii="Calibri Light" w:eastAsia="Calibri" w:hAnsi="Calibri Light" w:cs="Times New Roman (Body CS)"/>
                <w:color w:val="4D4D4D"/>
                <w:sz w:val="26"/>
                <w:szCs w:val="44"/>
              </w:rPr>
              <w:t>The Honourable Jennifer Acton</w:t>
            </w:r>
          </w:p>
        </w:tc>
        <w:tc>
          <w:tcPr>
            <w:tcW w:w="2833" w:type="dxa"/>
          </w:tcPr>
          <w:p w14:paraId="69C96D0E" w14:textId="77777777" w:rsidR="00562E8F" w:rsidRPr="00E16F75" w:rsidRDefault="00562E8F" w:rsidP="00DA3D89">
            <w:pPr>
              <w:spacing w:line="276" w:lineRule="auto"/>
              <w:rPr>
                <w:rFonts w:ascii="Calibri Light" w:eastAsia="Calibri" w:hAnsi="Calibri Light" w:cs="Times New Roman (Body CS)"/>
                <w:color w:val="4D4D4D"/>
                <w:sz w:val="26"/>
                <w:szCs w:val="44"/>
              </w:rPr>
            </w:pPr>
            <w:r w:rsidRPr="00E16F75">
              <w:rPr>
                <w:rFonts w:ascii="Calibri Light" w:eastAsia="Calibri" w:hAnsi="Calibri Light" w:cs="Times New Roman (Body CS)"/>
                <w:color w:val="4D4D4D"/>
                <w:sz w:val="26"/>
                <w:szCs w:val="44"/>
              </w:rPr>
              <w:t>Barbara Belcher AM</w:t>
            </w:r>
          </w:p>
        </w:tc>
      </w:tr>
      <w:tr w:rsidR="00562E8F" w:rsidRPr="00E16F75" w14:paraId="2B4262B4" w14:textId="77777777" w:rsidTr="007168E3">
        <w:trPr>
          <w:trHeight w:val="332"/>
        </w:trPr>
        <w:tc>
          <w:tcPr>
            <w:tcW w:w="2833" w:type="dxa"/>
          </w:tcPr>
          <w:p w14:paraId="45458E6B" w14:textId="77777777" w:rsidR="00562E8F" w:rsidRPr="00E16F75" w:rsidRDefault="00562E8F" w:rsidP="00DA3D89">
            <w:pPr>
              <w:spacing w:line="276" w:lineRule="auto"/>
              <w:ind w:hanging="114"/>
              <w:rPr>
                <w:rFonts w:ascii="Calibri Light" w:eastAsia="Calibri" w:hAnsi="Calibri Light" w:cs="Times New Roman (Body CS)"/>
                <w:i/>
                <w:color w:val="4D4D4D"/>
                <w:sz w:val="26"/>
                <w:szCs w:val="44"/>
              </w:rPr>
            </w:pPr>
            <w:r w:rsidRPr="00E16F75">
              <w:rPr>
                <w:rFonts w:ascii="Calibri Light" w:eastAsia="Calibri" w:hAnsi="Calibri Light" w:cs="Times New Roman (Body CS)"/>
                <w:i/>
                <w:color w:val="4D4D4D"/>
                <w:sz w:val="26"/>
                <w:szCs w:val="44"/>
              </w:rPr>
              <w:t>Chair</w:t>
            </w:r>
          </w:p>
        </w:tc>
        <w:tc>
          <w:tcPr>
            <w:tcW w:w="2832" w:type="dxa"/>
          </w:tcPr>
          <w:p w14:paraId="187567A1" w14:textId="77777777" w:rsidR="00562E8F" w:rsidRPr="00E16F75" w:rsidRDefault="00562E8F" w:rsidP="00DA3D89">
            <w:pPr>
              <w:spacing w:line="276" w:lineRule="auto"/>
              <w:rPr>
                <w:rFonts w:ascii="Calibri Light" w:eastAsia="Calibri" w:hAnsi="Calibri Light" w:cs="Times New Roman (Body CS)"/>
                <w:i/>
                <w:color w:val="4D4D4D"/>
                <w:sz w:val="26"/>
                <w:szCs w:val="44"/>
              </w:rPr>
            </w:pPr>
            <w:r w:rsidRPr="00E16F75">
              <w:rPr>
                <w:rFonts w:ascii="Calibri Light" w:eastAsia="Calibri" w:hAnsi="Calibri Light" w:cs="Times New Roman (Body CS)"/>
                <w:i/>
                <w:color w:val="4D4D4D"/>
                <w:sz w:val="26"/>
                <w:szCs w:val="44"/>
              </w:rPr>
              <w:t>Member</w:t>
            </w:r>
          </w:p>
        </w:tc>
        <w:tc>
          <w:tcPr>
            <w:tcW w:w="2833" w:type="dxa"/>
          </w:tcPr>
          <w:p w14:paraId="6B154D46" w14:textId="77777777" w:rsidR="00562E8F" w:rsidRPr="00E16F75" w:rsidRDefault="00562E8F" w:rsidP="00DA3D89">
            <w:pPr>
              <w:spacing w:line="276" w:lineRule="auto"/>
              <w:rPr>
                <w:rFonts w:ascii="Calibri Light" w:eastAsia="Calibri" w:hAnsi="Calibri Light" w:cs="Times New Roman (Body CS)"/>
                <w:i/>
                <w:color w:val="4D4D4D"/>
                <w:sz w:val="26"/>
                <w:szCs w:val="44"/>
              </w:rPr>
            </w:pPr>
            <w:r w:rsidRPr="00E16F75">
              <w:rPr>
                <w:rFonts w:ascii="Calibri Light" w:eastAsia="Calibri" w:hAnsi="Calibri Light" w:cs="Times New Roman (Body CS)"/>
                <w:i/>
                <w:color w:val="4D4D4D"/>
                <w:sz w:val="26"/>
                <w:szCs w:val="44"/>
              </w:rPr>
              <w:t>Member</w:t>
            </w:r>
          </w:p>
        </w:tc>
      </w:tr>
      <w:tr w:rsidR="00562E8F" w:rsidRPr="00E16F75" w14:paraId="24BEDF15" w14:textId="77777777" w:rsidTr="007168E3">
        <w:tc>
          <w:tcPr>
            <w:tcW w:w="2833" w:type="dxa"/>
            <w:hideMark/>
          </w:tcPr>
          <w:p w14:paraId="2CD15900" w14:textId="77777777" w:rsidR="00562E8F" w:rsidRPr="00E16F75" w:rsidRDefault="00562E8F" w:rsidP="00DA3D89">
            <w:pPr>
              <w:spacing w:line="276" w:lineRule="auto"/>
              <w:ind w:left="-114"/>
              <w:rPr>
                <w:rFonts w:ascii="Calibri Light" w:eastAsia="Calibri" w:hAnsi="Calibri Light" w:cs="Times New Roman (Body CS)"/>
                <w:color w:val="4D4D4D"/>
                <w:sz w:val="26"/>
                <w:szCs w:val="44"/>
              </w:rPr>
            </w:pPr>
            <w:r w:rsidRPr="00E16F75">
              <w:rPr>
                <w:rFonts w:ascii="Calibri Light" w:eastAsia="Calibri" w:hAnsi="Calibri Light" w:cs="Times New Roman (Body CS)"/>
                <w:color w:val="4D4D4D"/>
                <w:sz w:val="26"/>
                <w:szCs w:val="44"/>
              </w:rPr>
              <w:t>Victorian Independent Remuneration Tribunal</w:t>
            </w:r>
          </w:p>
        </w:tc>
        <w:tc>
          <w:tcPr>
            <w:tcW w:w="2832" w:type="dxa"/>
            <w:hideMark/>
          </w:tcPr>
          <w:p w14:paraId="76502505" w14:textId="77777777" w:rsidR="00562E8F" w:rsidRPr="00E16F75" w:rsidRDefault="00562E8F" w:rsidP="00DA3D89">
            <w:pPr>
              <w:spacing w:line="276" w:lineRule="auto"/>
              <w:rPr>
                <w:rFonts w:ascii="Calibri Light" w:eastAsia="Calibri" w:hAnsi="Calibri Light" w:cs="Times New Roman (Body CS)"/>
                <w:color w:val="4D4D4D"/>
                <w:sz w:val="26"/>
                <w:szCs w:val="44"/>
              </w:rPr>
            </w:pPr>
            <w:r w:rsidRPr="00E16F75">
              <w:rPr>
                <w:rFonts w:ascii="Calibri Light" w:eastAsia="Calibri" w:hAnsi="Calibri Light" w:cs="Times New Roman (Body CS)"/>
                <w:color w:val="4D4D4D"/>
                <w:sz w:val="26"/>
                <w:szCs w:val="44"/>
              </w:rPr>
              <w:t>Victorian Independent Remuneration Tribunal</w:t>
            </w:r>
          </w:p>
        </w:tc>
        <w:tc>
          <w:tcPr>
            <w:tcW w:w="2833" w:type="dxa"/>
            <w:hideMark/>
          </w:tcPr>
          <w:p w14:paraId="7BA930B7" w14:textId="77777777" w:rsidR="00562E8F" w:rsidRPr="00E16F75" w:rsidRDefault="00562E8F" w:rsidP="00DA3D89">
            <w:pPr>
              <w:spacing w:line="276" w:lineRule="auto"/>
              <w:rPr>
                <w:rFonts w:ascii="Calibri Light" w:eastAsia="Calibri" w:hAnsi="Calibri Light" w:cs="Times New Roman (Body CS)"/>
                <w:color w:val="4D4D4D"/>
                <w:sz w:val="26"/>
                <w:szCs w:val="44"/>
              </w:rPr>
            </w:pPr>
            <w:r w:rsidRPr="00E16F75">
              <w:rPr>
                <w:rFonts w:ascii="Calibri Light" w:eastAsia="Calibri" w:hAnsi="Calibri Light" w:cs="Times New Roman (Body CS)"/>
                <w:color w:val="4D4D4D"/>
                <w:sz w:val="26"/>
                <w:szCs w:val="44"/>
              </w:rPr>
              <w:t>Victorian Independent Remuneration Tribunal</w:t>
            </w:r>
          </w:p>
        </w:tc>
      </w:tr>
    </w:tbl>
    <w:p w14:paraId="391748EC" w14:textId="77777777" w:rsidR="0076507C" w:rsidRDefault="00562E8F" w:rsidP="00110DD2">
      <w:pPr>
        <w:spacing w:before="180" w:line="276" w:lineRule="auto"/>
        <w:jc w:val="both"/>
        <w:rPr>
          <w:rFonts w:ascii="Calibri Light" w:eastAsia="Calibri" w:hAnsi="Calibri Light" w:cs="Times New Roman (Body CS)"/>
          <w:color w:val="4D4D4D"/>
          <w:sz w:val="26"/>
          <w:szCs w:val="44"/>
        </w:rPr>
        <w:sectPr w:rsidR="0076507C" w:rsidSect="0052634F">
          <w:headerReference w:type="even" r:id="rId37"/>
          <w:headerReference w:type="default" r:id="rId38"/>
          <w:footerReference w:type="default" r:id="rId39"/>
          <w:headerReference w:type="first" r:id="rId40"/>
          <w:footerReference w:type="first" r:id="rId41"/>
          <w:pgSz w:w="11900" w:h="16840"/>
          <w:pgMar w:top="1701" w:right="1701" w:bottom="1559" w:left="1701" w:header="709" w:footer="709" w:gutter="0"/>
          <w:cols w:space="708"/>
          <w:titlePg/>
          <w:docGrid w:linePitch="299"/>
        </w:sectPr>
      </w:pPr>
      <w:r w:rsidRPr="005C59A4">
        <w:rPr>
          <w:rFonts w:ascii="Calibri Light" w:eastAsia="Calibri" w:hAnsi="Calibri Light" w:cs="Times New Roman (Body CS)"/>
          <w:color w:val="4D4D4D"/>
          <w:sz w:val="26"/>
          <w:szCs w:val="44"/>
        </w:rPr>
        <w:t>Date:</w:t>
      </w:r>
      <w:r w:rsidRPr="00E16F75">
        <w:rPr>
          <w:rFonts w:ascii="Calibri Light" w:eastAsia="Calibri" w:hAnsi="Calibri Light" w:cs="Times New Roman (Body CS)"/>
          <w:color w:val="4D4D4D"/>
          <w:sz w:val="26"/>
          <w:szCs w:val="44"/>
        </w:rPr>
        <w:t xml:space="preserve"> </w:t>
      </w:r>
      <w:r w:rsidR="005C59A4">
        <w:rPr>
          <w:rFonts w:ascii="Calibri Light" w:eastAsia="Calibri" w:hAnsi="Calibri Light" w:cs="Times New Roman (Body CS)"/>
          <w:color w:val="4D4D4D"/>
          <w:sz w:val="26"/>
          <w:szCs w:val="44"/>
        </w:rPr>
        <w:t>Thursday, 17 September 2020</w:t>
      </w:r>
    </w:p>
    <w:p w14:paraId="133F0BA4" w14:textId="6FEC6EBF" w:rsidR="002D4A56" w:rsidRPr="000740FC" w:rsidRDefault="0077203F" w:rsidP="00BF2DB2">
      <w:pPr>
        <w:pStyle w:val="ChapterHeading0"/>
        <w:rPr>
          <w:lang w:val="en-AU"/>
        </w:rPr>
      </w:pPr>
      <w:bookmarkStart w:id="34" w:name="_Toc51234121"/>
      <w:r>
        <w:rPr>
          <w:lang w:val="en-AU"/>
        </w:rPr>
        <w:lastRenderedPageBreak/>
        <w:t>1</w:t>
      </w:r>
      <w:r w:rsidR="00516F81">
        <w:rPr>
          <w:lang w:val="en-AU"/>
        </w:rPr>
        <w:t xml:space="preserve"> </w:t>
      </w:r>
      <w:r w:rsidR="00940176" w:rsidRPr="000740FC">
        <w:rPr>
          <w:lang w:val="en-AU"/>
        </w:rPr>
        <w:t>Introduction</w:t>
      </w:r>
      <w:r w:rsidR="3C507E77" w:rsidRPr="000740FC">
        <w:rPr>
          <w:lang w:val="en-AU"/>
        </w:rPr>
        <w:br/>
      </w:r>
      <w:bookmarkEnd w:id="17"/>
      <w:bookmarkEnd w:id="18"/>
      <w:bookmarkEnd w:id="19"/>
      <w:r w:rsidR="00AA5BA2" w:rsidRPr="000740FC">
        <w:rPr>
          <w:lang w:val="en-AU"/>
        </w:rPr>
        <w:drawing>
          <wp:inline distT="0" distB="0" distL="0" distR="0" wp14:anchorId="7BBA0909" wp14:editId="2AF9AB23">
            <wp:extent cx="2218055" cy="254635"/>
            <wp:effectExtent l="0" t="0" r="0" b="0"/>
            <wp:docPr id="1269490295" name="Picture 126949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33"/>
      <w:bookmarkEnd w:id="34"/>
    </w:p>
    <w:p w14:paraId="74AE6166" w14:textId="5E888FB7" w:rsidR="002D4A56" w:rsidRPr="000740FC" w:rsidRDefault="002D4A56" w:rsidP="00B33183">
      <w:pPr>
        <w:pStyle w:val="Parabeforeabulletlist"/>
      </w:pPr>
      <w:r w:rsidRPr="000740FC">
        <w:t xml:space="preserve">The </w:t>
      </w:r>
      <w:r w:rsidRPr="000740FC">
        <w:rPr>
          <w:i/>
        </w:rPr>
        <w:t xml:space="preserve">Victorian Independent Remuneration Tribunal and Improving Parliamentary Standards Act 2019 </w:t>
      </w:r>
      <w:r w:rsidRPr="000740FC">
        <w:t>(Vic)</w:t>
      </w:r>
      <w:r w:rsidRPr="000740FC">
        <w:rPr>
          <w:i/>
        </w:rPr>
        <w:t xml:space="preserve"> </w:t>
      </w:r>
      <w:r w:rsidRPr="000740FC">
        <w:t xml:space="preserve">(VIRTIPS Act) requires the </w:t>
      </w:r>
      <w:r w:rsidR="002E1873">
        <w:t>Victorian Independent Remuneration Tribunal (</w:t>
      </w:r>
      <w:r w:rsidRPr="000740FC">
        <w:t>Tribunal</w:t>
      </w:r>
      <w:r w:rsidR="002E1873">
        <w:t>)</w:t>
      </w:r>
      <w:r w:rsidRPr="000740FC">
        <w:t xml:space="preserve"> to</w:t>
      </w:r>
      <w:r w:rsidR="00B62E7C" w:rsidRPr="000740FC">
        <w:t xml:space="preserve"> inquire into and make</w:t>
      </w:r>
      <w:r w:rsidR="00C37E28" w:rsidRPr="000740FC">
        <w:t xml:space="preserve"> Determinations in relation to</w:t>
      </w:r>
      <w:r w:rsidRPr="000740FC">
        <w:t xml:space="preserve">: </w:t>
      </w:r>
    </w:p>
    <w:p w14:paraId="60DB898D" w14:textId="7542D2F3" w:rsidR="002D4A56" w:rsidRPr="000740FC" w:rsidRDefault="002D4A56" w:rsidP="0046477F">
      <w:pPr>
        <w:pStyle w:val="VIRTBulletpoints"/>
      </w:pPr>
      <w:r w:rsidRPr="000740FC">
        <w:t>salar</w:t>
      </w:r>
      <w:r w:rsidR="00AA1AB7" w:rsidRPr="000740FC">
        <w:t>ies</w:t>
      </w:r>
      <w:r w:rsidRPr="000740FC">
        <w:t xml:space="preserve"> and allowances for Members of the Parliament</w:t>
      </w:r>
      <w:r w:rsidR="00620DE7" w:rsidRPr="000740FC">
        <w:t xml:space="preserve"> </w:t>
      </w:r>
      <w:r w:rsidRPr="000740FC">
        <w:t>of Victoria</w:t>
      </w:r>
      <w:r w:rsidR="00AA1AB7" w:rsidRPr="000740FC">
        <w:t xml:space="preserve"> (MPs)</w:t>
      </w:r>
    </w:p>
    <w:p w14:paraId="6138DE08" w14:textId="53988F80" w:rsidR="002D4A56" w:rsidRPr="000740FC" w:rsidRDefault="002D4A56" w:rsidP="0046477F">
      <w:pPr>
        <w:pStyle w:val="VIRTBulletpoints"/>
      </w:pPr>
      <w:r w:rsidRPr="000740FC">
        <w:t xml:space="preserve">remuneration bands for executives employed in </w:t>
      </w:r>
      <w:r w:rsidR="004F204C" w:rsidRPr="000740FC">
        <w:t xml:space="preserve">public </w:t>
      </w:r>
      <w:r w:rsidR="00BF134F" w:rsidRPr="000740FC">
        <w:t>service bodies</w:t>
      </w:r>
    </w:p>
    <w:p w14:paraId="1EC5FA11" w14:textId="539BDD8A" w:rsidR="00BF134F" w:rsidRPr="000740FC" w:rsidRDefault="00BF134F" w:rsidP="0046477F">
      <w:pPr>
        <w:pStyle w:val="VIRTBulletpoints"/>
      </w:pPr>
      <w:r w:rsidRPr="000740FC">
        <w:t>remuneration bands for executives employed in prescribed public entities</w:t>
      </w:r>
    </w:p>
    <w:p w14:paraId="5DAAC3C1" w14:textId="2A5D0E24" w:rsidR="002D4A56" w:rsidRPr="000740FC" w:rsidRDefault="00A9130E" w:rsidP="0046477F">
      <w:pPr>
        <w:pStyle w:val="VIRTBulletpoints"/>
      </w:pPr>
      <w:r w:rsidRPr="000740FC">
        <w:t xml:space="preserve">allowances </w:t>
      </w:r>
      <w:r w:rsidR="00F15C3B" w:rsidRPr="000740FC">
        <w:t>provided to</w:t>
      </w:r>
      <w:r w:rsidRPr="000740FC">
        <w:t xml:space="preserve"> </w:t>
      </w:r>
      <w:r w:rsidR="00EF6635" w:rsidRPr="000740FC">
        <w:t>Mayors, Deputy Mayors and Councillors</w:t>
      </w:r>
      <w:r w:rsidR="00F15C3B" w:rsidRPr="000740FC">
        <w:t xml:space="preserve"> in local governments</w:t>
      </w:r>
      <w:r w:rsidR="005059A7" w:rsidRPr="000740FC">
        <w:t>.</w:t>
      </w:r>
      <w:r w:rsidR="00B62E7C" w:rsidRPr="000740FC">
        <w:t xml:space="preserve"> </w:t>
      </w:r>
    </w:p>
    <w:p w14:paraId="469A0E65" w14:textId="1858E79B" w:rsidR="002D4A56" w:rsidRPr="000740FC" w:rsidRDefault="00D801D9" w:rsidP="00B33183">
      <w:pPr>
        <w:pStyle w:val="Paragraph"/>
      </w:pPr>
      <w:r w:rsidRPr="000740FC">
        <w:t xml:space="preserve">In performing its functions, the Tribunal must act independently and impartially and is not </w:t>
      </w:r>
      <w:r w:rsidRPr="00844DD4">
        <w:t xml:space="preserve">subject to the control or direction of </w:t>
      </w:r>
      <w:r w:rsidR="00DC286A" w:rsidRPr="00844DD4">
        <w:t>any person, including the Minister</w:t>
      </w:r>
      <w:r w:rsidR="00844DD4" w:rsidRPr="00844DD4">
        <w:t> </w:t>
      </w:r>
      <w:r w:rsidR="00DC286A" w:rsidRPr="00844DD4">
        <w:t>(s5)</w:t>
      </w:r>
      <w:r w:rsidR="00DC286A" w:rsidRPr="005C28A4">
        <w:t>.</w:t>
      </w:r>
    </w:p>
    <w:p w14:paraId="42320D73" w14:textId="334BEAEC" w:rsidR="004407B6" w:rsidRPr="000740FC" w:rsidRDefault="008D0B28" w:rsidP="00B33183">
      <w:pPr>
        <w:pStyle w:val="Paragraph"/>
      </w:pPr>
      <w:r w:rsidRPr="000740FC">
        <w:t>In 2019</w:t>
      </w:r>
      <w:r w:rsidR="00540BC1" w:rsidRPr="000740FC">
        <w:t>, the Tribunal</w:t>
      </w:r>
      <w:r w:rsidR="00657A46" w:rsidRPr="000740FC">
        <w:t xml:space="preserve"> undertook the first independent Determination of </w:t>
      </w:r>
      <w:r w:rsidR="00083883" w:rsidRPr="000740FC">
        <w:t xml:space="preserve">salaries and allowances for MPs. </w:t>
      </w:r>
      <w:r w:rsidR="00FD184F" w:rsidRPr="000740FC">
        <w:t xml:space="preserve">Superannuation contributions </w:t>
      </w:r>
      <w:r w:rsidR="005E00BE" w:rsidRPr="000740FC">
        <w:t xml:space="preserve">and </w:t>
      </w:r>
      <w:r w:rsidR="00B4577B">
        <w:t>benefits</w:t>
      </w:r>
      <w:r w:rsidR="005E00BE" w:rsidRPr="000740FC">
        <w:t xml:space="preserve"> for MPs were indirectly affected by the Tribunal’s Determination of the basic salary</w:t>
      </w:r>
      <w:r w:rsidR="005D27EC" w:rsidRPr="000740FC">
        <w:t>, additional salary for specified parliamentary office holders,</w:t>
      </w:r>
      <w:r w:rsidRPr="19C23C82">
        <w:rPr>
          <w:rStyle w:val="FootnoteReference"/>
        </w:rPr>
        <w:footnoteReference w:id="2"/>
      </w:r>
      <w:r w:rsidR="005D27EC" w:rsidRPr="000740FC">
        <w:t xml:space="preserve"> and the ‘basic salary portion’</w:t>
      </w:r>
      <w:r w:rsidR="00983F72">
        <w:t xml:space="preserve"> (BSP)</w:t>
      </w:r>
      <w:r w:rsidR="005D27EC" w:rsidRPr="000740FC">
        <w:t>, an amount used to determine pensions for the defined benefit schemes.</w:t>
      </w:r>
      <w:r w:rsidR="0060065E" w:rsidRPr="000740FC">
        <w:t xml:space="preserve"> </w:t>
      </w:r>
    </w:p>
    <w:p w14:paraId="52CC86E1" w14:textId="0DCA1211" w:rsidR="00940176" w:rsidRPr="000740FC" w:rsidRDefault="00940176" w:rsidP="00B33183">
      <w:pPr>
        <w:pStyle w:val="Paragraph"/>
      </w:pPr>
      <w:r w:rsidRPr="000740FC">
        <w:t xml:space="preserve">Under the VIRTIPS Act, the Tribunal is required to review and report on the superannuation arrangements for MPs under Parts 3 and 4 of the </w:t>
      </w:r>
      <w:r w:rsidRPr="000740FC">
        <w:rPr>
          <w:i/>
          <w:iCs/>
        </w:rPr>
        <w:t>Parliamentary Salaries, Allowances and Superannuation Act 1968</w:t>
      </w:r>
      <w:r w:rsidRPr="000740FC">
        <w:t xml:space="preserve"> (Vic) (PSAS Act), including potential inequalities and irregularities between the superannuation arrangements (s39(1)). The Tribunal was required to complete its review and report on its findings by 20 September 2020.</w:t>
      </w:r>
    </w:p>
    <w:p w14:paraId="0B5F5370" w14:textId="77777777" w:rsidR="00940176" w:rsidRPr="000740FC" w:rsidRDefault="00940176" w:rsidP="00B33183">
      <w:pPr>
        <w:pStyle w:val="Paragraph"/>
      </w:pPr>
      <w:r w:rsidRPr="000740FC">
        <w:t>This report presents the Tribunal’s findings and recommendations from that review.</w:t>
      </w:r>
    </w:p>
    <w:p w14:paraId="05E239B5" w14:textId="77777777" w:rsidR="00940176" w:rsidRPr="000740FC" w:rsidRDefault="00940176" w:rsidP="00B33183">
      <w:pPr>
        <w:pStyle w:val="Paragraph"/>
      </w:pPr>
    </w:p>
    <w:p w14:paraId="3C41D492" w14:textId="7A8D490E" w:rsidR="002D4A56" w:rsidRPr="000740FC" w:rsidRDefault="00DA4B04" w:rsidP="00971948">
      <w:pPr>
        <w:pStyle w:val="VIRTHeading2"/>
        <w:rPr>
          <w:lang w:val="en-AU"/>
        </w:rPr>
      </w:pPr>
      <w:bookmarkStart w:id="35" w:name="_Toc19554263"/>
      <w:bookmarkStart w:id="36" w:name="_Toc20323431"/>
      <w:bookmarkStart w:id="37" w:name="_Toc33609443"/>
      <w:bookmarkStart w:id="38" w:name="_Toc35006357"/>
      <w:bookmarkStart w:id="39" w:name="_Toc50990413"/>
      <w:bookmarkStart w:id="40" w:name="_Toc51234122"/>
      <w:r w:rsidRPr="000740FC">
        <w:rPr>
          <w:lang w:val="en-AU"/>
        </w:rPr>
        <w:lastRenderedPageBreak/>
        <w:t xml:space="preserve">1.1 </w:t>
      </w:r>
      <w:bookmarkEnd w:id="35"/>
      <w:bookmarkEnd w:id="36"/>
      <w:bookmarkEnd w:id="37"/>
      <w:bookmarkEnd w:id="38"/>
      <w:r w:rsidR="0068133B" w:rsidRPr="000740FC">
        <w:rPr>
          <w:lang w:val="en-AU"/>
        </w:rPr>
        <w:t>Scope</w:t>
      </w:r>
      <w:bookmarkEnd w:id="39"/>
      <w:bookmarkEnd w:id="40"/>
    </w:p>
    <w:p w14:paraId="2364158A" w14:textId="2B2BB9FF" w:rsidR="00CB41E6" w:rsidRPr="000740FC" w:rsidRDefault="00CB41E6" w:rsidP="00B33183">
      <w:pPr>
        <w:pStyle w:val="Parabeforeabulletlist"/>
      </w:pPr>
      <w:r w:rsidRPr="000740FC">
        <w:t>Existing and former MPs are members of the following superannuation schemes under Parts 3 and 4 of the PSAS Act:</w:t>
      </w:r>
    </w:p>
    <w:p w14:paraId="79F27AA4" w14:textId="140EE6E2" w:rsidR="00CB41E6" w:rsidRPr="000740FC" w:rsidRDefault="00CB41E6" w:rsidP="00CB41E6">
      <w:pPr>
        <w:pStyle w:val="VIRTBulletpoints"/>
        <w:rPr>
          <w:rFonts w:asciiTheme="minorHAnsi" w:eastAsiaTheme="minorEastAsia" w:hAnsiTheme="minorHAnsi" w:cstheme="minorBidi"/>
          <w:szCs w:val="26"/>
        </w:rPr>
      </w:pPr>
      <w:r w:rsidRPr="000740FC">
        <w:t>a defined benefit scheme known as the Existing Benefits Scheme, closed to new members on 2 July 1996 (Part 3, Division 2)</w:t>
      </w:r>
    </w:p>
    <w:p w14:paraId="01802996" w14:textId="5F2B6E36" w:rsidR="00CB41E6" w:rsidRPr="000740FC" w:rsidRDefault="3B526988" w:rsidP="00CB41E6">
      <w:pPr>
        <w:pStyle w:val="VIRTBulletpoints"/>
        <w:rPr>
          <w:rFonts w:asciiTheme="minorHAnsi" w:eastAsiaTheme="minorEastAsia" w:hAnsiTheme="minorHAnsi" w:cstheme="minorBidi"/>
        </w:rPr>
      </w:pPr>
      <w:r w:rsidRPr="000740FC">
        <w:t xml:space="preserve">a defined benefit scheme known as the New Benefits Scheme, closed to new members on 10 November 2004 (Part 3, Division 3) </w:t>
      </w:r>
    </w:p>
    <w:p w14:paraId="23BD47FD" w14:textId="07E73271" w:rsidR="00CB41E6" w:rsidRPr="000740FC" w:rsidRDefault="00CB41E6" w:rsidP="00CB41E6">
      <w:pPr>
        <w:pStyle w:val="VIRTBulletpoints"/>
      </w:pPr>
      <w:r w:rsidRPr="000740FC">
        <w:t>an accumulation scheme, open to new members from 10 November 2004 (Part 4).</w:t>
      </w:r>
    </w:p>
    <w:p w14:paraId="2F7F75F3" w14:textId="59CF78AA" w:rsidR="00CB41E6" w:rsidRPr="000740FC" w:rsidRDefault="00CB41E6" w:rsidP="00B33183">
      <w:pPr>
        <w:pStyle w:val="Parabeforeabulletlist"/>
      </w:pPr>
      <w:r w:rsidRPr="000740FC">
        <w:t xml:space="preserve">Generally speaking, </w:t>
      </w:r>
      <w:r w:rsidR="00432FEC" w:rsidRPr="000740FC">
        <w:t xml:space="preserve">the </w:t>
      </w:r>
      <w:r w:rsidR="7970F922" w:rsidRPr="000740FC">
        <w:t>MP</w:t>
      </w:r>
      <w:r w:rsidR="00432FEC" w:rsidRPr="000740FC">
        <w:t xml:space="preserve"> superannuation schemes all</w:t>
      </w:r>
      <w:r w:rsidRPr="000740FC">
        <w:t xml:space="preserve"> have a similar overarching structure:</w:t>
      </w:r>
    </w:p>
    <w:p w14:paraId="47DCB83B" w14:textId="2BB0FBA4" w:rsidR="00CB41E6" w:rsidRPr="000740FC" w:rsidRDefault="00115D96" w:rsidP="00CB41E6">
      <w:pPr>
        <w:pStyle w:val="VIRTBulletpoints"/>
      </w:pPr>
      <w:r>
        <w:t xml:space="preserve">MPs </w:t>
      </w:r>
      <w:r w:rsidR="00CB41E6" w:rsidRPr="000740FC">
        <w:t>are members of a superannuation fund</w:t>
      </w:r>
    </w:p>
    <w:p w14:paraId="4F6E7A08" w14:textId="436E3ED2" w:rsidR="00CB41E6" w:rsidRPr="000740FC" w:rsidRDefault="00115D96" w:rsidP="00CB41E6">
      <w:pPr>
        <w:pStyle w:val="VIRTBulletpoints"/>
      </w:pPr>
      <w:r>
        <w:t xml:space="preserve">the State </w:t>
      </w:r>
      <w:r w:rsidR="00CB41E6" w:rsidRPr="000740FC">
        <w:t xml:space="preserve">(and sometimes </w:t>
      </w:r>
      <w:r>
        <w:t>MPs</w:t>
      </w:r>
      <w:r w:rsidR="00CB41E6" w:rsidRPr="000740FC">
        <w:t>) contribute</w:t>
      </w:r>
      <w:r w:rsidR="00F5716B">
        <w:t>s</w:t>
      </w:r>
      <w:r w:rsidR="00CB41E6" w:rsidRPr="000740FC">
        <w:t xml:space="preserve"> money to the fund, which invests it on </w:t>
      </w:r>
      <w:r w:rsidR="00322490">
        <w:t>an</w:t>
      </w:r>
      <w:r w:rsidR="00CB41E6" w:rsidRPr="000740FC">
        <w:t xml:space="preserve"> </w:t>
      </w:r>
      <w:r>
        <w:t xml:space="preserve">MP’s </w:t>
      </w:r>
      <w:r w:rsidR="00CB41E6" w:rsidRPr="000740FC">
        <w:t>behalf</w:t>
      </w:r>
    </w:p>
    <w:p w14:paraId="447967D3" w14:textId="55C68556" w:rsidR="00CB41E6" w:rsidRPr="000740FC" w:rsidRDefault="00CB41E6" w:rsidP="00CB41E6">
      <w:pPr>
        <w:pStyle w:val="VIRTBulletpoints"/>
      </w:pPr>
      <w:r w:rsidRPr="000740FC">
        <w:t xml:space="preserve">the fund provides a financial benefit to the member following a </w:t>
      </w:r>
      <w:r w:rsidRPr="000740FC">
        <w:br/>
        <w:t>pre-determined event (e.g. retirement).</w:t>
      </w:r>
    </w:p>
    <w:p w14:paraId="47655865" w14:textId="3F04D70E" w:rsidR="00CB41E6" w:rsidRPr="000740FC" w:rsidRDefault="00CB41E6" w:rsidP="00CB41E6">
      <w:pPr>
        <w:pStyle w:val="VIRTHeading3"/>
        <w:rPr>
          <w:lang w:val="en-AU"/>
        </w:rPr>
      </w:pPr>
      <w:r w:rsidRPr="000740FC">
        <w:rPr>
          <w:lang w:val="en-AU"/>
        </w:rPr>
        <w:t>Defined benefit schemes</w:t>
      </w:r>
    </w:p>
    <w:p w14:paraId="15FCF309" w14:textId="7EBB2750" w:rsidR="00CB41E6" w:rsidRPr="000740FC" w:rsidRDefault="00CB41E6" w:rsidP="00B33183">
      <w:pPr>
        <w:pStyle w:val="Paragraph"/>
      </w:pPr>
      <w:r w:rsidRPr="000740FC">
        <w:t xml:space="preserve">MPs in the defined benefit schemes are required to make after-tax contributions from their parliamentary salary to the Parliamentary Contributory Superannuation Fund </w:t>
      </w:r>
      <w:r w:rsidR="00AB0EE8" w:rsidRPr="000740FC">
        <w:t xml:space="preserve">(PCSF) </w:t>
      </w:r>
      <w:r w:rsidRPr="000740FC">
        <w:t xml:space="preserve">in exchange for the defined benefit. </w:t>
      </w:r>
      <w:r w:rsidR="00AB0EE8" w:rsidRPr="000740FC">
        <w:t>Existing</w:t>
      </w:r>
      <w:r w:rsidRPr="000740FC">
        <w:t xml:space="preserve"> MPs are required to contribute 11.5 per cent of </w:t>
      </w:r>
      <w:r w:rsidR="00D9585E">
        <w:t>the BSP</w:t>
      </w:r>
      <w:r w:rsidR="00AB0EE8" w:rsidRPr="000740FC">
        <w:t xml:space="preserve"> during the</w:t>
      </w:r>
      <w:r w:rsidR="00B04FB2" w:rsidRPr="000740FC">
        <w:t>ir</w:t>
      </w:r>
      <w:r w:rsidR="00AB0EE8" w:rsidRPr="000740FC">
        <w:t xml:space="preserve"> first 20.5 years of service</w:t>
      </w:r>
      <w:r w:rsidRPr="000740FC">
        <w:t xml:space="preserve">. </w:t>
      </w:r>
      <w:r w:rsidR="006C15E4">
        <w:t>Specified p</w:t>
      </w:r>
      <w:r w:rsidRPr="000740FC">
        <w:t xml:space="preserve">arliamentary office holders </w:t>
      </w:r>
      <w:r w:rsidR="00D6580C">
        <w:t>who</w:t>
      </w:r>
      <w:r w:rsidRPr="000740FC">
        <w:t xml:space="preserve"> receive an additional salary are required to make additional contributions to the PCSF. </w:t>
      </w:r>
    </w:p>
    <w:p w14:paraId="240459AB" w14:textId="31C507D4" w:rsidR="00CB41E6" w:rsidRPr="000740FC" w:rsidRDefault="00CB41E6" w:rsidP="00B33183">
      <w:pPr>
        <w:pStyle w:val="Paragraph"/>
      </w:pPr>
      <w:r w:rsidRPr="000740FC">
        <w:t xml:space="preserve">The PCSF is administered by Emergency Services and State Super (ESSSuper), which pools and invests member contributions to pay the superannuation </w:t>
      </w:r>
      <w:r w:rsidR="00D23B3E">
        <w:t>benefits</w:t>
      </w:r>
      <w:r w:rsidRPr="000740FC">
        <w:t xml:space="preserve"> of members of the schemes. </w:t>
      </w:r>
    </w:p>
    <w:p w14:paraId="1090FCC9" w14:textId="61354E5E" w:rsidR="00CB41E6" w:rsidRPr="000740FC" w:rsidRDefault="00CB41E6" w:rsidP="00B33183">
      <w:pPr>
        <w:pStyle w:val="Paragraph"/>
      </w:pPr>
      <w:r w:rsidRPr="000740FC">
        <w:t xml:space="preserve">Subject to meeting eligibility requirements, former MPs in </w:t>
      </w:r>
      <w:r w:rsidR="00B04FB2" w:rsidRPr="000740FC">
        <w:t>the</w:t>
      </w:r>
      <w:r w:rsidRPr="000740FC">
        <w:t xml:space="preserve"> defined benefit scheme</w:t>
      </w:r>
      <w:r w:rsidR="00B04FB2" w:rsidRPr="000740FC">
        <w:t>s</w:t>
      </w:r>
      <w:r w:rsidRPr="000740FC">
        <w:t xml:space="preserve"> receive a pension</w:t>
      </w:r>
      <w:r w:rsidR="4AC70774" w:rsidRPr="000740FC">
        <w:t>. A reduced pension</w:t>
      </w:r>
      <w:r w:rsidRPr="000740FC">
        <w:t xml:space="preserve"> is </w:t>
      </w:r>
      <w:r w:rsidR="69A3E3A1" w:rsidRPr="000740FC">
        <w:t>payable</w:t>
      </w:r>
      <w:r w:rsidRPr="000740FC">
        <w:t xml:space="preserve"> to their partner or eligible children upon the MP’s death.</w:t>
      </w:r>
      <w:r w:rsidR="00DC709D">
        <w:br w:type="page"/>
      </w:r>
    </w:p>
    <w:p w14:paraId="253E6671" w14:textId="77777777" w:rsidR="00CB41E6" w:rsidRPr="000740FC" w:rsidRDefault="00CB41E6" w:rsidP="00CB41E6">
      <w:pPr>
        <w:pStyle w:val="VIRTHeading3"/>
        <w:rPr>
          <w:lang w:val="en-AU"/>
        </w:rPr>
      </w:pPr>
      <w:r w:rsidRPr="000740FC">
        <w:rPr>
          <w:lang w:val="en-AU"/>
        </w:rPr>
        <w:lastRenderedPageBreak/>
        <w:t>Accumulation scheme</w:t>
      </w:r>
    </w:p>
    <w:p w14:paraId="44795A00" w14:textId="4B20E845" w:rsidR="00CB41E6" w:rsidRPr="000740FC" w:rsidRDefault="00CB41E6" w:rsidP="00B33183">
      <w:pPr>
        <w:pStyle w:val="Parabeforeabulletlist"/>
      </w:pPr>
      <w:r w:rsidRPr="000740FC">
        <w:t>MPs elected</w:t>
      </w:r>
      <w:r w:rsidR="00E15750">
        <w:t xml:space="preserve"> from 10</w:t>
      </w:r>
      <w:r w:rsidRPr="000740FC">
        <w:t xml:space="preserve"> November 2004 are members of the accumulation scheme</w:t>
      </w:r>
      <w:r w:rsidR="13447DD2" w:rsidRPr="000740FC">
        <w:t>.</w:t>
      </w:r>
      <w:r w:rsidRPr="000740FC">
        <w:t xml:space="preserve"> MPs are paid contributions by the State into an accumulation fund of their choice. The State is required to make contributions that are equal to the greater of:</w:t>
      </w:r>
    </w:p>
    <w:p w14:paraId="60D0A4F9" w14:textId="77777777" w:rsidR="00BF6413" w:rsidRPr="00E61042" w:rsidRDefault="00BF6413" w:rsidP="00BF6413">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‘prescribed percentage’ </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currently 15.</w:t>
      </w:r>
      <w:r>
        <w:rPr>
          <w:rFonts w:ascii="Calibri Light" w:hAnsi="Calibri Light" w:cs="Arial"/>
          <w:color w:val="4D4D4D" w:themeColor="accent6"/>
          <w:sz w:val="26"/>
          <w:szCs w:val="20"/>
        </w:rPr>
        <w:t>5</w:t>
      </w:r>
      <w:r w:rsidRPr="00E61042">
        <w:rPr>
          <w:rFonts w:ascii="Calibri Light" w:hAnsi="Calibri Light" w:cs="Arial"/>
          <w:color w:val="4D4D4D" w:themeColor="accent6"/>
          <w:sz w:val="26"/>
          <w:szCs w:val="20"/>
        </w:rPr>
        <w:t xml:space="preserve"> per cent</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 xml:space="preserve"> of the basic salary and additional salary (if any)</w:t>
      </w:r>
      <w:r>
        <w:rPr>
          <w:rFonts w:ascii="Calibri Light" w:hAnsi="Calibri Light" w:cs="Arial"/>
          <w:color w:val="4D4D4D" w:themeColor="accent6"/>
          <w:sz w:val="26"/>
          <w:szCs w:val="20"/>
        </w:rPr>
        <w:t xml:space="preserve"> (the prescribed percentage contribution amount) </w:t>
      </w:r>
    </w:p>
    <w:p w14:paraId="3F55DD9E" w14:textId="77777777" w:rsidR="00BF6413" w:rsidRDefault="00BF6413" w:rsidP="00BF6413">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minimum amount necessary to avoid a </w:t>
      </w:r>
      <w:r>
        <w:rPr>
          <w:rFonts w:ascii="Calibri Light" w:hAnsi="Calibri Light" w:cs="Arial"/>
          <w:color w:val="4D4D4D" w:themeColor="accent6"/>
          <w:sz w:val="26"/>
          <w:szCs w:val="20"/>
        </w:rPr>
        <w:t>S</w:t>
      </w:r>
      <w:r w:rsidRPr="00E61042">
        <w:rPr>
          <w:rFonts w:ascii="Calibri Light" w:hAnsi="Calibri Light" w:cs="Arial"/>
          <w:color w:val="4D4D4D" w:themeColor="accent6"/>
          <w:sz w:val="26"/>
          <w:szCs w:val="20"/>
        </w:rPr>
        <w:t xml:space="preserve">uperannuation </w:t>
      </w:r>
      <w:r>
        <w:rPr>
          <w:rFonts w:ascii="Calibri Light" w:hAnsi="Calibri Light" w:cs="Arial"/>
          <w:color w:val="4D4D4D" w:themeColor="accent6"/>
          <w:sz w:val="26"/>
          <w:szCs w:val="20"/>
        </w:rPr>
        <w:t>G</w:t>
      </w:r>
      <w:r w:rsidRPr="00E61042">
        <w:rPr>
          <w:rFonts w:ascii="Calibri Light" w:hAnsi="Calibri Light" w:cs="Arial"/>
          <w:color w:val="4D4D4D" w:themeColor="accent6"/>
          <w:sz w:val="26"/>
          <w:szCs w:val="20"/>
        </w:rPr>
        <w:t>uarantee</w:t>
      </w:r>
      <w:r>
        <w:rPr>
          <w:rFonts w:ascii="Calibri Light" w:hAnsi="Calibri Light" w:cs="Arial"/>
          <w:color w:val="4D4D4D" w:themeColor="accent6"/>
          <w:sz w:val="26"/>
          <w:szCs w:val="20"/>
        </w:rPr>
        <w:t xml:space="preserve"> (SG)</w:t>
      </w:r>
      <w:r w:rsidRPr="00E61042">
        <w:rPr>
          <w:rFonts w:ascii="Calibri Light" w:hAnsi="Calibri Light" w:cs="Arial"/>
          <w:color w:val="4D4D4D" w:themeColor="accent6"/>
          <w:sz w:val="26"/>
          <w:szCs w:val="20"/>
        </w:rPr>
        <w:t xml:space="preserve"> shortfall under Commonwealth law </w:t>
      </w:r>
      <w:r>
        <w:rPr>
          <w:rFonts w:ascii="Calibri Light" w:hAnsi="Calibri Light" w:cs="Arial"/>
          <w:color w:val="4D4D4D" w:themeColor="accent6"/>
          <w:sz w:val="26"/>
          <w:szCs w:val="20"/>
        </w:rPr>
        <w:t>(the shortfall contribution amount).</w:t>
      </w:r>
    </w:p>
    <w:p w14:paraId="563DBA7E" w14:textId="3704E6FC" w:rsidR="00CB41E6" w:rsidRPr="000740FC" w:rsidRDefault="00BF6413" w:rsidP="00BF6413">
      <w:pPr>
        <w:pStyle w:val="Paragraph"/>
      </w:pPr>
      <w:r>
        <w:t>T</w:t>
      </w:r>
      <w:r w:rsidRPr="00E61042">
        <w:t>he prescribed percentage</w:t>
      </w:r>
      <w:r>
        <w:t xml:space="preserve"> contribution amount</w:t>
      </w:r>
      <w:r w:rsidRPr="00E61042">
        <w:t xml:space="preserve"> typically </w:t>
      </w:r>
      <w:r>
        <w:t>exceeds the shortfall contribution amount.</w:t>
      </w:r>
    </w:p>
    <w:p w14:paraId="192868BD" w14:textId="4D9A7E04" w:rsidR="00CB41E6" w:rsidRPr="000740FC" w:rsidRDefault="00CB41E6" w:rsidP="00B33183">
      <w:pPr>
        <w:pStyle w:val="Paragraph"/>
      </w:pPr>
      <w:r w:rsidRPr="000740FC">
        <w:t xml:space="preserve">The superannuation balance, including investment returns and any additional contributions, are accessible once the MP (or former MP) reaches their preservation age (which ranges from 55-60 </w:t>
      </w:r>
      <w:r w:rsidR="356ED50A" w:rsidRPr="000740FC">
        <w:t xml:space="preserve">years </w:t>
      </w:r>
      <w:r w:rsidRPr="000740FC">
        <w:t xml:space="preserve">depending on date of birth). </w:t>
      </w:r>
    </w:p>
    <w:p w14:paraId="3E46E2E4" w14:textId="0DD8B322" w:rsidR="00CB41E6" w:rsidRPr="000740FC" w:rsidRDefault="053449A9" w:rsidP="00B33183">
      <w:pPr>
        <w:pStyle w:val="Paragraph"/>
      </w:pPr>
      <w:r w:rsidRPr="000740FC">
        <w:t>Upon leaving the Parliament</w:t>
      </w:r>
      <w:r w:rsidR="008560DC">
        <w:t xml:space="preserve"> of Victoria (Parliament)</w:t>
      </w:r>
      <w:r w:rsidRPr="000740FC">
        <w:t xml:space="preserve">, </w:t>
      </w:r>
      <w:r w:rsidR="22786338" w:rsidRPr="000740FC">
        <w:t>f</w:t>
      </w:r>
      <w:r w:rsidR="00CB41E6" w:rsidRPr="000740FC">
        <w:t>ormer MPs who are not members of the defined benefit schemes are eligible to receive a separation payment to facilitate the completion of their parliamentary and electorate business</w:t>
      </w:r>
      <w:r w:rsidR="00254F3D">
        <w:t>,</w:t>
      </w:r>
      <w:r w:rsidR="00CB41E6" w:rsidRPr="000740FC">
        <w:t xml:space="preserve"> and to support them as they transition from working as an MP. </w:t>
      </w:r>
    </w:p>
    <w:p w14:paraId="407B2290" w14:textId="297EDC13" w:rsidR="00CB41E6" w:rsidRPr="000740FC" w:rsidRDefault="00CB41E6" w:rsidP="00B33183">
      <w:pPr>
        <w:pStyle w:val="Paragraph"/>
      </w:pPr>
      <w:r w:rsidRPr="000740FC">
        <w:t xml:space="preserve">This separation payment is equal to </w:t>
      </w:r>
      <w:r w:rsidR="00C84F50">
        <w:t>3</w:t>
      </w:r>
      <w:r w:rsidRPr="000740FC">
        <w:t xml:space="preserve"> months’ basic salary </w:t>
      </w:r>
      <w:r w:rsidR="00737032" w:rsidRPr="003B46C1">
        <w:t>(</w:t>
      </w:r>
      <w:r w:rsidR="008A43AE" w:rsidRPr="003B46C1">
        <w:t>$45,603</w:t>
      </w:r>
      <w:r w:rsidR="00AF75DE" w:rsidRPr="003B46C1">
        <w:t xml:space="preserve"> for the 2020</w:t>
      </w:r>
      <w:r w:rsidR="006B094F">
        <w:noBreakHyphen/>
      </w:r>
      <w:r w:rsidR="00AF75DE" w:rsidRPr="003B46C1">
        <w:t>21 financial year</w:t>
      </w:r>
      <w:r w:rsidR="008A43AE" w:rsidRPr="003B46C1">
        <w:t xml:space="preserve">) </w:t>
      </w:r>
      <w:r w:rsidRPr="003B46C1">
        <w:t xml:space="preserve">where an MP has served for up to one term, and </w:t>
      </w:r>
      <w:r w:rsidR="0002349B">
        <w:t>6</w:t>
      </w:r>
      <w:r w:rsidRPr="003B46C1">
        <w:t xml:space="preserve"> months’ basic salary </w:t>
      </w:r>
      <w:r w:rsidR="008B5E44" w:rsidRPr="003B46C1">
        <w:t>($91,207</w:t>
      </w:r>
      <w:r w:rsidR="00AF75DE" w:rsidRPr="003B46C1">
        <w:t xml:space="preserve"> for the 2020-21 financial year</w:t>
      </w:r>
      <w:r w:rsidR="008B5E44" w:rsidRPr="003B46C1">
        <w:t xml:space="preserve">) </w:t>
      </w:r>
      <w:r w:rsidRPr="003B46C1">
        <w:t>where they have served for two or more terms.</w:t>
      </w:r>
    </w:p>
    <w:p w14:paraId="5C4C53CF" w14:textId="4DAD70A1" w:rsidR="00995E2F" w:rsidRDefault="00CB41E6" w:rsidP="00B33183">
      <w:pPr>
        <w:pStyle w:val="Paragraph"/>
      </w:pPr>
      <w:r w:rsidRPr="000740FC">
        <w:t xml:space="preserve">Further information on the MP superannuation schemes is provided in chapter 3. </w:t>
      </w:r>
      <w:bookmarkEnd w:id="1"/>
      <w:bookmarkEnd w:id="20"/>
      <w:bookmarkEnd w:id="21"/>
    </w:p>
    <w:p w14:paraId="2060CE8C" w14:textId="51A5B138" w:rsidR="000A334A" w:rsidRPr="0017754B" w:rsidRDefault="00DA4B04" w:rsidP="0017754B">
      <w:pPr>
        <w:pStyle w:val="VIRTHeading2"/>
      </w:pPr>
      <w:bookmarkStart w:id="41" w:name="_Toc50990414"/>
      <w:bookmarkStart w:id="42" w:name="_Toc51234123"/>
      <w:r w:rsidRPr="0017754B">
        <w:t>1.</w:t>
      </w:r>
      <w:r w:rsidR="00E50852" w:rsidRPr="0017754B">
        <w:t>2</w:t>
      </w:r>
      <w:r w:rsidRPr="0017754B">
        <w:t xml:space="preserve"> </w:t>
      </w:r>
      <w:r w:rsidR="000A334A" w:rsidRPr="0017754B">
        <w:t>Consultation</w:t>
      </w:r>
      <w:bookmarkEnd w:id="41"/>
      <w:bookmarkEnd w:id="42"/>
    </w:p>
    <w:p w14:paraId="24F28D6D" w14:textId="44710581" w:rsidR="00F655AC" w:rsidRPr="000740FC" w:rsidRDefault="00D751ED" w:rsidP="00B33183">
      <w:pPr>
        <w:pStyle w:val="Parabeforeabulletlist"/>
      </w:pPr>
      <w:r w:rsidRPr="000740FC">
        <w:t>In May</w:t>
      </w:r>
      <w:r w:rsidR="00FE237E" w:rsidRPr="000740FC">
        <w:t xml:space="preserve"> 2020, the Tribunal published an </w:t>
      </w:r>
      <w:r w:rsidR="005220CA" w:rsidRPr="000740FC">
        <w:t>I</w:t>
      </w:r>
      <w:r w:rsidR="00FE237E" w:rsidRPr="000740FC">
        <w:t xml:space="preserve">ssues </w:t>
      </w:r>
      <w:r w:rsidR="005220CA" w:rsidRPr="000740FC">
        <w:t>P</w:t>
      </w:r>
      <w:r w:rsidR="00FE237E" w:rsidRPr="000740FC">
        <w:t>aper</w:t>
      </w:r>
      <w:r w:rsidR="00802416">
        <w:t xml:space="preserve"> on the Review of Superannuation Arrangements for Victorian Members of Parliament</w:t>
      </w:r>
      <w:r w:rsidR="00FE237E" w:rsidRPr="000740FC">
        <w:t xml:space="preserve"> on its website</w:t>
      </w:r>
      <w:r w:rsidR="00802416">
        <w:t>.</w:t>
      </w:r>
      <w:r w:rsidR="00FE237E" w:rsidRPr="000740FC">
        <w:t xml:space="preserve"> </w:t>
      </w:r>
      <w:r w:rsidR="00802416">
        <w:t>The Issues Paper</w:t>
      </w:r>
      <w:r w:rsidR="007E5EBF" w:rsidRPr="000740FC">
        <w:t>:</w:t>
      </w:r>
      <w:bookmarkStart w:id="43" w:name="_Hlk40697028"/>
    </w:p>
    <w:p w14:paraId="601F7753" w14:textId="31BE4B81" w:rsidR="00F655AC" w:rsidRPr="000740FC" w:rsidRDefault="00F655AC" w:rsidP="0046477F">
      <w:pPr>
        <w:pStyle w:val="VIRTBulletpoints"/>
      </w:pPr>
      <w:r w:rsidRPr="000740FC">
        <w:t xml:space="preserve">set out the Tribunal’s proposed analytical framework for conducting the </w:t>
      </w:r>
      <w:r w:rsidR="001D018F" w:rsidRPr="000740FC">
        <w:t xml:space="preserve">superannuation </w:t>
      </w:r>
      <w:r w:rsidRPr="000740FC">
        <w:t xml:space="preserve">review </w:t>
      </w:r>
    </w:p>
    <w:p w14:paraId="01A9170D" w14:textId="77777777" w:rsidR="00F655AC" w:rsidRPr="000740FC" w:rsidRDefault="00F655AC" w:rsidP="0046477F">
      <w:pPr>
        <w:pStyle w:val="VIRTBulletpoints"/>
      </w:pPr>
      <w:r w:rsidRPr="000740FC">
        <w:t>provided an overview of the existing superannuation arrangements (including differences between the superannuation schemes)</w:t>
      </w:r>
    </w:p>
    <w:p w14:paraId="3484C564" w14:textId="65EDAC5E" w:rsidR="00DA762F" w:rsidRPr="000740FC" w:rsidRDefault="00F655AC" w:rsidP="0046477F">
      <w:pPr>
        <w:pStyle w:val="VIRTBulletpoints"/>
      </w:pPr>
      <w:r w:rsidRPr="000740FC">
        <w:t xml:space="preserve">provided several questions for feedback. </w:t>
      </w:r>
    </w:p>
    <w:p w14:paraId="0AC530DF" w14:textId="14D05BAB" w:rsidR="00E425FA" w:rsidRPr="000740FC" w:rsidRDefault="00E425FA" w:rsidP="00B33183">
      <w:pPr>
        <w:pStyle w:val="Paragraph"/>
      </w:pPr>
      <w:r w:rsidRPr="000740FC">
        <w:lastRenderedPageBreak/>
        <w:t xml:space="preserve">The Tribunal invited all affected and interested </w:t>
      </w:r>
      <w:r w:rsidRPr="000740FC" w:rsidDel="002360C8">
        <w:t>persons or parties</w:t>
      </w:r>
      <w:r w:rsidRPr="000740FC">
        <w:t xml:space="preserve"> to make a submission</w:t>
      </w:r>
      <w:r w:rsidRPr="000740FC" w:rsidDel="002360C8">
        <w:t xml:space="preserve"> </w:t>
      </w:r>
      <w:r w:rsidRPr="000740FC">
        <w:t>in relation to the review. The Tribunal received three written submissions</w:t>
      </w:r>
      <w:r w:rsidR="131E170B" w:rsidRPr="000740FC">
        <w:t xml:space="preserve"> which were published on the Tribunal’s website</w:t>
      </w:r>
      <w:r w:rsidRPr="000740FC">
        <w:t xml:space="preserve">. </w:t>
      </w:r>
      <w:r w:rsidR="4251C7D0" w:rsidRPr="000740FC">
        <w:t>Submissions cited in this report have not been corrected for publication.</w:t>
      </w:r>
    </w:p>
    <w:p w14:paraId="49F08BA4" w14:textId="43654872" w:rsidR="00E425FA" w:rsidRPr="000740FC" w:rsidRDefault="00E425FA" w:rsidP="00B33183">
      <w:pPr>
        <w:pStyle w:val="Paragraph"/>
      </w:pPr>
      <w:r w:rsidRPr="000740FC">
        <w:t>The Tribunal also formed an MP consultative committee which was broadly representative of the parties and views across the</w:t>
      </w:r>
      <w:r w:rsidR="008560DC">
        <w:t xml:space="preserve"> </w:t>
      </w:r>
      <w:r w:rsidRPr="000740FC">
        <w:t>Parliament.</w:t>
      </w:r>
    </w:p>
    <w:p w14:paraId="234140E8" w14:textId="1E3EA9CB" w:rsidR="00456876" w:rsidRPr="000740FC" w:rsidRDefault="00E425FA" w:rsidP="00B33183">
      <w:pPr>
        <w:pStyle w:val="Paragraph"/>
      </w:pPr>
      <w:r w:rsidRPr="000740FC">
        <w:t xml:space="preserve">The Tribunal expresses its appreciation to all those who made submissions and assisted the Tribunal in carrying out the review. </w:t>
      </w:r>
      <w:r w:rsidR="00411889" w:rsidRPr="000740FC">
        <w:t xml:space="preserve">This includes the Department of Parliamentary Services and </w:t>
      </w:r>
      <w:r w:rsidR="009813EE">
        <w:t xml:space="preserve">the </w:t>
      </w:r>
      <w:r w:rsidR="00411889" w:rsidRPr="000740FC">
        <w:t>Department of Treasury and Finance, wh</w:t>
      </w:r>
      <w:r w:rsidR="009813EE">
        <w:t>ich</w:t>
      </w:r>
      <w:r w:rsidR="00411889" w:rsidRPr="000740FC">
        <w:t xml:space="preserve"> provided the Tribunal with de-identified data to assist with its review. </w:t>
      </w:r>
      <w:bookmarkEnd w:id="43"/>
    </w:p>
    <w:p w14:paraId="6DE09FFA" w14:textId="29B165E9" w:rsidR="00411889" w:rsidRPr="000740FC" w:rsidRDefault="00411889" w:rsidP="00DB774D">
      <w:pPr>
        <w:pStyle w:val="VIRTHeading2"/>
        <w:rPr>
          <w:lang w:val="en-AU"/>
        </w:rPr>
      </w:pPr>
      <w:bookmarkStart w:id="44" w:name="_Toc50990415"/>
      <w:bookmarkStart w:id="45" w:name="_Toc51234124"/>
      <w:r w:rsidRPr="000740FC">
        <w:rPr>
          <w:lang w:val="en-AU"/>
        </w:rPr>
        <w:t>1.3 Analytical framework</w:t>
      </w:r>
      <w:bookmarkEnd w:id="44"/>
      <w:bookmarkEnd w:id="45"/>
    </w:p>
    <w:p w14:paraId="5D662292" w14:textId="3413610B" w:rsidR="00E94409" w:rsidRPr="000740FC" w:rsidRDefault="00411889" w:rsidP="00B33183">
      <w:pPr>
        <w:pStyle w:val="Paragraph"/>
      </w:pPr>
      <w:r w:rsidRPr="000740FC">
        <w:t xml:space="preserve">The Tribunal developed an analytical framework to guide the identification of potential inequalities and irregularities between the superannuation arrangements for </w:t>
      </w:r>
      <w:r w:rsidR="007A5236">
        <w:t>MPs</w:t>
      </w:r>
      <w:r w:rsidRPr="000740FC">
        <w:t xml:space="preserve">. </w:t>
      </w:r>
    </w:p>
    <w:p w14:paraId="3249127B" w14:textId="77777777" w:rsidR="00411889" w:rsidRPr="000740FC" w:rsidRDefault="00411889" w:rsidP="7BC4E449">
      <w:pPr>
        <w:pStyle w:val="VIRTHeading3"/>
        <w:spacing w:line="259" w:lineRule="auto"/>
        <w:rPr>
          <w:lang w:val="en-AU"/>
        </w:rPr>
      </w:pPr>
      <w:r w:rsidRPr="000740FC">
        <w:rPr>
          <w:lang w:val="en-AU"/>
        </w:rPr>
        <w:t>Focus of the comparison</w:t>
      </w:r>
    </w:p>
    <w:p w14:paraId="3856D18D" w14:textId="5573A3D8" w:rsidR="00411889" w:rsidRPr="000740FC" w:rsidRDefault="00411889" w:rsidP="00B33183">
      <w:pPr>
        <w:pStyle w:val="Parabeforeabulletlist"/>
      </w:pPr>
      <w:r w:rsidRPr="000740FC">
        <w:t xml:space="preserve">In reviewing the superannuation schemes under Parts 3 and 4 of </w:t>
      </w:r>
      <w:r w:rsidR="00F412D8">
        <w:t xml:space="preserve">the </w:t>
      </w:r>
      <w:r w:rsidRPr="000740FC">
        <w:t>PSAS Act, the Tribunal focused on comparing the New Benefits Scheme and the accumulation scheme, as:</w:t>
      </w:r>
    </w:p>
    <w:p w14:paraId="75B1D208" w14:textId="1ECD5E52" w:rsidR="00411889" w:rsidRPr="000740FC" w:rsidRDefault="00411889" w:rsidP="00411889">
      <w:pPr>
        <w:pStyle w:val="VIRTBulletpoints"/>
      </w:pPr>
      <w:r w:rsidRPr="000740FC">
        <w:t>all existing MPs are members of either the New Benefits Scheme or the accumulation scheme</w:t>
      </w:r>
    </w:p>
    <w:p w14:paraId="41D36582" w14:textId="77777777" w:rsidR="00411889" w:rsidRPr="000740FC" w:rsidRDefault="00411889" w:rsidP="00411889">
      <w:pPr>
        <w:pStyle w:val="VIRTBulletpoints"/>
      </w:pPr>
      <w:r w:rsidRPr="000740FC">
        <w:t>a 2013 review of the salary entitlements, allowances and other arrangements for Victorian MPs identified a need to ‘bridge the gap’ between the New Benefits Scheme and the accumulation scheme.</w:t>
      </w:r>
      <w:r w:rsidRPr="000740FC">
        <w:rPr>
          <w:rStyle w:val="FootnoteReference"/>
        </w:rPr>
        <w:footnoteReference w:id="3"/>
      </w:r>
    </w:p>
    <w:p w14:paraId="65E9F594" w14:textId="77777777" w:rsidR="00411889" w:rsidRPr="000740FC" w:rsidRDefault="00411889" w:rsidP="00411889">
      <w:pPr>
        <w:pStyle w:val="VIRTHeading3"/>
        <w:rPr>
          <w:lang w:val="en-AU"/>
        </w:rPr>
      </w:pPr>
      <w:r w:rsidRPr="000740FC">
        <w:rPr>
          <w:lang w:val="en-AU"/>
        </w:rPr>
        <w:t xml:space="preserve">Meaning of inequality and irregularity </w:t>
      </w:r>
    </w:p>
    <w:p w14:paraId="5B7F284C" w14:textId="5EEE0E1E" w:rsidR="00411889" w:rsidRPr="000740FC" w:rsidRDefault="00411889" w:rsidP="00B33183">
      <w:pPr>
        <w:pStyle w:val="Paragraphbeforeabulletlist"/>
      </w:pPr>
      <w:r w:rsidRPr="000740FC">
        <w:t>Section 39(1) of the VIRTIPS Act requires the Tribunal to review and report on potential inequalities and irregularities between the superannuation arrangements. The Tribunal considered inequalities and irregularities which may exist at the present time, in addition to those that may arise in the future as a result of changes in MP circumstances or economic conditions.</w:t>
      </w:r>
    </w:p>
    <w:p w14:paraId="3839DD47" w14:textId="77777777" w:rsidR="00411889" w:rsidRPr="000740FC" w:rsidRDefault="00411889" w:rsidP="00B33183">
      <w:pPr>
        <w:pStyle w:val="Paragraphbeforeabulletlist"/>
      </w:pPr>
      <w:r w:rsidRPr="000740FC">
        <w:lastRenderedPageBreak/>
        <w:t>The VIRTIPS Act does not define the terms ‘inequality’ and ‘irregularity’. As such</w:t>
      </w:r>
      <w:r w:rsidRPr="000740FC" w:rsidDel="002E7BEA">
        <w:t>,</w:t>
      </w:r>
      <w:r w:rsidRPr="000740FC">
        <w:t xml:space="preserve"> the Tribunal has used the definitions outlined below to guide its review</w:t>
      </w:r>
      <w:r w:rsidRPr="000740FC" w:rsidDel="00EC3335">
        <w:t>.</w:t>
      </w:r>
    </w:p>
    <w:p w14:paraId="1EEAB553" w14:textId="77777777" w:rsidR="00411889" w:rsidRPr="000740FC" w:rsidRDefault="00411889" w:rsidP="00411889">
      <w:pPr>
        <w:pStyle w:val="VIRTheading40"/>
      </w:pPr>
      <w:r w:rsidRPr="000740FC">
        <w:t>Inequalities</w:t>
      </w:r>
    </w:p>
    <w:p w14:paraId="2D3B0466" w14:textId="559BE394" w:rsidR="00411889" w:rsidRPr="000740FC" w:rsidRDefault="00411889" w:rsidP="00B33183">
      <w:pPr>
        <w:pStyle w:val="Parabeforeabulletlist"/>
      </w:pPr>
      <w:r w:rsidRPr="000740FC">
        <w:t>To assess potential inequalities between the superannuation schemes, the Tribunal considered whether differences between the superannuation schemes are leading to the inequitable treatment of some existing or former MPs. In line with previous Australian superannuation reviews, the Tribunal has been guided by the concept of ‘equity’ in terms of:</w:t>
      </w:r>
      <w:r w:rsidRPr="000740FC">
        <w:rPr>
          <w:vertAlign w:val="superscript"/>
        </w:rPr>
        <w:footnoteReference w:id="4"/>
      </w:r>
    </w:p>
    <w:p w14:paraId="4C248F53" w14:textId="77777777" w:rsidR="00411889" w:rsidRPr="000740FC" w:rsidRDefault="00411889" w:rsidP="00411889">
      <w:pPr>
        <w:pStyle w:val="VIRTBulletpoints"/>
      </w:pPr>
      <w:r w:rsidRPr="000740FC">
        <w:t>horizontal equity – individuals in similar circumstances should be treated similarly (i.e. receive a similar superannuation benefit)</w:t>
      </w:r>
    </w:p>
    <w:p w14:paraId="319B4DED" w14:textId="77777777" w:rsidR="00411889" w:rsidRPr="000740FC" w:rsidRDefault="00411889" w:rsidP="00411889">
      <w:pPr>
        <w:pStyle w:val="VIRTBulletpoints"/>
      </w:pPr>
      <w:r w:rsidRPr="000740FC">
        <w:t>vertical equity – difference in the treatment of individuals should reflect, and be proportionate to, relevant difference in their circumstances.</w:t>
      </w:r>
    </w:p>
    <w:p w14:paraId="2E0950B8" w14:textId="3C377686" w:rsidR="00411889" w:rsidRPr="000740FC" w:rsidRDefault="00411889" w:rsidP="00B33183">
      <w:pPr>
        <w:pStyle w:val="Paragraph"/>
      </w:pPr>
      <w:r w:rsidRPr="000740FC">
        <w:t>The principle of horizontal equity was found to be more relevant to the review because the superannuation scheme that applies to an MP is</w:t>
      </w:r>
      <w:r w:rsidRPr="000740FC" w:rsidDel="00A1500C">
        <w:t xml:space="preserve"> </w:t>
      </w:r>
      <w:r w:rsidRPr="000740FC">
        <w:t>determined, in the first instance, by the date they first entered the Parliament.</w:t>
      </w:r>
      <w:r w:rsidRPr="000740FC">
        <w:rPr>
          <w:vertAlign w:val="superscript"/>
        </w:rPr>
        <w:footnoteReference w:id="5"/>
      </w:r>
      <w:r w:rsidRPr="000740FC">
        <w:t xml:space="preserve"> For example, an MP in the accumulation scheme may have the same duties and characteristics (e.g. age, marital status) as another MP in the New Benefits Scheme, yet may receive significantly different superannuation benefits because they entered the Parliament at a later date.</w:t>
      </w:r>
    </w:p>
    <w:p w14:paraId="366A7198" w14:textId="3BA8A881" w:rsidR="00411889" w:rsidRPr="000740FC" w:rsidRDefault="00411889" w:rsidP="00B33183">
      <w:pPr>
        <w:pStyle w:val="Paragraph"/>
      </w:pPr>
      <w:r w:rsidRPr="000740FC">
        <w:t>When considering these principles, the Tribunal also</w:t>
      </w:r>
      <w:r w:rsidRPr="000740FC" w:rsidDel="00D80F1F">
        <w:t xml:space="preserve"> </w:t>
      </w:r>
      <w:r w:rsidRPr="000740FC">
        <w:t xml:space="preserve">took into account that the Parliament retains the power to change laws when appropriate (e.g. to reflect changing community standards and expectations), even if that results in the different treatment of individuals in comparison to their predecessors. The Tribunal also noted that, when MP superannuation arrangements have been changed in a disadvantageous manner in the past, these changes </w:t>
      </w:r>
      <w:r w:rsidR="009813EE">
        <w:t>were</w:t>
      </w:r>
      <w:r w:rsidRPr="000740FC">
        <w:t xml:space="preserve"> generally subject to grandfathering provisions so that they d</w:t>
      </w:r>
      <w:r w:rsidR="009813EE">
        <w:t xml:space="preserve">id </w:t>
      </w:r>
      <w:r w:rsidRPr="000740FC">
        <w:t xml:space="preserve">not unfairly impact on individuals </w:t>
      </w:r>
      <w:r w:rsidR="00313BA2">
        <w:t>who</w:t>
      </w:r>
      <w:r w:rsidRPr="000740FC">
        <w:t xml:space="preserve"> made decisions based on previous arrangements.</w:t>
      </w:r>
    </w:p>
    <w:p w14:paraId="0091D339" w14:textId="77777777" w:rsidR="0076507C" w:rsidRDefault="0076507C" w:rsidP="00411889">
      <w:pPr>
        <w:pStyle w:val="VIRTheading40"/>
      </w:pPr>
      <w:r>
        <w:br w:type="page"/>
      </w:r>
    </w:p>
    <w:p w14:paraId="2C94AA63" w14:textId="16561C8C" w:rsidR="00411889" w:rsidRPr="000740FC" w:rsidRDefault="00411889" w:rsidP="00411889">
      <w:pPr>
        <w:pStyle w:val="VIRTheading40"/>
      </w:pPr>
      <w:r w:rsidRPr="000740FC">
        <w:lastRenderedPageBreak/>
        <w:t>Irregularities</w:t>
      </w:r>
    </w:p>
    <w:p w14:paraId="5E596D75" w14:textId="77777777" w:rsidR="00411889" w:rsidRPr="000740FC" w:rsidRDefault="00411889" w:rsidP="00B33183">
      <w:pPr>
        <w:pStyle w:val="Parabeforeabulletlist"/>
      </w:pPr>
      <w:r w:rsidRPr="000740FC">
        <w:t>In assessing irregularities, the Tribunal considered matters such as:</w:t>
      </w:r>
    </w:p>
    <w:p w14:paraId="27C90503" w14:textId="77777777" w:rsidR="00411889" w:rsidRPr="000740FC" w:rsidRDefault="00411889" w:rsidP="00411889">
      <w:pPr>
        <w:pStyle w:val="VIRTBulletpoints"/>
      </w:pPr>
      <w:r w:rsidRPr="000740FC">
        <w:t>unforeseen differences in the application of certain Commonwealth tax laws to members of the defined benefit and accumulation schemes and the net benefits of being a member of each scheme</w:t>
      </w:r>
    </w:p>
    <w:p w14:paraId="65D1FFF5" w14:textId="77777777" w:rsidR="00411889" w:rsidRPr="000740FC" w:rsidRDefault="00411889" w:rsidP="00411889">
      <w:pPr>
        <w:pStyle w:val="VIRTBulletpoints"/>
      </w:pPr>
      <w:r w:rsidRPr="000740FC">
        <w:t>circumstances where the rules of the schemes are leading to outcomes that are undesirable or unexpected</w:t>
      </w:r>
    </w:p>
    <w:p w14:paraId="445538DD" w14:textId="77777777" w:rsidR="00411889" w:rsidRPr="000740FC" w:rsidRDefault="00411889" w:rsidP="00411889">
      <w:pPr>
        <w:pStyle w:val="VIRTBulletpoints"/>
      </w:pPr>
      <w:r w:rsidRPr="000740FC">
        <w:t>inconsistencies or ambiguities in the legislation, such as when the intended meaning of a rule relating to the operation of one of the schemes may be open to multiple interpretations.</w:t>
      </w:r>
    </w:p>
    <w:p w14:paraId="14734E7B" w14:textId="77777777" w:rsidR="00411889" w:rsidRPr="000740FC" w:rsidRDefault="00411889" w:rsidP="00411889">
      <w:pPr>
        <w:pStyle w:val="VIRTHeading3"/>
        <w:rPr>
          <w:lang w:val="en-AU"/>
        </w:rPr>
      </w:pPr>
      <w:r w:rsidRPr="000740FC">
        <w:rPr>
          <w:lang w:val="en-AU"/>
        </w:rPr>
        <w:t>Structure of report</w:t>
      </w:r>
    </w:p>
    <w:p w14:paraId="0353E6A9" w14:textId="77777777" w:rsidR="007E1A2C" w:rsidRDefault="00411889" w:rsidP="00B33183">
      <w:pPr>
        <w:pStyle w:val="Paragraph"/>
      </w:pPr>
      <w:r w:rsidRPr="000740FC">
        <w:t xml:space="preserve">The </w:t>
      </w:r>
      <w:r w:rsidR="3F3C46EA" w:rsidRPr="000740FC">
        <w:t>subsequent chapters</w:t>
      </w:r>
      <w:r w:rsidRPr="000740FC">
        <w:t xml:space="preserve"> of the report set out the Tribunal’s analysis of the MP superannuation schemes and options to address potential inequalities and irregularities. Ch</w:t>
      </w:r>
      <w:r w:rsidR="007079DB" w:rsidRPr="000740FC">
        <w:t>apter</w:t>
      </w:r>
      <w:r w:rsidRPr="000740FC">
        <w:t xml:space="preserve"> 2 sets out </w:t>
      </w:r>
      <w:r w:rsidR="007079DB" w:rsidRPr="000740FC">
        <w:t xml:space="preserve">the </w:t>
      </w:r>
      <w:r w:rsidRPr="000740FC">
        <w:t xml:space="preserve">superannuation arrangements for other </w:t>
      </w:r>
      <w:r w:rsidR="007A5236">
        <w:t>Australians</w:t>
      </w:r>
      <w:r w:rsidRPr="000740FC">
        <w:t xml:space="preserve">, including MPs </w:t>
      </w:r>
      <w:r w:rsidR="007079DB" w:rsidRPr="000740FC">
        <w:t>i</w:t>
      </w:r>
      <w:r w:rsidRPr="000740FC">
        <w:t>n other jurisdictions. Chapter 3 details the current superannuation arrangements for MPs, including a brief overview of the rationale for MP superannuation and key historical events</w:t>
      </w:r>
      <w:r w:rsidR="007079DB" w:rsidRPr="000740FC">
        <w:t xml:space="preserve"> in its development</w:t>
      </w:r>
      <w:r w:rsidRPr="000740FC">
        <w:t>. Chapter 4 provides a qualitative comparison of the schemes</w:t>
      </w:r>
      <w:r w:rsidR="007079DB" w:rsidRPr="000740FC">
        <w:t>. C</w:t>
      </w:r>
      <w:r w:rsidRPr="000740FC">
        <w:t>hapter 5 presents the key findings of actuarial modelling comparing the relative financial benefits of the schemes. Chapters 6 and 7 detail the Tribunal’s consideration</w:t>
      </w:r>
      <w:r w:rsidR="00C43A78">
        <w:t>s</w:t>
      </w:r>
      <w:r w:rsidRPr="000740FC">
        <w:t xml:space="preserve"> in assessing potential inequalities and irregularities</w:t>
      </w:r>
      <w:r w:rsidR="007079DB" w:rsidRPr="000740FC">
        <w:t>, respectively,</w:t>
      </w:r>
      <w:r w:rsidRPr="000740FC">
        <w:t xml:space="preserve"> and its findings and recommendations.</w:t>
      </w:r>
      <w:bookmarkStart w:id="46" w:name="_Toc51234125"/>
    </w:p>
    <w:p w14:paraId="138A2D0D" w14:textId="77777777" w:rsidR="00C43870" w:rsidRDefault="00C43870" w:rsidP="00B33183">
      <w:pPr>
        <w:pStyle w:val="Paragraph"/>
      </w:pPr>
    </w:p>
    <w:p w14:paraId="0953DE1E" w14:textId="77777777" w:rsidR="00C43870" w:rsidRDefault="00C43870" w:rsidP="00B33183">
      <w:pPr>
        <w:pStyle w:val="Paragraph"/>
      </w:pPr>
    </w:p>
    <w:p w14:paraId="5DED27E4" w14:textId="77777777" w:rsidR="00C43870" w:rsidRDefault="00C43870" w:rsidP="00B33183">
      <w:pPr>
        <w:pStyle w:val="Paragraph"/>
      </w:pPr>
    </w:p>
    <w:p w14:paraId="35971DAC" w14:textId="6E203476" w:rsidR="00C43870" w:rsidRDefault="00C43870">
      <w:pPr>
        <w:spacing w:after="80"/>
        <w:rPr>
          <w:rFonts w:ascii="Calibri Light" w:eastAsia="Rockwell" w:hAnsi="Calibri Light" w:cs="Arial"/>
          <w:color w:val="4D4D4D" w:themeColor="accent6"/>
          <w:sz w:val="26"/>
          <w:szCs w:val="20"/>
        </w:rPr>
      </w:pPr>
      <w:r>
        <w:br w:type="page"/>
      </w:r>
    </w:p>
    <w:p w14:paraId="64897C84" w14:textId="0CC29DB3" w:rsidR="00C43870" w:rsidRDefault="002A4CA0">
      <w:pPr>
        <w:spacing w:after="80"/>
        <w:rPr>
          <w:rFonts w:ascii="Calibri Light" w:eastAsia="Rockwell" w:hAnsi="Calibri Light" w:cs="Arial"/>
          <w:color w:val="4D4D4D" w:themeColor="accent6"/>
          <w:sz w:val="26"/>
          <w:szCs w:val="20"/>
        </w:rPr>
      </w:pPr>
      <w:r>
        <w:rPr>
          <w:noProof/>
        </w:rPr>
        <w:lastRenderedPageBreak/>
        <mc:AlternateContent>
          <mc:Choice Requires="wps">
            <w:drawing>
              <wp:anchor distT="0" distB="0" distL="114300" distR="114300" simplePos="0" relativeHeight="251659274" behindDoc="0" locked="0" layoutInCell="1" allowOverlap="1" wp14:anchorId="2128A66F" wp14:editId="4B4C4F13">
                <wp:simplePos x="0" y="0"/>
                <wp:positionH relativeFrom="column">
                  <wp:posOffset>2475865</wp:posOffset>
                </wp:positionH>
                <wp:positionV relativeFrom="paragraph">
                  <wp:posOffset>8870315</wp:posOffset>
                </wp:positionV>
                <wp:extent cx="450850" cy="311150"/>
                <wp:effectExtent l="0" t="0" r="6350" b="0"/>
                <wp:wrapNone/>
                <wp:docPr id="18" name="Rectangle 18"/>
                <wp:cNvGraphicFramePr/>
                <a:graphic xmlns:a="http://schemas.openxmlformats.org/drawingml/2006/main">
                  <a:graphicData uri="http://schemas.microsoft.com/office/word/2010/wordprocessingShape">
                    <wps:wsp>
                      <wps:cNvSpPr/>
                      <wps:spPr>
                        <a:xfrm>
                          <a:off x="0" y="0"/>
                          <a:ext cx="450850" cy="3111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FA141" id="Rectangle 18" o:spid="_x0000_s1026" style="position:absolute;margin-left:194.95pt;margin-top:698.45pt;width:35.5pt;height:24.5pt;z-index:251659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" fillcolor="white [3212]" stroked="f"/>
            </w:pict>
          </mc:Fallback>
        </mc:AlternateContent>
      </w:r>
      <w:r w:rsidR="00C43870">
        <w:br w:type="page"/>
      </w:r>
    </w:p>
    <w:p w14:paraId="6DFB5891" w14:textId="77777777" w:rsidR="00C43870" w:rsidRPr="000740FC" w:rsidRDefault="00C43870" w:rsidP="00B33183">
      <w:pPr>
        <w:pStyle w:val="Paragraph"/>
        <w:sectPr w:rsidR="00C43870" w:rsidRPr="000740FC" w:rsidSect="0052634F">
          <w:footerReference w:type="default" r:id="rId42"/>
          <w:pgSz w:w="11900" w:h="16840"/>
          <w:pgMar w:top="1701" w:right="1701" w:bottom="1559" w:left="1701" w:header="709" w:footer="709" w:gutter="0"/>
          <w:cols w:space="708"/>
          <w:titlePg/>
          <w:docGrid w:linePitch="299"/>
        </w:sectPr>
      </w:pPr>
    </w:p>
    <w:p w14:paraId="5FCE76CF" w14:textId="4E64D0EE" w:rsidR="00E20300" w:rsidRPr="000740FC" w:rsidRDefault="00987CEF" w:rsidP="008D22A9">
      <w:pPr>
        <w:pStyle w:val="ChapterHeading0"/>
      </w:pPr>
      <w:bookmarkStart w:id="47" w:name="_Toc50990416"/>
      <w:r w:rsidRPr="000740FC">
        <w:lastRenderedPageBreak/>
        <w:t>2</w:t>
      </w:r>
      <w:r w:rsidR="00516F81">
        <w:t xml:space="preserve"> </w:t>
      </w:r>
      <w:r w:rsidR="00E20300" w:rsidRPr="000740FC">
        <w:t>Superannuation for other Australians</w:t>
      </w:r>
      <w:r w:rsidR="00E20300" w:rsidRPr="000740FC">
        <w:br/>
      </w:r>
      <w:r w:rsidR="00AA5BA2" w:rsidRPr="000740FC">
        <w:drawing>
          <wp:inline distT="0" distB="0" distL="0" distR="0" wp14:anchorId="3194B237" wp14:editId="3085AC2B">
            <wp:extent cx="2218055" cy="254635"/>
            <wp:effectExtent l="0" t="0" r="0" b="0"/>
            <wp:docPr id="1269490296" name="Picture 126949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46"/>
      <w:bookmarkEnd w:id="47"/>
    </w:p>
    <w:p w14:paraId="0EB0C270" w14:textId="1A601B29" w:rsidR="00E20300" w:rsidRPr="000740FC" w:rsidRDefault="00E20300" w:rsidP="00B33183">
      <w:pPr>
        <w:pStyle w:val="Paragraph"/>
      </w:pPr>
      <w:r w:rsidRPr="000740FC">
        <w:t xml:space="preserve">In reviewing the superannuation arrangements for </w:t>
      </w:r>
      <w:r w:rsidR="00F51DDF">
        <w:t>Victorian MPs</w:t>
      </w:r>
      <w:r w:rsidRPr="000740FC">
        <w:t xml:space="preserve">, the Tribunal has considered the superannuation provided to other Australians. </w:t>
      </w:r>
    </w:p>
    <w:p w14:paraId="2E1FF0FF" w14:textId="11C6B7BE" w:rsidR="00E20300" w:rsidRPr="000740FC" w:rsidRDefault="00E20300" w:rsidP="00B33183">
      <w:pPr>
        <w:pStyle w:val="Paragraph"/>
      </w:pPr>
      <w:r w:rsidRPr="000740FC">
        <w:t>This information has helped the Tribunal compare the superannuation schemes under Parts 3 and 4 of the PSAS Act with superannuation arrangements provided in the general labour market in Australia</w:t>
      </w:r>
      <w:r w:rsidR="00555AAA">
        <w:t>,</w:t>
      </w:r>
      <w:r w:rsidR="60557E8A">
        <w:t xml:space="preserve"> </w:t>
      </w:r>
      <w:r w:rsidR="60557E8A" w:rsidRPr="003B46C1">
        <w:t>and establish a community standard by which to assess MP superannuation arrangements</w:t>
      </w:r>
      <w:r w:rsidRPr="003B46C1">
        <w:t>.</w:t>
      </w:r>
      <w:r w:rsidRPr="000740FC">
        <w:t xml:space="preserve"> The Tribunal </w:t>
      </w:r>
      <w:r w:rsidR="001A0614">
        <w:t>gave</w:t>
      </w:r>
      <w:r w:rsidRPr="000740FC">
        <w:t xml:space="preserve"> particular consideration to the superannuation arrangements for MPs in other jurisdictions and for other Victorian public sector roles where defined benefit schemes have </w:t>
      </w:r>
      <w:r w:rsidR="56F50310" w:rsidRPr="000740FC">
        <w:t xml:space="preserve">also </w:t>
      </w:r>
      <w:r w:rsidRPr="000740FC">
        <w:t xml:space="preserve">been phased out and replaced by accumulation schemes. </w:t>
      </w:r>
    </w:p>
    <w:p w14:paraId="08FDDAA1" w14:textId="2FB32D31" w:rsidR="00E20300" w:rsidRPr="00845A64" w:rsidRDefault="00E35E14" w:rsidP="00DB774D">
      <w:pPr>
        <w:pStyle w:val="VIRTHeading2"/>
      </w:pPr>
      <w:bookmarkStart w:id="48" w:name="_Toc50990417"/>
      <w:bookmarkStart w:id="49" w:name="_Toc51234126"/>
      <w:r w:rsidRPr="000740FC">
        <w:t>2</w:t>
      </w:r>
      <w:r w:rsidR="00E20300" w:rsidRPr="000740FC">
        <w:t xml:space="preserve">.1 </w:t>
      </w:r>
      <w:r w:rsidR="00516F81">
        <w:t>Context</w:t>
      </w:r>
      <w:bookmarkEnd w:id="48"/>
      <w:bookmarkEnd w:id="49"/>
    </w:p>
    <w:p w14:paraId="68054B64" w14:textId="607CC91C" w:rsidR="00E20300" w:rsidRPr="000740FC" w:rsidRDefault="00E20300" w:rsidP="00B33183">
      <w:pPr>
        <w:pStyle w:val="Paragraph"/>
      </w:pPr>
      <w:r w:rsidRPr="000740FC">
        <w:t>The majority of Australians have some form of superannuation. According to data published by the Australia Bureau of Statistics</w:t>
      </w:r>
      <w:r w:rsidR="00400751">
        <w:t xml:space="preserve"> (ABS)</w:t>
      </w:r>
      <w:r w:rsidRPr="000740FC">
        <w:t xml:space="preserve"> for the 2017-18 financial year, approximately 72 per cent of Australians aged 15 and over have a superannuation account.</w:t>
      </w:r>
      <w:r w:rsidRPr="000740FC">
        <w:rPr>
          <w:rStyle w:val="FootnoteReference"/>
        </w:rPr>
        <w:footnoteReference w:id="6"/>
      </w:r>
      <w:r w:rsidR="009531DD">
        <w:t xml:space="preserve"> </w:t>
      </w:r>
      <w:r w:rsidRPr="000740FC">
        <w:t>As at 30 June 2018, 64 per cent held only one account, while 36 per cent had two accounts or more.</w:t>
      </w:r>
      <w:r w:rsidRPr="000740FC">
        <w:rPr>
          <w:rStyle w:val="FootnoteReference"/>
        </w:rPr>
        <w:footnoteReference w:id="7"/>
      </w:r>
    </w:p>
    <w:p w14:paraId="2E2A3C6E" w14:textId="18A395E8" w:rsidR="00E20300" w:rsidRPr="000740FC" w:rsidRDefault="00A723F7" w:rsidP="00E20300">
      <w:pPr>
        <w:pStyle w:val="VIRTHeading3"/>
        <w:rPr>
          <w:lang w:val="en-AU"/>
        </w:rPr>
      </w:pPr>
      <w:r>
        <w:rPr>
          <w:lang w:val="en-AU"/>
        </w:rPr>
        <w:t>E</w:t>
      </w:r>
      <w:r w:rsidR="00E20300" w:rsidRPr="000740FC">
        <w:rPr>
          <w:lang w:val="en-AU"/>
        </w:rPr>
        <w:t>ntitlement to superannuation</w:t>
      </w:r>
    </w:p>
    <w:p w14:paraId="255D2087" w14:textId="5A0C4E29" w:rsidR="00E20300" w:rsidRPr="000740FC" w:rsidRDefault="00E20300" w:rsidP="00B33183">
      <w:pPr>
        <w:pStyle w:val="Paragraph"/>
      </w:pPr>
      <w:r w:rsidRPr="000740FC">
        <w:t xml:space="preserve">The </w:t>
      </w:r>
      <w:r w:rsidRPr="000740FC">
        <w:rPr>
          <w:i/>
          <w:iCs/>
        </w:rPr>
        <w:t>Superannuation Guarantee (Administration) Act 1992</w:t>
      </w:r>
      <w:r w:rsidRPr="000740FC">
        <w:t xml:space="preserve"> (Cth) introduced compulsory superannuation for many Australians. It provides that employers must contribute a minimum amount (expressed as a percentage of ordinary time earnings) on behalf of each eligible employee.</w:t>
      </w:r>
      <w:r w:rsidRPr="000740FC">
        <w:rPr>
          <w:rStyle w:val="FootnoteReference"/>
        </w:rPr>
        <w:footnoteReference w:id="8"/>
      </w:r>
      <w:r w:rsidRPr="000740FC">
        <w:t xml:space="preserve"> For the 2020-21 financial year, this amount – known as the </w:t>
      </w:r>
      <w:r w:rsidR="49E17F1E" w:rsidRPr="000740FC">
        <w:t>SG</w:t>
      </w:r>
      <w:r w:rsidRPr="000740FC">
        <w:t xml:space="preserve"> percentage – is 9.5 per cent. Employers may be </w:t>
      </w:r>
      <w:r w:rsidRPr="000740FC">
        <w:lastRenderedPageBreak/>
        <w:t>required to contribute a greater amount where this is specified in an enterprise agreement or in legislation (e.g. PSAS Act).</w:t>
      </w:r>
    </w:p>
    <w:p w14:paraId="00B5A959" w14:textId="67F5EA62" w:rsidR="00E20300" w:rsidRPr="000740FC" w:rsidRDefault="00E20300" w:rsidP="00B33183">
      <w:pPr>
        <w:pStyle w:val="Paragraph"/>
      </w:pPr>
      <w:r w:rsidRPr="000740FC">
        <w:t xml:space="preserve">As at 31 March 2019, approximately 90 per cent of </w:t>
      </w:r>
      <w:r w:rsidR="00E717D9" w:rsidRPr="000740FC">
        <w:t>enterprise agreement</w:t>
      </w:r>
      <w:r w:rsidR="00E717D9">
        <w:t>s</w:t>
      </w:r>
      <w:r w:rsidRPr="000740FC">
        <w:t xml:space="preserve"> provided for 9.5 per cent superannuation contributions. Around 7 per cent of </w:t>
      </w:r>
      <w:r w:rsidR="00E717D9" w:rsidRPr="000740FC">
        <w:t>enterprise agreement</w:t>
      </w:r>
      <w:r w:rsidR="00E717D9">
        <w:t>s</w:t>
      </w:r>
      <w:r w:rsidRPr="000740FC">
        <w:t xml:space="preserve"> provided for contributions which exceed 9.5 per cent, while only 0.2 per cent specified a percentage of at least 15.5 per cent (the amount provided to Victorian MPs).</w:t>
      </w:r>
      <w:r w:rsidRPr="000740FC">
        <w:rPr>
          <w:rStyle w:val="FootnoteReference"/>
        </w:rPr>
        <w:footnoteReference w:id="9"/>
      </w:r>
    </w:p>
    <w:p w14:paraId="542E67B0" w14:textId="77777777" w:rsidR="00E20300" w:rsidRPr="000740FC" w:rsidRDefault="00E20300" w:rsidP="00E20300">
      <w:pPr>
        <w:pStyle w:val="VIRTHeading3"/>
        <w:rPr>
          <w:rStyle w:val="FootnoteReference"/>
          <w:lang w:val="en-AU"/>
        </w:rPr>
      </w:pPr>
      <w:r w:rsidRPr="000740FC">
        <w:rPr>
          <w:lang w:val="en-AU"/>
        </w:rPr>
        <w:t>Types of superannuation funds</w:t>
      </w:r>
    </w:p>
    <w:p w14:paraId="134CB929" w14:textId="5C8499FC" w:rsidR="00E20300" w:rsidRPr="000740FC" w:rsidRDefault="00E20300" w:rsidP="00B33183">
      <w:pPr>
        <w:pStyle w:val="Paragraph"/>
      </w:pPr>
      <w:r w:rsidRPr="000740FC">
        <w:t>Most Australians are members of superannuation funds that are regulated by the Australian Prudential Regulation Authority (APRA). Some Australians choose to instead have their superannuation invested through a self-managed superannuation fund (SMSF). As at 30 June 2019, approximately 1.1 million superannuation accounts were held with SMSFs (4 per cent of all accounts).</w:t>
      </w:r>
      <w:r w:rsidRPr="000740FC">
        <w:rPr>
          <w:rStyle w:val="FootnoteReference"/>
        </w:rPr>
        <w:footnoteReference w:id="10"/>
      </w:r>
      <w:r w:rsidRPr="000740FC">
        <w:t xml:space="preserve"> The average balance of accounts held in SMSFs, $628,000, was significantly higher than the average balance in APRA regulated funds, $72,000.</w:t>
      </w:r>
      <w:r w:rsidRPr="000740FC">
        <w:rPr>
          <w:rStyle w:val="FootnoteReference"/>
        </w:rPr>
        <w:footnoteReference w:id="11"/>
      </w:r>
      <w:r w:rsidRPr="000740FC">
        <w:t xml:space="preserve"> In addition, approximately 837,000 superannuation accounts (3 per cent of all accounts) were held with exempt public sector superannuation schemes. These are schemes operated by Commonwealth, </w:t>
      </w:r>
      <w:r w:rsidR="00085C2E">
        <w:t>s</w:t>
      </w:r>
      <w:r w:rsidRPr="000740FC">
        <w:t xml:space="preserve">tate or </w:t>
      </w:r>
      <w:r w:rsidR="00085C2E">
        <w:t>t</w:t>
      </w:r>
      <w:r w:rsidRPr="000740FC">
        <w:t>erritory governments that are not directly regulated by APRA.</w:t>
      </w:r>
      <w:r w:rsidRPr="000740FC">
        <w:rPr>
          <w:rStyle w:val="FootnoteReference"/>
        </w:rPr>
        <w:footnoteReference w:id="12"/>
      </w:r>
      <w:r w:rsidRPr="000740FC">
        <w:t xml:space="preserve"> </w:t>
      </w:r>
    </w:p>
    <w:p w14:paraId="01682042" w14:textId="10257F1C" w:rsidR="00E20300" w:rsidRPr="000740FC" w:rsidRDefault="00E20300" w:rsidP="00B33183">
      <w:pPr>
        <w:pStyle w:val="Paragraph"/>
      </w:pPr>
      <w:r w:rsidRPr="000740FC">
        <w:t>The majority of Australians have an accumulation</w:t>
      </w:r>
      <w:r w:rsidR="003A75DA">
        <w:t>-</w:t>
      </w:r>
      <w:r w:rsidRPr="000740FC">
        <w:t xml:space="preserve">type superannuation account, and defined benefit accounts are becoming increasingly rare. As at 30 June 2019, only </w:t>
      </w:r>
      <w:r w:rsidR="65FD2CF2" w:rsidRPr="000740FC">
        <w:t>around</w:t>
      </w:r>
      <w:r w:rsidRPr="000740FC">
        <w:t xml:space="preserve"> 4 per cent of member accounts (excluding SMSFs) were wholly defined benefit in nature or had a defined benefit component. The average balance of defined benefit accounts, $364,226, was significantly higher than the average balance of accumulation accounts, $63,404.</w:t>
      </w:r>
      <w:r w:rsidRPr="000740FC">
        <w:rPr>
          <w:rStyle w:val="FootnoteReference"/>
        </w:rPr>
        <w:footnoteReference w:id="13"/>
      </w:r>
      <w:r w:rsidRPr="000740FC">
        <w:t xml:space="preserve"> However, this may in part be due to differences in the average age of individuals holding defined benefit and accumulation accounts.</w:t>
      </w:r>
    </w:p>
    <w:p w14:paraId="0B693362" w14:textId="467D7EE5" w:rsidR="000F692C" w:rsidRPr="003B46C1" w:rsidRDefault="000F692C" w:rsidP="00E20300">
      <w:pPr>
        <w:pStyle w:val="VIRTHeading3"/>
      </w:pPr>
      <w:r w:rsidRPr="003B46C1">
        <w:lastRenderedPageBreak/>
        <w:t>Superannuation and gender</w:t>
      </w:r>
    </w:p>
    <w:p w14:paraId="76288399" w14:textId="0800C519" w:rsidR="00846889" w:rsidRPr="003B46C1" w:rsidRDefault="000A4BA2" w:rsidP="00B33183">
      <w:pPr>
        <w:pStyle w:val="Paragraph"/>
      </w:pPr>
      <w:r w:rsidRPr="003B46C1">
        <w:t>One of the submissions received by the Tribunal noted that w</w:t>
      </w:r>
      <w:r w:rsidR="00811A96" w:rsidRPr="003B46C1">
        <w:t xml:space="preserve">omen </w:t>
      </w:r>
      <w:r w:rsidR="5A919A1D" w:rsidRPr="003B46C1">
        <w:t>on average</w:t>
      </w:r>
      <w:r w:rsidR="00811A96" w:rsidRPr="003B46C1">
        <w:t xml:space="preserve"> </w:t>
      </w:r>
      <w:r w:rsidR="00316B63" w:rsidRPr="003B46C1">
        <w:t xml:space="preserve">accrue less superannuation over their lifetimes than men. </w:t>
      </w:r>
      <w:r w:rsidR="000F692C" w:rsidRPr="003B46C1">
        <w:t>In the 2017-18 financial year</w:t>
      </w:r>
      <w:r w:rsidR="00853CDB" w:rsidRPr="003B46C1">
        <w:t xml:space="preserve"> (the most recent year for which </w:t>
      </w:r>
      <w:r w:rsidR="3BA70552" w:rsidRPr="003B46C1">
        <w:t xml:space="preserve">this ABS </w:t>
      </w:r>
      <w:r w:rsidR="00853CDB" w:rsidRPr="003B46C1">
        <w:t>data is available)</w:t>
      </w:r>
      <w:r w:rsidR="000F692C" w:rsidRPr="003B46C1">
        <w:t>, the median superannuation balance for individuals at or approaching their preservation age (55-64 years) was $118,</w:t>
      </w:r>
      <w:r w:rsidR="005D0693" w:rsidRPr="003B46C1">
        <w:t>600</w:t>
      </w:r>
      <w:r w:rsidR="000F692C" w:rsidRPr="003B46C1">
        <w:t xml:space="preserve"> for women and $183,000 for men</w:t>
      </w:r>
      <w:r w:rsidR="0076184E" w:rsidRPr="003B46C1">
        <w:t>,</w:t>
      </w:r>
      <w:r w:rsidR="0023084D" w:rsidRPr="003B46C1">
        <w:rPr>
          <w:rStyle w:val="FootnoteReference"/>
        </w:rPr>
        <w:footnoteReference w:id="14"/>
      </w:r>
      <w:r w:rsidR="000F692C" w:rsidRPr="003B46C1">
        <w:t xml:space="preserve"> a difference of approximately 54 per cent.</w:t>
      </w:r>
      <w:r w:rsidR="0046421A" w:rsidRPr="003B46C1">
        <w:t xml:space="preserve"> </w:t>
      </w:r>
      <w:r w:rsidR="00600CEE" w:rsidRPr="003B46C1">
        <w:t>The difference was less pronounced</w:t>
      </w:r>
      <w:r w:rsidR="00072AC1" w:rsidRPr="003B46C1">
        <w:t xml:space="preserve"> for</w:t>
      </w:r>
      <w:r w:rsidR="22467FF0" w:rsidRPr="003B46C1">
        <w:t xml:space="preserve"> those aged</w:t>
      </w:r>
      <w:r w:rsidR="003C6219" w:rsidRPr="003B46C1">
        <w:t xml:space="preserve"> 65</w:t>
      </w:r>
      <w:r w:rsidR="00DD70E9">
        <w:noBreakHyphen/>
      </w:r>
      <w:r w:rsidR="003C6219" w:rsidRPr="003B46C1">
        <w:t>74</w:t>
      </w:r>
      <w:r w:rsidR="00072AC1" w:rsidRPr="003B46C1">
        <w:t xml:space="preserve"> — the median balance</w:t>
      </w:r>
      <w:r w:rsidR="009D3455" w:rsidRPr="003B46C1">
        <w:t xml:space="preserve"> was</w:t>
      </w:r>
      <w:r w:rsidR="00072AC1" w:rsidRPr="003B46C1">
        <w:t xml:space="preserve"> </w:t>
      </w:r>
      <w:r w:rsidR="008E732C" w:rsidRPr="003B46C1">
        <w:t>$</w:t>
      </w:r>
      <w:r w:rsidR="003C6219" w:rsidRPr="003B46C1">
        <w:t>250,000</w:t>
      </w:r>
      <w:r w:rsidR="005D0693" w:rsidRPr="003B46C1">
        <w:t xml:space="preserve"> for men and $200,000 for women, a </w:t>
      </w:r>
      <w:r w:rsidR="009D3455" w:rsidRPr="003B46C1">
        <w:t xml:space="preserve">difference of 25 per cent. </w:t>
      </w:r>
    </w:p>
    <w:p w14:paraId="042C9DCE" w14:textId="2DACA4BD" w:rsidR="0076184E" w:rsidRPr="003B46C1" w:rsidRDefault="00316B63" w:rsidP="00B33183">
      <w:pPr>
        <w:pStyle w:val="Paragraph"/>
      </w:pPr>
      <w:r w:rsidRPr="003B46C1">
        <w:t xml:space="preserve">Women are also </w:t>
      </w:r>
      <w:r w:rsidR="003B46C1">
        <w:t xml:space="preserve">less </w:t>
      </w:r>
      <w:r w:rsidRPr="003B46C1">
        <w:t xml:space="preserve">likely </w:t>
      </w:r>
      <w:r w:rsidR="003B46C1">
        <w:t xml:space="preserve">than men </w:t>
      </w:r>
      <w:r w:rsidRPr="003B46C1">
        <w:t>to have superannuation. In the 2017-18 financial year, the percentage of individuals aged 15</w:t>
      </w:r>
      <w:r w:rsidR="00CC176A">
        <w:noBreakHyphen/>
      </w:r>
      <w:r w:rsidRPr="00FD40AC">
        <w:t>64 years with no superannuation was 23.5 per cent for women and 20.5 per</w:t>
      </w:r>
      <w:r w:rsidRPr="003B46C1">
        <w:t xml:space="preserve"> cent for men.</w:t>
      </w:r>
      <w:r w:rsidRPr="003B46C1">
        <w:rPr>
          <w:rStyle w:val="FootnoteReference"/>
        </w:rPr>
        <w:footnoteReference w:id="15"/>
      </w:r>
      <w:r w:rsidRPr="003B46C1">
        <w:t xml:space="preserve"> </w:t>
      </w:r>
    </w:p>
    <w:p w14:paraId="4D77877D" w14:textId="55EC0481" w:rsidR="0076184E" w:rsidRPr="003B46C1" w:rsidRDefault="00B143AC" w:rsidP="007F5E6D">
      <w:pPr>
        <w:pStyle w:val="Parabeforeabulletlist"/>
      </w:pPr>
      <w:r w:rsidRPr="003B46C1">
        <w:t>T</w:t>
      </w:r>
      <w:r w:rsidR="007A645D" w:rsidRPr="003B46C1">
        <w:t xml:space="preserve">he gender superannuation gap is </w:t>
      </w:r>
      <w:r w:rsidR="056EA292" w:rsidRPr="003B46C1">
        <w:t xml:space="preserve">primarily </w:t>
      </w:r>
      <w:r w:rsidR="00F7793F" w:rsidRPr="003B46C1">
        <w:t xml:space="preserve">caused by </w:t>
      </w:r>
      <w:r w:rsidR="14AEA262" w:rsidRPr="003B46C1">
        <w:t xml:space="preserve">a range of </w:t>
      </w:r>
      <w:r w:rsidR="009813EE">
        <w:t>factors</w:t>
      </w:r>
      <w:r w:rsidR="1F2BA589" w:rsidRPr="003B46C1">
        <w:t xml:space="preserve"> related to differences in workforce participation</w:t>
      </w:r>
      <w:r w:rsidR="00374FEA" w:rsidRPr="003B46C1">
        <w:t>,</w:t>
      </w:r>
      <w:r w:rsidR="009C4AC8" w:rsidRPr="003B46C1">
        <w:t xml:space="preserve"> </w:t>
      </w:r>
      <w:r w:rsidR="2DD9FEDE" w:rsidRPr="003B46C1">
        <w:t>as opposed to</w:t>
      </w:r>
      <w:r w:rsidR="55C93E97" w:rsidRPr="003B46C1">
        <w:t xml:space="preserve"> superannuation scheme rules</w:t>
      </w:r>
      <w:r w:rsidR="007B3BDD" w:rsidRPr="003B46C1">
        <w:t>.</w:t>
      </w:r>
      <w:r w:rsidR="5E99E583" w:rsidRPr="003B46C1">
        <w:t xml:space="preserve"> </w:t>
      </w:r>
      <w:r w:rsidR="007B3BDD" w:rsidRPr="003B46C1">
        <w:t>T</w:t>
      </w:r>
      <w:r w:rsidR="5E99E583" w:rsidRPr="003B46C1">
        <w:t>hese</w:t>
      </w:r>
      <w:r w:rsidR="0076184E" w:rsidRPr="003B46C1">
        <w:t xml:space="preserve"> include that women:</w:t>
      </w:r>
      <w:r w:rsidR="000A2A5D" w:rsidRPr="003B46C1">
        <w:rPr>
          <w:rStyle w:val="FootnoteReference"/>
        </w:rPr>
        <w:footnoteReference w:id="16"/>
      </w:r>
    </w:p>
    <w:p w14:paraId="6064F17E" w14:textId="2079D9F8" w:rsidR="0076184E" w:rsidRPr="003B46C1" w:rsidRDefault="0076184E" w:rsidP="00846889">
      <w:pPr>
        <w:pStyle w:val="VIRTBulletpoints"/>
      </w:pPr>
      <w:r w:rsidRPr="003B46C1">
        <w:t>typically spend more hours undertaking caring responsibilities and participating in unpaid work than men</w:t>
      </w:r>
      <w:r w:rsidRPr="003B46C1">
        <w:rPr>
          <w:rStyle w:val="FootnoteReference"/>
        </w:rPr>
        <w:footnoteReference w:id="17"/>
      </w:r>
    </w:p>
    <w:p w14:paraId="2DBD473C" w14:textId="15F8BE19" w:rsidR="0076184E" w:rsidRPr="003B46C1" w:rsidRDefault="0076184E" w:rsidP="00846889">
      <w:pPr>
        <w:pStyle w:val="VIRTBulletpoints"/>
      </w:pPr>
      <w:r w:rsidRPr="003B46C1">
        <w:t xml:space="preserve">are more likely to be employed </w:t>
      </w:r>
      <w:r w:rsidR="12F1A093" w:rsidRPr="003B46C1">
        <w:t xml:space="preserve">on a </w:t>
      </w:r>
      <w:r w:rsidRPr="003B46C1">
        <w:t>part-time</w:t>
      </w:r>
      <w:r w:rsidR="224D41BB" w:rsidRPr="003B46C1">
        <w:t xml:space="preserve"> basis</w:t>
      </w:r>
      <w:r w:rsidRPr="003B46C1">
        <w:rPr>
          <w:rStyle w:val="FootnoteReference"/>
        </w:rPr>
        <w:footnoteReference w:id="18"/>
      </w:r>
    </w:p>
    <w:p w14:paraId="483546A2" w14:textId="70D1F23D" w:rsidR="0076184E" w:rsidRPr="003B46C1" w:rsidRDefault="0076184E" w:rsidP="00846889">
      <w:pPr>
        <w:pStyle w:val="VIRTBulletpoints"/>
      </w:pPr>
      <w:r w:rsidRPr="003B46C1">
        <w:t>are more likely to work in industries</w:t>
      </w:r>
      <w:r w:rsidR="00846889" w:rsidRPr="003B46C1">
        <w:t xml:space="preserve"> that</w:t>
      </w:r>
      <w:r w:rsidR="006A3FC3" w:rsidRPr="003B46C1">
        <w:t xml:space="preserve"> provide</w:t>
      </w:r>
      <w:r w:rsidR="00846889" w:rsidRPr="003B46C1">
        <w:t xml:space="preserve"> lower </w:t>
      </w:r>
      <w:r w:rsidR="66AD3C72" w:rsidRPr="003B46C1">
        <w:t xml:space="preserve">average </w:t>
      </w:r>
      <w:r w:rsidR="00846889" w:rsidRPr="003B46C1">
        <w:t>remuneration</w:t>
      </w:r>
      <w:r w:rsidR="00790149" w:rsidRPr="003B46C1">
        <w:t xml:space="preserve"> </w:t>
      </w:r>
    </w:p>
    <w:p w14:paraId="62A0358C" w14:textId="162307AB" w:rsidR="0076184E" w:rsidRPr="003B46C1" w:rsidRDefault="3C3844CE" w:rsidP="00846889">
      <w:pPr>
        <w:pStyle w:val="VIRTBulletpoints"/>
        <w:rPr>
          <w:rFonts w:asciiTheme="minorHAnsi" w:eastAsiaTheme="minorEastAsia" w:hAnsiTheme="minorHAnsi" w:cstheme="minorBidi"/>
        </w:rPr>
      </w:pPr>
      <w:r w:rsidRPr="003B46C1">
        <w:t xml:space="preserve">are </w:t>
      </w:r>
      <w:r w:rsidR="0D1342EE" w:rsidRPr="003B46C1">
        <w:t>less</w:t>
      </w:r>
      <w:r w:rsidRPr="003B46C1">
        <w:t xml:space="preserve"> likely to work in roles that </w:t>
      </w:r>
      <w:r w:rsidR="3C3C7581" w:rsidRPr="003B46C1">
        <w:t>attract higher</w:t>
      </w:r>
      <w:r w:rsidRPr="003B46C1">
        <w:t xml:space="preserve"> remuneration</w:t>
      </w:r>
      <w:r w:rsidR="00AF5AF5" w:rsidRPr="003B46C1">
        <w:t xml:space="preserve"> —</w:t>
      </w:r>
      <w:r w:rsidRPr="003B46C1">
        <w:t xml:space="preserve"> </w:t>
      </w:r>
      <w:r w:rsidR="00AF5AF5" w:rsidRPr="003B46C1">
        <w:t>f</w:t>
      </w:r>
      <w:r w:rsidR="00790149" w:rsidRPr="003B46C1">
        <w:t xml:space="preserve">or example, </w:t>
      </w:r>
      <w:r w:rsidR="36F0F5BE" w:rsidRPr="003B46C1">
        <w:t>in</w:t>
      </w:r>
      <w:r w:rsidR="00AF5AF5" w:rsidRPr="003B46C1">
        <w:t xml:space="preserve"> 2019, women accounted for around 17 per cent of CEOs and 37 per cent of managers.</w:t>
      </w:r>
      <w:r w:rsidR="0076184E" w:rsidRPr="003B46C1">
        <w:rPr>
          <w:rStyle w:val="FootnoteReference"/>
        </w:rPr>
        <w:footnoteReference w:id="19"/>
      </w:r>
    </w:p>
    <w:p w14:paraId="26D4CC23" w14:textId="633A3AA8" w:rsidR="00992947" w:rsidRPr="003B46C1" w:rsidRDefault="00846889" w:rsidP="00B33183">
      <w:pPr>
        <w:pStyle w:val="Paragraph"/>
      </w:pPr>
      <w:r w:rsidRPr="003B46C1">
        <w:t>These factors all influence the amount of superannuation that an individual will accumulate over their lifetime.</w:t>
      </w:r>
    </w:p>
    <w:p w14:paraId="24007513" w14:textId="6BF4BBC8" w:rsidR="006333D7" w:rsidRDefault="006333D7" w:rsidP="00B33183">
      <w:pPr>
        <w:pStyle w:val="Paragraph"/>
      </w:pPr>
      <w:r w:rsidRPr="00CB0339">
        <w:t>The Tribunal notes that the Victorian Government’s submission to the Australian Government’s review of retirement income contained several recommendations for addressing the gender superannuation gap.</w:t>
      </w:r>
      <w:r w:rsidRPr="00CB0339">
        <w:rPr>
          <w:rStyle w:val="FootnoteReference"/>
        </w:rPr>
        <w:footnoteReference w:id="20"/>
      </w:r>
    </w:p>
    <w:p w14:paraId="12AA2699" w14:textId="77777777" w:rsidR="00E20300" w:rsidRPr="000740FC" w:rsidRDefault="00E20300" w:rsidP="00E20300">
      <w:pPr>
        <w:pStyle w:val="VIRTHeading3"/>
        <w:rPr>
          <w:lang w:val="en-AU"/>
        </w:rPr>
      </w:pPr>
      <w:r w:rsidRPr="000740FC">
        <w:rPr>
          <w:lang w:val="en-AU"/>
        </w:rPr>
        <w:lastRenderedPageBreak/>
        <w:t>Superannuation and retirement</w:t>
      </w:r>
    </w:p>
    <w:p w14:paraId="24976BEA" w14:textId="75EE299E" w:rsidR="00E20300" w:rsidRPr="000740FC" w:rsidRDefault="00E20300" w:rsidP="00B33183">
      <w:pPr>
        <w:pStyle w:val="Paragraph"/>
      </w:pPr>
      <w:r w:rsidRPr="000740FC">
        <w:t xml:space="preserve">More Australians are working later into life and delaying their retirement. The participation rate (percentage of people in employment or looking for employment) for Australians aged 65 years and over was 13.7 per cent in January 2020. Two decades earlier, this rate was less than half: </w:t>
      </w:r>
      <w:r w:rsidRPr="000740FC">
        <w:rPr>
          <w:rFonts w:eastAsia="Calibri Light" w:cs="Calibri Light"/>
        </w:rPr>
        <w:t>5.7 per cent</w:t>
      </w:r>
      <w:r w:rsidRPr="000740FC">
        <w:t xml:space="preserve"> in January 2000. </w:t>
      </w:r>
      <w:r w:rsidR="00683ED4">
        <w:t xml:space="preserve"> </w:t>
      </w:r>
    </w:p>
    <w:p w14:paraId="6013B50D" w14:textId="2C2F64AE" w:rsidR="00E20300" w:rsidRPr="000740FC" w:rsidRDefault="00E20300" w:rsidP="00B33183">
      <w:pPr>
        <w:pStyle w:val="Paragraph"/>
      </w:pPr>
      <w:r w:rsidRPr="000740FC">
        <w:t xml:space="preserve">Most Australians do not have enough superannuation to rely </w:t>
      </w:r>
      <w:r w:rsidR="00E551B7">
        <w:t xml:space="preserve">solely </w:t>
      </w:r>
      <w:r w:rsidRPr="000740FC">
        <w:t xml:space="preserve">on those funds in retirement, and the main source of income of retirees is the </w:t>
      </w:r>
      <w:r w:rsidR="00A72AD9">
        <w:t>A</w:t>
      </w:r>
      <w:r w:rsidRPr="000740FC">
        <w:t xml:space="preserve">ge </w:t>
      </w:r>
      <w:r w:rsidR="00A72AD9">
        <w:t>P</w:t>
      </w:r>
      <w:r w:rsidRPr="000740FC">
        <w:t>ension.</w:t>
      </w:r>
      <w:r w:rsidRPr="000740FC">
        <w:rPr>
          <w:rStyle w:val="FootnoteReference"/>
        </w:rPr>
        <w:footnoteReference w:id="21"/>
      </w:r>
      <w:r w:rsidRPr="000740FC">
        <w:t xml:space="preserve"> The Association of Superannuation Funds of Australia in 2018 estimated — based on the assumption that retirees also receive a part </w:t>
      </w:r>
      <w:r w:rsidR="5ED4D38F" w:rsidRPr="000740FC">
        <w:t>A</w:t>
      </w:r>
      <w:r w:rsidRPr="000740FC">
        <w:t xml:space="preserve">ge </w:t>
      </w:r>
      <w:r w:rsidR="4C4D5F98" w:rsidRPr="000740FC">
        <w:t>P</w:t>
      </w:r>
      <w:r w:rsidRPr="000740FC">
        <w:t>ension — that a single person would require $545,000 in savings at retirement to have a comfortable lifestyle, while a couple would require $640,000.</w:t>
      </w:r>
      <w:r w:rsidRPr="000740FC">
        <w:rPr>
          <w:rStyle w:val="FootnoteReference"/>
        </w:rPr>
        <w:footnoteReference w:id="22"/>
      </w:r>
      <w:r w:rsidRPr="000740FC">
        <w:t xml:space="preserve"> In contrast,</w:t>
      </w:r>
      <w:r w:rsidR="00857BFA">
        <w:t xml:space="preserve"> </w:t>
      </w:r>
      <w:r w:rsidR="00857BFA" w:rsidRPr="00CB0339">
        <w:t>according to the latest available ABS data,</w:t>
      </w:r>
      <w:r w:rsidR="00857BFA">
        <w:t xml:space="preserve"> </w:t>
      </w:r>
      <w:r w:rsidRPr="000740FC">
        <w:t xml:space="preserve">the median superannuation account balance of Australians aged 65-74 </w:t>
      </w:r>
      <w:r w:rsidRPr="000740FC" w:rsidDel="008F05BF">
        <w:t>i</w:t>
      </w:r>
      <w:r w:rsidRPr="000740FC" w:rsidDel="008F05BF">
        <w:rPr>
          <w:rFonts w:eastAsia="Calibri Light" w:cs="Calibri Light"/>
        </w:rPr>
        <w:t>n 2017-18</w:t>
      </w:r>
      <w:r w:rsidRPr="000740FC" w:rsidDel="008F05BF">
        <w:t xml:space="preserve"> </w:t>
      </w:r>
      <w:r w:rsidRPr="000740FC">
        <w:t>was $225,700.</w:t>
      </w:r>
      <w:r w:rsidRPr="000740FC">
        <w:rPr>
          <w:rStyle w:val="FootnoteReference"/>
        </w:rPr>
        <w:footnoteReference w:id="23"/>
      </w:r>
    </w:p>
    <w:p w14:paraId="6F15AF64" w14:textId="40C60B23" w:rsidR="00E20300" w:rsidRPr="000740FC" w:rsidRDefault="00E35E14" w:rsidP="00DB774D">
      <w:pPr>
        <w:pStyle w:val="VIRTHeading2"/>
      </w:pPr>
      <w:bookmarkStart w:id="50" w:name="_Toc50990418"/>
      <w:bookmarkStart w:id="51" w:name="_Toc51234127"/>
      <w:r w:rsidRPr="000740FC">
        <w:t>2</w:t>
      </w:r>
      <w:r w:rsidR="00E20300" w:rsidRPr="000740FC">
        <w:t>.2 Superannuation arrangements for other Australian MPs</w:t>
      </w:r>
      <w:bookmarkEnd w:id="50"/>
      <w:bookmarkEnd w:id="51"/>
    </w:p>
    <w:p w14:paraId="2DF674A2" w14:textId="78FDB7E4" w:rsidR="00E20300" w:rsidRPr="000740FC" w:rsidRDefault="00E20300" w:rsidP="00B33183">
      <w:pPr>
        <w:pStyle w:val="Parabeforeabulletlist"/>
      </w:pPr>
      <w:r w:rsidRPr="000740FC">
        <w:t>All Australian jurisdictions, including the Commonwealth, provide superannuation</w:t>
      </w:r>
      <w:r w:rsidR="001830E9">
        <w:t xml:space="preserve"> </w:t>
      </w:r>
      <w:r w:rsidRPr="000740FC">
        <w:t>for their MPs. While the specifics of the arrangements vary, the Tribunal notes the following similarities:</w:t>
      </w:r>
    </w:p>
    <w:p w14:paraId="62E53481" w14:textId="77777777" w:rsidR="00E20300" w:rsidRPr="000740FC" w:rsidRDefault="00E20300" w:rsidP="003D5E1B">
      <w:pPr>
        <w:pStyle w:val="VIRTBulletpoints"/>
      </w:pPr>
      <w:r w:rsidRPr="000740FC">
        <w:t>MPs elected prior to a particular date (typically in the early-to-mid 2000s) are members of a defined benefit scheme, and may be eligible for a pension upon leaving the Parliament</w:t>
      </w:r>
    </w:p>
    <w:p w14:paraId="0E1C27E9" w14:textId="77777777" w:rsidR="00E20300" w:rsidRPr="000740FC" w:rsidRDefault="00E20300" w:rsidP="003D5E1B">
      <w:pPr>
        <w:pStyle w:val="VIRTBulletpoints"/>
      </w:pPr>
      <w:r w:rsidRPr="000740FC">
        <w:t>all new MPs automatically join an accumulation scheme</w:t>
      </w:r>
    </w:p>
    <w:p w14:paraId="6933D076" w14:textId="77777777" w:rsidR="00E20300" w:rsidRPr="000740FC" w:rsidRDefault="00E20300" w:rsidP="003D5E1B">
      <w:pPr>
        <w:pStyle w:val="VIRTBulletpoints"/>
      </w:pPr>
      <w:r w:rsidRPr="000740FC">
        <w:t xml:space="preserve">most jurisdictions provide MPs in the accumulation scheme with contributions greater than the minimum amount required under the </w:t>
      </w:r>
      <w:r w:rsidRPr="000740FC">
        <w:rPr>
          <w:i/>
          <w:iCs/>
        </w:rPr>
        <w:t>Superannuation Guarantee (Administration) Act 1992</w:t>
      </w:r>
      <w:r w:rsidRPr="000740FC">
        <w:t xml:space="preserve"> (Cth).</w:t>
      </w:r>
    </w:p>
    <w:p w14:paraId="2EEE9D50" w14:textId="77777777" w:rsidR="0076507C" w:rsidRDefault="0076507C" w:rsidP="00E20300">
      <w:pPr>
        <w:pStyle w:val="VIRTHeading3"/>
        <w:keepNext/>
        <w:spacing w:before="240"/>
        <w:outlineLvl w:val="2"/>
        <w:rPr>
          <w:rFonts w:ascii="Rockwell" w:hAnsi="Rockwell"/>
          <w:noProof w:val="0"/>
          <w:spacing w:val="-6"/>
          <w:lang w:val="en-AU"/>
        </w:rPr>
      </w:pPr>
      <w:r>
        <w:rPr>
          <w:rFonts w:ascii="Rockwell" w:hAnsi="Rockwell"/>
          <w:noProof w:val="0"/>
          <w:spacing w:val="-6"/>
          <w:lang w:val="en-AU"/>
        </w:rPr>
        <w:br w:type="page"/>
      </w:r>
    </w:p>
    <w:p w14:paraId="03D12F43" w14:textId="7B380396" w:rsidR="00E20300" w:rsidRPr="000740FC" w:rsidRDefault="00E20300" w:rsidP="00E20300">
      <w:pPr>
        <w:pStyle w:val="VIRTHeading3"/>
        <w:keepNext/>
        <w:spacing w:before="240"/>
        <w:outlineLvl w:val="2"/>
        <w:rPr>
          <w:rFonts w:ascii="Rockwell" w:hAnsi="Rockwell"/>
          <w:noProof w:val="0"/>
          <w:spacing w:val="-6"/>
          <w:lang w:val="en-AU"/>
        </w:rPr>
      </w:pPr>
      <w:r w:rsidRPr="000740FC">
        <w:rPr>
          <w:rFonts w:ascii="Rockwell" w:hAnsi="Rockwell"/>
          <w:noProof w:val="0"/>
          <w:spacing w:val="-6"/>
          <w:lang w:val="en-AU"/>
        </w:rPr>
        <w:lastRenderedPageBreak/>
        <w:t>Defined benefit schemes</w:t>
      </w:r>
    </w:p>
    <w:p w14:paraId="0B0EE281" w14:textId="4CBF850A" w:rsidR="00E20300" w:rsidRPr="000740FC" w:rsidRDefault="00E20300" w:rsidP="00B33183">
      <w:pPr>
        <w:pStyle w:val="Paragraph"/>
        <w:rPr>
          <w:highlight w:val="green"/>
        </w:rPr>
      </w:pPr>
      <w:r w:rsidRPr="000740FC">
        <w:t xml:space="preserve">Like Victoria, all other states and territories previously provided defined benefit schemes for their MPs, which have since been closed to new entrants. </w:t>
      </w:r>
      <w:r w:rsidR="59A77D63" w:rsidRPr="6A869400">
        <w:rPr>
          <w:rFonts w:ascii="Segoe UI" w:eastAsia="Segoe UI" w:hAnsi="Segoe UI" w:cs="Segoe UI"/>
          <w:color w:val="333333"/>
          <w:sz w:val="18"/>
          <w:szCs w:val="18"/>
        </w:rPr>
        <w:t xml:space="preserve"> </w:t>
      </w:r>
    </w:p>
    <w:p w14:paraId="55141513" w14:textId="77777777" w:rsidR="00E20300" w:rsidRPr="000740FC" w:rsidRDefault="00E20300" w:rsidP="00B33183">
      <w:pPr>
        <w:pStyle w:val="Paragraph"/>
      </w:pPr>
      <w:r w:rsidRPr="000740FC">
        <w:t>Victoria’s New Benefits Scheme was modelled on the Commonwealth’s Parliamentary Contributory Superannuation Scheme. Both schemes were closed to new entrants in 2004.</w:t>
      </w:r>
    </w:p>
    <w:p w14:paraId="7E796C2A" w14:textId="5F16321F" w:rsidR="00E20300" w:rsidRPr="000740FC" w:rsidRDefault="00E20300" w:rsidP="00B33183">
      <w:pPr>
        <w:pStyle w:val="Paragraph"/>
      </w:pPr>
      <w:r w:rsidRPr="000740FC">
        <w:t xml:space="preserve">The superannuation entitlements of former </w:t>
      </w:r>
      <w:r w:rsidR="2BC63E47" w:rsidRPr="000740FC">
        <w:t>federal</w:t>
      </w:r>
      <w:r w:rsidRPr="000740FC">
        <w:t xml:space="preserve"> MPs in the Parliamentary Contributory Superannuation Scheme are based on a portion of MP base salary, </w:t>
      </w:r>
      <w:r w:rsidR="00C97469">
        <w:t xml:space="preserve">which is </w:t>
      </w:r>
      <w:r w:rsidRPr="000740FC">
        <w:t>set by the Commonwealth Remuneration Tribunal.</w:t>
      </w:r>
      <w:r w:rsidRPr="000740FC">
        <w:rPr>
          <w:rStyle w:val="FootnoteReference"/>
        </w:rPr>
        <w:footnoteReference w:id="24"/>
      </w:r>
      <w:r w:rsidRPr="000740FC">
        <w:t xml:space="preserve"> These arrangements operate in a similar fashion to those now in place for existing and former Victorian MPs in the defined benefit schemes, following the introduction of the </w:t>
      </w:r>
      <w:r w:rsidR="007E5C76">
        <w:t>BSP</w:t>
      </w:r>
      <w:r w:rsidRPr="000740FC">
        <w:t xml:space="preserve"> in 2019. However, the Commonwealth Remuneration Tribunal is responsible for adjusting the portion of MP base salary that applies for the purposes of the Parliamentary Contributory Superannuation Scheme. In contrast, the </w:t>
      </w:r>
      <w:r w:rsidR="009813EE">
        <w:t xml:space="preserve">Victorian </w:t>
      </w:r>
      <w:r w:rsidRPr="000740FC">
        <w:t xml:space="preserve">Tribunal was </w:t>
      </w:r>
      <w:r w:rsidR="00EB4ED8">
        <w:t xml:space="preserve">only </w:t>
      </w:r>
      <w:r w:rsidRPr="000740FC">
        <w:t xml:space="preserve">able to set the initial value of the </w:t>
      </w:r>
      <w:r w:rsidR="00195E27">
        <w:t>BSP</w:t>
      </w:r>
      <w:r w:rsidR="00BA3671">
        <w:t>.</w:t>
      </w:r>
      <w:r w:rsidR="00A06A62">
        <w:t xml:space="preserve"> In the future, the value of the </w:t>
      </w:r>
      <w:r w:rsidR="00195E27">
        <w:t>BSP</w:t>
      </w:r>
      <w:r w:rsidR="00A06A62">
        <w:t xml:space="preserve"> will be determined by the application of</w:t>
      </w:r>
      <w:r w:rsidRPr="000740FC">
        <w:t xml:space="preserve"> a fixed indexation provision under the PSAS Act.</w:t>
      </w:r>
    </w:p>
    <w:p w14:paraId="1337878A" w14:textId="77777777" w:rsidR="00E20300" w:rsidRPr="000740FC" w:rsidRDefault="00E20300" w:rsidP="00E20300">
      <w:pPr>
        <w:pStyle w:val="VIRTHeading3"/>
        <w:keepNext/>
        <w:spacing w:before="240"/>
        <w:outlineLvl w:val="2"/>
        <w:rPr>
          <w:rFonts w:ascii="Rockwell" w:hAnsi="Rockwell"/>
          <w:noProof w:val="0"/>
          <w:spacing w:val="-6"/>
          <w:lang w:val="en-AU"/>
        </w:rPr>
      </w:pPr>
      <w:r w:rsidRPr="000740FC">
        <w:rPr>
          <w:rFonts w:ascii="Rockwell" w:hAnsi="Rockwell"/>
          <w:noProof w:val="0"/>
          <w:spacing w:val="-6"/>
          <w:lang w:val="en-AU"/>
        </w:rPr>
        <w:t>Accumulation schemes</w:t>
      </w:r>
    </w:p>
    <w:p w14:paraId="54576B69" w14:textId="77777777" w:rsidR="00E20300" w:rsidRPr="000740FC" w:rsidRDefault="00E20300" w:rsidP="00B33183">
      <w:pPr>
        <w:pStyle w:val="Paragraph"/>
      </w:pPr>
      <w:r w:rsidRPr="000740FC">
        <w:t xml:space="preserve">Accumulation schemes currently operate in the Commonwealth and in every Australian state and territory. They are mandatory for all new MPs. </w:t>
      </w:r>
    </w:p>
    <w:p w14:paraId="38C0706A" w14:textId="37E25E59" w:rsidR="00E20300" w:rsidRPr="000740FC" w:rsidRDefault="00E20300" w:rsidP="00B33183">
      <w:pPr>
        <w:pStyle w:val="Paragraph"/>
      </w:pPr>
      <w:r w:rsidRPr="000740FC">
        <w:t xml:space="preserve">Of all Australian jurisdictions, Victoria’s accumulation scheme provides MPs with the highest contribution in percentage terms (currently 15.5 per cent of salary). </w:t>
      </w:r>
      <w:r w:rsidR="004D70E1">
        <w:t>As a result of the way in which</w:t>
      </w:r>
      <w:r w:rsidRPr="000740FC">
        <w:t xml:space="preserve"> contributions for Victorian MPs are structured (</w:t>
      </w:r>
      <w:r>
        <w:t>S</w:t>
      </w:r>
      <w:r w:rsidR="583806DD">
        <w:t>G</w:t>
      </w:r>
      <w:r w:rsidRPr="000740FC">
        <w:t xml:space="preserve"> percentage plus 6 per cent), the rate of contribution will increase in line with increases to the </w:t>
      </w:r>
      <w:r w:rsidR="2784ADB2">
        <w:t>SG</w:t>
      </w:r>
      <w:r w:rsidRPr="000740FC">
        <w:t xml:space="preserve"> percentage. </w:t>
      </w:r>
    </w:p>
    <w:p w14:paraId="49A5611B" w14:textId="00948665" w:rsidR="00E20300" w:rsidRPr="000740FC" w:rsidRDefault="00E20300" w:rsidP="00B33183">
      <w:pPr>
        <w:pStyle w:val="Paragraph"/>
      </w:pPr>
      <w:r w:rsidRPr="000740FC">
        <w:t xml:space="preserve">Leaving aside contributions based on additional salary, Victorian MPs </w:t>
      </w:r>
      <w:r w:rsidR="5A586E29" w:rsidRPr="000740FC">
        <w:t xml:space="preserve">in the accumulation scheme </w:t>
      </w:r>
      <w:r w:rsidRPr="000740FC">
        <w:t xml:space="preserve">also currently receive the </w:t>
      </w:r>
      <w:r w:rsidR="00202913" w:rsidRPr="000740FC">
        <w:t xml:space="preserve">third </w:t>
      </w:r>
      <w:r w:rsidRPr="000740FC">
        <w:t>highest contributions of any state or territory in dollar terms ($28,274 p.a. before-tax),</w:t>
      </w:r>
      <w:r w:rsidRPr="000740FC">
        <w:rPr>
          <w:rStyle w:val="FootnoteReference"/>
        </w:rPr>
        <w:footnoteReference w:id="25"/>
      </w:r>
      <w:r w:rsidRPr="000740FC">
        <w:t xml:space="preserve"> behind the Commonwealth ($32,533 p.a. before-tax)</w:t>
      </w:r>
      <w:r w:rsidR="00F14F0A">
        <w:t xml:space="preserve"> and South Australia ($30,896 before</w:t>
      </w:r>
      <w:r w:rsidR="00B915E3">
        <w:noBreakHyphen/>
      </w:r>
      <w:r w:rsidR="00F14F0A">
        <w:t>tax)</w:t>
      </w:r>
      <w:r w:rsidRPr="000740FC">
        <w:t>.</w:t>
      </w:r>
    </w:p>
    <w:p w14:paraId="688B3767" w14:textId="43EA11A1" w:rsidR="00E20300" w:rsidRPr="000740FC" w:rsidRDefault="00E20300" w:rsidP="00B33183">
      <w:pPr>
        <w:pStyle w:val="Paragraph"/>
      </w:pPr>
      <w:r w:rsidRPr="000740FC">
        <w:lastRenderedPageBreak/>
        <w:t xml:space="preserve">The superannuation arrangements for new MPs in all Australian jurisdictions are summarised in table </w:t>
      </w:r>
      <w:r w:rsidR="007F5E6D">
        <w:t>2.1</w:t>
      </w:r>
      <w:r w:rsidRPr="000740FC">
        <w:t>.</w:t>
      </w:r>
    </w:p>
    <w:p w14:paraId="3FD94827" w14:textId="05031F54" w:rsidR="00E20300" w:rsidRPr="000740FC" w:rsidRDefault="00E20300" w:rsidP="00E20300">
      <w:pPr>
        <w:pStyle w:val="Tableheading"/>
      </w:pPr>
      <w:r w:rsidRPr="000740FC">
        <w:t xml:space="preserve">Table </w:t>
      </w:r>
      <w:r w:rsidR="007F5E6D">
        <w:t>2.1</w:t>
      </w:r>
      <w:r w:rsidRPr="000740FC">
        <w:t>: summary of accumulation fund superannuation arrangements for MPs in Australian jurisdictions</w:t>
      </w:r>
    </w:p>
    <w:tbl>
      <w:tblPr>
        <w:tblpPr w:leftFromText="180" w:rightFromText="180" w:vertAnchor="text" w:tblpY="1"/>
        <w:tblOverlap w:val="never"/>
        <w:tblW w:w="5139" w:type="pct"/>
        <w:tblLook w:val="04A0" w:firstRow="1" w:lastRow="0" w:firstColumn="1" w:lastColumn="0" w:noHBand="0" w:noVBand="1"/>
      </w:tblPr>
      <w:tblGrid>
        <w:gridCol w:w="2673"/>
        <w:gridCol w:w="3280"/>
        <w:gridCol w:w="2781"/>
      </w:tblGrid>
      <w:tr w:rsidR="00B460A3" w:rsidRPr="000740FC" w14:paraId="6342353D" w14:textId="11BCC844" w:rsidTr="0077203F">
        <w:trPr>
          <w:trHeight w:val="408"/>
        </w:trPr>
        <w:tc>
          <w:tcPr>
            <w:tcW w:w="1530" w:type="pct"/>
            <w:shd w:val="clear" w:color="auto" w:fill="148A5D"/>
          </w:tcPr>
          <w:p w14:paraId="0DB1E2ED" w14:textId="77777777" w:rsidR="00B460A3" w:rsidRPr="0077203F" w:rsidRDefault="00B460A3" w:rsidP="0077203F">
            <w:pPr>
              <w:pStyle w:val="Textinthetable"/>
              <w:rPr>
                <w:b/>
                <w:bCs/>
                <w:color w:val="FFFFFF" w:themeColor="background1"/>
              </w:rPr>
            </w:pPr>
            <w:r w:rsidRPr="0077203F">
              <w:rPr>
                <w:b/>
                <w:bCs/>
                <w:color w:val="FFFFFF" w:themeColor="background1"/>
              </w:rPr>
              <w:t>Jurisdiction</w:t>
            </w:r>
          </w:p>
        </w:tc>
        <w:tc>
          <w:tcPr>
            <w:tcW w:w="3470" w:type="pct"/>
            <w:gridSpan w:val="2"/>
            <w:shd w:val="clear" w:color="auto" w:fill="148A5D"/>
          </w:tcPr>
          <w:p w14:paraId="666607F5" w14:textId="6FF759E7" w:rsidR="00B460A3" w:rsidRPr="0077203F" w:rsidRDefault="00ED24A9" w:rsidP="0077203F">
            <w:pPr>
              <w:pStyle w:val="Textinthetable"/>
              <w:jc w:val="center"/>
              <w:rPr>
                <w:b/>
                <w:bCs/>
                <w:color w:val="FFFFFF" w:themeColor="background1"/>
              </w:rPr>
            </w:pPr>
            <w:r>
              <w:rPr>
                <w:b/>
                <w:bCs/>
                <w:color w:val="FFFFFF" w:themeColor="background1"/>
              </w:rPr>
              <w:t>C</w:t>
            </w:r>
            <w:r w:rsidR="00B460A3" w:rsidRPr="0077203F">
              <w:rPr>
                <w:b/>
                <w:bCs/>
                <w:color w:val="FFFFFF" w:themeColor="background1"/>
              </w:rPr>
              <w:t>ontributions</w:t>
            </w:r>
          </w:p>
        </w:tc>
      </w:tr>
      <w:tr w:rsidR="00B460A3" w:rsidRPr="000740FC" w14:paraId="44BCC739" w14:textId="63888AF5" w:rsidTr="0077203F">
        <w:trPr>
          <w:trHeight w:val="408"/>
        </w:trPr>
        <w:tc>
          <w:tcPr>
            <w:tcW w:w="1530" w:type="pct"/>
            <w:shd w:val="clear" w:color="auto" w:fill="148A5D"/>
          </w:tcPr>
          <w:p w14:paraId="74290439" w14:textId="77777777" w:rsidR="00B460A3" w:rsidRPr="0077203F" w:rsidRDefault="00B460A3" w:rsidP="0077203F">
            <w:pPr>
              <w:pStyle w:val="Textinthetable"/>
              <w:rPr>
                <w:b/>
                <w:bCs/>
                <w:color w:val="FFFFFF" w:themeColor="background1"/>
              </w:rPr>
            </w:pPr>
          </w:p>
        </w:tc>
        <w:tc>
          <w:tcPr>
            <w:tcW w:w="1878" w:type="pct"/>
            <w:shd w:val="clear" w:color="auto" w:fill="148A5D"/>
          </w:tcPr>
          <w:p w14:paraId="6493FB76" w14:textId="79966D35" w:rsidR="00B460A3" w:rsidRPr="0077203F" w:rsidRDefault="00B460A3" w:rsidP="0077203F">
            <w:pPr>
              <w:pStyle w:val="Textinthetable"/>
              <w:jc w:val="right"/>
              <w:rPr>
                <w:b/>
                <w:bCs/>
                <w:color w:val="FFFFFF" w:themeColor="background1"/>
              </w:rPr>
            </w:pPr>
            <w:r w:rsidRPr="0077203F">
              <w:rPr>
                <w:b/>
                <w:bCs/>
                <w:color w:val="FFFFFF" w:themeColor="background1"/>
              </w:rPr>
              <w:t>Annual amount for an MP not holding an additional office ($)</w:t>
            </w:r>
            <w:r w:rsidRPr="0077203F">
              <w:rPr>
                <w:b/>
                <w:bCs/>
                <w:color w:val="FFFFFF" w:themeColor="background1"/>
                <w:vertAlign w:val="superscript"/>
              </w:rPr>
              <w:t>(a)</w:t>
            </w:r>
          </w:p>
        </w:tc>
        <w:tc>
          <w:tcPr>
            <w:tcW w:w="1591" w:type="pct"/>
            <w:shd w:val="clear" w:color="auto" w:fill="148A5D"/>
          </w:tcPr>
          <w:p w14:paraId="0847D05E" w14:textId="460FAB54" w:rsidR="00B460A3" w:rsidRPr="0077203F" w:rsidRDefault="00B460A3" w:rsidP="0077203F">
            <w:pPr>
              <w:pStyle w:val="Textinthetable"/>
              <w:jc w:val="right"/>
              <w:rPr>
                <w:b/>
                <w:bCs/>
                <w:color w:val="FFFFFF" w:themeColor="background1"/>
              </w:rPr>
            </w:pPr>
            <w:r w:rsidRPr="0077203F">
              <w:rPr>
                <w:b/>
                <w:bCs/>
                <w:color w:val="FFFFFF" w:themeColor="background1"/>
              </w:rPr>
              <w:t xml:space="preserve">% of salary </w:t>
            </w:r>
            <w:r w:rsidRPr="0077203F">
              <w:rPr>
                <w:b/>
                <w:bCs/>
                <w:color w:val="FFFFFF" w:themeColor="background1"/>
              </w:rPr>
              <w:br/>
              <w:t>(or equivalent)</w:t>
            </w:r>
          </w:p>
        </w:tc>
      </w:tr>
      <w:tr w:rsidR="00B460A3" w:rsidRPr="000740FC" w14:paraId="0A7E7A8E" w14:textId="1EC7E9B6" w:rsidTr="0077203F">
        <w:trPr>
          <w:trHeight w:val="408"/>
        </w:trPr>
        <w:tc>
          <w:tcPr>
            <w:tcW w:w="1530" w:type="pct"/>
            <w:tcBorders>
              <w:top w:val="single" w:sz="4" w:space="0" w:color="148A5D"/>
              <w:bottom w:val="single" w:sz="4" w:space="0" w:color="148A5D"/>
            </w:tcBorders>
          </w:tcPr>
          <w:p w14:paraId="11E12817" w14:textId="35F014B5" w:rsidR="00B460A3" w:rsidRPr="000740FC" w:rsidRDefault="00B460A3" w:rsidP="0077203F">
            <w:pPr>
              <w:pStyle w:val="Textinthetable"/>
              <w:rPr>
                <w:color w:val="4D4D4D"/>
              </w:rPr>
            </w:pPr>
            <w:r w:rsidRPr="000740FC">
              <w:rPr>
                <w:color w:val="4D4D4D"/>
              </w:rPr>
              <w:t>Commonwealth</w:t>
            </w:r>
          </w:p>
        </w:tc>
        <w:tc>
          <w:tcPr>
            <w:tcW w:w="1878" w:type="pct"/>
            <w:tcBorders>
              <w:top w:val="single" w:sz="4" w:space="0" w:color="148A5D"/>
              <w:bottom w:val="single" w:sz="4" w:space="0" w:color="148A5D"/>
            </w:tcBorders>
          </w:tcPr>
          <w:p w14:paraId="05CBC391" w14:textId="2DB556C7" w:rsidR="00B460A3" w:rsidRPr="000740FC" w:rsidRDefault="00B460A3" w:rsidP="0077203F">
            <w:pPr>
              <w:pStyle w:val="Textinthetable"/>
              <w:jc w:val="right"/>
              <w:rPr>
                <w:color w:val="4D4D4D"/>
              </w:rPr>
            </w:pPr>
            <w:r w:rsidRPr="000740FC">
              <w:rPr>
                <w:color w:val="4D4D4D"/>
              </w:rPr>
              <w:t>32,533</w:t>
            </w:r>
          </w:p>
        </w:tc>
        <w:tc>
          <w:tcPr>
            <w:tcW w:w="1591" w:type="pct"/>
            <w:tcBorders>
              <w:top w:val="single" w:sz="4" w:space="0" w:color="148A5D"/>
              <w:bottom w:val="single" w:sz="4" w:space="0" w:color="148A5D"/>
            </w:tcBorders>
          </w:tcPr>
          <w:p w14:paraId="765DB06C" w14:textId="622C9E0A" w:rsidR="00B460A3" w:rsidRPr="000740FC" w:rsidRDefault="00B460A3" w:rsidP="0077203F">
            <w:pPr>
              <w:pStyle w:val="Textinthetable"/>
              <w:jc w:val="right"/>
              <w:rPr>
                <w:color w:val="4D4D4D"/>
              </w:rPr>
            </w:pPr>
            <w:r w:rsidRPr="000740FC">
              <w:rPr>
                <w:color w:val="4D4D4D"/>
              </w:rPr>
              <w:t>15.4</w:t>
            </w:r>
          </w:p>
        </w:tc>
      </w:tr>
      <w:tr w:rsidR="00B460A3" w:rsidRPr="000740FC" w14:paraId="0E5782C7" w14:textId="3222A4D5" w:rsidTr="0077203F">
        <w:trPr>
          <w:trHeight w:val="408"/>
        </w:trPr>
        <w:tc>
          <w:tcPr>
            <w:tcW w:w="1530" w:type="pct"/>
            <w:tcBorders>
              <w:top w:val="single" w:sz="4" w:space="0" w:color="148A5D"/>
              <w:bottom w:val="single" w:sz="4" w:space="0" w:color="148A5D"/>
            </w:tcBorders>
          </w:tcPr>
          <w:p w14:paraId="03157CBD" w14:textId="09448479" w:rsidR="00B460A3" w:rsidRPr="000740FC" w:rsidRDefault="00B460A3" w:rsidP="0077203F">
            <w:pPr>
              <w:pStyle w:val="Textinthetable"/>
              <w:rPr>
                <w:color w:val="4D4D4D"/>
              </w:rPr>
            </w:pPr>
            <w:r w:rsidRPr="000740FC">
              <w:rPr>
                <w:color w:val="4D4D4D"/>
              </w:rPr>
              <w:t>South Australia</w:t>
            </w:r>
          </w:p>
        </w:tc>
        <w:tc>
          <w:tcPr>
            <w:tcW w:w="1878" w:type="pct"/>
            <w:tcBorders>
              <w:top w:val="single" w:sz="4" w:space="0" w:color="148A5D"/>
              <w:bottom w:val="single" w:sz="4" w:space="0" w:color="148A5D"/>
            </w:tcBorders>
          </w:tcPr>
          <w:p w14:paraId="6A5F23AB" w14:textId="20CEE9C2" w:rsidR="00B460A3" w:rsidRPr="000740FC" w:rsidRDefault="00B460A3" w:rsidP="0077203F">
            <w:pPr>
              <w:pStyle w:val="Textinthetable"/>
              <w:jc w:val="right"/>
              <w:rPr>
                <w:color w:val="4D4D4D"/>
              </w:rPr>
            </w:pPr>
            <w:r w:rsidRPr="000740FC">
              <w:rPr>
                <w:color w:val="4D4D4D"/>
              </w:rPr>
              <w:t>30,896</w:t>
            </w:r>
          </w:p>
        </w:tc>
        <w:tc>
          <w:tcPr>
            <w:tcW w:w="1591" w:type="pct"/>
            <w:tcBorders>
              <w:top w:val="single" w:sz="4" w:space="0" w:color="148A5D"/>
              <w:bottom w:val="single" w:sz="4" w:space="0" w:color="148A5D"/>
            </w:tcBorders>
          </w:tcPr>
          <w:p w14:paraId="761A419D" w14:textId="72013AE4" w:rsidR="00B460A3" w:rsidRPr="000740FC" w:rsidRDefault="00B460A3" w:rsidP="0077203F">
            <w:pPr>
              <w:pStyle w:val="Textinthetable"/>
              <w:jc w:val="right"/>
              <w:rPr>
                <w:color w:val="4D4D4D"/>
              </w:rPr>
            </w:pPr>
            <w:r w:rsidRPr="000740FC">
              <w:rPr>
                <w:color w:val="4D4D4D"/>
              </w:rPr>
              <w:t>15.4</w:t>
            </w:r>
            <w:r w:rsidRPr="000740FC">
              <w:rPr>
                <w:color w:val="4D4D4D"/>
                <w:vertAlign w:val="superscript"/>
              </w:rPr>
              <w:t>(</w:t>
            </w:r>
            <w:r>
              <w:rPr>
                <w:color w:val="4D4D4D"/>
                <w:vertAlign w:val="superscript"/>
              </w:rPr>
              <w:t>b</w:t>
            </w:r>
            <w:r w:rsidRPr="000740FC">
              <w:rPr>
                <w:color w:val="4D4D4D"/>
                <w:vertAlign w:val="superscript"/>
              </w:rPr>
              <w:t>)</w:t>
            </w:r>
          </w:p>
        </w:tc>
      </w:tr>
      <w:tr w:rsidR="00B460A3" w:rsidRPr="000740FC" w14:paraId="2FF9DFAB" w14:textId="54A8E9B1" w:rsidTr="0077203F">
        <w:trPr>
          <w:trHeight w:val="408"/>
        </w:trPr>
        <w:tc>
          <w:tcPr>
            <w:tcW w:w="1530" w:type="pct"/>
            <w:tcBorders>
              <w:top w:val="single" w:sz="4" w:space="0" w:color="148A5D"/>
              <w:bottom w:val="single" w:sz="4" w:space="0" w:color="148A5D"/>
            </w:tcBorders>
          </w:tcPr>
          <w:p w14:paraId="5F99362E" w14:textId="3F7C204B" w:rsidR="00B460A3" w:rsidRPr="000740FC" w:rsidRDefault="00B460A3" w:rsidP="0077203F">
            <w:pPr>
              <w:pStyle w:val="Textinthetable"/>
              <w:rPr>
                <w:color w:val="4D4D4D"/>
              </w:rPr>
            </w:pPr>
            <w:r w:rsidRPr="000740FC">
              <w:rPr>
                <w:color w:val="4D4D4D"/>
              </w:rPr>
              <w:t>Victoria</w:t>
            </w:r>
          </w:p>
        </w:tc>
        <w:tc>
          <w:tcPr>
            <w:tcW w:w="1878" w:type="pct"/>
            <w:tcBorders>
              <w:top w:val="single" w:sz="4" w:space="0" w:color="148A5D"/>
              <w:bottom w:val="single" w:sz="4" w:space="0" w:color="148A5D"/>
            </w:tcBorders>
          </w:tcPr>
          <w:p w14:paraId="13C06984" w14:textId="3CEA8CAC" w:rsidR="00B460A3" w:rsidRPr="000740FC" w:rsidRDefault="00B460A3" w:rsidP="0077203F">
            <w:pPr>
              <w:pStyle w:val="Textinthetable"/>
              <w:jc w:val="right"/>
              <w:rPr>
                <w:color w:val="4D4D4D"/>
              </w:rPr>
            </w:pPr>
            <w:r w:rsidRPr="000740FC">
              <w:rPr>
                <w:color w:val="4D4D4D"/>
              </w:rPr>
              <w:t>28,274</w:t>
            </w:r>
          </w:p>
        </w:tc>
        <w:tc>
          <w:tcPr>
            <w:tcW w:w="1591" w:type="pct"/>
            <w:tcBorders>
              <w:top w:val="single" w:sz="4" w:space="0" w:color="148A5D"/>
              <w:bottom w:val="single" w:sz="4" w:space="0" w:color="148A5D"/>
            </w:tcBorders>
          </w:tcPr>
          <w:p w14:paraId="6F1A1639" w14:textId="2A7E031F" w:rsidR="00B460A3" w:rsidRPr="000740FC" w:rsidRDefault="00B460A3" w:rsidP="0077203F">
            <w:pPr>
              <w:pStyle w:val="Textinthetable"/>
              <w:jc w:val="right"/>
              <w:rPr>
                <w:color w:val="4D4D4D"/>
              </w:rPr>
            </w:pPr>
            <w:r w:rsidRPr="000740FC">
              <w:rPr>
                <w:color w:val="4D4D4D"/>
              </w:rPr>
              <w:t>15.5</w:t>
            </w:r>
            <w:r w:rsidRPr="000740FC">
              <w:rPr>
                <w:color w:val="4D4D4D"/>
                <w:vertAlign w:val="superscript"/>
              </w:rPr>
              <w:t>(</w:t>
            </w:r>
            <w:r>
              <w:rPr>
                <w:color w:val="4D4D4D"/>
                <w:vertAlign w:val="superscript"/>
              </w:rPr>
              <w:t>c</w:t>
            </w:r>
            <w:r w:rsidRPr="000740FC">
              <w:rPr>
                <w:color w:val="4D4D4D"/>
                <w:vertAlign w:val="superscript"/>
              </w:rPr>
              <w:t>)</w:t>
            </w:r>
          </w:p>
        </w:tc>
      </w:tr>
      <w:tr w:rsidR="00B460A3" w:rsidRPr="000740FC" w14:paraId="6A12E646" w14:textId="325CA347" w:rsidTr="0077203F">
        <w:trPr>
          <w:trHeight w:val="408"/>
        </w:trPr>
        <w:tc>
          <w:tcPr>
            <w:tcW w:w="1530" w:type="pct"/>
            <w:tcBorders>
              <w:top w:val="single" w:sz="4" w:space="0" w:color="148A5D"/>
              <w:bottom w:val="single" w:sz="4" w:space="0" w:color="148A5D"/>
            </w:tcBorders>
          </w:tcPr>
          <w:p w14:paraId="065D0073" w14:textId="77777777" w:rsidR="00B460A3" w:rsidRPr="000740FC" w:rsidRDefault="00B460A3" w:rsidP="0077203F">
            <w:pPr>
              <w:pStyle w:val="Textinthetable"/>
              <w:rPr>
                <w:color w:val="4D4D4D"/>
              </w:rPr>
            </w:pPr>
            <w:r w:rsidRPr="000740FC">
              <w:rPr>
                <w:color w:val="4D4D4D"/>
              </w:rPr>
              <w:t>Western Australia</w:t>
            </w:r>
          </w:p>
        </w:tc>
        <w:tc>
          <w:tcPr>
            <w:tcW w:w="1878" w:type="pct"/>
            <w:tcBorders>
              <w:top w:val="single" w:sz="4" w:space="0" w:color="148A5D"/>
              <w:bottom w:val="single" w:sz="4" w:space="0" w:color="148A5D"/>
            </w:tcBorders>
          </w:tcPr>
          <w:p w14:paraId="38E6E2AA" w14:textId="0D236A1F" w:rsidR="00B460A3" w:rsidRPr="000740FC" w:rsidRDefault="00B460A3" w:rsidP="0077203F">
            <w:pPr>
              <w:pStyle w:val="Textinthetable"/>
              <w:jc w:val="right"/>
              <w:rPr>
                <w:color w:val="4D4D4D"/>
              </w:rPr>
            </w:pPr>
            <w:r w:rsidRPr="000740FC">
              <w:rPr>
                <w:color w:val="4D4D4D"/>
              </w:rPr>
              <w:t>24,107</w:t>
            </w:r>
          </w:p>
        </w:tc>
        <w:tc>
          <w:tcPr>
            <w:tcW w:w="1591" w:type="pct"/>
            <w:tcBorders>
              <w:top w:val="single" w:sz="4" w:space="0" w:color="148A5D"/>
              <w:bottom w:val="single" w:sz="4" w:space="0" w:color="148A5D"/>
            </w:tcBorders>
          </w:tcPr>
          <w:p w14:paraId="26F0A101" w14:textId="03798820" w:rsidR="00B460A3" w:rsidRPr="000740FC" w:rsidRDefault="00B460A3" w:rsidP="0077203F">
            <w:pPr>
              <w:pStyle w:val="Textinthetable"/>
              <w:jc w:val="right"/>
              <w:rPr>
                <w:color w:val="4D4D4D"/>
              </w:rPr>
            </w:pPr>
            <w:r w:rsidRPr="000740FC">
              <w:rPr>
                <w:color w:val="4D4D4D"/>
              </w:rPr>
              <w:t>15.4</w:t>
            </w:r>
          </w:p>
        </w:tc>
      </w:tr>
      <w:tr w:rsidR="00B460A3" w:rsidRPr="000740FC" w14:paraId="00A2F818" w14:textId="3F6B3DB7" w:rsidTr="0077203F">
        <w:trPr>
          <w:trHeight w:val="408"/>
        </w:trPr>
        <w:tc>
          <w:tcPr>
            <w:tcW w:w="1530" w:type="pct"/>
            <w:tcBorders>
              <w:top w:val="single" w:sz="4" w:space="0" w:color="148A5D"/>
              <w:bottom w:val="single" w:sz="4" w:space="0" w:color="148A5D"/>
            </w:tcBorders>
          </w:tcPr>
          <w:p w14:paraId="007CB0CD" w14:textId="69AD098F" w:rsidR="00B460A3" w:rsidRPr="000740FC" w:rsidRDefault="00B460A3" w:rsidP="0077203F">
            <w:pPr>
              <w:pStyle w:val="Textinthetable"/>
              <w:rPr>
                <w:color w:val="4D4D4D"/>
              </w:rPr>
            </w:pPr>
            <w:r w:rsidRPr="000740FC">
              <w:rPr>
                <w:color w:val="4D4D4D"/>
              </w:rPr>
              <w:t>Australian Capital Territory</w:t>
            </w:r>
          </w:p>
        </w:tc>
        <w:tc>
          <w:tcPr>
            <w:tcW w:w="1878" w:type="pct"/>
            <w:tcBorders>
              <w:top w:val="single" w:sz="4" w:space="0" w:color="148A5D"/>
              <w:bottom w:val="single" w:sz="4" w:space="0" w:color="148A5D"/>
            </w:tcBorders>
          </w:tcPr>
          <w:p w14:paraId="4A976384" w14:textId="22AACD41" w:rsidR="00B460A3" w:rsidRPr="000740FC" w:rsidRDefault="00B460A3" w:rsidP="0077203F">
            <w:pPr>
              <w:pStyle w:val="Textinthetable"/>
              <w:jc w:val="right"/>
              <w:rPr>
                <w:color w:val="4D4D4D"/>
                <w:vertAlign w:val="superscript"/>
              </w:rPr>
            </w:pPr>
            <w:r w:rsidRPr="000740FC">
              <w:rPr>
                <w:color w:val="4D4D4D"/>
              </w:rPr>
              <w:t>23,589</w:t>
            </w:r>
          </w:p>
        </w:tc>
        <w:tc>
          <w:tcPr>
            <w:tcW w:w="1591" w:type="pct"/>
            <w:tcBorders>
              <w:top w:val="single" w:sz="4" w:space="0" w:color="148A5D"/>
              <w:bottom w:val="single" w:sz="4" w:space="0" w:color="148A5D"/>
            </w:tcBorders>
          </w:tcPr>
          <w:p w14:paraId="102B6A27" w14:textId="2B7014FD" w:rsidR="00B460A3" w:rsidRPr="000740FC" w:rsidRDefault="00B460A3" w:rsidP="0077203F">
            <w:pPr>
              <w:pStyle w:val="Textinthetable"/>
              <w:jc w:val="right"/>
              <w:rPr>
                <w:color w:val="4D4D4D"/>
              </w:rPr>
            </w:pPr>
            <w:r w:rsidRPr="000740FC">
              <w:rPr>
                <w:color w:val="4D4D4D"/>
              </w:rPr>
              <w:t>14</w:t>
            </w:r>
            <w:r w:rsidRPr="000740FC">
              <w:rPr>
                <w:color w:val="4D4D4D"/>
                <w:vertAlign w:val="superscript"/>
              </w:rPr>
              <w:t>(</w:t>
            </w:r>
            <w:r>
              <w:rPr>
                <w:color w:val="4D4D4D"/>
                <w:vertAlign w:val="superscript"/>
              </w:rPr>
              <w:t>d</w:t>
            </w:r>
            <w:r w:rsidRPr="000740FC">
              <w:rPr>
                <w:color w:val="4D4D4D"/>
                <w:vertAlign w:val="superscript"/>
              </w:rPr>
              <w:t>)</w:t>
            </w:r>
          </w:p>
        </w:tc>
      </w:tr>
      <w:tr w:rsidR="00B460A3" w:rsidRPr="000740FC" w14:paraId="25A08A24" w14:textId="4B02DA36" w:rsidTr="0077203F">
        <w:trPr>
          <w:trHeight w:val="408"/>
        </w:trPr>
        <w:tc>
          <w:tcPr>
            <w:tcW w:w="1530" w:type="pct"/>
            <w:tcBorders>
              <w:top w:val="single" w:sz="4" w:space="0" w:color="148A5D"/>
              <w:bottom w:val="single" w:sz="4" w:space="0" w:color="148A5D"/>
            </w:tcBorders>
          </w:tcPr>
          <w:p w14:paraId="4F14C824" w14:textId="6C716315" w:rsidR="00B460A3" w:rsidRPr="000740FC" w:rsidRDefault="00B460A3" w:rsidP="0077203F">
            <w:pPr>
              <w:pStyle w:val="Textinthetable"/>
              <w:rPr>
                <w:color w:val="4D4D4D"/>
              </w:rPr>
            </w:pPr>
            <w:r w:rsidRPr="000740FC">
              <w:rPr>
                <w:color w:val="4D4D4D"/>
              </w:rPr>
              <w:t>New South Wales</w:t>
            </w:r>
          </w:p>
        </w:tc>
        <w:tc>
          <w:tcPr>
            <w:tcW w:w="1878" w:type="pct"/>
            <w:tcBorders>
              <w:top w:val="single" w:sz="4" w:space="0" w:color="148A5D"/>
              <w:bottom w:val="single" w:sz="4" w:space="0" w:color="148A5D"/>
            </w:tcBorders>
          </w:tcPr>
          <w:p w14:paraId="6B4EF0BB" w14:textId="0D90ED9D" w:rsidR="00B460A3" w:rsidRPr="000740FC" w:rsidRDefault="00B460A3" w:rsidP="0077203F">
            <w:pPr>
              <w:pStyle w:val="Textinthetable"/>
              <w:jc w:val="right"/>
              <w:rPr>
                <w:color w:val="4D4D4D"/>
              </w:rPr>
            </w:pPr>
            <w:r w:rsidRPr="000740FC">
              <w:rPr>
                <w:color w:val="4D4D4D"/>
              </w:rPr>
              <w:t>21,694</w:t>
            </w:r>
          </w:p>
        </w:tc>
        <w:tc>
          <w:tcPr>
            <w:tcW w:w="1591" w:type="pct"/>
            <w:tcBorders>
              <w:top w:val="single" w:sz="4" w:space="0" w:color="148A5D"/>
              <w:bottom w:val="single" w:sz="4" w:space="0" w:color="148A5D"/>
            </w:tcBorders>
          </w:tcPr>
          <w:p w14:paraId="477A222F" w14:textId="4AA0CA4F" w:rsidR="00B460A3" w:rsidRPr="000740FC" w:rsidRDefault="00B460A3" w:rsidP="0077203F">
            <w:pPr>
              <w:pStyle w:val="Textinthetable"/>
              <w:jc w:val="right"/>
              <w:rPr>
                <w:color w:val="4D4D4D"/>
              </w:rPr>
            </w:pPr>
            <w:r w:rsidRPr="000740FC">
              <w:rPr>
                <w:color w:val="4D4D4D"/>
              </w:rPr>
              <w:t>9.5</w:t>
            </w:r>
            <w:r w:rsidRPr="000740FC">
              <w:rPr>
                <w:color w:val="4D4D4D"/>
                <w:vertAlign w:val="superscript"/>
              </w:rPr>
              <w:t>(</w:t>
            </w:r>
            <w:r>
              <w:rPr>
                <w:color w:val="4D4D4D"/>
                <w:vertAlign w:val="superscript"/>
              </w:rPr>
              <w:t>e</w:t>
            </w:r>
            <w:r w:rsidRPr="000740FC">
              <w:rPr>
                <w:color w:val="4D4D4D"/>
                <w:vertAlign w:val="superscript"/>
              </w:rPr>
              <w:t>)</w:t>
            </w:r>
          </w:p>
        </w:tc>
      </w:tr>
      <w:tr w:rsidR="00B460A3" w:rsidRPr="000740FC" w14:paraId="25370BBE" w14:textId="24A10171" w:rsidTr="0077203F">
        <w:trPr>
          <w:trHeight w:val="408"/>
        </w:trPr>
        <w:tc>
          <w:tcPr>
            <w:tcW w:w="1530" w:type="pct"/>
            <w:tcBorders>
              <w:top w:val="single" w:sz="4" w:space="0" w:color="148A5D"/>
              <w:bottom w:val="single" w:sz="4" w:space="0" w:color="148A5D"/>
            </w:tcBorders>
          </w:tcPr>
          <w:p w14:paraId="662670A1" w14:textId="312B8B33" w:rsidR="00B460A3" w:rsidRPr="000740FC" w:rsidRDefault="00B460A3" w:rsidP="0077203F">
            <w:pPr>
              <w:pStyle w:val="Textinthetable"/>
              <w:rPr>
                <w:color w:val="4D4D4D"/>
              </w:rPr>
            </w:pPr>
            <w:r w:rsidRPr="000740FC">
              <w:rPr>
                <w:color w:val="4D4D4D"/>
              </w:rPr>
              <w:t>Queensland</w:t>
            </w:r>
          </w:p>
        </w:tc>
        <w:tc>
          <w:tcPr>
            <w:tcW w:w="1878" w:type="pct"/>
            <w:tcBorders>
              <w:top w:val="single" w:sz="4" w:space="0" w:color="148A5D"/>
              <w:bottom w:val="single" w:sz="4" w:space="0" w:color="148A5D"/>
            </w:tcBorders>
          </w:tcPr>
          <w:p w14:paraId="6BBBC11A" w14:textId="0BF85FF4" w:rsidR="00B460A3" w:rsidRPr="000740FC" w:rsidRDefault="00B460A3" w:rsidP="0077203F">
            <w:pPr>
              <w:pStyle w:val="Textinthetable"/>
              <w:jc w:val="right"/>
              <w:rPr>
                <w:color w:val="4D4D4D"/>
              </w:rPr>
            </w:pPr>
            <w:r w:rsidRPr="000740FC">
              <w:rPr>
                <w:color w:val="4D4D4D"/>
              </w:rPr>
              <w:t>20,288</w:t>
            </w:r>
          </w:p>
        </w:tc>
        <w:tc>
          <w:tcPr>
            <w:tcW w:w="1591" w:type="pct"/>
            <w:tcBorders>
              <w:top w:val="single" w:sz="4" w:space="0" w:color="148A5D"/>
              <w:bottom w:val="single" w:sz="4" w:space="0" w:color="148A5D"/>
            </w:tcBorders>
          </w:tcPr>
          <w:p w14:paraId="4FC106F2" w14:textId="23B645FC" w:rsidR="00B460A3" w:rsidRPr="000740FC" w:rsidRDefault="00B460A3" w:rsidP="0077203F">
            <w:pPr>
              <w:pStyle w:val="Textinthetable"/>
              <w:jc w:val="right"/>
              <w:rPr>
                <w:color w:val="4D4D4D"/>
              </w:rPr>
            </w:pPr>
            <w:r w:rsidRPr="000740FC">
              <w:rPr>
                <w:color w:val="4D4D4D"/>
              </w:rPr>
              <w:t>12.75</w:t>
            </w:r>
            <w:r w:rsidRPr="000740FC">
              <w:rPr>
                <w:color w:val="4D4D4D"/>
                <w:vertAlign w:val="superscript"/>
              </w:rPr>
              <w:t>(</w:t>
            </w:r>
            <w:r>
              <w:rPr>
                <w:color w:val="4D4D4D"/>
                <w:vertAlign w:val="superscript"/>
              </w:rPr>
              <w:t>f</w:t>
            </w:r>
            <w:r w:rsidRPr="000740FC">
              <w:rPr>
                <w:color w:val="4D4D4D"/>
                <w:vertAlign w:val="superscript"/>
              </w:rPr>
              <w:t>)</w:t>
            </w:r>
          </w:p>
        </w:tc>
      </w:tr>
      <w:tr w:rsidR="00B460A3" w:rsidRPr="000740FC" w14:paraId="000C5815" w14:textId="635BB54F" w:rsidTr="0077203F">
        <w:trPr>
          <w:trHeight w:val="408"/>
        </w:trPr>
        <w:tc>
          <w:tcPr>
            <w:tcW w:w="1530" w:type="pct"/>
            <w:tcBorders>
              <w:top w:val="single" w:sz="4" w:space="0" w:color="148A5D"/>
              <w:bottom w:val="single" w:sz="4" w:space="0" w:color="148A5D"/>
            </w:tcBorders>
          </w:tcPr>
          <w:p w14:paraId="131CB28F" w14:textId="361130BB" w:rsidR="00B460A3" w:rsidRPr="000740FC" w:rsidRDefault="00B460A3" w:rsidP="0077203F">
            <w:pPr>
              <w:pStyle w:val="Textinthetable"/>
              <w:rPr>
                <w:color w:val="4D4D4D"/>
              </w:rPr>
            </w:pPr>
            <w:r w:rsidRPr="000740FC">
              <w:rPr>
                <w:color w:val="4D4D4D"/>
              </w:rPr>
              <w:t>Northern Territory</w:t>
            </w:r>
          </w:p>
        </w:tc>
        <w:tc>
          <w:tcPr>
            <w:tcW w:w="1878" w:type="pct"/>
            <w:tcBorders>
              <w:top w:val="single" w:sz="4" w:space="0" w:color="148A5D"/>
              <w:bottom w:val="single" w:sz="4" w:space="0" w:color="148A5D"/>
            </w:tcBorders>
          </w:tcPr>
          <w:p w14:paraId="4EFAC4D5" w14:textId="5285C4CB" w:rsidR="00B460A3" w:rsidRPr="000740FC" w:rsidRDefault="00B460A3" w:rsidP="0077203F">
            <w:pPr>
              <w:pStyle w:val="Textinthetable"/>
              <w:jc w:val="right"/>
              <w:rPr>
                <w:color w:val="4D4D4D"/>
              </w:rPr>
            </w:pPr>
            <w:r w:rsidRPr="000740FC">
              <w:rPr>
                <w:color w:val="4D4D4D"/>
              </w:rPr>
              <w:t>15,456</w:t>
            </w:r>
          </w:p>
        </w:tc>
        <w:tc>
          <w:tcPr>
            <w:tcW w:w="1591" w:type="pct"/>
            <w:tcBorders>
              <w:top w:val="single" w:sz="4" w:space="0" w:color="148A5D"/>
              <w:bottom w:val="single" w:sz="4" w:space="0" w:color="148A5D"/>
            </w:tcBorders>
          </w:tcPr>
          <w:p w14:paraId="50478671" w14:textId="11703077" w:rsidR="00B460A3" w:rsidRPr="000740FC" w:rsidRDefault="00B460A3" w:rsidP="0077203F">
            <w:pPr>
              <w:pStyle w:val="Textinthetable"/>
              <w:jc w:val="right"/>
              <w:rPr>
                <w:color w:val="4D4D4D"/>
              </w:rPr>
            </w:pPr>
            <w:r w:rsidRPr="000740FC">
              <w:rPr>
                <w:color w:val="4D4D4D"/>
              </w:rPr>
              <w:t>9</w:t>
            </w:r>
            <w:r>
              <w:rPr>
                <w:color w:val="4D4D4D"/>
              </w:rPr>
              <w:t>.5</w:t>
            </w:r>
            <w:r w:rsidRPr="000740FC">
              <w:rPr>
                <w:color w:val="4D4D4D"/>
                <w:vertAlign w:val="superscript"/>
              </w:rPr>
              <w:t>(</w:t>
            </w:r>
            <w:r>
              <w:rPr>
                <w:color w:val="4D4D4D"/>
                <w:vertAlign w:val="superscript"/>
              </w:rPr>
              <w:t>g</w:t>
            </w:r>
            <w:r w:rsidRPr="000740FC">
              <w:rPr>
                <w:color w:val="4D4D4D"/>
                <w:vertAlign w:val="superscript"/>
              </w:rPr>
              <w:t>)</w:t>
            </w:r>
          </w:p>
        </w:tc>
      </w:tr>
      <w:tr w:rsidR="00B460A3" w:rsidRPr="000740FC" w14:paraId="2A34857C" w14:textId="5D2FABDE" w:rsidTr="0077203F">
        <w:trPr>
          <w:trHeight w:val="408"/>
        </w:trPr>
        <w:tc>
          <w:tcPr>
            <w:tcW w:w="1530" w:type="pct"/>
            <w:tcBorders>
              <w:top w:val="single" w:sz="4" w:space="0" w:color="148A5D"/>
              <w:bottom w:val="single" w:sz="4" w:space="0" w:color="148A5D"/>
            </w:tcBorders>
          </w:tcPr>
          <w:p w14:paraId="65DC7F01" w14:textId="0DC008D8" w:rsidR="00B460A3" w:rsidRPr="000740FC" w:rsidRDefault="00B460A3" w:rsidP="0077203F">
            <w:pPr>
              <w:pStyle w:val="Textinthetable"/>
              <w:rPr>
                <w:color w:val="4D4D4D"/>
              </w:rPr>
            </w:pPr>
            <w:r w:rsidRPr="000740FC">
              <w:rPr>
                <w:color w:val="4D4D4D"/>
              </w:rPr>
              <w:t>Tasmania</w:t>
            </w:r>
          </w:p>
        </w:tc>
        <w:tc>
          <w:tcPr>
            <w:tcW w:w="1878" w:type="pct"/>
            <w:tcBorders>
              <w:top w:val="single" w:sz="4" w:space="0" w:color="148A5D"/>
              <w:bottom w:val="single" w:sz="4" w:space="0" w:color="148A5D"/>
            </w:tcBorders>
          </w:tcPr>
          <w:p w14:paraId="57013F73" w14:textId="70DB7F94" w:rsidR="00B460A3" w:rsidRPr="000740FC" w:rsidRDefault="00B460A3" w:rsidP="0077203F">
            <w:pPr>
              <w:pStyle w:val="Textinthetable"/>
              <w:jc w:val="right"/>
              <w:rPr>
                <w:color w:val="4D4D4D"/>
              </w:rPr>
            </w:pPr>
            <w:r w:rsidRPr="000740FC">
              <w:rPr>
                <w:color w:val="4D4D4D"/>
              </w:rPr>
              <w:t>13,318</w:t>
            </w:r>
          </w:p>
        </w:tc>
        <w:tc>
          <w:tcPr>
            <w:tcW w:w="1591" w:type="pct"/>
            <w:tcBorders>
              <w:top w:val="single" w:sz="4" w:space="0" w:color="148A5D"/>
              <w:bottom w:val="single" w:sz="4" w:space="0" w:color="148A5D"/>
            </w:tcBorders>
          </w:tcPr>
          <w:p w14:paraId="08E13E51" w14:textId="47CB84E6" w:rsidR="00B460A3" w:rsidRPr="000740FC" w:rsidRDefault="00B460A3" w:rsidP="0077203F">
            <w:pPr>
              <w:pStyle w:val="Textinthetable"/>
              <w:jc w:val="right"/>
              <w:rPr>
                <w:color w:val="4D4D4D"/>
              </w:rPr>
            </w:pPr>
            <w:r w:rsidRPr="000740FC">
              <w:rPr>
                <w:color w:val="4D4D4D"/>
              </w:rPr>
              <w:t>9.5</w:t>
            </w:r>
          </w:p>
        </w:tc>
      </w:tr>
    </w:tbl>
    <w:p w14:paraId="6EA447AB" w14:textId="03692713" w:rsidR="00E20300" w:rsidRPr="000740FC" w:rsidRDefault="00E20300" w:rsidP="00E20300">
      <w:pPr>
        <w:pStyle w:val="Notesfortablesfigures"/>
        <w:rPr>
          <w:vertAlign w:val="superscript"/>
        </w:rPr>
      </w:pPr>
      <w:r w:rsidRPr="000740FC">
        <w:t xml:space="preserve">Notes: </w:t>
      </w:r>
      <w:r w:rsidR="00B460A3">
        <w:t xml:space="preserve">(a) </w:t>
      </w:r>
      <w:r w:rsidR="00EF573F">
        <w:t>A</w:t>
      </w:r>
      <w:r w:rsidR="00B460A3">
        <w:t>mounts have been calculated based on the published basic salary for an MP in each jurisdiction, as at September 2020.</w:t>
      </w:r>
      <w:r w:rsidR="00B460A3" w:rsidRPr="000740FC">
        <w:t xml:space="preserve"> </w:t>
      </w:r>
      <w:r w:rsidR="00795FB3" w:rsidRPr="000740FC">
        <w:t>(</w:t>
      </w:r>
      <w:r w:rsidR="00B460A3">
        <w:t>b</w:t>
      </w:r>
      <w:r w:rsidR="00795FB3" w:rsidRPr="000740FC">
        <w:t>) South Australian MPs only receive 15.4% if they remain in the default fund – MPs who transfer to a different fund receive contributions according to the</w:t>
      </w:r>
      <w:r w:rsidR="001E65E5">
        <w:t xml:space="preserve"> </w:t>
      </w:r>
      <w:r w:rsidR="007A0F84">
        <w:t>SG percentage</w:t>
      </w:r>
      <w:r w:rsidR="00B460A3">
        <w:t>.</w:t>
      </w:r>
      <w:r w:rsidR="00795FB3" w:rsidRPr="000740FC">
        <w:t xml:space="preserve"> </w:t>
      </w:r>
      <w:r w:rsidRPr="000740FC">
        <w:t>(</w:t>
      </w:r>
      <w:r w:rsidR="00B460A3">
        <w:t>c</w:t>
      </w:r>
      <w:r w:rsidRPr="000740FC">
        <w:t xml:space="preserve">) </w:t>
      </w:r>
      <w:r w:rsidR="00B460A3">
        <w:t>E</w:t>
      </w:r>
      <w:r w:rsidRPr="000740FC">
        <w:t xml:space="preserve">qual to the </w:t>
      </w:r>
      <w:r>
        <w:t>S</w:t>
      </w:r>
      <w:r w:rsidR="0779D7F2">
        <w:t xml:space="preserve">G </w:t>
      </w:r>
      <w:r w:rsidR="20327EF1">
        <w:t>percentage</w:t>
      </w:r>
      <w:r w:rsidRPr="000740FC">
        <w:t xml:space="preserve"> plus 6%</w:t>
      </w:r>
      <w:r w:rsidR="00B460A3">
        <w:t>.</w:t>
      </w:r>
      <w:r w:rsidRPr="000740FC">
        <w:t xml:space="preserve"> </w:t>
      </w:r>
      <w:r w:rsidR="00A24343">
        <w:br/>
      </w:r>
      <w:r w:rsidR="00795FB3" w:rsidRPr="000740FC">
        <w:t>(</w:t>
      </w:r>
      <w:r w:rsidR="001E65E5">
        <w:t>d</w:t>
      </w:r>
      <w:r w:rsidR="00795FB3" w:rsidRPr="000740FC">
        <w:t xml:space="preserve">) </w:t>
      </w:r>
      <w:r w:rsidR="00B460A3">
        <w:t>I</w:t>
      </w:r>
      <w:r w:rsidR="00795FB3" w:rsidRPr="000740FC">
        <w:t>f an MP chooses to contribute 3% or more of their salary, the Australian Capital Territory will contribute an additional 1%</w:t>
      </w:r>
      <w:r w:rsidR="00B460A3">
        <w:t>.</w:t>
      </w:r>
      <w:r w:rsidR="00795FB3" w:rsidRPr="000740FC">
        <w:t xml:space="preserve"> </w:t>
      </w:r>
      <w:r w:rsidRPr="000740FC">
        <w:t>(</w:t>
      </w:r>
      <w:r w:rsidR="001E65E5">
        <w:t>e</w:t>
      </w:r>
      <w:r w:rsidRPr="000740FC">
        <w:t xml:space="preserve">) </w:t>
      </w:r>
      <w:r w:rsidR="00D079F7">
        <w:t>T</w:t>
      </w:r>
      <w:r w:rsidRPr="000740FC">
        <w:t>he salary used to calculate superannuation contributions for N</w:t>
      </w:r>
      <w:r w:rsidR="003A7A49">
        <w:t xml:space="preserve">ew </w:t>
      </w:r>
      <w:r w:rsidRPr="000740FC">
        <w:t>S</w:t>
      </w:r>
      <w:r w:rsidR="003A7A49">
        <w:t xml:space="preserve">outh </w:t>
      </w:r>
      <w:r w:rsidRPr="000740FC">
        <w:t>W</w:t>
      </w:r>
      <w:r w:rsidR="003A7A49">
        <w:t>ales</w:t>
      </w:r>
      <w:r w:rsidRPr="000740FC">
        <w:t xml:space="preserve"> MPs is taken to be the greater of:</w:t>
      </w:r>
    </w:p>
    <w:p w14:paraId="2F5E669B" w14:textId="77777777" w:rsidR="00E20300" w:rsidRPr="000740FC" w:rsidRDefault="00E20300" w:rsidP="005B3F45">
      <w:pPr>
        <w:pStyle w:val="Notesfortablesfigures"/>
        <w:numPr>
          <w:ilvl w:val="0"/>
          <w:numId w:val="13"/>
        </w:numPr>
      </w:pPr>
      <w:r w:rsidRPr="000740FC">
        <w:t>the ‘maximum contribution base’ under Commonwealth law; or</w:t>
      </w:r>
    </w:p>
    <w:p w14:paraId="539308F9" w14:textId="77777777" w:rsidR="00E20300" w:rsidRPr="000740FC" w:rsidRDefault="00E20300" w:rsidP="005B3F45">
      <w:pPr>
        <w:pStyle w:val="Notesfortablesfigures"/>
        <w:numPr>
          <w:ilvl w:val="0"/>
          <w:numId w:val="13"/>
        </w:numPr>
      </w:pPr>
      <w:r w:rsidRPr="000740FC">
        <w:t>the total of the following amounts:</w:t>
      </w:r>
    </w:p>
    <w:p w14:paraId="4ACC08EE" w14:textId="77777777" w:rsidR="00E20300" w:rsidRPr="000740FC" w:rsidRDefault="00E20300" w:rsidP="005B3F45">
      <w:pPr>
        <w:pStyle w:val="Notesfortablesfigures"/>
        <w:numPr>
          <w:ilvl w:val="1"/>
          <w:numId w:val="13"/>
        </w:numPr>
      </w:pPr>
      <w:r w:rsidRPr="000740FC">
        <w:t>the remuneration payable to the MP by way of basic and additional salary</w:t>
      </w:r>
    </w:p>
    <w:p w14:paraId="107F6F73" w14:textId="77777777" w:rsidR="00E20300" w:rsidRPr="000740FC" w:rsidRDefault="00E20300" w:rsidP="005B3F45">
      <w:pPr>
        <w:pStyle w:val="Notesfortablesfigures"/>
        <w:numPr>
          <w:ilvl w:val="1"/>
          <w:numId w:val="13"/>
        </w:numPr>
      </w:pPr>
      <w:r w:rsidRPr="000740FC">
        <w:t>the cost of any employment benefits provided</w:t>
      </w:r>
    </w:p>
    <w:p w14:paraId="03E35238" w14:textId="77777777" w:rsidR="00E20300" w:rsidRPr="000740FC" w:rsidRDefault="00E20300" w:rsidP="005B3F45">
      <w:pPr>
        <w:pStyle w:val="Notesfortablesfigures"/>
        <w:numPr>
          <w:ilvl w:val="1"/>
          <w:numId w:val="13"/>
        </w:numPr>
      </w:pPr>
      <w:r w:rsidRPr="000740FC">
        <w:t>the amount of any additional superannuation contributions made by way of salary sacrifice.</w:t>
      </w:r>
    </w:p>
    <w:p w14:paraId="5B720A0F" w14:textId="1FD20E89" w:rsidR="00E20300" w:rsidRPr="000740FC" w:rsidRDefault="00C34834" w:rsidP="00E20300">
      <w:pPr>
        <w:pStyle w:val="Notesfortablesfigures"/>
      </w:pPr>
      <w:r w:rsidRPr="000740FC">
        <w:t>(</w:t>
      </w:r>
      <w:r w:rsidR="001E65E5">
        <w:t>f</w:t>
      </w:r>
      <w:r w:rsidRPr="000740FC">
        <w:t>) Queensland MPs are also required to contribute 5% of their salary</w:t>
      </w:r>
      <w:r w:rsidR="00B460A3">
        <w:t>.</w:t>
      </w:r>
      <w:r w:rsidRPr="000740FC">
        <w:t xml:space="preserve"> </w:t>
      </w:r>
      <w:r w:rsidR="00E20300" w:rsidRPr="000740FC">
        <w:t>(</w:t>
      </w:r>
      <w:r w:rsidR="001E65E5">
        <w:t>g</w:t>
      </w:r>
      <w:r w:rsidR="00E20300" w:rsidRPr="000740FC">
        <w:t>) 9% or the minimum required under Commonwealth law, whichever is greater</w:t>
      </w:r>
      <w:r w:rsidR="00614A02">
        <w:t>.</w:t>
      </w:r>
      <w:r w:rsidR="00954371">
        <w:br/>
      </w:r>
      <w:r w:rsidR="00E20300" w:rsidRPr="000740FC">
        <w:t xml:space="preserve">Sources: </w:t>
      </w:r>
      <w:r w:rsidR="00E20300" w:rsidRPr="000740FC">
        <w:rPr>
          <w:i/>
          <w:iCs/>
        </w:rPr>
        <w:t>Parliamentary Salaries, Allowances and Superannuation Act 1968</w:t>
      </w:r>
      <w:r w:rsidR="00E20300" w:rsidRPr="000740FC">
        <w:t xml:space="preserve"> (Vic); </w:t>
      </w:r>
      <w:r w:rsidR="00E20300" w:rsidRPr="000740FC">
        <w:rPr>
          <w:i/>
          <w:iCs/>
        </w:rPr>
        <w:t>Parliamentary Superannuation Act 2004</w:t>
      </w:r>
      <w:r w:rsidR="00E20300" w:rsidRPr="000740FC">
        <w:t xml:space="preserve"> (Cth); </w:t>
      </w:r>
      <w:r w:rsidR="00E20300" w:rsidRPr="000740FC">
        <w:rPr>
          <w:i/>
          <w:iCs/>
        </w:rPr>
        <w:t>Parliamentary Remuneration Act 1989</w:t>
      </w:r>
      <w:r w:rsidR="00E20300" w:rsidRPr="000740FC">
        <w:t xml:space="preserve"> (NSW); </w:t>
      </w:r>
      <w:r w:rsidR="00954A47">
        <w:t xml:space="preserve">Department of Parliamentary Services (NSW); </w:t>
      </w:r>
      <w:r w:rsidR="00E20300" w:rsidRPr="000740FC">
        <w:rPr>
          <w:i/>
          <w:iCs/>
        </w:rPr>
        <w:t>Members’ Remuneration Handbook</w:t>
      </w:r>
      <w:r w:rsidR="00E20300" w:rsidRPr="000740FC">
        <w:t xml:space="preserve"> (Qld); </w:t>
      </w:r>
      <w:r w:rsidR="00E20300" w:rsidRPr="000740FC">
        <w:rPr>
          <w:i/>
          <w:iCs/>
        </w:rPr>
        <w:t>Parliamentary Superannuation Act 1974</w:t>
      </w:r>
      <w:r w:rsidR="00E20300" w:rsidRPr="000740FC">
        <w:t xml:space="preserve"> (SA); </w:t>
      </w:r>
      <w:r w:rsidR="00E20300" w:rsidRPr="000740FC">
        <w:rPr>
          <w:i/>
          <w:iCs/>
        </w:rPr>
        <w:t>Parliamentary Superannuation Act 1970</w:t>
      </w:r>
      <w:r w:rsidR="00E20300" w:rsidRPr="000740FC">
        <w:t xml:space="preserve"> (WA); </w:t>
      </w:r>
      <w:r w:rsidR="00E20300" w:rsidRPr="000740FC">
        <w:rPr>
          <w:i/>
          <w:iCs/>
        </w:rPr>
        <w:t>Parliamentary Salaries, Allowances and Superannuation Act 2012</w:t>
      </w:r>
      <w:r w:rsidR="00E20300" w:rsidRPr="000740FC">
        <w:t xml:space="preserve"> (Tas); </w:t>
      </w:r>
      <w:r w:rsidR="00E20300" w:rsidRPr="000740FC">
        <w:rPr>
          <w:i/>
          <w:iCs/>
        </w:rPr>
        <w:t>Legislative Assembly Members’ Superannuation Contributions Act 2004</w:t>
      </w:r>
      <w:r w:rsidR="00E20300" w:rsidRPr="000740FC">
        <w:t xml:space="preserve"> (NT); </w:t>
      </w:r>
      <w:r w:rsidR="00E20300" w:rsidRPr="000740FC">
        <w:rPr>
          <w:i/>
          <w:iCs/>
        </w:rPr>
        <w:t>Legislative Assembly (Members’ Superannuation) Act 1991</w:t>
      </w:r>
      <w:r w:rsidR="00E20300" w:rsidRPr="000740FC">
        <w:t xml:space="preserve"> (ACT).</w:t>
      </w:r>
    </w:p>
    <w:p w14:paraId="081872BE" w14:textId="77777777" w:rsidR="0077203F" w:rsidRDefault="0077203F" w:rsidP="00E20300">
      <w:pPr>
        <w:pStyle w:val="VIRTHeading3"/>
        <w:keepNext/>
        <w:spacing w:before="240"/>
        <w:outlineLvl w:val="2"/>
        <w:rPr>
          <w:rFonts w:ascii="Rockwell" w:hAnsi="Rockwell"/>
          <w:noProof w:val="0"/>
          <w:lang w:val="en-AU"/>
        </w:rPr>
      </w:pPr>
      <w:r>
        <w:rPr>
          <w:rFonts w:ascii="Rockwell" w:hAnsi="Rockwell"/>
          <w:noProof w:val="0"/>
          <w:lang w:val="en-AU"/>
        </w:rPr>
        <w:br w:type="page"/>
      </w:r>
    </w:p>
    <w:p w14:paraId="40F8BE5C" w14:textId="291E3D0A" w:rsidR="00E20300" w:rsidRPr="000740FC" w:rsidRDefault="00E20300" w:rsidP="00E20300">
      <w:pPr>
        <w:pStyle w:val="VIRTHeading3"/>
        <w:keepNext/>
        <w:spacing w:before="240"/>
        <w:outlineLvl w:val="2"/>
        <w:rPr>
          <w:rFonts w:ascii="Rockwell" w:hAnsi="Rockwell"/>
          <w:noProof w:val="0"/>
          <w:lang w:val="en-AU"/>
        </w:rPr>
      </w:pPr>
      <w:r w:rsidRPr="000740FC">
        <w:rPr>
          <w:rFonts w:ascii="Rockwell" w:hAnsi="Rockwell"/>
          <w:noProof w:val="0"/>
          <w:lang w:val="en-AU"/>
        </w:rPr>
        <w:lastRenderedPageBreak/>
        <w:t>Payments</w:t>
      </w:r>
      <w:r w:rsidRPr="000740FC">
        <w:rPr>
          <w:rFonts w:ascii="Rockwell" w:hAnsi="Rockwell"/>
          <w:noProof w:val="0"/>
          <w:spacing w:val="-6"/>
          <w:lang w:val="en-AU"/>
        </w:rPr>
        <w:t xml:space="preserve"> for MPs leaving the Parliament</w:t>
      </w:r>
    </w:p>
    <w:p w14:paraId="4B085214" w14:textId="1C77C827" w:rsidR="00E20300" w:rsidRPr="000740FC" w:rsidRDefault="00E20300" w:rsidP="00B33183">
      <w:pPr>
        <w:pStyle w:val="Paragraph"/>
        <w:rPr>
          <w:highlight w:val="magenta"/>
        </w:rPr>
      </w:pPr>
      <w:r w:rsidRPr="000740FC">
        <w:t xml:space="preserve">The Commonwealth and each of the states and territories (except for New South Wales and Tasmania) provide a one-off payment to MPs </w:t>
      </w:r>
      <w:r w:rsidR="00DF756C">
        <w:t>who</w:t>
      </w:r>
      <w:r w:rsidRPr="000740FC">
        <w:t xml:space="preserve"> leave </w:t>
      </w:r>
      <w:r w:rsidR="0009544D">
        <w:t>p</w:t>
      </w:r>
      <w:r w:rsidRPr="000740FC">
        <w:t xml:space="preserve">arliament in particular circumstances, often referred to as a resettlement allowance. In Victoria, this payment is called the separation payment. </w:t>
      </w:r>
      <w:r w:rsidR="004F124A">
        <w:t>It is akin to the</w:t>
      </w:r>
      <w:r w:rsidR="00E118F5">
        <w:t xml:space="preserve"> </w:t>
      </w:r>
      <w:r w:rsidR="004F124A">
        <w:t>redundancy payments to which many workers are entitled on termination of their employment.</w:t>
      </w:r>
    </w:p>
    <w:p w14:paraId="21ABB241" w14:textId="0A2B455F" w:rsidR="00E20300" w:rsidRPr="000740FC" w:rsidRDefault="00E20300" w:rsidP="00B33183">
      <w:pPr>
        <w:pStyle w:val="Paragraph"/>
      </w:pPr>
      <w:r w:rsidRPr="000740FC">
        <w:t xml:space="preserve">Each jurisdiction sets the size of the payment with reference to the basic salary provided to its MPs. Some jurisdictions (Victoria, the Commonwealth, Western Australia, the Northern Territory and the Australian Capital Territory) also vary the size of the payment based on the former MP’s length of service. </w:t>
      </w:r>
    </w:p>
    <w:p w14:paraId="729741D6" w14:textId="668C4A35" w:rsidR="00E20300" w:rsidRPr="000740FC" w:rsidRDefault="00E20300" w:rsidP="00B33183">
      <w:pPr>
        <w:pStyle w:val="Paragraph"/>
      </w:pPr>
      <w:r w:rsidRPr="000740FC">
        <w:t xml:space="preserve">While the size of the payment in Victoria falls in the middle of the range provided by Australian jurisdictions, Victoria has fewer eligibility requirements than most jurisdictions. </w:t>
      </w:r>
    </w:p>
    <w:p w14:paraId="52E2317E" w14:textId="165ED5BC" w:rsidR="00E20300" w:rsidRPr="000740FC" w:rsidRDefault="00E20300" w:rsidP="00B33183">
      <w:pPr>
        <w:pStyle w:val="Paragraph"/>
      </w:pPr>
      <w:r w:rsidRPr="000740FC">
        <w:t xml:space="preserve">Victorian MPs in the defined benefit schemes are precluded from receiving the payment, while several other jurisdictions (the Commonwealth, Queensland, Western Australia and the Australian Capital Territory) allow MPs in the defined benefit schemes to receive the payment in at least some circumstances (e.g. if they are unable to access superannuation benefits when leaving </w:t>
      </w:r>
      <w:r w:rsidR="00802D1F">
        <w:t>p</w:t>
      </w:r>
      <w:r w:rsidRPr="000740FC">
        <w:t>arliament).</w:t>
      </w:r>
    </w:p>
    <w:p w14:paraId="658F304A" w14:textId="1F5F0618" w:rsidR="00D342D7" w:rsidRPr="000740FC" w:rsidRDefault="00E20300" w:rsidP="00B33183">
      <w:pPr>
        <w:pStyle w:val="Paragraph"/>
        <w:sectPr w:rsidR="00D342D7" w:rsidRPr="000740FC" w:rsidSect="0076507C">
          <w:type w:val="oddPage"/>
          <w:pgSz w:w="11900" w:h="16840"/>
          <w:pgMar w:top="1701" w:right="1701" w:bottom="1559" w:left="1701" w:header="709" w:footer="709" w:gutter="0"/>
          <w:cols w:space="708"/>
          <w:titlePg/>
          <w:docGrid w:linePitch="299"/>
        </w:sectPr>
      </w:pPr>
      <w:r w:rsidRPr="000740FC">
        <w:t xml:space="preserve">The arrangements for MPs leaving </w:t>
      </w:r>
      <w:r w:rsidR="00765A0E">
        <w:t>p</w:t>
      </w:r>
      <w:r w:rsidRPr="000740FC">
        <w:t xml:space="preserve">arliament in all Australian jurisdictions are summarised in table </w:t>
      </w:r>
      <w:r w:rsidR="007F5E6D">
        <w:t>2.2</w:t>
      </w:r>
      <w:r w:rsidR="001F3A4F">
        <w:t xml:space="preserve"> </w:t>
      </w:r>
      <w:r w:rsidR="004615AA">
        <w:t>(</w:t>
      </w:r>
      <w:r w:rsidR="001F3A4F">
        <w:t>overleaf</w:t>
      </w:r>
      <w:r w:rsidR="004615AA">
        <w:t>)</w:t>
      </w:r>
      <w:r w:rsidRPr="000740FC">
        <w:t>.</w:t>
      </w:r>
    </w:p>
    <w:p w14:paraId="5BD867AD" w14:textId="251D22B3" w:rsidR="00E20300" w:rsidRPr="000740FC" w:rsidRDefault="00E20300" w:rsidP="00E20300">
      <w:pPr>
        <w:pStyle w:val="Tableheading"/>
      </w:pPr>
      <w:r w:rsidRPr="000740FC">
        <w:lastRenderedPageBreak/>
        <w:t xml:space="preserve">Table </w:t>
      </w:r>
      <w:r w:rsidR="007F5E6D">
        <w:t>2.2</w:t>
      </w:r>
      <w:r w:rsidRPr="000740FC">
        <w:t xml:space="preserve">: summary of resettlement allowance (or equivalent) provided when MPs leave </w:t>
      </w:r>
      <w:r w:rsidR="001D4456">
        <w:t>p</w:t>
      </w:r>
      <w:r w:rsidRPr="000740FC">
        <w:t>arliament and associated eligibility criteria, Australian jurisdictions</w:t>
      </w:r>
    </w:p>
    <w:tbl>
      <w:tblPr>
        <w:tblStyle w:val="ListTable3-Accent211"/>
        <w:tblW w:w="4997" w:type="pct"/>
        <w:tblInd w:w="5" w:type="dxa"/>
        <w:tblLook w:val="04A0" w:firstRow="1" w:lastRow="0" w:firstColumn="1" w:lastColumn="0" w:noHBand="0" w:noVBand="1"/>
      </w:tblPr>
      <w:tblGrid>
        <w:gridCol w:w="2573"/>
        <w:gridCol w:w="5034"/>
        <w:gridCol w:w="3188"/>
        <w:gridCol w:w="2635"/>
      </w:tblGrid>
      <w:tr w:rsidR="00636B20" w:rsidRPr="000740FC" w14:paraId="52A7774D" w14:textId="4359142D" w:rsidTr="00BC52C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8" w:type="pct"/>
          </w:tcPr>
          <w:p w14:paraId="180E38CF" w14:textId="77777777" w:rsidR="00636B20" w:rsidRPr="000740FC" w:rsidRDefault="00636B20" w:rsidP="00BC681B">
            <w:pPr>
              <w:spacing w:after="0"/>
              <w:rPr>
                <w:rFonts w:ascii="Calibri" w:eastAsia="Calibri" w:hAnsi="Calibri" w:cs="Times New Roman"/>
                <w:color w:val="FFFFFF"/>
                <w:sz w:val="22"/>
              </w:rPr>
            </w:pPr>
            <w:r w:rsidRPr="000740FC">
              <w:rPr>
                <w:rFonts w:ascii="Calibri" w:eastAsia="Calibri" w:hAnsi="Calibri" w:cs="Times New Roman"/>
                <w:color w:val="FFFFFF"/>
                <w:sz w:val="22"/>
              </w:rPr>
              <w:t>Jurisdiction</w:t>
            </w:r>
          </w:p>
        </w:tc>
        <w:tc>
          <w:tcPr>
            <w:tcW w:w="1874" w:type="pct"/>
          </w:tcPr>
          <w:p w14:paraId="74A61252" w14:textId="77777777" w:rsidR="00636B20" w:rsidRPr="000740FC" w:rsidRDefault="00636B20" w:rsidP="00BC681B">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2"/>
              </w:rPr>
            </w:pPr>
            <w:r w:rsidRPr="000740FC">
              <w:rPr>
                <w:rFonts w:ascii="Calibri" w:eastAsia="Calibri" w:hAnsi="Calibri" w:cs="Times New Roman"/>
                <w:color w:val="FFFFFF"/>
                <w:sz w:val="22"/>
              </w:rPr>
              <w:t>Eligibility criteria</w:t>
            </w:r>
          </w:p>
        </w:tc>
        <w:tc>
          <w:tcPr>
            <w:tcW w:w="1187" w:type="pct"/>
          </w:tcPr>
          <w:p w14:paraId="2219CBAD" w14:textId="77777777" w:rsidR="00636B20" w:rsidRPr="000740FC" w:rsidRDefault="00636B20" w:rsidP="00BC681B">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2"/>
              </w:rPr>
            </w:pPr>
            <w:r w:rsidRPr="000740FC">
              <w:rPr>
                <w:rFonts w:ascii="Calibri" w:eastAsia="Calibri" w:hAnsi="Calibri" w:cs="Times New Roman"/>
                <w:color w:val="FFFFFF"/>
                <w:sz w:val="22"/>
              </w:rPr>
              <w:t>Amount provided</w:t>
            </w:r>
          </w:p>
        </w:tc>
        <w:tc>
          <w:tcPr>
            <w:tcW w:w="981" w:type="pct"/>
          </w:tcPr>
          <w:p w14:paraId="4B67D3CB" w14:textId="2B80AE7C" w:rsidR="00636B20" w:rsidRPr="000740FC" w:rsidRDefault="00636B20" w:rsidP="007F5E6D">
            <w:pPr>
              <w:spacing w:after="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2"/>
              </w:rPr>
            </w:pPr>
            <w:r w:rsidRPr="000740FC">
              <w:rPr>
                <w:rFonts w:ascii="Calibri" w:eastAsia="Calibri" w:hAnsi="Calibri" w:cs="Times New Roman"/>
                <w:color w:val="FFFFFF"/>
                <w:sz w:val="22"/>
              </w:rPr>
              <w:t>Maximum amount ($)</w:t>
            </w:r>
          </w:p>
        </w:tc>
      </w:tr>
      <w:tr w:rsidR="00F83D28" w:rsidRPr="000740FC" w14:paraId="6B64C95B" w14:textId="77777777" w:rsidTr="0034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691B838" w14:textId="12FEBEF6" w:rsidR="00F83D28" w:rsidRPr="000740FC" w:rsidRDefault="00F83D28" w:rsidP="007F5E6D">
            <w:pPr>
              <w:pStyle w:val="Textinthetable"/>
              <w:rPr>
                <w:rFonts w:ascii="Calibri" w:hAnsi="Calibri"/>
                <w:color w:val="FFFFFF"/>
              </w:rPr>
            </w:pPr>
            <w:r w:rsidRPr="000740FC">
              <w:t>Northern Territory</w:t>
            </w:r>
          </w:p>
        </w:tc>
        <w:tc>
          <w:tcPr>
            <w:tcW w:w="1874" w:type="pct"/>
          </w:tcPr>
          <w:p w14:paraId="3F5506F9" w14:textId="7E289BF5"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 xml:space="preserve">MP was elected at or after the 2005 general election, and is not entitled to receive a pension or superannuation benefit related to their parliamentary service immediately upon leaving. MPs are not eligible if they leave </w:t>
            </w:r>
            <w:r w:rsidR="00195AAA">
              <w:t>p</w:t>
            </w:r>
            <w:r w:rsidRPr="000740FC">
              <w:t xml:space="preserve">arliament in order to be a candidate for another seat in an Australian </w:t>
            </w:r>
            <w:r w:rsidR="007935ED">
              <w:t>p</w:t>
            </w:r>
            <w:r w:rsidRPr="000740FC">
              <w:t xml:space="preserve">arliament and are successful. </w:t>
            </w:r>
          </w:p>
        </w:tc>
        <w:tc>
          <w:tcPr>
            <w:tcW w:w="1187" w:type="pct"/>
          </w:tcPr>
          <w:p w14:paraId="3BF95500" w14:textId="1592B13F"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Between 4 and 12 months of MP basic salary</w:t>
            </w:r>
            <w:r w:rsidRPr="000740FC" w:rsidDel="00DC5276">
              <w:rPr>
                <w:vertAlign w:val="superscript"/>
              </w:rPr>
              <w:t>(a</w:t>
            </w:r>
            <w:r w:rsidRPr="000740FC">
              <w:rPr>
                <w:vertAlign w:val="superscript"/>
              </w:rPr>
              <w:t>)</w:t>
            </w:r>
            <w:r w:rsidRPr="000740FC">
              <w:t xml:space="preserve"> </w:t>
            </w:r>
          </w:p>
        </w:tc>
        <w:tc>
          <w:tcPr>
            <w:tcW w:w="981" w:type="pct"/>
          </w:tcPr>
          <w:p w14:paraId="673EB2F8" w14:textId="37A68718" w:rsidR="00F83D28" w:rsidRPr="000740FC" w:rsidRDefault="00F83D28" w:rsidP="007F5E6D">
            <w:pPr>
              <w:pStyle w:val="Textinthetable"/>
              <w:jc w:val="right"/>
              <w:cnfStyle w:val="000000100000" w:firstRow="0" w:lastRow="0" w:firstColumn="0" w:lastColumn="0" w:oddVBand="0" w:evenVBand="0" w:oddHBand="1" w:evenHBand="0" w:firstRowFirstColumn="0" w:firstRowLastColumn="0" w:lastRowFirstColumn="0" w:lastRowLastColumn="0"/>
            </w:pPr>
            <w:r w:rsidRPr="000740FC">
              <w:t>162,696</w:t>
            </w:r>
          </w:p>
        </w:tc>
      </w:tr>
      <w:tr w:rsidR="00F83D28" w:rsidRPr="000740FC" w14:paraId="220F512F" w14:textId="77777777" w:rsidTr="003419F9">
        <w:tc>
          <w:tcPr>
            <w:cnfStyle w:val="001000000000" w:firstRow="0" w:lastRow="0" w:firstColumn="1" w:lastColumn="0" w:oddVBand="0" w:evenVBand="0" w:oddHBand="0" w:evenHBand="0" w:firstRowFirstColumn="0" w:firstRowLastColumn="0" w:lastRowFirstColumn="0" w:lastRowLastColumn="0"/>
            <w:tcW w:w="958" w:type="pct"/>
          </w:tcPr>
          <w:p w14:paraId="66D5EC41" w14:textId="4E3CB7F2" w:rsidR="00F83D28" w:rsidRPr="000740FC" w:rsidRDefault="00F83D28" w:rsidP="007F5E6D">
            <w:pPr>
              <w:pStyle w:val="Textinthetable"/>
            </w:pPr>
            <w:r w:rsidRPr="000740FC">
              <w:t>Western Australia</w:t>
            </w:r>
          </w:p>
        </w:tc>
        <w:tc>
          <w:tcPr>
            <w:tcW w:w="1874" w:type="pct"/>
          </w:tcPr>
          <w:p w14:paraId="37D566C9" w14:textId="22309648" w:rsidR="00F83D28" w:rsidRPr="000740FC" w:rsidRDefault="00F83D28" w:rsidP="00F83D28">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 xml:space="preserve">MP leaves </w:t>
            </w:r>
            <w:r w:rsidR="00195AAA">
              <w:rPr>
                <w:rFonts w:ascii="Calibri Light" w:eastAsia="Calibri" w:hAnsi="Calibri Light" w:cs="Times New Roman (Body CS)"/>
                <w:bCs/>
                <w:color w:val="4D4D4D" w:themeColor="accent6"/>
                <w:sz w:val="22"/>
              </w:rPr>
              <w:t>p</w:t>
            </w:r>
            <w:r w:rsidRPr="000740FC">
              <w:rPr>
                <w:rFonts w:ascii="Calibri Light" w:eastAsia="Calibri" w:hAnsi="Calibri Light" w:cs="Times New Roman (Body CS)"/>
                <w:bCs/>
                <w:color w:val="4D4D4D" w:themeColor="accent6"/>
                <w:sz w:val="22"/>
              </w:rPr>
              <w:t>arliament and is not entitled to superannuation benefits through the Parliamentary Pension Scheme. May only be received once.</w:t>
            </w:r>
          </w:p>
        </w:tc>
        <w:tc>
          <w:tcPr>
            <w:tcW w:w="1187" w:type="pct"/>
          </w:tcPr>
          <w:p w14:paraId="10D4F973" w14:textId="10AE4EEF" w:rsidR="00F83D28" w:rsidRPr="000740FC" w:rsidRDefault="00F83D28" w:rsidP="00F83D28">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Between 3 and 9 months of MP basic salary</w:t>
            </w:r>
            <w:r w:rsidRPr="000740FC">
              <w:rPr>
                <w:rFonts w:ascii="Calibri Light" w:eastAsia="Calibri" w:hAnsi="Calibri Light" w:cs="Times New Roman (Body CS)"/>
                <w:bCs/>
                <w:color w:val="4D4D4D" w:themeColor="accent6"/>
                <w:sz w:val="22"/>
                <w:vertAlign w:val="superscript"/>
              </w:rPr>
              <w:t>(a)</w:t>
            </w:r>
          </w:p>
        </w:tc>
        <w:tc>
          <w:tcPr>
            <w:tcW w:w="981" w:type="pct"/>
          </w:tcPr>
          <w:p w14:paraId="55726EBE" w14:textId="0A16E59E" w:rsidR="00F83D28" w:rsidRPr="000740FC" w:rsidRDefault="00F83D28" w:rsidP="007F5E6D">
            <w:pPr>
              <w:spacing w:after="0"/>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117,402</w:t>
            </w:r>
          </w:p>
        </w:tc>
      </w:tr>
      <w:tr w:rsidR="00F83D28" w:rsidRPr="000740FC" w14:paraId="4ADD6689" w14:textId="77777777" w:rsidTr="0034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2CBEE8F" w14:textId="04991FDD" w:rsidR="00F83D28" w:rsidRPr="000740FC" w:rsidRDefault="00F83D28" w:rsidP="007F5E6D">
            <w:pPr>
              <w:pStyle w:val="Textinthetable"/>
            </w:pPr>
            <w:r w:rsidRPr="000740FC">
              <w:t>Commonwealth</w:t>
            </w:r>
          </w:p>
        </w:tc>
        <w:tc>
          <w:tcPr>
            <w:tcW w:w="1874" w:type="pct"/>
          </w:tcPr>
          <w:p w14:paraId="01680D1F" w14:textId="66DBE0D0" w:rsidR="00F83D28" w:rsidRPr="000740FC" w:rsidRDefault="00F83D28" w:rsidP="00F83D28">
            <w:pPr>
              <w:pStyle w:val="Textinthetable"/>
              <w:cnfStyle w:val="000000100000" w:firstRow="0" w:lastRow="0" w:firstColumn="0" w:lastColumn="0" w:oddVBand="0" w:evenVBand="0" w:oddHBand="1" w:evenHBand="0" w:firstRowFirstColumn="0" w:firstRowLastColumn="0" w:lastRowFirstColumn="0" w:lastRowLastColumn="0"/>
              <w:rPr>
                <w:rFonts w:eastAsia="Calibri" w:cs="Times New Roman (Body CS)"/>
                <w:lang w:val="en-AU"/>
              </w:rPr>
            </w:pPr>
            <w:r w:rsidRPr="000740FC">
              <w:rPr>
                <w:rFonts w:eastAsia="Calibri" w:cs="Times New Roman (Body CS)"/>
                <w:lang w:val="en-AU"/>
              </w:rPr>
              <w:t xml:space="preserve">MP leaves </w:t>
            </w:r>
            <w:r w:rsidR="00195AAA">
              <w:rPr>
                <w:rFonts w:eastAsia="Calibri" w:cs="Times New Roman (Body CS)"/>
                <w:lang w:val="en-AU"/>
              </w:rPr>
              <w:t>p</w:t>
            </w:r>
            <w:r w:rsidRPr="000740FC">
              <w:rPr>
                <w:rFonts w:eastAsia="Calibri" w:cs="Times New Roman (Body CS)"/>
                <w:lang w:val="en-AU"/>
              </w:rPr>
              <w:t xml:space="preserve">arliament as a result of failing to be pre-selected (for reasons other than misconduct) or re-elected and: </w:t>
            </w:r>
          </w:p>
          <w:p w14:paraId="0FCC1BB5" w14:textId="77777777" w:rsidR="00F83D28" w:rsidRPr="000740FC" w:rsidRDefault="00F83D28" w:rsidP="0007293B">
            <w:pPr>
              <w:pStyle w:val="Tablebullets"/>
              <w:cnfStyle w:val="000000100000" w:firstRow="0" w:lastRow="0" w:firstColumn="0" w:lastColumn="0" w:oddVBand="0" w:evenVBand="0" w:oddHBand="1" w:evenHBand="0" w:firstRowFirstColumn="0" w:firstRowLastColumn="0" w:lastRowFirstColumn="0" w:lastRowLastColumn="0"/>
            </w:pPr>
            <w:r w:rsidRPr="000740FC">
              <w:t>if a member of the parliamentary defined benefit scheme, they are not old enough to be eligible to start receiving a pension under the scheme</w:t>
            </w:r>
            <w:r w:rsidRPr="000740FC">
              <w:rPr>
                <w:vertAlign w:val="superscript"/>
              </w:rPr>
              <w:t>(b)</w:t>
            </w:r>
          </w:p>
          <w:p w14:paraId="048BA272" w14:textId="244FA023" w:rsidR="00F83D28" w:rsidRPr="000740FC" w:rsidRDefault="00F83D28" w:rsidP="0007293B">
            <w:pPr>
              <w:pStyle w:val="Tablebullets"/>
              <w:cnfStyle w:val="000000100000" w:firstRow="0" w:lastRow="0" w:firstColumn="0" w:lastColumn="0" w:oddVBand="0" w:evenVBand="0" w:oddHBand="1" w:evenHBand="0" w:firstRowFirstColumn="0" w:firstRowLastColumn="0" w:lastRowFirstColumn="0" w:lastRowLastColumn="0"/>
            </w:pPr>
            <w:r w:rsidRPr="000740FC">
              <w:t>if a member of the accumulation scheme, they declare to the Clerk that they intend to seek employment.</w:t>
            </w:r>
          </w:p>
        </w:tc>
        <w:tc>
          <w:tcPr>
            <w:tcW w:w="1187" w:type="pct"/>
          </w:tcPr>
          <w:p w14:paraId="7BE38F41" w14:textId="1DBF123B" w:rsidR="00F83D28" w:rsidRPr="000740FC" w:rsidRDefault="00F83D28" w:rsidP="00F83D28">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Body CS)"/>
                <w:color w:val="4D4D4D" w:themeColor="accent6"/>
                <w:sz w:val="22"/>
              </w:rPr>
            </w:pPr>
            <w:r w:rsidRPr="000740FC">
              <w:rPr>
                <w:rFonts w:ascii="Calibri Light" w:eastAsia="Calibri" w:hAnsi="Calibri Light" w:cs="Times New Roman (Body CS)"/>
                <w:color w:val="4D4D4D" w:themeColor="accent6"/>
                <w:sz w:val="22"/>
              </w:rPr>
              <w:t>Between 3 and 6 months of MP basic salary</w:t>
            </w:r>
            <w:r w:rsidRPr="000740FC">
              <w:rPr>
                <w:rFonts w:ascii="Calibri Light" w:eastAsia="Calibri" w:hAnsi="Calibri Light" w:cs="Times New Roman (Body CS)"/>
                <w:color w:val="4D4D4D" w:themeColor="accent6"/>
                <w:sz w:val="22"/>
                <w:vertAlign w:val="superscript"/>
              </w:rPr>
              <w:t>(a)</w:t>
            </w:r>
          </w:p>
        </w:tc>
        <w:tc>
          <w:tcPr>
            <w:tcW w:w="981" w:type="pct"/>
          </w:tcPr>
          <w:p w14:paraId="63FBB862" w14:textId="462B2368" w:rsidR="00F83D28" w:rsidRPr="000740FC" w:rsidRDefault="00F83D28" w:rsidP="007F5E6D">
            <w:pPr>
              <w:spacing w:after="0"/>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Body CS)"/>
                <w:color w:val="4D4D4D" w:themeColor="accent6"/>
                <w:sz w:val="22"/>
              </w:rPr>
            </w:pPr>
            <w:r w:rsidRPr="000740FC">
              <w:rPr>
                <w:rFonts w:ascii="Calibri Light" w:eastAsia="Calibri" w:hAnsi="Calibri Light" w:cs="Times New Roman (Body CS)"/>
                <w:color w:val="4D4D4D" w:themeColor="accent6"/>
                <w:sz w:val="22"/>
              </w:rPr>
              <w:t>105,625</w:t>
            </w:r>
          </w:p>
        </w:tc>
      </w:tr>
      <w:tr w:rsidR="00F83D28" w:rsidRPr="000740FC" w14:paraId="119607B9" w14:textId="77777777" w:rsidTr="003419F9">
        <w:tc>
          <w:tcPr>
            <w:cnfStyle w:val="001000000000" w:firstRow="0" w:lastRow="0" w:firstColumn="1" w:lastColumn="0" w:oddVBand="0" w:evenVBand="0" w:oddHBand="0" w:evenHBand="0" w:firstRowFirstColumn="0" w:firstRowLastColumn="0" w:lastRowFirstColumn="0" w:lastRowLastColumn="0"/>
            <w:tcW w:w="958" w:type="pct"/>
          </w:tcPr>
          <w:p w14:paraId="078A5071" w14:textId="25F2AA27" w:rsidR="00F83D28" w:rsidRPr="000740FC" w:rsidRDefault="00F83D28" w:rsidP="007F5E6D">
            <w:pPr>
              <w:pStyle w:val="Textinthetable"/>
            </w:pPr>
            <w:r w:rsidRPr="000740FC">
              <w:t>Victoria</w:t>
            </w:r>
          </w:p>
        </w:tc>
        <w:tc>
          <w:tcPr>
            <w:tcW w:w="1874" w:type="pct"/>
          </w:tcPr>
          <w:p w14:paraId="603CAF61" w14:textId="5AE29282" w:rsidR="00F83D28" w:rsidRPr="000740FC" w:rsidRDefault="00F83D28" w:rsidP="007F5E6D">
            <w:pPr>
              <w:pStyle w:val="Textinthetable"/>
              <w:cnfStyle w:val="000000000000" w:firstRow="0" w:lastRow="0" w:firstColumn="0" w:lastColumn="0" w:oddVBand="0" w:evenVBand="0" w:oddHBand="0" w:evenHBand="0" w:firstRowFirstColumn="0" w:firstRowLastColumn="0" w:lastRowFirstColumn="0" w:lastRowLastColumn="0"/>
            </w:pPr>
            <w:r w:rsidRPr="000740FC">
              <w:t>Provided to MPs who are not members of the parliamentary defined benefit schemes and</w:t>
            </w:r>
            <w:r w:rsidR="004F3685">
              <w:t xml:space="preserve"> who</w:t>
            </w:r>
            <w:r w:rsidRPr="000740FC">
              <w:t xml:space="preserve"> leave the Parliament for reasons other than corrupt conduct or </w:t>
            </w:r>
            <w:proofErr w:type="spellStart"/>
            <w:r w:rsidRPr="000740FC">
              <w:t>wilful</w:t>
            </w:r>
            <w:proofErr w:type="spellEnd"/>
            <w:r w:rsidRPr="000740FC">
              <w:t xml:space="preserve"> breach of duties, or who die in office. Former MPs are required to repay the money if they return to the Parliament in the same term of the Parliament or in the term after the general election at which they ceased to be an MP.  </w:t>
            </w:r>
          </w:p>
        </w:tc>
        <w:tc>
          <w:tcPr>
            <w:tcW w:w="1187" w:type="pct"/>
          </w:tcPr>
          <w:p w14:paraId="1320FC26" w14:textId="7F7E4BB5" w:rsidR="00F83D28" w:rsidRPr="000740FC" w:rsidRDefault="00F83D28" w:rsidP="00F83D28">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Between 3 and 6 months of the MP basic salary</w:t>
            </w:r>
            <w:r w:rsidRPr="000740FC">
              <w:rPr>
                <w:rFonts w:ascii="Calibri Light" w:eastAsia="Calibri" w:hAnsi="Calibri Light" w:cs="Times New Roman (Body CS)"/>
                <w:bCs/>
                <w:color w:val="4D4D4D" w:themeColor="accent6"/>
                <w:sz w:val="22"/>
                <w:vertAlign w:val="superscript"/>
              </w:rPr>
              <w:t>(a)</w:t>
            </w:r>
          </w:p>
        </w:tc>
        <w:tc>
          <w:tcPr>
            <w:tcW w:w="981" w:type="pct"/>
          </w:tcPr>
          <w:p w14:paraId="73760476" w14:textId="2B2B5451" w:rsidR="00F83D28" w:rsidRPr="000740FC" w:rsidRDefault="00F83D28" w:rsidP="007F5E6D">
            <w:pPr>
              <w:spacing w:after="0"/>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91,207</w:t>
            </w:r>
          </w:p>
        </w:tc>
      </w:tr>
      <w:tr w:rsidR="00F83D28" w:rsidRPr="000740FC" w14:paraId="39EC360E" w14:textId="77777777" w:rsidTr="0034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AB236D" w14:textId="731E5640" w:rsidR="00F83D28" w:rsidRPr="000740FC" w:rsidRDefault="00F83D28" w:rsidP="007F5E6D">
            <w:pPr>
              <w:pStyle w:val="Textinthetable"/>
            </w:pPr>
            <w:r w:rsidRPr="000740FC">
              <w:lastRenderedPageBreak/>
              <w:t>South Australia</w:t>
            </w:r>
          </w:p>
        </w:tc>
        <w:tc>
          <w:tcPr>
            <w:tcW w:w="1874" w:type="pct"/>
          </w:tcPr>
          <w:p w14:paraId="057AD296" w14:textId="02FB1143"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 xml:space="preserve">MP retires involuntarily (excluding those who were subsequently elected to a </w:t>
            </w:r>
            <w:r w:rsidR="000F5DD4">
              <w:t>p</w:t>
            </w:r>
            <w:r w:rsidRPr="000740FC">
              <w:t>arliament in another jurisdiction).</w:t>
            </w:r>
          </w:p>
        </w:tc>
        <w:tc>
          <w:tcPr>
            <w:tcW w:w="1187" w:type="pct"/>
          </w:tcPr>
          <w:p w14:paraId="53ED6AA1" w14:textId="3C691334"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12 weeks of MP basic salary</w:t>
            </w:r>
          </w:p>
        </w:tc>
        <w:tc>
          <w:tcPr>
            <w:tcW w:w="981" w:type="pct"/>
          </w:tcPr>
          <w:p w14:paraId="56208DC9" w14:textId="261294B9" w:rsidR="00F83D28" w:rsidRPr="000740FC" w:rsidRDefault="00F83D28" w:rsidP="007F5E6D">
            <w:pPr>
              <w:spacing w:after="0"/>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Body CS)"/>
                <w:color w:val="4D4D4D" w:themeColor="accent6"/>
                <w:sz w:val="22"/>
              </w:rPr>
            </w:pPr>
            <w:r w:rsidRPr="000740FC">
              <w:rPr>
                <w:rFonts w:ascii="Calibri Light" w:eastAsia="Calibri" w:hAnsi="Calibri Light" w:cs="Times New Roman (Body CS)"/>
                <w:color w:val="4D4D4D" w:themeColor="accent6"/>
                <w:sz w:val="22"/>
              </w:rPr>
              <w:t>46,298</w:t>
            </w:r>
          </w:p>
        </w:tc>
      </w:tr>
      <w:tr w:rsidR="00F83D28" w:rsidRPr="000740FC" w14:paraId="39EDE92A" w14:textId="77777777" w:rsidTr="003419F9">
        <w:tc>
          <w:tcPr>
            <w:cnfStyle w:val="001000000000" w:firstRow="0" w:lastRow="0" w:firstColumn="1" w:lastColumn="0" w:oddVBand="0" w:evenVBand="0" w:oddHBand="0" w:evenHBand="0" w:firstRowFirstColumn="0" w:firstRowLastColumn="0" w:lastRowFirstColumn="0" w:lastRowLastColumn="0"/>
            <w:tcW w:w="958" w:type="pct"/>
          </w:tcPr>
          <w:p w14:paraId="07F00433" w14:textId="77777777" w:rsidR="00F83D28" w:rsidRPr="000740FC" w:rsidRDefault="00F83D28" w:rsidP="007F5E6D">
            <w:pPr>
              <w:pStyle w:val="Textinthetable"/>
              <w:rPr>
                <w:rFonts w:eastAsia="Calibri" w:cs="Times New Roman (Body CS)"/>
              </w:rPr>
            </w:pPr>
            <w:r w:rsidRPr="000740FC">
              <w:rPr>
                <w:rFonts w:eastAsia="Calibri" w:cs="Times New Roman (Body CS)"/>
              </w:rPr>
              <w:t xml:space="preserve">Australian </w:t>
            </w:r>
          </w:p>
          <w:p w14:paraId="6BBB9E4E" w14:textId="1DDDCEED" w:rsidR="00F83D28" w:rsidRPr="000740FC" w:rsidRDefault="00F83D28" w:rsidP="007F5E6D">
            <w:pPr>
              <w:pStyle w:val="Textinthetable"/>
              <w:rPr>
                <w:rFonts w:eastAsia="Calibri" w:cs="Times New Roman (Body CS)"/>
              </w:rPr>
            </w:pPr>
            <w:r w:rsidRPr="000740FC">
              <w:rPr>
                <w:rFonts w:eastAsia="Calibri" w:cs="Times New Roman (Body CS)"/>
              </w:rPr>
              <w:t>Capital Territory</w:t>
            </w:r>
          </w:p>
        </w:tc>
        <w:tc>
          <w:tcPr>
            <w:tcW w:w="1874" w:type="pct"/>
          </w:tcPr>
          <w:p w14:paraId="17B50E13" w14:textId="61582EFD" w:rsidR="00F83D28" w:rsidRPr="000740FC" w:rsidRDefault="00F83D28" w:rsidP="007F5E6D">
            <w:pPr>
              <w:pStyle w:val="Textinthetable"/>
              <w:cnfStyle w:val="000000000000" w:firstRow="0" w:lastRow="0" w:firstColumn="0" w:lastColumn="0" w:oddVBand="0" w:evenVBand="0" w:oddHBand="0" w:evenHBand="0" w:firstRowFirstColumn="0" w:firstRowLastColumn="0" w:lastRowFirstColumn="0" w:lastRowLastColumn="0"/>
            </w:pPr>
            <w:r w:rsidRPr="000740FC">
              <w:t>Available to all MPs who lose office, retire or resign.</w:t>
            </w:r>
          </w:p>
        </w:tc>
        <w:tc>
          <w:tcPr>
            <w:tcW w:w="1187" w:type="pct"/>
          </w:tcPr>
          <w:p w14:paraId="17E9AC92" w14:textId="0F0F9866" w:rsidR="00F83D28" w:rsidRPr="000740FC" w:rsidRDefault="00F83D28" w:rsidP="007F5E6D">
            <w:pPr>
              <w:pStyle w:val="Textinthetable"/>
              <w:cnfStyle w:val="000000000000" w:firstRow="0" w:lastRow="0" w:firstColumn="0" w:lastColumn="0" w:oddVBand="0" w:evenVBand="0" w:oddHBand="0" w:evenHBand="0" w:firstRowFirstColumn="0" w:firstRowLastColumn="0" w:lastRowFirstColumn="0" w:lastRowLastColumn="0"/>
              <w:rPr>
                <w:bCs/>
              </w:rPr>
            </w:pPr>
            <w:r w:rsidRPr="000740FC">
              <w:rPr>
                <w:bCs/>
              </w:rPr>
              <w:t>Up to 12 weeks MP basic salary</w:t>
            </w:r>
            <w:r w:rsidRPr="000740FC">
              <w:rPr>
                <w:bCs/>
                <w:vertAlign w:val="superscript"/>
              </w:rPr>
              <w:t>(a)</w:t>
            </w:r>
            <w:r w:rsidRPr="000740FC">
              <w:rPr>
                <w:bCs/>
              </w:rPr>
              <w:t xml:space="preserve"> </w:t>
            </w:r>
          </w:p>
        </w:tc>
        <w:tc>
          <w:tcPr>
            <w:tcW w:w="981" w:type="pct"/>
          </w:tcPr>
          <w:p w14:paraId="7A8E2352" w14:textId="64563787" w:rsidR="00F83D28" w:rsidRPr="000740FC" w:rsidRDefault="00F83D28" w:rsidP="007F5E6D">
            <w:pPr>
              <w:spacing w:after="0"/>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Body CS)"/>
                <w:bCs/>
                <w:color w:val="4D4D4D" w:themeColor="accent6"/>
                <w:sz w:val="22"/>
              </w:rPr>
            </w:pPr>
            <w:r w:rsidRPr="000740FC">
              <w:rPr>
                <w:rFonts w:ascii="Calibri Light" w:eastAsia="Calibri" w:hAnsi="Calibri Light" w:cs="Times New Roman (Body CS)"/>
                <w:bCs/>
                <w:color w:val="4D4D4D" w:themeColor="accent6"/>
                <w:sz w:val="22"/>
              </w:rPr>
              <w:t>38,883</w:t>
            </w:r>
          </w:p>
        </w:tc>
      </w:tr>
      <w:tr w:rsidR="00F83D28" w:rsidRPr="000740FC" w14:paraId="52C014E9" w14:textId="77777777" w:rsidTr="0034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460C65AA" w14:textId="53CE5635" w:rsidR="00F83D28" w:rsidRPr="000740FC" w:rsidRDefault="00F83D28" w:rsidP="007F5E6D">
            <w:pPr>
              <w:pStyle w:val="Textinthetable"/>
              <w:rPr>
                <w:rFonts w:eastAsia="Calibri" w:cs="Times New Roman (Body CS)"/>
              </w:rPr>
            </w:pPr>
            <w:r w:rsidRPr="000740FC">
              <w:rPr>
                <w:rFonts w:eastAsia="Calibri" w:cs="Times New Roman (Body CS)"/>
              </w:rPr>
              <w:t>Queensland</w:t>
            </w:r>
          </w:p>
        </w:tc>
        <w:tc>
          <w:tcPr>
            <w:tcW w:w="1874" w:type="pct"/>
          </w:tcPr>
          <w:p w14:paraId="64A5027F" w14:textId="74D1EA5D"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MP leaves</w:t>
            </w:r>
            <w:r w:rsidR="000F5DD4">
              <w:t xml:space="preserve"> p</w:t>
            </w:r>
            <w:r w:rsidRPr="000740FC">
              <w:t xml:space="preserve">arliament as a result of failing to be pre-selected (for reasons other than misconduct) or </w:t>
            </w:r>
            <w:r w:rsidRPr="000740FC">
              <w:br/>
              <w:t>re-elected, and is not able to access a pension or superannuation benefit related to their parliamentary services immediately upon leaving.</w:t>
            </w:r>
          </w:p>
        </w:tc>
        <w:tc>
          <w:tcPr>
            <w:tcW w:w="1187" w:type="pct"/>
          </w:tcPr>
          <w:p w14:paraId="295DB6E0" w14:textId="554DE33C" w:rsidR="00F83D28" w:rsidRPr="000740FC" w:rsidRDefault="00F83D28" w:rsidP="007F5E6D">
            <w:pPr>
              <w:pStyle w:val="Textinthetable"/>
              <w:cnfStyle w:val="000000100000" w:firstRow="0" w:lastRow="0" w:firstColumn="0" w:lastColumn="0" w:oddVBand="0" w:evenVBand="0" w:oddHBand="1" w:evenHBand="0" w:firstRowFirstColumn="0" w:firstRowLastColumn="0" w:lastRowFirstColumn="0" w:lastRowLastColumn="0"/>
            </w:pPr>
            <w:r w:rsidRPr="000740FC">
              <w:t>12 weeks of MP basic salary</w:t>
            </w:r>
            <w:r w:rsidRPr="000740FC">
              <w:rPr>
                <w:vertAlign w:val="superscript"/>
              </w:rPr>
              <w:t>(c)</w:t>
            </w:r>
          </w:p>
        </w:tc>
        <w:tc>
          <w:tcPr>
            <w:tcW w:w="981" w:type="pct"/>
          </w:tcPr>
          <w:p w14:paraId="0B3D8911" w14:textId="28134A71" w:rsidR="00F83D28" w:rsidRPr="000740FC" w:rsidRDefault="00F83D28" w:rsidP="007F5E6D">
            <w:pPr>
              <w:spacing w:after="0"/>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Body CS)"/>
                <w:color w:val="4D4D4D" w:themeColor="accent6"/>
                <w:sz w:val="22"/>
              </w:rPr>
            </w:pPr>
            <w:r w:rsidRPr="000740FC">
              <w:rPr>
                <w:rFonts w:ascii="Calibri Light" w:eastAsia="Calibri" w:hAnsi="Calibri Light" w:cs="Times New Roman (Body CS)"/>
                <w:color w:val="4D4D4D" w:themeColor="accent6"/>
                <w:sz w:val="22"/>
              </w:rPr>
              <w:t>36,720</w:t>
            </w:r>
          </w:p>
        </w:tc>
      </w:tr>
    </w:tbl>
    <w:p w14:paraId="3E8A28B1" w14:textId="71FF6410" w:rsidR="00E20300" w:rsidRPr="000740FC" w:rsidRDefault="00E20300" w:rsidP="00E20300">
      <w:pPr>
        <w:pStyle w:val="Notesfortablesfigures"/>
      </w:pPr>
      <w:r w:rsidRPr="000740FC">
        <w:t xml:space="preserve">Notes: (a) </w:t>
      </w:r>
      <w:r w:rsidR="000F5DD4">
        <w:t>A</w:t>
      </w:r>
      <w:r w:rsidRPr="000740FC">
        <w:t>mount varies depending on the MP’s length of service</w:t>
      </w:r>
      <w:r w:rsidR="00F04BCE">
        <w:t>.</w:t>
      </w:r>
      <w:r w:rsidRPr="000740FC">
        <w:t xml:space="preserve"> (b) </w:t>
      </w:r>
      <w:r w:rsidR="00F04BCE">
        <w:t>E</w:t>
      </w:r>
      <w:r w:rsidRPr="000740FC">
        <w:t>xisting and former Commonwealth MPs in the Parliamentary Contributory Superannuation Scheme who were elected at or after the 2001 Federal election generally cannot begin receiving a pension until they turn 55 years old</w:t>
      </w:r>
      <w:r w:rsidR="00F04BCE">
        <w:t>.</w:t>
      </w:r>
      <w:r w:rsidRPr="000740FC">
        <w:t xml:space="preserve"> (c) </w:t>
      </w:r>
      <w:r w:rsidR="00F04BCE">
        <w:t>I</w:t>
      </w:r>
      <w:r w:rsidRPr="000740FC">
        <w:t xml:space="preserve">f the former MP was elected before 1 October 2014, the amount is instead equivalent to </w:t>
      </w:r>
      <w:r w:rsidR="00F04BCE">
        <w:t xml:space="preserve">the </w:t>
      </w:r>
      <w:r w:rsidRPr="000740FC">
        <w:t>Commonwealth resettlement allowance.</w:t>
      </w:r>
      <w:r w:rsidR="00954371">
        <w:br/>
      </w:r>
      <w:r w:rsidRPr="000740FC">
        <w:t xml:space="preserve">Sources: </w:t>
      </w:r>
      <w:r w:rsidRPr="000740FC">
        <w:rPr>
          <w:i/>
          <w:iCs/>
        </w:rPr>
        <w:t>Parliamentary Salaries, Allowances and Superannuation Act 1968</w:t>
      </w:r>
      <w:r w:rsidRPr="000740FC">
        <w:t xml:space="preserve"> (Vic); </w:t>
      </w:r>
      <w:r w:rsidRPr="000740FC">
        <w:rPr>
          <w:i/>
          <w:iCs/>
        </w:rPr>
        <w:t>Remuneration Tribunal (Members of Parliament) Determination No. 2 2019</w:t>
      </w:r>
      <w:r w:rsidRPr="000740FC">
        <w:t xml:space="preserve"> (Cth); </w:t>
      </w:r>
      <w:r w:rsidRPr="000740FC">
        <w:rPr>
          <w:i/>
          <w:iCs/>
        </w:rPr>
        <w:t>Members’ Remuneration Handbook</w:t>
      </w:r>
      <w:r w:rsidRPr="000740FC">
        <w:t xml:space="preserve"> (Qld); </w:t>
      </w:r>
      <w:r w:rsidRPr="000740FC">
        <w:rPr>
          <w:i/>
          <w:iCs/>
        </w:rPr>
        <w:t>Parliamentary Remuneration Act 1990</w:t>
      </w:r>
      <w:r w:rsidRPr="000740FC">
        <w:t xml:space="preserve"> (SA); </w:t>
      </w:r>
      <w:r w:rsidRPr="000740FC">
        <w:rPr>
          <w:i/>
          <w:iCs/>
        </w:rPr>
        <w:t>Determination (Members of Parliament) 2017</w:t>
      </w:r>
      <w:r w:rsidRPr="000740FC">
        <w:t xml:space="preserve"> (WA); </w:t>
      </w:r>
      <w:r w:rsidRPr="000740FC">
        <w:rPr>
          <w:i/>
          <w:iCs/>
        </w:rPr>
        <w:t>Remuneration Tribunal Report and Determination No. 1 of 20</w:t>
      </w:r>
      <w:r w:rsidR="008B4559">
        <w:rPr>
          <w:i/>
          <w:iCs/>
        </w:rPr>
        <w:t>20</w:t>
      </w:r>
      <w:r w:rsidRPr="000740FC">
        <w:t xml:space="preserve"> (NT); </w:t>
      </w:r>
      <w:r w:rsidRPr="000740FC">
        <w:rPr>
          <w:i/>
          <w:iCs/>
        </w:rPr>
        <w:t>Determination 1 of 2016 – Members of the ACT Legislative Assembly</w:t>
      </w:r>
      <w:r w:rsidRPr="000740FC">
        <w:t xml:space="preserve"> (ACT).</w:t>
      </w:r>
    </w:p>
    <w:p w14:paraId="14A299EC" w14:textId="77777777" w:rsidR="00D342D7" w:rsidRPr="000740FC" w:rsidRDefault="00D342D7" w:rsidP="008D22A9">
      <w:pPr>
        <w:pStyle w:val="Chapterheading"/>
        <w:rPr>
          <w:lang w:val="en-AU"/>
        </w:rPr>
        <w:sectPr w:rsidR="00D342D7" w:rsidRPr="000740FC" w:rsidSect="0076507C">
          <w:footerReference w:type="first" r:id="rId43"/>
          <w:pgSz w:w="16840" w:h="11900" w:orient="landscape"/>
          <w:pgMar w:top="1701" w:right="1701" w:bottom="1559" w:left="1701" w:header="709" w:footer="709" w:gutter="0"/>
          <w:cols w:space="708"/>
          <w:titlePg/>
          <w:docGrid w:linePitch="299"/>
        </w:sectPr>
      </w:pPr>
    </w:p>
    <w:p w14:paraId="5547DD80" w14:textId="665FFB8F" w:rsidR="00E20300" w:rsidRPr="000740FC" w:rsidRDefault="00E35E14" w:rsidP="00DB774D">
      <w:pPr>
        <w:pStyle w:val="VIRTHeading2"/>
      </w:pPr>
      <w:bookmarkStart w:id="52" w:name="_Toc50990419"/>
      <w:bookmarkStart w:id="53" w:name="_Toc51234128"/>
      <w:r w:rsidRPr="000740FC">
        <w:lastRenderedPageBreak/>
        <w:t>2</w:t>
      </w:r>
      <w:r w:rsidR="00E20300" w:rsidRPr="000740FC">
        <w:t>.3 Superannuation arrangements for other Victorian Government roles</w:t>
      </w:r>
      <w:bookmarkEnd w:id="52"/>
      <w:bookmarkEnd w:id="53"/>
    </w:p>
    <w:p w14:paraId="5F486782" w14:textId="7E0C32E7" w:rsidR="00E20300" w:rsidRPr="00CB0339" w:rsidRDefault="00E20300" w:rsidP="00B33183">
      <w:pPr>
        <w:pStyle w:val="Paragraph"/>
      </w:pPr>
      <w:r w:rsidRPr="00CB0339">
        <w:t>Most Victorian public sector employees employed from 1994 are members of accumulation superannuation schemes.</w:t>
      </w:r>
      <w:r w:rsidR="00000654">
        <w:t xml:space="preserve"> </w:t>
      </w:r>
      <w:r w:rsidRPr="00CB0339">
        <w:t>Defined benefit schemes and pensions remain open to a limited number of public sector roles</w:t>
      </w:r>
      <w:r w:rsidR="0DEA79FA" w:rsidRPr="00CB0339">
        <w:t xml:space="preserve"> including</w:t>
      </w:r>
      <w:r w:rsidRPr="00CB0339">
        <w:t xml:space="preserve"> operational employees of emergency service entities</w:t>
      </w:r>
      <w:r w:rsidR="29B8954F" w:rsidRPr="00CB0339">
        <w:t xml:space="preserve"> and </w:t>
      </w:r>
      <w:r w:rsidR="7DAFB2BA" w:rsidRPr="00CB0339">
        <w:t>certain</w:t>
      </w:r>
      <w:r w:rsidR="29B8954F" w:rsidRPr="00CB0339">
        <w:t xml:space="preserve"> jud</w:t>
      </w:r>
      <w:r w:rsidR="57E835D2" w:rsidRPr="00CB0339">
        <w:t>icial roles</w:t>
      </w:r>
      <w:r w:rsidRPr="00CB0339">
        <w:t>.</w:t>
      </w:r>
    </w:p>
    <w:p w14:paraId="77B7D9B0" w14:textId="77777777" w:rsidR="00E20300" w:rsidRPr="000740FC" w:rsidRDefault="00E20300" w:rsidP="008B650F">
      <w:pPr>
        <w:pStyle w:val="VIRTheading40"/>
      </w:pPr>
      <w:r w:rsidRPr="000740FC">
        <w:t>Accumulation schemes</w:t>
      </w:r>
    </w:p>
    <w:p w14:paraId="6327319E" w14:textId="510F6C00" w:rsidR="00E20300" w:rsidRPr="000740FC" w:rsidRDefault="00E20300" w:rsidP="00B33183">
      <w:pPr>
        <w:pStyle w:val="Paragraph"/>
      </w:pPr>
      <w:r w:rsidRPr="000740FC">
        <w:t>If a public sector employee is in an accumulation scheme, their employer will, by default, make the minimum contribution required under Commonwealth law (i.e. 9.5 per cent</w:t>
      </w:r>
      <w:r w:rsidR="001348F7">
        <w:t xml:space="preserve"> of ordinary time earnings</w:t>
      </w:r>
      <w:r w:rsidRPr="000740FC">
        <w:t>) to the employee’s nominated fund. Employers may also make additional contributions on behalf of the employee under salary sacrifice or salary packaging arrangements.</w:t>
      </w:r>
    </w:p>
    <w:p w14:paraId="71A75DD3" w14:textId="77777777" w:rsidR="00E20300" w:rsidRPr="000740FC" w:rsidRDefault="00E20300" w:rsidP="008B650F">
      <w:pPr>
        <w:pStyle w:val="VIRTheading40"/>
      </w:pPr>
      <w:r w:rsidRPr="000740FC">
        <w:t xml:space="preserve">Defined benefit schemes for operational employees in emergency services </w:t>
      </w:r>
    </w:p>
    <w:p w14:paraId="491EABEC" w14:textId="7271FC90" w:rsidR="00E20300" w:rsidRPr="000740FC" w:rsidRDefault="00E20300" w:rsidP="00B33183">
      <w:pPr>
        <w:pStyle w:val="Paragraph"/>
        <w:rPr>
          <w:b/>
        </w:rPr>
      </w:pPr>
      <w:r w:rsidRPr="000740FC">
        <w:t>Prior to the 1990s, almost all employees in the Victorian public sector (including the Victorian Public Service) were members of a defined benefit scheme.</w:t>
      </w:r>
      <w:r w:rsidRPr="000740FC">
        <w:rPr>
          <w:rStyle w:val="FootnoteReference"/>
        </w:rPr>
        <w:footnoteReference w:id="26"/>
      </w:r>
      <w:r w:rsidRPr="000740FC">
        <w:t xml:space="preserve"> Due to </w:t>
      </w:r>
      <w:r w:rsidR="5FF64A25" w:rsidRPr="000740FC">
        <w:t>challenges with</w:t>
      </w:r>
      <w:r w:rsidRPr="000740FC">
        <w:t xml:space="preserve"> funding those schemes, most of them were closed to new members on 1 January 1994</w:t>
      </w:r>
      <w:r w:rsidR="3AA1ED83" w:rsidRPr="000740FC">
        <w:t xml:space="preserve"> </w:t>
      </w:r>
      <w:r w:rsidR="3AA1ED83" w:rsidRPr="19C23C82">
        <w:rPr>
          <w:rFonts w:eastAsia="Calibri Light" w:cs="Calibri Light"/>
        </w:rPr>
        <w:t>(appendix A)</w:t>
      </w:r>
      <w:r w:rsidRPr="000740FC">
        <w:t xml:space="preserve">. An exception </w:t>
      </w:r>
      <w:r w:rsidRPr="00021C28">
        <w:t>is the ESSS</w:t>
      </w:r>
      <w:r w:rsidR="00A219AA" w:rsidRPr="00021C28">
        <w:t>.</w:t>
      </w:r>
      <w:r w:rsidRPr="00021C28">
        <w:rPr>
          <w:rStyle w:val="FootnoteReference"/>
        </w:rPr>
        <w:footnoteReference w:id="27"/>
      </w:r>
      <w:r w:rsidR="1BA77DBC" w:rsidRPr="00021C28">
        <w:t xml:space="preserve"> </w:t>
      </w:r>
      <w:r w:rsidRPr="00021C28">
        <w:t>Members of the ESSS</w:t>
      </w:r>
      <w:r w:rsidRPr="000740FC">
        <w:t xml:space="preserve"> defined benefit fund are not required to contribute to the fund, although if they choose to do so they are eligible for a greater superannuation benefit. The superannuation benefit is ordinarily provided as a lump sum. Generally speaking, the maximum benefit is equal to 7.5 times the member’s average salary over the last </w:t>
      </w:r>
      <w:r w:rsidR="000A3D65">
        <w:t>2</w:t>
      </w:r>
      <w:r w:rsidRPr="000740FC">
        <w:t xml:space="preserve"> years of employment (or 8.4 times in circumstances where an untaxed benefit is payable).</w:t>
      </w:r>
    </w:p>
    <w:p w14:paraId="38B6627D" w14:textId="77777777" w:rsidR="00E20300" w:rsidRPr="000740FC" w:rsidRDefault="00E20300" w:rsidP="008B650F">
      <w:pPr>
        <w:pStyle w:val="VIRTheading40"/>
      </w:pPr>
      <w:r w:rsidRPr="000740FC">
        <w:t>Judicial pensions</w:t>
      </w:r>
    </w:p>
    <w:p w14:paraId="47ED2283" w14:textId="77777777" w:rsidR="00E20300" w:rsidRPr="000740FC" w:rsidRDefault="00E20300" w:rsidP="00B33183">
      <w:pPr>
        <w:pStyle w:val="Paragraph"/>
      </w:pPr>
      <w:r w:rsidRPr="000740FC">
        <w:t>Judges of the Supreme Court and County Court of Victoria may be eligible for a judicial pension when they retire.</w:t>
      </w:r>
      <w:r w:rsidRPr="000740FC">
        <w:rPr>
          <w:rStyle w:val="FootnoteReference"/>
        </w:rPr>
        <w:footnoteReference w:id="28"/>
      </w:r>
      <w:r w:rsidRPr="000740FC">
        <w:t xml:space="preserve"> Similar arrangements are also provided for the Chief Magistrate of the Magistrates’ Court of Victoria.</w:t>
      </w:r>
      <w:r w:rsidRPr="000740FC">
        <w:rPr>
          <w:rStyle w:val="FootnoteReference"/>
        </w:rPr>
        <w:footnoteReference w:id="29"/>
      </w:r>
      <w:r w:rsidRPr="000740FC">
        <w:t xml:space="preserve"> Judges are not required to make contributions from their salary to be eligible for the pension.</w:t>
      </w:r>
    </w:p>
    <w:p w14:paraId="6F51D1E8" w14:textId="143C2934" w:rsidR="00E20300" w:rsidRPr="000740FC" w:rsidRDefault="00E20300" w:rsidP="00B33183">
      <w:pPr>
        <w:pStyle w:val="Parabeforeabulletlist"/>
      </w:pPr>
      <w:r w:rsidRPr="000740FC">
        <w:lastRenderedPageBreak/>
        <w:t>Generally speaking, judges appointed on or after 18 May 1995</w:t>
      </w:r>
      <w:r w:rsidRPr="000740FC">
        <w:rPr>
          <w:rStyle w:val="FootnoteReference"/>
        </w:rPr>
        <w:footnoteReference w:id="30"/>
      </w:r>
      <w:r w:rsidRPr="000740FC">
        <w:t xml:space="preserve"> are eligible for a judicial pension if one of the following applies:</w:t>
      </w:r>
    </w:p>
    <w:p w14:paraId="30EE94B6" w14:textId="11D0ECDE" w:rsidR="00E20300" w:rsidRPr="000740FC" w:rsidRDefault="00E20300" w:rsidP="003D5E1B">
      <w:pPr>
        <w:pStyle w:val="VIRTBulletpoints"/>
      </w:pPr>
      <w:r>
        <w:t xml:space="preserve">they are at least 65 </w:t>
      </w:r>
      <w:r w:rsidR="5EA0F04C">
        <w:t xml:space="preserve">years </w:t>
      </w:r>
      <w:r>
        <w:t>when they resign or retire and have served at least 10 years</w:t>
      </w:r>
    </w:p>
    <w:p w14:paraId="4BCBE574" w14:textId="77777777" w:rsidR="00E20300" w:rsidRPr="000740FC" w:rsidRDefault="00E20300" w:rsidP="003D5E1B">
      <w:pPr>
        <w:pStyle w:val="VIRTBulletpoints"/>
      </w:pPr>
      <w:r w:rsidRPr="000740FC">
        <w:t>they served at least 20 years</w:t>
      </w:r>
    </w:p>
    <w:p w14:paraId="682E7D16" w14:textId="77777777" w:rsidR="00E20300" w:rsidRPr="000740FC" w:rsidRDefault="00E20300" w:rsidP="003D5E1B">
      <w:pPr>
        <w:pStyle w:val="VIRTBulletpoints"/>
      </w:pPr>
      <w:r w:rsidRPr="000740FC">
        <w:t>they become afflicted with a permanent incapacity preventing them from carrying out their duties and were appointed before the age of 60.</w:t>
      </w:r>
    </w:p>
    <w:p w14:paraId="0915F57F" w14:textId="77777777" w:rsidR="005339AD" w:rsidRDefault="00E20300" w:rsidP="00B33183">
      <w:pPr>
        <w:pStyle w:val="Paragraph"/>
      </w:pPr>
      <w:r w:rsidRPr="000740FC">
        <w:t xml:space="preserve">The maximum pension paid to eligible former judges is equal to 60 per cent of the current salary paid to holders of that office. Upon the judge’s death, a reduced pension reverts to their partner or eligible children. </w:t>
      </w:r>
    </w:p>
    <w:p w14:paraId="3EB44629" w14:textId="1AD3CA78" w:rsidR="006E7503" w:rsidRPr="00994A93" w:rsidRDefault="00994A93" w:rsidP="00DB774D">
      <w:pPr>
        <w:pStyle w:val="VIRTHeading2"/>
        <w:rPr>
          <w:lang w:val="en-AU"/>
        </w:rPr>
      </w:pPr>
      <w:bookmarkStart w:id="54" w:name="_Toc50990420"/>
      <w:bookmarkStart w:id="55" w:name="_Toc51234129"/>
      <w:r>
        <w:rPr>
          <w:lang w:val="en-AU"/>
        </w:rPr>
        <w:t>2</w:t>
      </w:r>
      <w:r w:rsidRPr="00994A93">
        <w:rPr>
          <w:lang w:val="en-AU"/>
        </w:rPr>
        <w:t>.</w:t>
      </w:r>
      <w:r>
        <w:rPr>
          <w:lang w:val="en-AU"/>
        </w:rPr>
        <w:t>4</w:t>
      </w:r>
      <w:r w:rsidRPr="00994A93">
        <w:rPr>
          <w:lang w:val="en-AU"/>
        </w:rPr>
        <w:t xml:space="preserve"> Summary</w:t>
      </w:r>
      <w:bookmarkEnd w:id="54"/>
      <w:bookmarkEnd w:id="55"/>
    </w:p>
    <w:p w14:paraId="4EC00832" w14:textId="312B2FEB" w:rsidR="006E7503" w:rsidRPr="00CB0339" w:rsidRDefault="0011382F" w:rsidP="00B33183">
      <w:pPr>
        <w:pStyle w:val="Paragraph"/>
      </w:pPr>
      <w:r w:rsidRPr="00CB0339">
        <w:t>Compulsory superannuation is one pillar of the Australian Government’s retirement income policy.</w:t>
      </w:r>
      <w:r w:rsidR="00F45C1F" w:rsidRPr="00CB0339">
        <w:t xml:space="preserve"> Since the introduction of the </w:t>
      </w:r>
      <w:r w:rsidR="00382F5E">
        <w:t>SG</w:t>
      </w:r>
      <w:r w:rsidR="00BC1B85">
        <w:t xml:space="preserve"> percentage</w:t>
      </w:r>
      <w:r w:rsidRPr="00CB0339">
        <w:t>, employers</w:t>
      </w:r>
      <w:r w:rsidR="00F45C1F" w:rsidRPr="00CB0339">
        <w:t xml:space="preserve"> are</w:t>
      </w:r>
      <w:r w:rsidRPr="00CB0339">
        <w:t xml:space="preserve"> required to make </w:t>
      </w:r>
      <w:r w:rsidR="001276FB" w:rsidRPr="00CB0339">
        <w:t xml:space="preserve">a minimum rate of </w:t>
      </w:r>
      <w:r w:rsidRPr="00CB0339">
        <w:t xml:space="preserve">superannuation contributions on behalf of </w:t>
      </w:r>
      <w:r w:rsidR="00BE433F" w:rsidRPr="00CB0339">
        <w:t>most</w:t>
      </w:r>
      <w:r w:rsidRPr="00CB0339">
        <w:t xml:space="preserve"> employees</w:t>
      </w:r>
      <w:r w:rsidR="00845D49" w:rsidRPr="00CB0339">
        <w:t>. Currently this rate is</w:t>
      </w:r>
      <w:r w:rsidR="00BE433F" w:rsidRPr="00CB0339">
        <w:t xml:space="preserve"> </w:t>
      </w:r>
      <w:r w:rsidRPr="00CB0339">
        <w:t>9.5 per cent of</w:t>
      </w:r>
      <w:r w:rsidR="0072335F" w:rsidRPr="00CB0339">
        <w:t xml:space="preserve"> their</w:t>
      </w:r>
      <w:r w:rsidRPr="00CB0339">
        <w:t xml:space="preserve"> ordinary time earnings</w:t>
      </w:r>
      <w:r w:rsidR="00994A93" w:rsidRPr="00CB0339">
        <w:t>.</w:t>
      </w:r>
      <w:r w:rsidR="000F6290" w:rsidRPr="00CB0339">
        <w:t xml:space="preserve"> Nonetheless, most Australians do not have enough superannuation to rely </w:t>
      </w:r>
      <w:r w:rsidR="00932AF1">
        <w:t xml:space="preserve">solely </w:t>
      </w:r>
      <w:r w:rsidR="000F6290" w:rsidRPr="00CB0339">
        <w:t xml:space="preserve">on those funds in retirement, and the main source of income of retirees is the </w:t>
      </w:r>
      <w:r w:rsidR="00A72AD9" w:rsidRPr="00CB0339">
        <w:t>A</w:t>
      </w:r>
      <w:r w:rsidR="000F6290" w:rsidRPr="00CB0339">
        <w:t xml:space="preserve">ge </w:t>
      </w:r>
      <w:r w:rsidR="00A72AD9" w:rsidRPr="00CB0339">
        <w:t>P</w:t>
      </w:r>
      <w:r w:rsidR="000F6290" w:rsidRPr="00CB0339">
        <w:t>ension.</w:t>
      </w:r>
    </w:p>
    <w:p w14:paraId="280F7715" w14:textId="77777777" w:rsidR="001F5D7D" w:rsidRDefault="00E63BBA" w:rsidP="006E7503">
      <w:pPr>
        <w:pStyle w:val="Paragraph"/>
      </w:pPr>
      <w:r w:rsidRPr="00CB0339">
        <w:t xml:space="preserve">While </w:t>
      </w:r>
      <w:r w:rsidR="00E8528A" w:rsidRPr="00CB0339">
        <w:t>Victorian public servants</w:t>
      </w:r>
      <w:r w:rsidR="00E8528A">
        <w:t xml:space="preserve"> and</w:t>
      </w:r>
      <w:r w:rsidR="00E8528A" w:rsidRPr="00CB0339">
        <w:t xml:space="preserve"> </w:t>
      </w:r>
      <w:r w:rsidRPr="00CB0339">
        <w:t>MPs were covered by defined benefit schemes until the</w:t>
      </w:r>
      <w:r w:rsidR="00CB0339">
        <w:t xml:space="preserve"> 1990s </w:t>
      </w:r>
      <w:r w:rsidR="009667FB">
        <w:t>and</w:t>
      </w:r>
      <w:r w:rsidR="00CB0339">
        <w:t xml:space="preserve"> early 2000s</w:t>
      </w:r>
      <w:r w:rsidR="00E8528A">
        <w:t xml:space="preserve"> respectively</w:t>
      </w:r>
      <w:r w:rsidRPr="00CB0339">
        <w:t xml:space="preserve">, </w:t>
      </w:r>
      <w:r w:rsidR="00A02B51" w:rsidRPr="00CB0339">
        <w:t xml:space="preserve">most of </w:t>
      </w:r>
      <w:r w:rsidR="011C002D" w:rsidRPr="00CB0339">
        <w:t>these</w:t>
      </w:r>
      <w:r w:rsidRPr="00CB0339">
        <w:t xml:space="preserve"> schemes were closed to new members</w:t>
      </w:r>
      <w:r w:rsidR="00A02B51" w:rsidRPr="00CB0339">
        <w:t>.</w:t>
      </w:r>
      <w:r w:rsidR="00BA2C15" w:rsidRPr="00CB0339">
        <w:t xml:space="preserve"> The</w:t>
      </w:r>
      <w:r w:rsidR="00B37052" w:rsidRPr="00CB0339">
        <w:t>y</w:t>
      </w:r>
      <w:r w:rsidR="00BA2C15" w:rsidRPr="00CB0339">
        <w:t xml:space="preserve"> were replaced by </w:t>
      </w:r>
      <w:r w:rsidR="00B37052" w:rsidRPr="00CB0339">
        <w:t>a</w:t>
      </w:r>
      <w:r w:rsidR="00BA2C15" w:rsidRPr="00CB0339">
        <w:t>ccumulation schemes</w:t>
      </w:r>
      <w:r w:rsidR="00B37052" w:rsidRPr="00CB0339">
        <w:t xml:space="preserve">, which </w:t>
      </w:r>
      <w:r w:rsidR="00BA2C15" w:rsidRPr="00CB0339">
        <w:t>are mandatory for all new MPs.</w:t>
      </w:r>
      <w:r w:rsidR="00E342FF" w:rsidRPr="00CB0339">
        <w:t xml:space="preserve"> </w:t>
      </w:r>
    </w:p>
    <w:p w14:paraId="14363AA2" w14:textId="2204AA8C" w:rsidR="006E7503" w:rsidRPr="00CB0339" w:rsidRDefault="00D554D6" w:rsidP="006E7503">
      <w:pPr>
        <w:pStyle w:val="Paragraph"/>
      </w:pPr>
      <w:r w:rsidRPr="00CB0339">
        <w:t>Of all Australian jurisdictions, Victoria’s accumulation scheme provides MPs with the highest contribution</w:t>
      </w:r>
      <w:r w:rsidR="00E26204">
        <w:t>s</w:t>
      </w:r>
      <w:r w:rsidRPr="00CB0339">
        <w:t xml:space="preserve"> in percentage terms and the third highest contributions of any jurisdiction in dollar terms, behind the Commonwealth and South Australia.</w:t>
      </w:r>
      <w:r w:rsidR="005244D5" w:rsidRPr="00CB0339">
        <w:t xml:space="preserve"> </w:t>
      </w:r>
      <w:r w:rsidR="00286635" w:rsidRPr="00CB0339">
        <w:t>Most Australian jurisdictions</w:t>
      </w:r>
      <w:r w:rsidRPr="00CB0339">
        <w:t xml:space="preserve"> also provide a one-off payment to MPs </w:t>
      </w:r>
      <w:r w:rsidR="00932AF1">
        <w:t>who</w:t>
      </w:r>
      <w:r w:rsidRPr="00CB0339">
        <w:t xml:space="preserve"> leave </w:t>
      </w:r>
      <w:r w:rsidR="00E26204">
        <w:t>p</w:t>
      </w:r>
      <w:r w:rsidRPr="00CB0339">
        <w:t>arliament in particular circumstances</w:t>
      </w:r>
      <w:r w:rsidR="00286635" w:rsidRPr="00CB0339">
        <w:t>, and while the size of the payment in Victoria falls in the middle of the range, Victoria has fewer eligibility requirements than most jurisdictions.</w:t>
      </w:r>
    </w:p>
    <w:p w14:paraId="06506272" w14:textId="4A39744E" w:rsidR="007B61C5" w:rsidRDefault="008C5043" w:rsidP="006E7503">
      <w:pPr>
        <w:pStyle w:val="Paragraph"/>
      </w:pPr>
      <w:r w:rsidRPr="00CB0339">
        <w:t>Chapter 3 provides a</w:t>
      </w:r>
      <w:r w:rsidR="0059034C" w:rsidRPr="00CB0339">
        <w:t>n</w:t>
      </w:r>
      <w:r w:rsidRPr="00CB0339">
        <w:t xml:space="preserve"> </w:t>
      </w:r>
      <w:r w:rsidR="001F5D7D">
        <w:t xml:space="preserve">historical </w:t>
      </w:r>
      <w:r w:rsidRPr="00CB0339">
        <w:t xml:space="preserve">overview of superannuation for </w:t>
      </w:r>
      <w:r w:rsidR="0059034C" w:rsidRPr="00CB0339">
        <w:t xml:space="preserve">Victorian </w:t>
      </w:r>
      <w:r w:rsidRPr="00CB0339">
        <w:t>MPs and summarises the key features and rules of the superannuation schemes</w:t>
      </w:r>
      <w:r w:rsidR="0059034C" w:rsidRPr="00CB0339">
        <w:t>.</w:t>
      </w:r>
      <w:r w:rsidR="007B61C5">
        <w:t xml:space="preserve">  </w:t>
      </w:r>
    </w:p>
    <w:p w14:paraId="192FC27C" w14:textId="5DD0CA4C" w:rsidR="007B61C5" w:rsidRDefault="002A4CA0">
      <w:pPr>
        <w:spacing w:after="80"/>
        <w:rPr>
          <w:rFonts w:ascii="Calibri Light" w:eastAsia="Rockwell" w:hAnsi="Calibri Light" w:cs="Arial"/>
          <w:color w:val="4D4D4D" w:themeColor="accent6"/>
          <w:sz w:val="26"/>
          <w:szCs w:val="20"/>
        </w:rPr>
      </w:pPr>
      <w:r>
        <w:rPr>
          <w:noProof/>
        </w:rPr>
        <w:lastRenderedPageBreak/>
        <mc:AlternateContent>
          <mc:Choice Requires="wps">
            <w:drawing>
              <wp:anchor distT="0" distB="0" distL="114300" distR="114300" simplePos="0" relativeHeight="251661322" behindDoc="0" locked="0" layoutInCell="1" allowOverlap="1" wp14:anchorId="1D0791F2" wp14:editId="2DEDB5DA">
                <wp:simplePos x="0" y="0"/>
                <wp:positionH relativeFrom="margin">
                  <wp:align>center</wp:align>
                </wp:positionH>
                <wp:positionV relativeFrom="paragraph">
                  <wp:posOffset>8890000</wp:posOffset>
                </wp:positionV>
                <wp:extent cx="450850" cy="311150"/>
                <wp:effectExtent l="0" t="0" r="6350" b="0"/>
                <wp:wrapNone/>
                <wp:docPr id="25" name="Rectangle 25"/>
                <wp:cNvGraphicFramePr/>
                <a:graphic xmlns:a="http://schemas.openxmlformats.org/drawingml/2006/main">
                  <a:graphicData uri="http://schemas.microsoft.com/office/word/2010/wordprocessingShape">
                    <wps:wsp>
                      <wps:cNvSpPr/>
                      <wps:spPr>
                        <a:xfrm>
                          <a:off x="0" y="0"/>
                          <a:ext cx="450850" cy="3111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ACAC7" id="Rectangle 25" o:spid="_x0000_s1026" style="position:absolute;margin-left:0;margin-top:700pt;width:35.5pt;height:24.5pt;z-index:25166132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" fillcolor="white [3212]" stroked="f">
                <w10:wrap anchorx="margin"/>
              </v:rect>
            </w:pict>
          </mc:Fallback>
        </mc:AlternateContent>
      </w:r>
      <w:r w:rsidR="007B61C5">
        <w:br w:type="page"/>
      </w:r>
    </w:p>
    <w:p w14:paraId="30E1319F" w14:textId="5CC71DD8" w:rsidR="00FB5E3A" w:rsidRDefault="00FB5E3A" w:rsidP="006E7503">
      <w:pPr>
        <w:pStyle w:val="Paragraph"/>
        <w:sectPr w:rsidR="00FB5E3A" w:rsidSect="0052634F">
          <w:footerReference w:type="first" r:id="rId44"/>
          <w:pgSz w:w="11900" w:h="16840"/>
          <w:pgMar w:top="1701" w:right="1701" w:bottom="1559" w:left="1701" w:header="709" w:footer="709" w:gutter="0"/>
          <w:cols w:space="708"/>
          <w:titlePg/>
          <w:docGrid w:linePitch="299"/>
        </w:sectPr>
      </w:pPr>
    </w:p>
    <w:p w14:paraId="771E9CD8" w14:textId="613EBAC8" w:rsidR="00C41027" w:rsidRPr="000740FC" w:rsidRDefault="00845F0C" w:rsidP="00BF2DB2">
      <w:pPr>
        <w:pStyle w:val="ChapterHeading0"/>
        <w:rPr>
          <w:lang w:val="en-AU"/>
        </w:rPr>
      </w:pPr>
      <w:bookmarkStart w:id="56" w:name="_Toc50990421"/>
      <w:bookmarkStart w:id="57" w:name="_Toc51234130"/>
      <w:r w:rsidRPr="000740FC">
        <w:rPr>
          <w:lang w:val="en-AU"/>
        </w:rPr>
        <w:lastRenderedPageBreak/>
        <w:t>3</w:t>
      </w:r>
      <w:r w:rsidR="004A5467" w:rsidRPr="000740FC" w:rsidDel="00CA7B35">
        <w:rPr>
          <w:lang w:val="en-AU"/>
        </w:rPr>
        <w:t xml:space="preserve"> </w:t>
      </w:r>
      <w:r w:rsidR="00BF1ABD" w:rsidRPr="000740FC">
        <w:rPr>
          <w:lang w:val="en-AU"/>
        </w:rPr>
        <w:t>Overview of</w:t>
      </w:r>
      <w:r w:rsidR="004A5467" w:rsidRPr="000740FC" w:rsidDel="00CA7B35">
        <w:rPr>
          <w:lang w:val="en-AU"/>
        </w:rPr>
        <w:t xml:space="preserve"> </w:t>
      </w:r>
      <w:r w:rsidR="3B3D3601" w:rsidRPr="000740FC" w:rsidDel="00CA7B35">
        <w:rPr>
          <w:lang w:val="en-AU"/>
        </w:rPr>
        <w:t xml:space="preserve">Victorian </w:t>
      </w:r>
      <w:r w:rsidR="004A5467" w:rsidRPr="000740FC">
        <w:rPr>
          <w:lang w:val="en-AU"/>
        </w:rPr>
        <w:t>MP</w:t>
      </w:r>
      <w:r w:rsidR="00002DE0" w:rsidRPr="000740FC">
        <w:rPr>
          <w:lang w:val="en-AU"/>
        </w:rPr>
        <w:t xml:space="preserve"> superannuation arrangement</w:t>
      </w:r>
      <w:r w:rsidR="00CB4FE5" w:rsidRPr="000740FC">
        <w:rPr>
          <w:lang w:val="en-AU"/>
        </w:rPr>
        <w:t>s</w:t>
      </w:r>
      <w:r w:rsidR="00C41027" w:rsidRPr="000740FC">
        <w:rPr>
          <w:lang w:val="en-AU"/>
        </w:rPr>
        <w:br/>
      </w:r>
      <w:r w:rsidR="00AA5BA2" w:rsidRPr="000740FC">
        <w:rPr>
          <w:lang w:val="en-AU"/>
        </w:rPr>
        <w:drawing>
          <wp:inline distT="0" distB="0" distL="0" distR="0" wp14:anchorId="56D11475" wp14:editId="2E0AA91E">
            <wp:extent cx="2218055" cy="254635"/>
            <wp:effectExtent l="0" t="0" r="0" b="0"/>
            <wp:docPr id="1269490297" name="Picture 126949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56"/>
      <w:bookmarkEnd w:id="57"/>
    </w:p>
    <w:p w14:paraId="4CEDB31A" w14:textId="0021B897" w:rsidR="00586AF3" w:rsidRPr="000740FC" w:rsidRDefault="00586AF3" w:rsidP="00B33183">
      <w:pPr>
        <w:pStyle w:val="Paragraph"/>
      </w:pPr>
      <w:r w:rsidRPr="000740FC">
        <w:t xml:space="preserve">This chapter provides a brief overview of key events in the history of superannuation for MPs in the Parliament of Victoria </w:t>
      </w:r>
      <w:r w:rsidR="00287866">
        <w:t>—</w:t>
      </w:r>
      <w:r w:rsidRPr="000740FC">
        <w:t xml:space="preserve"> including the rationale for MP superannuation arrangements </w:t>
      </w:r>
      <w:r w:rsidR="00287866">
        <w:t>—</w:t>
      </w:r>
      <w:r w:rsidRPr="000740FC">
        <w:t xml:space="preserve"> and summarises the key features and rules of the superannuation schemes under review.</w:t>
      </w:r>
    </w:p>
    <w:p w14:paraId="4B37D2F1" w14:textId="0EF8CB2C" w:rsidR="0013051E" w:rsidRPr="000740FC" w:rsidRDefault="0013051E" w:rsidP="00B33183">
      <w:pPr>
        <w:pStyle w:val="Paragraph"/>
      </w:pPr>
      <w:r w:rsidRPr="000740FC">
        <w:t xml:space="preserve">Further information about how MP superannuation arrangements have been influenced by the unique roles, responsibilities and employment arrangements of MPs and </w:t>
      </w:r>
      <w:r w:rsidR="00586AF3" w:rsidRPr="000740FC">
        <w:t>superannuation for other occupations</w:t>
      </w:r>
      <w:r w:rsidRPr="000740FC">
        <w:t xml:space="preserve"> is provided in </w:t>
      </w:r>
      <w:r w:rsidR="08B03CF2" w:rsidRPr="000740FC">
        <w:t>a</w:t>
      </w:r>
      <w:r w:rsidRPr="000740FC">
        <w:t xml:space="preserve">ppendix </w:t>
      </w:r>
      <w:r w:rsidR="0082783D">
        <w:t>A</w:t>
      </w:r>
      <w:r w:rsidRPr="000740FC">
        <w:t>.</w:t>
      </w:r>
    </w:p>
    <w:p w14:paraId="13BF81E8" w14:textId="2D4F4671" w:rsidR="00705763" w:rsidRPr="000740FC" w:rsidRDefault="71FDA30E" w:rsidP="00C75938">
      <w:pPr>
        <w:pStyle w:val="VIRTHeading2"/>
        <w:rPr>
          <w:lang w:val="en-AU"/>
        </w:rPr>
      </w:pPr>
      <w:bookmarkStart w:id="58" w:name="_Toc50990422"/>
      <w:bookmarkStart w:id="59" w:name="_Toc51234131"/>
      <w:r w:rsidRPr="000740FC">
        <w:rPr>
          <w:lang w:val="en-AU"/>
        </w:rPr>
        <w:t xml:space="preserve">3.1 </w:t>
      </w:r>
      <w:r w:rsidR="00364222" w:rsidRPr="000740FC">
        <w:rPr>
          <w:lang w:val="en-AU"/>
        </w:rPr>
        <w:t>Key historical events</w:t>
      </w:r>
      <w:bookmarkEnd w:id="58"/>
      <w:bookmarkEnd w:id="59"/>
    </w:p>
    <w:p w14:paraId="4D3BB047" w14:textId="407C19FE" w:rsidR="00E53D96" w:rsidRPr="000740FC" w:rsidRDefault="00E53D96" w:rsidP="00B33183">
      <w:pPr>
        <w:pStyle w:val="Paragraphbeforeabulletlist"/>
      </w:pPr>
      <w:r w:rsidRPr="000740FC">
        <w:t>The State of Victoria first introduced superannuation coverage for its MPs in 1946,</w:t>
      </w:r>
      <w:r w:rsidRPr="000740FC">
        <w:rPr>
          <w:rStyle w:val="FootnoteReference"/>
        </w:rPr>
        <w:footnoteReference w:id="31"/>
      </w:r>
      <w:r w:rsidRPr="000740FC">
        <w:t xml:space="preserve"> to provide support for MPs who lost their seats and did not have the financial means to support themselves. At the time, this was considered necessary as the annual parliamentary allowance was not deemed sufficient to provide for a self-funded retirement.</w:t>
      </w:r>
      <w:r w:rsidRPr="000740FC">
        <w:rPr>
          <w:rStyle w:val="FootnoteReference"/>
        </w:rPr>
        <w:footnoteReference w:id="32"/>
      </w:r>
      <w:r w:rsidRPr="000740FC">
        <w:t xml:space="preserve"> Eligible MPs would receive a pension equal to the ‘basic wage’ for Melburnians after leaving the Parliament.</w:t>
      </w:r>
      <w:r w:rsidR="00F20142" w:rsidRPr="000740FC">
        <w:rPr>
          <w:rStyle w:val="FootnoteReference"/>
        </w:rPr>
        <w:footnoteReference w:id="33"/>
      </w:r>
    </w:p>
    <w:p w14:paraId="05E671AF" w14:textId="5068C01E" w:rsidR="00E53D96" w:rsidRPr="000740FC" w:rsidRDefault="00E53D96" w:rsidP="00B33183">
      <w:pPr>
        <w:pStyle w:val="Paragraphbeforeabulletlist"/>
      </w:pPr>
      <w:r w:rsidRPr="000740FC">
        <w:t>Significant changes were made to MP superannuation arrangements in 1968. The</w:t>
      </w:r>
      <w:r w:rsidRPr="000740FC">
        <w:rPr>
          <w:i/>
          <w:iCs/>
        </w:rPr>
        <w:t xml:space="preserve"> Parliamentary Salaries and Superannuation Act 1968</w:t>
      </w:r>
      <w:r w:rsidRPr="000740FC">
        <w:t xml:space="preserve"> (Vic) sought to provide “adequate remuneration” for MPs by increasing salaries, and introduced a new defined benefit scheme (now known as the Existing Benefits Scheme) which tied pensions to MPs’ salaries, and was modelled on arrangements for Victorian public service employees.</w:t>
      </w:r>
      <w:r w:rsidRPr="000740FC">
        <w:rPr>
          <w:rStyle w:val="FootnoteReference"/>
        </w:rPr>
        <w:footnoteReference w:id="34"/>
      </w:r>
      <w:r w:rsidRPr="000740FC">
        <w:t xml:space="preserve"> </w:t>
      </w:r>
    </w:p>
    <w:p w14:paraId="74A3EA89" w14:textId="400A9C91" w:rsidR="00E53D96" w:rsidRPr="000740FC" w:rsidRDefault="00E53D96" w:rsidP="00B33183">
      <w:pPr>
        <w:pStyle w:val="Paragraphbeforeabulletlist"/>
      </w:pPr>
      <w:r w:rsidRPr="000740FC">
        <w:lastRenderedPageBreak/>
        <w:t xml:space="preserve">In 1996, the </w:t>
      </w:r>
      <w:r w:rsidR="008706C8">
        <w:t xml:space="preserve">Victorian </w:t>
      </w:r>
      <w:r w:rsidRPr="000740FC">
        <w:t xml:space="preserve">Government introduced a new defined benefit scheme for MPs (known as the New Benefits Scheme) largely based on the MP superannuation scheme used at the time by the Commonwealth Government. The Existing Benefits Scheme was closed to new members. </w:t>
      </w:r>
    </w:p>
    <w:p w14:paraId="5722EEA1" w14:textId="0C8F2454" w:rsidR="00CC7B05" w:rsidRPr="000740FC" w:rsidRDefault="00E53D96" w:rsidP="00B33183">
      <w:pPr>
        <w:pStyle w:val="Paragraph"/>
      </w:pPr>
      <w:r w:rsidRPr="000740FC">
        <w:t xml:space="preserve">The New Benefits Scheme was in turn closed to new members </w:t>
      </w:r>
      <w:r w:rsidR="00E224D0">
        <w:t>who</w:t>
      </w:r>
      <w:r w:rsidRPr="000740FC">
        <w:t xml:space="preserve"> were elected as an MP </w:t>
      </w:r>
      <w:r w:rsidR="00F07DDA">
        <w:t>from 10</w:t>
      </w:r>
      <w:r w:rsidRPr="000740FC">
        <w:t xml:space="preserve"> November 2004, following a similar move by the Commonwealth Government. MPs first elected after </w:t>
      </w:r>
      <w:r w:rsidR="00E1334D">
        <w:t>this time</w:t>
      </w:r>
      <w:r w:rsidRPr="000740FC">
        <w:t xml:space="preserve"> </w:t>
      </w:r>
      <w:r w:rsidR="366F137F" w:rsidRPr="000740FC">
        <w:t>became</w:t>
      </w:r>
      <w:r w:rsidRPr="000740FC">
        <w:t xml:space="preserve"> members of an accumulation scheme. Th</w:t>
      </w:r>
      <w:r w:rsidR="002C56E9" w:rsidRPr="000740FC">
        <w:t xml:space="preserve">e then </w:t>
      </w:r>
      <w:r w:rsidR="00490854" w:rsidRPr="000740FC">
        <w:t>Minister for Finance</w:t>
      </w:r>
      <w:r w:rsidR="002C56E9" w:rsidRPr="000740FC">
        <w:t xml:space="preserve"> stated that the intention of the reforms </w:t>
      </w:r>
      <w:r w:rsidRPr="000740FC">
        <w:t>was</w:t>
      </w:r>
      <w:r w:rsidRPr="000740FC" w:rsidDel="002C56E9">
        <w:t xml:space="preserve"> </w:t>
      </w:r>
      <w:r w:rsidRPr="000740FC">
        <w:t xml:space="preserve">to bring Victorian MP superannuation arrangements </w:t>
      </w:r>
      <w:r w:rsidR="002C56E9" w:rsidRPr="000740FC">
        <w:t>“</w:t>
      </w:r>
      <w:r w:rsidRPr="000740FC">
        <w:t>into line with those available to the broader community</w:t>
      </w:r>
      <w:r w:rsidR="00490854" w:rsidRPr="000740FC">
        <w:t>”</w:t>
      </w:r>
      <w:r w:rsidRPr="000740FC">
        <w:t>.</w:t>
      </w:r>
      <w:r w:rsidR="00490854" w:rsidRPr="000740FC">
        <w:t xml:space="preserve"> He continued:</w:t>
      </w:r>
      <w:r w:rsidR="00CD0051" w:rsidRPr="000740FC">
        <w:rPr>
          <w:rStyle w:val="FootnoteReference"/>
        </w:rPr>
        <w:footnoteReference w:id="35"/>
      </w:r>
    </w:p>
    <w:p w14:paraId="4D21FE05" w14:textId="2304AD4C" w:rsidR="00490854" w:rsidRPr="000740FC" w:rsidRDefault="00490854" w:rsidP="00490854">
      <w:pPr>
        <w:pStyle w:val="VIRTBreakouttext"/>
      </w:pPr>
      <w:r w:rsidRPr="000740FC">
        <w:t>all new members of Parliament will receive employer contributions at a rate of 9 per cent as required by the Superannuation Guarantee … consistent with the superannuation arrangements that apply to the vast majority of the Victorian workforce.</w:t>
      </w:r>
    </w:p>
    <w:p w14:paraId="7AB0CB43" w14:textId="77777777" w:rsidR="003738EC" w:rsidRPr="000740FC" w:rsidRDefault="003738EC" w:rsidP="003738EC">
      <w:pPr>
        <w:pStyle w:val="VIRTHeading3"/>
        <w:rPr>
          <w:lang w:val="en-AU"/>
        </w:rPr>
      </w:pPr>
      <w:bookmarkStart w:id="60" w:name="_Toc40777642"/>
      <w:r w:rsidRPr="000740FC">
        <w:rPr>
          <w:lang w:val="en-AU"/>
        </w:rPr>
        <w:t>Reforms following Hazell Review</w:t>
      </w:r>
      <w:bookmarkEnd w:id="60"/>
    </w:p>
    <w:p w14:paraId="6B72BDA0" w14:textId="6B4FEFE2" w:rsidR="003738EC" w:rsidRPr="000740FC" w:rsidRDefault="003738EC" w:rsidP="00B33183">
      <w:pPr>
        <w:pStyle w:val="Paragraph"/>
      </w:pPr>
      <w:r w:rsidRPr="000740FC">
        <w:t>In 2012, the Victorian Government commissioned Malcolm Hazell CVO AM to conduct a review into the salary entitlements, allowances and other arrangements for Victorian MPs (Hazell Review). The Hazell Review identified a need to ‘bridge the gap’ between the superannuation arrangements of MPs in the pre-2004 defined benefit schemes and those in the post-2004 accumulation scheme. However, it concluded that a return for all MPs to the pre-2004 scheme would be unjustifiable given prevailing community values and expectations and the likely cost (estimated at</w:t>
      </w:r>
      <w:r w:rsidR="00B37BC4">
        <w:t xml:space="preserve"> </w:t>
      </w:r>
      <w:r w:rsidR="00B37BC4" w:rsidRPr="00CB0339">
        <w:t>that time to be</w:t>
      </w:r>
      <w:r w:rsidRPr="000740FC">
        <w:t xml:space="preserve"> $6-7 million </w:t>
      </w:r>
      <w:r w:rsidR="009A02D6">
        <w:t>p.a.</w:t>
      </w:r>
      <w:r w:rsidRPr="000740FC">
        <w:t>).</w:t>
      </w:r>
      <w:r w:rsidR="001F0A56" w:rsidRPr="000740FC">
        <w:rPr>
          <w:rStyle w:val="FootnoteReference"/>
        </w:rPr>
        <w:footnoteReference w:id="36"/>
      </w:r>
      <w:r w:rsidRPr="000740FC">
        <w:t xml:space="preserve"> </w:t>
      </w:r>
    </w:p>
    <w:p w14:paraId="2BE19FBB" w14:textId="77777777" w:rsidR="003738EC" w:rsidRPr="000740FC" w:rsidRDefault="003738EC" w:rsidP="007F5E6D">
      <w:pPr>
        <w:pStyle w:val="Parabeforeabulletlist"/>
      </w:pPr>
      <w:r w:rsidRPr="003C69F5">
        <w:t>The Hazell Review made three recommendations to the Government to address the discrepancy between the superannuation schemes, each of which has been implemented:</w:t>
      </w:r>
    </w:p>
    <w:p w14:paraId="09B9A579" w14:textId="3980D83B" w:rsidR="003738EC" w:rsidRPr="000740FC" w:rsidRDefault="00780EBF" w:rsidP="003738EC">
      <w:pPr>
        <w:pStyle w:val="VIRTBulletpoints"/>
        <w:ind w:left="357" w:hanging="357"/>
      </w:pPr>
      <w:r>
        <w:t>In</w:t>
      </w:r>
      <w:r w:rsidR="003738EC" w:rsidRPr="000740FC">
        <w:t>creasing the employer superannuation contributions for MPs in the accumulation scheme from 9 per cent to 15 per cent</w:t>
      </w:r>
      <w:r w:rsidR="003738EC" w:rsidRPr="000740FC">
        <w:rPr>
          <w:rStyle w:val="FootnoteReference"/>
        </w:rPr>
        <w:footnoteReference w:id="37"/>
      </w:r>
      <w:r w:rsidR="003738EC" w:rsidRPr="000740FC">
        <w:t xml:space="preserve"> (implemented in 2013, </w:t>
      </w:r>
      <w:r w:rsidR="003738EC" w:rsidRPr="000740FC">
        <w:lastRenderedPageBreak/>
        <w:t>when the superannuation contribution rate for MPs was increased to the S</w:t>
      </w:r>
      <w:r w:rsidR="045D4592" w:rsidRPr="000740FC">
        <w:t>G</w:t>
      </w:r>
      <w:r w:rsidR="003738EC" w:rsidRPr="000740FC">
        <w:t xml:space="preserve"> percentage plus 6 per cent)</w:t>
      </w:r>
      <w:r>
        <w:t>.</w:t>
      </w:r>
    </w:p>
    <w:p w14:paraId="320DD2F2" w14:textId="3EF49A2B" w:rsidR="003738EC" w:rsidRPr="000740FC" w:rsidRDefault="00780EBF" w:rsidP="003738EC">
      <w:pPr>
        <w:pStyle w:val="VIRTBulletpoints"/>
        <w:ind w:left="357" w:hanging="357"/>
      </w:pPr>
      <w:r>
        <w:t>I</w:t>
      </w:r>
      <w:r w:rsidR="003738EC" w:rsidRPr="000740FC">
        <w:t xml:space="preserve">ntroducing a resettlement allowance for former MPs </w:t>
      </w:r>
      <w:r w:rsidR="00E224D0">
        <w:t>who</w:t>
      </w:r>
      <w:r w:rsidR="003738EC" w:rsidRPr="000740FC">
        <w:t xml:space="preserve"> are not members of the defined benefit schemes and </w:t>
      </w:r>
      <w:r w:rsidR="00E224D0">
        <w:t>who</w:t>
      </w:r>
      <w:r w:rsidR="003738EC" w:rsidRPr="000740FC">
        <w:t xml:space="preserve"> lose their seat in the Parliament (introduced in 2013, and replaced by the separation payment in 2019)</w:t>
      </w:r>
      <w:r>
        <w:t>.</w:t>
      </w:r>
    </w:p>
    <w:p w14:paraId="57626C66" w14:textId="3635BE3B" w:rsidR="003738EC" w:rsidRPr="000740FC" w:rsidRDefault="00780EBF" w:rsidP="003738EC">
      <w:pPr>
        <w:pStyle w:val="VIRTBulletpoints"/>
        <w:ind w:left="357" w:hanging="357"/>
      </w:pPr>
      <w:r>
        <w:t>R</w:t>
      </w:r>
      <w:r w:rsidR="003738EC" w:rsidRPr="000740FC">
        <w:t>evising the MP basic salary based on an objective and comprehensive work</w:t>
      </w:r>
      <w:r w:rsidR="003738EC" w:rsidRPr="000740FC">
        <w:noBreakHyphen/>
        <w:t>value assessment (completed by the Tribunal in 2019).</w:t>
      </w:r>
    </w:p>
    <w:p w14:paraId="472CC438" w14:textId="3EC0EF9E" w:rsidR="00E53D96" w:rsidRPr="000740FC" w:rsidRDefault="003738EC" w:rsidP="00B33183">
      <w:pPr>
        <w:pStyle w:val="Paragraph"/>
      </w:pPr>
      <w:r w:rsidRPr="007F5E6D">
        <w:t xml:space="preserve">Table </w:t>
      </w:r>
      <w:r w:rsidR="00B5533E" w:rsidRPr="007F5E6D">
        <w:t>3.1</w:t>
      </w:r>
      <w:r w:rsidRPr="007F5E6D">
        <w:t xml:space="preserve"> summarises</w:t>
      </w:r>
      <w:r w:rsidRPr="000740FC">
        <w:t xml:space="preserve"> the key events in the history of MP superannuation and appendix </w:t>
      </w:r>
      <w:r w:rsidR="00B5533E">
        <w:t>A</w:t>
      </w:r>
      <w:r w:rsidRPr="000740FC">
        <w:t xml:space="preserve"> provides a detailed history of MP superannuation in Victoria.</w:t>
      </w:r>
    </w:p>
    <w:p w14:paraId="09452A04" w14:textId="08655622" w:rsidR="00AC038F" w:rsidRPr="000740FC" w:rsidRDefault="00AC038F" w:rsidP="00AC038F">
      <w:pPr>
        <w:pStyle w:val="Tableheading"/>
      </w:pPr>
      <w:r w:rsidRPr="007F5E6D">
        <w:t xml:space="preserve">Table </w:t>
      </w:r>
      <w:r w:rsidR="00B5533E" w:rsidRPr="007F5E6D">
        <w:t>3.1</w:t>
      </w:r>
      <w:r w:rsidRPr="007F5E6D">
        <w:t>: key</w:t>
      </w:r>
      <w:r w:rsidRPr="000740FC">
        <w:t xml:space="preserve"> events in the history of Victorian MP superannuation</w:t>
      </w:r>
    </w:p>
    <w:tbl>
      <w:tblPr>
        <w:tblStyle w:val="ListTable3-Accent2"/>
        <w:tblW w:w="8500" w:type="dxa"/>
        <w:tblLook w:val="04A0" w:firstRow="1" w:lastRow="0" w:firstColumn="1" w:lastColumn="0" w:noHBand="0" w:noVBand="1"/>
      </w:tblPr>
      <w:tblGrid>
        <w:gridCol w:w="997"/>
        <w:gridCol w:w="7503"/>
      </w:tblGrid>
      <w:tr w:rsidR="00AC038F" w:rsidRPr="000740FC" w14:paraId="33F28572" w14:textId="77777777" w:rsidTr="003077DD">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97" w:type="dxa"/>
          </w:tcPr>
          <w:p w14:paraId="0A41C523" w14:textId="77777777" w:rsidR="00AC038F" w:rsidRPr="000740FC" w:rsidRDefault="00AC038F" w:rsidP="0040657F">
            <w:pPr>
              <w:pStyle w:val="Tableheaderrow"/>
              <w:rPr>
                <w:b/>
                <w:bCs/>
              </w:rPr>
            </w:pPr>
            <w:r w:rsidRPr="000740FC">
              <w:rPr>
                <w:b/>
                <w:bCs/>
              </w:rPr>
              <w:t>Year</w:t>
            </w:r>
          </w:p>
        </w:tc>
        <w:tc>
          <w:tcPr>
            <w:tcW w:w="7503" w:type="dxa"/>
          </w:tcPr>
          <w:p w14:paraId="183492DA" w14:textId="77777777" w:rsidR="00AC038F" w:rsidRPr="000740FC" w:rsidRDefault="00AC038F" w:rsidP="0040657F">
            <w:pPr>
              <w:pStyle w:val="Tableheaderrow"/>
              <w:cnfStyle w:val="100000000000" w:firstRow="1" w:lastRow="0" w:firstColumn="0" w:lastColumn="0" w:oddVBand="0" w:evenVBand="0" w:oddHBand="0" w:evenHBand="0" w:firstRowFirstColumn="0" w:firstRowLastColumn="0" w:lastRowFirstColumn="0" w:lastRowLastColumn="0"/>
              <w:rPr>
                <w:b/>
                <w:bCs/>
              </w:rPr>
            </w:pPr>
            <w:r w:rsidRPr="000740FC">
              <w:rPr>
                <w:b/>
                <w:bCs/>
              </w:rPr>
              <w:t>Description</w:t>
            </w:r>
          </w:p>
        </w:tc>
      </w:tr>
      <w:tr w:rsidR="00AC038F" w:rsidRPr="000740FC" w14:paraId="53334A5A" w14:textId="77777777" w:rsidTr="009A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0E1EE4C3" w14:textId="77777777" w:rsidR="00AC038F" w:rsidRPr="000740FC" w:rsidRDefault="00AC038F" w:rsidP="0013051E">
            <w:pPr>
              <w:pStyle w:val="Textinthetable"/>
              <w:rPr>
                <w:lang w:val="en-AU"/>
              </w:rPr>
            </w:pPr>
            <w:r w:rsidRPr="000740FC">
              <w:rPr>
                <w:lang w:val="en-AU"/>
              </w:rPr>
              <w:t>1946</w:t>
            </w:r>
          </w:p>
        </w:tc>
        <w:tc>
          <w:tcPr>
            <w:tcW w:w="7503" w:type="dxa"/>
          </w:tcPr>
          <w:p w14:paraId="523AD213" w14:textId="77777777" w:rsidR="00AC038F" w:rsidRPr="000740FC" w:rsidRDefault="00AC038F" w:rsidP="0013051E">
            <w:pPr>
              <w:pStyle w:val="Textinthetable"/>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Superannuation for Victorian MPs introduced:</w:t>
            </w:r>
          </w:p>
          <w:p w14:paraId="3599F673" w14:textId="77777777" w:rsidR="00AC038F" w:rsidRPr="000740FC" w:rsidRDefault="00AC038F" w:rsidP="0007293B">
            <w:pPr>
              <w:pStyle w:val="Tablebullets"/>
              <w:cnfStyle w:val="000000100000" w:firstRow="0" w:lastRow="0" w:firstColumn="0" w:lastColumn="0" w:oddVBand="0" w:evenVBand="0" w:oddHBand="1" w:evenHBand="0" w:firstRowFirstColumn="0" w:firstRowLastColumn="0" w:lastRowFirstColumn="0" w:lastRowLastColumn="0"/>
            </w:pPr>
            <w:r w:rsidRPr="000740FC">
              <w:t>£1 compulsorily deducted from the fortnightly pay of each MP</w:t>
            </w:r>
          </w:p>
          <w:p w14:paraId="6E90618E" w14:textId="130BFB9C" w:rsidR="00AC038F" w:rsidRPr="000740FC" w:rsidRDefault="00AD02A4" w:rsidP="0007293B">
            <w:pPr>
              <w:pStyle w:val="Tablebullets"/>
              <w:cnfStyle w:val="000000100000" w:firstRow="0" w:lastRow="0" w:firstColumn="0" w:lastColumn="0" w:oddVBand="0" w:evenVBand="0" w:oddHBand="1" w:evenHBand="0" w:firstRowFirstColumn="0" w:firstRowLastColumn="0" w:lastRowFirstColumn="0" w:lastRowLastColumn="0"/>
            </w:pPr>
            <w:r>
              <w:t>e</w:t>
            </w:r>
            <w:r w:rsidR="00AC038F" w:rsidRPr="000740FC">
              <w:t xml:space="preserve">ligible MPs (or in some cases, their spouses) provided with a pension equal to the </w:t>
            </w:r>
            <w:r w:rsidR="00597191" w:rsidRPr="000740FC">
              <w:t>‘</w:t>
            </w:r>
            <w:r w:rsidR="00AC038F" w:rsidRPr="000740FC">
              <w:t>basic wage</w:t>
            </w:r>
            <w:r w:rsidR="00597191" w:rsidRPr="000740FC">
              <w:t>’</w:t>
            </w:r>
            <w:r w:rsidR="00AC038F" w:rsidRPr="000740FC">
              <w:t xml:space="preserve"> for Melbourne</w:t>
            </w:r>
          </w:p>
          <w:p w14:paraId="33FB853D" w14:textId="77777777" w:rsidR="00AC038F" w:rsidRPr="000740FC" w:rsidRDefault="00AC038F" w:rsidP="0007293B">
            <w:pPr>
              <w:pStyle w:val="Tablebullets"/>
              <w:cnfStyle w:val="000000100000" w:firstRow="0" w:lastRow="0" w:firstColumn="0" w:lastColumn="0" w:oddVBand="0" w:evenVBand="0" w:oddHBand="1" w:evenHBand="0" w:firstRowFirstColumn="0" w:firstRowLastColumn="0" w:lastRowFirstColumn="0" w:lastRowLastColumn="0"/>
              <w:rPr>
                <w:i/>
              </w:rPr>
            </w:pPr>
            <w:r w:rsidRPr="000740FC">
              <w:t>MPs not eligible for a pension provided with a one-off retirement allowance.</w:t>
            </w:r>
          </w:p>
        </w:tc>
      </w:tr>
      <w:tr w:rsidR="00AC038F" w:rsidRPr="000740FC" w14:paraId="5C6A5A1A" w14:textId="77777777" w:rsidTr="009A7F89">
        <w:tc>
          <w:tcPr>
            <w:cnfStyle w:val="001000000000" w:firstRow="0" w:lastRow="0" w:firstColumn="1" w:lastColumn="0" w:oddVBand="0" w:evenVBand="0" w:oddHBand="0" w:evenHBand="0" w:firstRowFirstColumn="0" w:firstRowLastColumn="0" w:lastRowFirstColumn="0" w:lastRowLastColumn="0"/>
            <w:tcW w:w="997" w:type="dxa"/>
          </w:tcPr>
          <w:p w14:paraId="71B84CB0" w14:textId="77777777" w:rsidR="00AC038F" w:rsidRPr="000740FC" w:rsidRDefault="00AC038F" w:rsidP="0013051E">
            <w:pPr>
              <w:pStyle w:val="Textinthetable"/>
              <w:rPr>
                <w:lang w:val="en-AU"/>
              </w:rPr>
            </w:pPr>
            <w:r w:rsidRPr="000740FC">
              <w:rPr>
                <w:lang w:val="en-AU"/>
              </w:rPr>
              <w:t>1948-1962</w:t>
            </w:r>
          </w:p>
        </w:tc>
        <w:tc>
          <w:tcPr>
            <w:tcW w:w="7503" w:type="dxa"/>
          </w:tcPr>
          <w:p w14:paraId="4662EEA7" w14:textId="45CBC203" w:rsidR="00AC038F" w:rsidRPr="000740FC" w:rsidRDefault="00AC038F" w:rsidP="0013051E">
            <w:pPr>
              <w:pStyle w:val="Textinthetable"/>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Several minor changes made to the MP superannuation scheme (e.g. increases to MP contributions and rate of pension). Short-lived successor scheme introduced in 1962.</w:t>
            </w:r>
          </w:p>
        </w:tc>
      </w:tr>
      <w:tr w:rsidR="00AC038F" w:rsidRPr="000740FC" w14:paraId="3B4B85F3" w14:textId="77777777" w:rsidTr="009A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770F84B0" w14:textId="77777777" w:rsidR="00AC038F" w:rsidRPr="000740FC" w:rsidRDefault="00AC038F" w:rsidP="0013051E">
            <w:pPr>
              <w:pStyle w:val="Textinthetable"/>
              <w:rPr>
                <w:lang w:val="en-AU"/>
              </w:rPr>
            </w:pPr>
            <w:r w:rsidRPr="000740FC">
              <w:rPr>
                <w:lang w:val="en-AU"/>
              </w:rPr>
              <w:t>1968</w:t>
            </w:r>
          </w:p>
        </w:tc>
        <w:tc>
          <w:tcPr>
            <w:tcW w:w="7503" w:type="dxa"/>
          </w:tcPr>
          <w:p w14:paraId="29624DB3" w14:textId="2D65FEF4" w:rsidR="00AC038F" w:rsidRPr="000740FC" w:rsidRDefault="00AC038F" w:rsidP="0013051E">
            <w:pPr>
              <w:pStyle w:val="Textinthetable"/>
              <w:cnfStyle w:val="000000100000" w:firstRow="0" w:lastRow="0" w:firstColumn="0" w:lastColumn="0" w:oddVBand="0" w:evenVBand="0" w:oddHBand="1" w:evenHBand="0" w:firstRowFirstColumn="0" w:firstRowLastColumn="0" w:lastRowFirstColumn="0" w:lastRowLastColumn="0"/>
              <w:rPr>
                <w:i/>
                <w:lang w:val="en-AU"/>
              </w:rPr>
            </w:pPr>
            <w:r w:rsidRPr="000740FC">
              <w:rPr>
                <w:lang w:val="en-AU"/>
              </w:rPr>
              <w:t xml:space="preserve">The PCSF is established, and a new superannuation scheme (now known as the Existing Benefits Scheme) is introduced for MPs modelled on arrangements for Victorian public service employees. Under the Existing Benefits Scheme, contributions and pension entitlements are tied to current MP salaries. </w:t>
            </w:r>
          </w:p>
        </w:tc>
      </w:tr>
      <w:tr w:rsidR="00AC038F" w:rsidRPr="000740FC" w14:paraId="3939728F" w14:textId="77777777" w:rsidTr="009A7F89">
        <w:tc>
          <w:tcPr>
            <w:cnfStyle w:val="001000000000" w:firstRow="0" w:lastRow="0" w:firstColumn="1" w:lastColumn="0" w:oddVBand="0" w:evenVBand="0" w:oddHBand="0" w:evenHBand="0" w:firstRowFirstColumn="0" w:firstRowLastColumn="0" w:lastRowFirstColumn="0" w:lastRowLastColumn="0"/>
            <w:tcW w:w="997" w:type="dxa"/>
          </w:tcPr>
          <w:p w14:paraId="5B5E7E69" w14:textId="77777777" w:rsidR="00AC038F" w:rsidRPr="000740FC" w:rsidRDefault="00AC038F" w:rsidP="0013051E">
            <w:pPr>
              <w:pStyle w:val="Textinthetable"/>
              <w:rPr>
                <w:lang w:val="en-AU"/>
              </w:rPr>
            </w:pPr>
            <w:r w:rsidRPr="000740FC">
              <w:rPr>
                <w:lang w:val="en-AU"/>
              </w:rPr>
              <w:t>1993</w:t>
            </w:r>
          </w:p>
        </w:tc>
        <w:tc>
          <w:tcPr>
            <w:tcW w:w="7503" w:type="dxa"/>
          </w:tcPr>
          <w:p w14:paraId="532478C1" w14:textId="0CF0EADD" w:rsidR="00AC038F" w:rsidRPr="000740FC" w:rsidRDefault="00AC038F" w:rsidP="0013051E">
            <w:pPr>
              <w:pStyle w:val="Textinthetable"/>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 xml:space="preserve">Victoria’s public sector defined benefit schemes are closed to most new employees. Changes </w:t>
            </w:r>
            <w:r w:rsidR="0013051E" w:rsidRPr="000740FC">
              <w:rPr>
                <w:lang w:val="en-AU"/>
              </w:rPr>
              <w:t xml:space="preserve">are </w:t>
            </w:r>
            <w:r w:rsidRPr="000740FC">
              <w:rPr>
                <w:lang w:val="en-AU"/>
              </w:rPr>
              <w:t xml:space="preserve">made to how MP pension entitlements are accrued going forward, to achieve cost savings for the State.  </w:t>
            </w:r>
          </w:p>
        </w:tc>
      </w:tr>
      <w:tr w:rsidR="00AC038F" w:rsidRPr="000740FC" w14:paraId="30C8D921" w14:textId="77777777" w:rsidTr="009A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6BECA7BF" w14:textId="77777777" w:rsidR="00AC038F" w:rsidRPr="000740FC" w:rsidRDefault="00AC038F" w:rsidP="0013051E">
            <w:pPr>
              <w:pStyle w:val="Textinthetable"/>
              <w:rPr>
                <w:lang w:val="en-AU"/>
              </w:rPr>
            </w:pPr>
            <w:r w:rsidRPr="000740FC">
              <w:rPr>
                <w:lang w:val="en-AU"/>
              </w:rPr>
              <w:t>1996</w:t>
            </w:r>
          </w:p>
        </w:tc>
        <w:tc>
          <w:tcPr>
            <w:tcW w:w="7503" w:type="dxa"/>
          </w:tcPr>
          <w:p w14:paraId="70EC3562" w14:textId="77777777" w:rsidR="00AC038F" w:rsidRPr="000740FC" w:rsidRDefault="00AC038F" w:rsidP="0013051E">
            <w:pPr>
              <w:pStyle w:val="Textinthetable"/>
              <w:cnfStyle w:val="000000100000" w:firstRow="0" w:lastRow="0" w:firstColumn="0" w:lastColumn="0" w:oddVBand="0" w:evenVBand="0" w:oddHBand="1" w:evenHBand="0" w:firstRowFirstColumn="0" w:firstRowLastColumn="0" w:lastRowFirstColumn="0" w:lastRowLastColumn="0"/>
              <w:rPr>
                <w:i/>
                <w:lang w:val="en-AU"/>
              </w:rPr>
            </w:pPr>
            <w:r w:rsidRPr="000740FC">
              <w:rPr>
                <w:lang w:val="en-AU"/>
              </w:rPr>
              <w:t>New Benefits Scheme is introduced for Victorian MPs, based on the scheme for Commonwealth MPs. The Existing Benefits Scheme is closed to new members.</w:t>
            </w:r>
          </w:p>
        </w:tc>
      </w:tr>
      <w:tr w:rsidR="00AC038F" w:rsidRPr="000740FC" w14:paraId="44184971" w14:textId="77777777" w:rsidTr="009A7F89">
        <w:tc>
          <w:tcPr>
            <w:cnfStyle w:val="001000000000" w:firstRow="0" w:lastRow="0" w:firstColumn="1" w:lastColumn="0" w:oddVBand="0" w:evenVBand="0" w:oddHBand="0" w:evenHBand="0" w:firstRowFirstColumn="0" w:firstRowLastColumn="0" w:lastRowFirstColumn="0" w:lastRowLastColumn="0"/>
            <w:tcW w:w="997" w:type="dxa"/>
          </w:tcPr>
          <w:p w14:paraId="243E8974" w14:textId="77777777" w:rsidR="00AC038F" w:rsidRPr="000740FC" w:rsidRDefault="00AC038F" w:rsidP="0013051E">
            <w:pPr>
              <w:pStyle w:val="Textinthetable"/>
              <w:rPr>
                <w:lang w:val="en-AU"/>
              </w:rPr>
            </w:pPr>
            <w:r w:rsidRPr="000740FC">
              <w:rPr>
                <w:lang w:val="en-AU"/>
              </w:rPr>
              <w:t>2004</w:t>
            </w:r>
          </w:p>
        </w:tc>
        <w:tc>
          <w:tcPr>
            <w:tcW w:w="7503" w:type="dxa"/>
          </w:tcPr>
          <w:p w14:paraId="0E2BDF0A" w14:textId="77777777" w:rsidR="00AC038F" w:rsidRPr="000740FC" w:rsidRDefault="00AC038F" w:rsidP="0013051E">
            <w:pPr>
              <w:pStyle w:val="Textinthetable"/>
              <w:cnfStyle w:val="000000000000" w:firstRow="0" w:lastRow="0" w:firstColumn="0" w:lastColumn="0" w:oddVBand="0" w:evenVBand="0" w:oddHBand="0" w:evenHBand="0" w:firstRowFirstColumn="0" w:firstRowLastColumn="0" w:lastRowFirstColumn="0" w:lastRowLastColumn="0"/>
              <w:rPr>
                <w:i/>
                <w:lang w:val="en-AU"/>
              </w:rPr>
            </w:pPr>
            <w:r w:rsidRPr="000740FC">
              <w:rPr>
                <w:lang w:val="en-AU"/>
              </w:rPr>
              <w:t>New Benefits Scheme is closed to new members, following the Commonwealth’s decision to close its MP defined benefit scheme. New MPs are members of an accumulation scheme.</w:t>
            </w:r>
          </w:p>
        </w:tc>
      </w:tr>
      <w:tr w:rsidR="00AC038F" w:rsidRPr="000740FC" w14:paraId="77E074AD" w14:textId="77777777" w:rsidTr="009A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72C6407A" w14:textId="77777777" w:rsidR="00AC038F" w:rsidRPr="000740FC" w:rsidRDefault="00AC038F" w:rsidP="0013051E">
            <w:pPr>
              <w:pStyle w:val="Textinthetable"/>
              <w:rPr>
                <w:lang w:val="en-AU"/>
              </w:rPr>
            </w:pPr>
            <w:r w:rsidRPr="000740FC">
              <w:rPr>
                <w:lang w:val="en-AU"/>
              </w:rPr>
              <w:t>2012- 2013</w:t>
            </w:r>
          </w:p>
        </w:tc>
        <w:tc>
          <w:tcPr>
            <w:tcW w:w="7503" w:type="dxa"/>
          </w:tcPr>
          <w:p w14:paraId="3AA46CA6" w14:textId="77777777" w:rsidR="00AC038F" w:rsidRPr="000740FC" w:rsidRDefault="00AC038F" w:rsidP="0013051E">
            <w:pPr>
              <w:pStyle w:val="Textinthetable"/>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Changes made to MP superannuation and allowances following the Hazell Review:</w:t>
            </w:r>
          </w:p>
          <w:p w14:paraId="50E8FE89" w14:textId="39777D35" w:rsidR="00AC038F" w:rsidRPr="000740FC" w:rsidRDefault="00AC038F" w:rsidP="0007293B">
            <w:pPr>
              <w:pStyle w:val="Tablebullets"/>
              <w:cnfStyle w:val="000000100000" w:firstRow="0" w:lastRow="0" w:firstColumn="0" w:lastColumn="0" w:oddVBand="0" w:evenVBand="0" w:oddHBand="1" w:evenHBand="0" w:firstRowFirstColumn="0" w:firstRowLastColumn="0" w:lastRowFirstColumn="0" w:lastRowLastColumn="0"/>
            </w:pPr>
            <w:r w:rsidRPr="000740FC">
              <w:t xml:space="preserve">resettlement allowance is introduced for MPs </w:t>
            </w:r>
            <w:r w:rsidR="00E224D0">
              <w:t>who</w:t>
            </w:r>
            <w:r w:rsidRPr="000740FC">
              <w:t xml:space="preserve"> are not in the defined benefit scheme</w:t>
            </w:r>
          </w:p>
          <w:p w14:paraId="1579ACA2" w14:textId="1AA60CDA" w:rsidR="00AC038F" w:rsidRPr="000740FC" w:rsidRDefault="00AC038F" w:rsidP="0007293B">
            <w:pPr>
              <w:pStyle w:val="Tablebullets"/>
              <w:cnfStyle w:val="000000100000" w:firstRow="0" w:lastRow="0" w:firstColumn="0" w:lastColumn="0" w:oddVBand="0" w:evenVBand="0" w:oddHBand="1" w:evenHBand="0" w:firstRowFirstColumn="0" w:firstRowLastColumn="0" w:lastRowFirstColumn="0" w:lastRowLastColumn="0"/>
            </w:pPr>
            <w:r w:rsidRPr="000740FC">
              <w:t xml:space="preserve">employer superannuation contributions for MPs in the accumulation scheme are increased from 9 per cent to </w:t>
            </w:r>
            <w:r w:rsidR="00423EAB">
              <w:t>(</w:t>
            </w:r>
            <w:r w:rsidR="000F40E0">
              <w:t>SG percentage + 6%)</w:t>
            </w:r>
            <w:r w:rsidRPr="000740FC">
              <w:t>.</w:t>
            </w:r>
          </w:p>
        </w:tc>
      </w:tr>
      <w:tr w:rsidR="00AC038F" w:rsidRPr="000740FC" w14:paraId="38AE46DB" w14:textId="77777777" w:rsidTr="009A7F89">
        <w:trPr>
          <w:trHeight w:val="596"/>
        </w:trPr>
        <w:tc>
          <w:tcPr>
            <w:cnfStyle w:val="001000000000" w:firstRow="0" w:lastRow="0" w:firstColumn="1" w:lastColumn="0" w:oddVBand="0" w:evenVBand="0" w:oddHBand="0" w:evenHBand="0" w:firstRowFirstColumn="0" w:firstRowLastColumn="0" w:lastRowFirstColumn="0" w:lastRowLastColumn="0"/>
            <w:tcW w:w="997" w:type="dxa"/>
          </w:tcPr>
          <w:p w14:paraId="78E90908" w14:textId="77777777" w:rsidR="00AC038F" w:rsidRPr="000740FC" w:rsidRDefault="00AC038F" w:rsidP="0013051E">
            <w:pPr>
              <w:pStyle w:val="Textinthetable"/>
              <w:rPr>
                <w:lang w:val="en-AU"/>
              </w:rPr>
            </w:pPr>
            <w:r w:rsidRPr="000740FC">
              <w:rPr>
                <w:lang w:val="en-AU"/>
              </w:rPr>
              <w:t>2019</w:t>
            </w:r>
          </w:p>
        </w:tc>
        <w:tc>
          <w:tcPr>
            <w:tcW w:w="7503" w:type="dxa"/>
          </w:tcPr>
          <w:p w14:paraId="1F0C5F3C" w14:textId="2ED9E4DE" w:rsidR="00AC038F" w:rsidRPr="000740FC" w:rsidRDefault="00AC038F" w:rsidP="0013051E">
            <w:pPr>
              <w:pStyle w:val="Textinthetable"/>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The Tribunal is established</w:t>
            </w:r>
            <w:r w:rsidR="00B42D7C" w:rsidRPr="000740FC">
              <w:rPr>
                <w:lang w:val="en-AU"/>
              </w:rPr>
              <w:t>.</w:t>
            </w:r>
            <w:r w:rsidR="00470E8A" w:rsidRPr="000740FC">
              <w:rPr>
                <w:lang w:val="en-AU"/>
              </w:rPr>
              <w:t xml:space="preserve"> </w:t>
            </w:r>
            <w:r w:rsidR="00B42D7C" w:rsidRPr="000740FC">
              <w:rPr>
                <w:lang w:val="en-AU"/>
              </w:rPr>
              <w:t>T</w:t>
            </w:r>
            <w:r w:rsidR="00470E8A" w:rsidRPr="000740FC">
              <w:rPr>
                <w:lang w:val="en-AU"/>
              </w:rPr>
              <w:t>he resettlement allowance is replaced by</w:t>
            </w:r>
            <w:r w:rsidR="0062495E" w:rsidRPr="000740FC">
              <w:rPr>
                <w:lang w:val="en-AU"/>
              </w:rPr>
              <w:t xml:space="preserve"> the separation payment</w:t>
            </w:r>
            <w:r w:rsidR="00B42D7C" w:rsidRPr="000740FC">
              <w:rPr>
                <w:lang w:val="en-AU"/>
              </w:rPr>
              <w:t xml:space="preserve"> (this change is backdated </w:t>
            </w:r>
            <w:r w:rsidR="00B42D7C" w:rsidRPr="00CB0339">
              <w:rPr>
                <w:lang w:val="en-AU"/>
              </w:rPr>
              <w:t xml:space="preserve">to </w:t>
            </w:r>
            <w:r w:rsidR="004D0609" w:rsidRPr="00CB0339">
              <w:rPr>
                <w:lang w:val="en-AU"/>
              </w:rPr>
              <w:t>before the start of the</w:t>
            </w:r>
            <w:r w:rsidR="000E68A5" w:rsidRPr="00CB0339">
              <w:rPr>
                <w:lang w:val="en-AU"/>
              </w:rPr>
              <w:t xml:space="preserve"> caretaker period </w:t>
            </w:r>
            <w:r w:rsidR="0187557B" w:rsidRPr="00CB0339">
              <w:rPr>
                <w:lang w:val="en-AU"/>
              </w:rPr>
              <w:t>for</w:t>
            </w:r>
            <w:r w:rsidR="36FFCFD7" w:rsidRPr="589A77DE">
              <w:rPr>
                <w:lang w:val="en-AU"/>
              </w:rPr>
              <w:t xml:space="preserve"> </w:t>
            </w:r>
            <w:r w:rsidR="00B42D7C" w:rsidRPr="000740FC">
              <w:rPr>
                <w:lang w:val="en-AU"/>
              </w:rPr>
              <w:t>the 2018 state election)</w:t>
            </w:r>
            <w:r w:rsidRPr="000740FC">
              <w:rPr>
                <w:lang w:val="en-AU"/>
              </w:rPr>
              <w:t xml:space="preserve">. The Tribunal sets the </w:t>
            </w:r>
            <w:r w:rsidR="00B64492">
              <w:rPr>
                <w:lang w:val="en-AU"/>
              </w:rPr>
              <w:t>BSP</w:t>
            </w:r>
            <w:r w:rsidRPr="000740FC">
              <w:rPr>
                <w:lang w:val="en-AU"/>
              </w:rPr>
              <w:t xml:space="preserve"> in the </w:t>
            </w:r>
            <w:r w:rsidRPr="000740FC">
              <w:rPr>
                <w:i/>
                <w:iCs/>
                <w:lang w:val="en-AU"/>
              </w:rPr>
              <w:t>Members of Parliament (Victoria) Determination 01/2019</w:t>
            </w:r>
            <w:r w:rsidRPr="000740FC">
              <w:rPr>
                <w:lang w:val="en-AU"/>
              </w:rPr>
              <w:t>, which is used to calculate contributions and pension entitlements for members of the defined benefit schemes going forward.</w:t>
            </w:r>
          </w:p>
        </w:tc>
      </w:tr>
    </w:tbl>
    <w:p w14:paraId="5827FCEB" w14:textId="5D77B0EE" w:rsidR="001D2BB7" w:rsidRPr="000740FC" w:rsidRDefault="5F5CAF63" w:rsidP="00B33183">
      <w:pPr>
        <w:pStyle w:val="Parabeforeabulletlist"/>
      </w:pPr>
      <w:r w:rsidRPr="000740FC">
        <w:lastRenderedPageBreak/>
        <w:t xml:space="preserve">In addition to historically </w:t>
      </w:r>
      <w:r w:rsidR="001D2BB7" w:rsidRPr="000740FC">
        <w:t xml:space="preserve">reflecting arrangements for public service employees, MP superannuation arrangements </w:t>
      </w:r>
      <w:r w:rsidR="017811EA" w:rsidRPr="000740FC">
        <w:t xml:space="preserve">have </w:t>
      </w:r>
      <w:r w:rsidR="022264A4" w:rsidRPr="000740FC">
        <w:t xml:space="preserve">been designed to </w:t>
      </w:r>
      <w:r w:rsidR="001D2BB7" w:rsidRPr="000740FC">
        <w:t>reflect the “peculiarities and special features of parliamentary service”,</w:t>
      </w:r>
      <w:r w:rsidR="001D2BB7" w:rsidRPr="000740FC">
        <w:rPr>
          <w:rStyle w:val="FootnoteReference"/>
        </w:rPr>
        <w:footnoteReference w:id="38"/>
      </w:r>
      <w:r w:rsidR="001D2BB7" w:rsidRPr="000740FC">
        <w:t xml:space="preserve"> including the fact that </w:t>
      </w:r>
      <w:r w:rsidR="009813EE">
        <w:t>MPs</w:t>
      </w:r>
      <w:r w:rsidR="001D2BB7" w:rsidRPr="000740FC">
        <w:t xml:space="preserve"> do not enjoy the same employment standards and protections as employees in most other </w:t>
      </w:r>
      <w:r w:rsidR="009813EE">
        <w:t>occupations</w:t>
      </w:r>
      <w:r w:rsidR="001D2BB7" w:rsidRPr="000740FC">
        <w:t>. For example, MPs do not:</w:t>
      </w:r>
      <w:r w:rsidR="001D2BB7" w:rsidRPr="000740FC">
        <w:rPr>
          <w:rStyle w:val="FootnoteReference"/>
        </w:rPr>
        <w:footnoteReference w:id="39"/>
      </w:r>
    </w:p>
    <w:p w14:paraId="111EB6D7" w14:textId="77777777" w:rsidR="001D2BB7" w:rsidRPr="000740FC" w:rsidRDefault="001D2BB7" w:rsidP="005B3F45">
      <w:pPr>
        <w:pStyle w:val="VIRTBulletpoints"/>
        <w:numPr>
          <w:ilvl w:val="0"/>
          <w:numId w:val="14"/>
        </w:numPr>
      </w:pPr>
      <w:r w:rsidRPr="000740FC">
        <w:t>accrue annual leave</w:t>
      </w:r>
    </w:p>
    <w:p w14:paraId="6259060F" w14:textId="77777777" w:rsidR="001D2BB7" w:rsidRPr="000740FC" w:rsidRDefault="001D2BB7" w:rsidP="005B3F45">
      <w:pPr>
        <w:pStyle w:val="VIRTBulletpoints"/>
        <w:numPr>
          <w:ilvl w:val="0"/>
          <w:numId w:val="14"/>
        </w:numPr>
      </w:pPr>
      <w:r w:rsidRPr="000740FC">
        <w:t>accrue sick or personal leave</w:t>
      </w:r>
    </w:p>
    <w:p w14:paraId="0C4A50E2" w14:textId="77777777" w:rsidR="001D2BB7" w:rsidRPr="000740FC" w:rsidRDefault="001D2BB7" w:rsidP="001D2BB7">
      <w:pPr>
        <w:pStyle w:val="VIRTBulletpoints"/>
      </w:pPr>
      <w:r w:rsidRPr="000740FC">
        <w:t>have employment protection rights.</w:t>
      </w:r>
    </w:p>
    <w:p w14:paraId="4A4DD765" w14:textId="4D4153D2" w:rsidR="003653F5" w:rsidRPr="00CB0339" w:rsidRDefault="0033158F" w:rsidP="00B33183">
      <w:pPr>
        <w:pStyle w:val="Paragraph"/>
      </w:pPr>
      <w:r w:rsidRPr="00CB0339">
        <w:t>A particular feature of the MP defined benefit schemes</w:t>
      </w:r>
      <w:r w:rsidR="00AC3EEE" w:rsidRPr="00CB0339">
        <w:t xml:space="preserve"> (and of similar schemes provided</w:t>
      </w:r>
      <w:r w:rsidR="000522C2" w:rsidRPr="00CB0339">
        <w:t xml:space="preserve"> to MPs in other Australian jurisdictions)</w:t>
      </w:r>
      <w:r w:rsidR="008C727C" w:rsidRPr="00CB0339">
        <w:t>, which</w:t>
      </w:r>
      <w:r w:rsidR="00265091" w:rsidRPr="00CB0339">
        <w:t xml:space="preserve"> </w:t>
      </w:r>
      <w:r w:rsidR="00517A83" w:rsidRPr="00CB0339">
        <w:t xml:space="preserve">reflected the unique </w:t>
      </w:r>
      <w:r w:rsidR="008C727C" w:rsidRPr="00CB0339">
        <w:t xml:space="preserve">nature </w:t>
      </w:r>
      <w:r w:rsidR="00E85639" w:rsidRPr="00CB0339">
        <w:t>of parliamentary service</w:t>
      </w:r>
      <w:r w:rsidR="008C727C" w:rsidRPr="00CB0339">
        <w:t>,</w:t>
      </w:r>
      <w:r w:rsidR="00517A83" w:rsidRPr="00CB0339">
        <w:t xml:space="preserve"> was that</w:t>
      </w:r>
      <w:r w:rsidR="0042204F" w:rsidRPr="00CB0339">
        <w:t xml:space="preserve"> former MPs could </w:t>
      </w:r>
      <w:r w:rsidR="00EE7BAE" w:rsidRPr="00CB0339">
        <w:t xml:space="preserve">be eligible to </w:t>
      </w:r>
      <w:r w:rsidR="0042204F" w:rsidRPr="00CB0339">
        <w:t>receive a pension as soon as they left the Parliament</w:t>
      </w:r>
      <w:r w:rsidR="00265091" w:rsidRPr="00CB0339">
        <w:t xml:space="preserve"> even</w:t>
      </w:r>
      <w:r w:rsidR="008C727C" w:rsidRPr="00CB0339">
        <w:t xml:space="preserve"> if they </w:t>
      </w:r>
      <w:r w:rsidR="00517582" w:rsidRPr="00CB0339">
        <w:t>had not reached retirement age.</w:t>
      </w:r>
      <w:r w:rsidR="0042204F" w:rsidRPr="00CB0339">
        <w:t xml:space="preserve"> </w:t>
      </w:r>
      <w:r w:rsidR="00C900A5" w:rsidRPr="00CB0339">
        <w:t>Th</w:t>
      </w:r>
      <w:r w:rsidR="004144AD" w:rsidRPr="00CB0339">
        <w:t>is provided</w:t>
      </w:r>
      <w:r w:rsidR="000540C8" w:rsidRPr="00CB0339">
        <w:t xml:space="preserve"> </w:t>
      </w:r>
      <w:r w:rsidR="00CB0339">
        <w:t xml:space="preserve">those </w:t>
      </w:r>
      <w:r w:rsidR="00FC40C0" w:rsidRPr="00CB0339">
        <w:t xml:space="preserve">former MPs with a measure of security </w:t>
      </w:r>
      <w:r w:rsidR="007F4620" w:rsidRPr="00CB0339">
        <w:t>from the time they left the Parliament</w:t>
      </w:r>
      <w:r w:rsidR="006C2001" w:rsidRPr="00CB0339">
        <w:t>, given the difficulties some former MPs experienced when trying to find subsequent employment</w:t>
      </w:r>
      <w:r w:rsidR="00517582" w:rsidRPr="00CB0339">
        <w:t>.</w:t>
      </w:r>
    </w:p>
    <w:p w14:paraId="55F69246" w14:textId="2C0B5ECC" w:rsidR="003653F5" w:rsidRPr="00CB0339" w:rsidRDefault="003653F5" w:rsidP="00B33183">
      <w:pPr>
        <w:pStyle w:val="Paragraph"/>
      </w:pPr>
      <w:r w:rsidRPr="00CB0339">
        <w:t xml:space="preserve">When </w:t>
      </w:r>
      <w:r w:rsidR="008410A6" w:rsidRPr="00CB0339">
        <w:t>the parliamentary pension scheme was first introduced</w:t>
      </w:r>
      <w:r w:rsidR="00CB0339">
        <w:t xml:space="preserve"> in 1946</w:t>
      </w:r>
      <w:r w:rsidR="008410A6" w:rsidRPr="00CB0339">
        <w:t xml:space="preserve">, </w:t>
      </w:r>
      <w:r w:rsidR="0023135B" w:rsidRPr="00CB0339">
        <w:t>the then Premier</w:t>
      </w:r>
      <w:r w:rsidR="0098197D" w:rsidRPr="00CB0339">
        <w:t xml:space="preserve"> John Cain </w:t>
      </w:r>
      <w:r w:rsidR="3894D583" w:rsidRPr="00CB0339">
        <w:t xml:space="preserve">Senior </w:t>
      </w:r>
      <w:r w:rsidR="0098197D" w:rsidRPr="00CB0339">
        <w:t>remarked</w:t>
      </w:r>
      <w:r w:rsidR="008410A6" w:rsidRPr="00CB0339">
        <w:t xml:space="preserve"> that:</w:t>
      </w:r>
      <w:r w:rsidR="008410A6" w:rsidRPr="00CB0339">
        <w:rPr>
          <w:rStyle w:val="FootnoteReference"/>
        </w:rPr>
        <w:footnoteReference w:id="40"/>
      </w:r>
    </w:p>
    <w:p w14:paraId="6C6B144A" w14:textId="2C38B05B" w:rsidR="008410A6" w:rsidRPr="00CB0339" w:rsidRDefault="008410A6" w:rsidP="008410A6">
      <w:pPr>
        <w:pStyle w:val="VIRTBreakouttext"/>
      </w:pPr>
      <w:r w:rsidRPr="00CB0339">
        <w:t>There is probably nothing more difficult for a man who has been associated with [the Parliament] for the best years of his life than to have to go out and earn his living elsewhere.</w:t>
      </w:r>
    </w:p>
    <w:p w14:paraId="183319FC" w14:textId="11126616" w:rsidR="001D2BB7" w:rsidRPr="00CB0339" w:rsidRDefault="001D2BB7" w:rsidP="00B33183">
      <w:pPr>
        <w:pStyle w:val="Paragraph"/>
        <w:rPr>
          <w:rFonts w:eastAsia="Calibri Light" w:cs="Calibri Light"/>
        </w:rPr>
      </w:pPr>
      <w:r w:rsidRPr="00CB0339">
        <w:t xml:space="preserve">The Tribunal’s </w:t>
      </w:r>
      <w:r w:rsidRPr="00CB0339">
        <w:rPr>
          <w:i/>
          <w:iCs/>
        </w:rPr>
        <w:t>Members of Parliament (Victoria) Determination 01/2019</w:t>
      </w:r>
      <w:r w:rsidRPr="00CB0339">
        <w:rPr>
          <w:rStyle w:val="FootnoteReference"/>
        </w:rPr>
        <w:footnoteReference w:id="41"/>
      </w:r>
      <w:r w:rsidRPr="00CB0339">
        <w:t xml:space="preserve"> noted that becoming an MP comes with significant risk, uncertainty and personal sacrifice. The Tribunal noted that MPs are effectively engaged on a ‘fixed term contract’ for a </w:t>
      </w:r>
      <w:r w:rsidR="00F868F0">
        <w:t>4-</w:t>
      </w:r>
      <w:r w:rsidRPr="00CB0339">
        <w:t xml:space="preserve">year period. Every </w:t>
      </w:r>
      <w:r w:rsidR="001867AA">
        <w:t>4</w:t>
      </w:r>
      <w:r w:rsidRPr="00CB0339">
        <w:t xml:space="preserve"> years, MPs </w:t>
      </w:r>
      <w:r w:rsidR="4106A95C" w:rsidRPr="00CB0339">
        <w:t>face the risk of losing</w:t>
      </w:r>
      <w:r w:rsidRPr="00CB0339">
        <w:t xml:space="preserve"> their </w:t>
      </w:r>
      <w:r w:rsidR="4106A95C" w:rsidRPr="00CB0339">
        <w:t>job</w:t>
      </w:r>
      <w:r w:rsidRPr="00CB0339">
        <w:t xml:space="preserve"> through both the preselection process and the election.</w:t>
      </w:r>
    </w:p>
    <w:p w14:paraId="51994ACE" w14:textId="77777777" w:rsidR="00DF7741" w:rsidRDefault="001D2BB7" w:rsidP="00B33183">
      <w:pPr>
        <w:pStyle w:val="Paragraph"/>
      </w:pPr>
      <w:r w:rsidRPr="00CB0339">
        <w:t>Two of the submissions received by the Tribunal discussed the challenges faced by former MPs when trying to find alternative employment, and why MPs may require bespoke superannuation arrangements to address these issues.</w:t>
      </w:r>
      <w:r w:rsidR="006D37DE" w:rsidRPr="00CB0339">
        <w:t xml:space="preserve"> </w:t>
      </w:r>
    </w:p>
    <w:p w14:paraId="5A52F758" w14:textId="5176B20C" w:rsidR="001D2BB7" w:rsidRPr="00CB0339" w:rsidDel="00D46E58" w:rsidRDefault="006D37DE" w:rsidP="00DF7741">
      <w:pPr>
        <w:pStyle w:val="Paragraph"/>
        <w:keepNext/>
      </w:pPr>
      <w:r w:rsidRPr="00CB0339">
        <w:lastRenderedPageBreak/>
        <w:t>One submission informed the Tribunal that:</w:t>
      </w:r>
    </w:p>
    <w:p w14:paraId="3BE7C09D" w14:textId="77777777" w:rsidR="001D2BB7" w:rsidRPr="00CB0339" w:rsidRDefault="001D2BB7" w:rsidP="001D2BB7">
      <w:pPr>
        <w:pStyle w:val="VIRTBreakouttext"/>
      </w:pPr>
      <w:r w:rsidRPr="00CB0339">
        <w:t>[It] is the experience of many, perhaps most MPs, that post Parliamentary employment is difficult to obtain and, if found, generally not at a salary level close to a backbench salary.</w:t>
      </w:r>
    </w:p>
    <w:p w14:paraId="44D5121D" w14:textId="65193824" w:rsidR="001D2BB7" w:rsidRPr="000740FC" w:rsidRDefault="003F7F92" w:rsidP="001D2BB7">
      <w:pPr>
        <w:pStyle w:val="Parabeforebulletlist"/>
      </w:pPr>
      <w:r w:rsidRPr="00CB0339">
        <w:t>Another submission</w:t>
      </w:r>
      <w:r w:rsidR="001D2BB7" w:rsidRPr="00CB0339">
        <w:t xml:space="preserve"> noted that an MP’s “</w:t>
      </w:r>
      <w:r w:rsidR="001D2BB7" w:rsidRPr="000740FC">
        <w:t xml:space="preserve">political career can be a factor against them” and </w:t>
      </w:r>
      <w:r w:rsidR="003979B5">
        <w:t xml:space="preserve">raised </w:t>
      </w:r>
      <w:r w:rsidR="001D2BB7" w:rsidRPr="000740FC">
        <w:t>the lack of employment opportunities that may arise after leaving</w:t>
      </w:r>
      <w:r w:rsidR="00AC4FC5">
        <w:t xml:space="preserve"> the</w:t>
      </w:r>
      <w:r w:rsidR="001D2BB7" w:rsidRPr="000740FC">
        <w:t xml:space="preserve"> Parliament:</w:t>
      </w:r>
    </w:p>
    <w:p w14:paraId="24CB2B43" w14:textId="766B8990" w:rsidR="000344F9" w:rsidRPr="000740FC" w:rsidRDefault="001D2BB7" w:rsidP="00C26F02">
      <w:pPr>
        <w:pStyle w:val="VIRTBreakouttext"/>
      </w:pPr>
      <w:r w:rsidRPr="000740FC">
        <w:t>Anecdotally, there are suggestions that the higher an MP has been able to rise through the ranks to senior positions such as say a ministerial role, the more likely opportunities in the private or even public sector may avail themselves. But as the tribunal would know, such positions are the few rather than the many and so for other MPs who have served their constituency, the road back to a normal life may be more challenging, potentially through no fault of their own.</w:t>
      </w:r>
    </w:p>
    <w:p w14:paraId="038129A1" w14:textId="1CFF94B1" w:rsidR="009F68D8" w:rsidRPr="000740FC" w:rsidRDefault="00B65100" w:rsidP="00DB774D">
      <w:pPr>
        <w:pStyle w:val="VIRTHeading2"/>
        <w:rPr>
          <w:lang w:val="en-AU"/>
        </w:rPr>
      </w:pPr>
      <w:bookmarkStart w:id="62" w:name="_Toc50990423"/>
      <w:bookmarkStart w:id="63" w:name="_Toc51234132"/>
      <w:r w:rsidRPr="000740FC">
        <w:rPr>
          <w:lang w:val="en-AU"/>
        </w:rPr>
        <w:t>3.</w:t>
      </w:r>
      <w:r w:rsidR="00A35433" w:rsidRPr="000740FC">
        <w:rPr>
          <w:lang w:val="en-AU"/>
        </w:rPr>
        <w:t>2</w:t>
      </w:r>
      <w:r w:rsidR="00AC5936" w:rsidRPr="000740FC">
        <w:rPr>
          <w:lang w:val="en-AU"/>
        </w:rPr>
        <w:t xml:space="preserve"> </w:t>
      </w:r>
      <w:r w:rsidR="00DF634A" w:rsidRPr="000740FC">
        <w:rPr>
          <w:lang w:val="en-AU"/>
        </w:rPr>
        <w:t xml:space="preserve">Superannuation schemes for </w:t>
      </w:r>
      <w:r w:rsidR="00D4024D">
        <w:rPr>
          <w:lang w:val="en-AU"/>
        </w:rPr>
        <w:t>existing</w:t>
      </w:r>
      <w:r w:rsidR="00DF634A" w:rsidRPr="000740FC">
        <w:rPr>
          <w:lang w:val="en-AU"/>
        </w:rPr>
        <w:t xml:space="preserve"> and former Victorian MPs</w:t>
      </w:r>
      <w:bookmarkEnd w:id="62"/>
      <w:bookmarkEnd w:id="63"/>
      <w:r w:rsidR="009E01D6" w:rsidRPr="000740FC">
        <w:rPr>
          <w:lang w:val="en-AU"/>
        </w:rPr>
        <w:tab/>
      </w:r>
    </w:p>
    <w:p w14:paraId="2980BA74" w14:textId="70FFC5F5" w:rsidR="005A4455" w:rsidRPr="000740FC" w:rsidRDefault="0065337A" w:rsidP="00B33183">
      <w:pPr>
        <w:pStyle w:val="Paragraph"/>
      </w:pPr>
      <w:r w:rsidRPr="000740FC">
        <w:t xml:space="preserve">The current superannuation arrangements for </w:t>
      </w:r>
      <w:r w:rsidR="00D4024D">
        <w:t>existing</w:t>
      </w:r>
      <w:r w:rsidRPr="000740FC">
        <w:t xml:space="preserve"> and former</w:t>
      </w:r>
      <w:r w:rsidR="001039B5" w:rsidRPr="000740FC">
        <w:t xml:space="preserve"> </w:t>
      </w:r>
      <w:r w:rsidR="00FF1930" w:rsidRPr="000740FC">
        <w:t>Victoria</w:t>
      </w:r>
      <w:r w:rsidR="00EA4D84" w:rsidRPr="000740FC">
        <w:t>n MPs</w:t>
      </w:r>
      <w:r w:rsidR="00FF1930" w:rsidRPr="000740FC">
        <w:t xml:space="preserve"> </w:t>
      </w:r>
      <w:r w:rsidR="001039B5" w:rsidRPr="000740FC">
        <w:t xml:space="preserve">are outlined in Parts 3 and 4 of the </w:t>
      </w:r>
      <w:r w:rsidR="00F03233" w:rsidRPr="000740FC">
        <w:t>PSAS Act</w:t>
      </w:r>
      <w:r w:rsidR="00CC6829" w:rsidRPr="000740FC">
        <w:t xml:space="preserve">. </w:t>
      </w:r>
      <w:r w:rsidR="001E1591" w:rsidRPr="000740FC">
        <w:t xml:space="preserve">Part 3 of the Act provides the rules for </w:t>
      </w:r>
      <w:r w:rsidR="005A4455" w:rsidRPr="000740FC">
        <w:t xml:space="preserve">the Existing Benefits Scheme and </w:t>
      </w:r>
      <w:r w:rsidR="00F03233" w:rsidRPr="000740FC">
        <w:t xml:space="preserve">the </w:t>
      </w:r>
      <w:r w:rsidR="005A4455" w:rsidRPr="000740FC">
        <w:t>New Benefits Scheme, and Part 4 provides the rules for the accumulation scheme</w:t>
      </w:r>
      <w:r w:rsidR="001E1591" w:rsidRPr="000740FC">
        <w:t>.</w:t>
      </w:r>
    </w:p>
    <w:p w14:paraId="4A7DC80F" w14:textId="43E83C53" w:rsidR="0003126E" w:rsidRPr="000740FC" w:rsidRDefault="0003126E" w:rsidP="00B33183">
      <w:pPr>
        <w:pStyle w:val="Parabeforeabulletlist"/>
      </w:pPr>
      <w:r w:rsidRPr="000740FC">
        <w:t>In general, MPs who were first elected on or after 10 November 2004 are in the accumulation scheme, while those who entered the Parliament before that date are in a defined benefit scheme</w:t>
      </w:r>
      <w:r w:rsidR="0004156D">
        <w:t>:</w:t>
      </w:r>
      <w:r w:rsidRPr="000740FC">
        <w:t xml:space="preserve"> </w:t>
      </w:r>
    </w:p>
    <w:p w14:paraId="5670D212" w14:textId="540E4BC5" w:rsidR="0003126E" w:rsidRPr="000740FC" w:rsidRDefault="0003126E" w:rsidP="003D5E1B">
      <w:pPr>
        <w:pStyle w:val="VIRTBulletpoints"/>
      </w:pPr>
      <w:r w:rsidRPr="000740FC">
        <w:t>MPs who entered the Parliament before 2 July 1996 are members of the Existing Benefits Scheme</w:t>
      </w:r>
      <w:r w:rsidR="0004156D">
        <w:t>.</w:t>
      </w:r>
    </w:p>
    <w:p w14:paraId="4137E896" w14:textId="77777777" w:rsidR="0003126E" w:rsidRPr="000740FC" w:rsidRDefault="0003126E" w:rsidP="003D5E1B">
      <w:pPr>
        <w:pStyle w:val="VIRTBulletpoints"/>
      </w:pPr>
      <w:r w:rsidRPr="000740FC">
        <w:t>MPs who were first elected after 2 July 1996, but before 10 November 2004, are in the New Benefits Scheme.</w:t>
      </w:r>
    </w:p>
    <w:p w14:paraId="5451E8AE" w14:textId="18E2997D" w:rsidR="0003126E" w:rsidRPr="000740FC" w:rsidRDefault="0003126E" w:rsidP="00B33183">
      <w:pPr>
        <w:pStyle w:val="Paragraph"/>
      </w:pPr>
      <w:r w:rsidRPr="000740FC">
        <w:t>Both defined benefit schemes are now closed to new members.</w:t>
      </w:r>
    </w:p>
    <w:p w14:paraId="5F574720" w14:textId="2186D8A6" w:rsidR="00F86756" w:rsidRPr="000740FC" w:rsidRDefault="00F86756" w:rsidP="00B33183">
      <w:pPr>
        <w:pStyle w:val="Paragraph"/>
      </w:pPr>
      <w:r w:rsidRPr="000740FC">
        <w:rPr>
          <w:noProof/>
        </w:rPr>
        <w:lastRenderedPageBreak/>
        <mc:AlternateContent>
          <mc:Choice Requires="wps">
            <w:drawing>
              <wp:anchor distT="45720" distB="45720" distL="114300" distR="114300" simplePos="0" relativeHeight="251658242" behindDoc="0" locked="0" layoutInCell="1" allowOverlap="1" wp14:anchorId="49277C15" wp14:editId="50BC6982">
                <wp:simplePos x="0" y="0"/>
                <wp:positionH relativeFrom="margin">
                  <wp:align>right</wp:align>
                </wp:positionH>
                <wp:positionV relativeFrom="paragraph">
                  <wp:posOffset>297815</wp:posOffset>
                </wp:positionV>
                <wp:extent cx="5324475" cy="2946400"/>
                <wp:effectExtent l="0" t="0" r="28575" b="25400"/>
                <wp:wrapSquare wrapText="bothSides"/>
                <wp:docPr id="2031193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946400"/>
                        </a:xfrm>
                        <a:prstGeom prst="rect">
                          <a:avLst/>
                        </a:prstGeom>
                        <a:solidFill>
                          <a:srgbClr val="FFFFFF"/>
                        </a:solidFill>
                        <a:ln w="9525">
                          <a:solidFill>
                            <a:srgbClr val="000000"/>
                          </a:solidFill>
                          <a:miter lim="800000"/>
                          <a:headEnd/>
                          <a:tailEnd/>
                        </a:ln>
                      </wps:spPr>
                      <wps:txbx>
                        <w:txbxContent>
                          <w:p w14:paraId="72FC22E4" w14:textId="5207164B" w:rsidR="00DA3D89" w:rsidRDefault="00DA3D89" w:rsidP="0091388F">
                            <w:pPr>
                              <w:pStyle w:val="Figuretitle"/>
                            </w:pPr>
                            <w:r>
                              <w:t>Box 3.1: additional rules used to determine an MP’s superannuation scheme</w:t>
                            </w:r>
                          </w:p>
                          <w:p w14:paraId="4DD3852E" w14:textId="745C933E" w:rsidR="00DA3D89" w:rsidRDefault="00DA3D89" w:rsidP="0007293B">
                            <w:pPr>
                              <w:pStyle w:val="Tablebullets"/>
                              <w:numPr>
                                <w:ilvl w:val="0"/>
                                <w:numId w:val="0"/>
                              </w:numPr>
                            </w:pPr>
                            <w:r>
                              <w:t>The following special rules apply to MPs eligible for the defined benefit schemes:</w:t>
                            </w:r>
                          </w:p>
                          <w:p w14:paraId="46A91565" w14:textId="77777777" w:rsidR="00DA3D89" w:rsidRPr="00CF0603" w:rsidRDefault="00DA3D89" w:rsidP="0007293B">
                            <w:pPr>
                              <w:pStyle w:val="Tablebullets"/>
                            </w:pPr>
                            <w:r>
                              <w:t>S</w:t>
                            </w:r>
                            <w:r w:rsidRPr="00CF0603">
                              <w:t xml:space="preserve">erving MPs in the Existing Benefits Scheme could elect to be subject to the provisions of the New Benefits Scheme (i.e. transfer into that scheme) at any time. </w:t>
                            </w:r>
                          </w:p>
                          <w:p w14:paraId="5FA69BCE" w14:textId="77777777" w:rsidR="00DA3D89" w:rsidRPr="00CF0603" w:rsidRDefault="00DA3D89" w:rsidP="0007293B">
                            <w:pPr>
                              <w:pStyle w:val="Tablebullets"/>
                            </w:pPr>
                            <w:r w:rsidRPr="00CF0603">
                              <w:t>An MP in the New Benefits Scheme who leaves the Parliament and is subsequently re-elected on or after 10 November 2004 becomes a member of the accumulation scheme. They resume receiving a pension (if eligible) upon leaving the Parliament, and also receive their superannuation entitlements from the accumulation scheme</w:t>
                            </w:r>
                            <w:r>
                              <w:t xml:space="preserve"> upon it vesting</w:t>
                            </w:r>
                            <w:r w:rsidRPr="00CF0603">
                              <w:t xml:space="preserve"> (subject to Commonwealth rules on when those benefits can be accessed).</w:t>
                            </w:r>
                          </w:p>
                          <w:p w14:paraId="15B41F0E" w14:textId="34D4837A" w:rsidR="00DA3D89" w:rsidRDefault="00DA3D89" w:rsidP="0007293B">
                            <w:pPr>
                              <w:pStyle w:val="Tablebullets"/>
                            </w:pPr>
                            <w:r>
                              <w:t>I</w:t>
                            </w:r>
                            <w:r w:rsidRPr="00CF0603">
                              <w:t xml:space="preserve">f an MP ceases to be an MP as a result of resigning from one House of the Parliament and is elected to the other House within </w:t>
                            </w:r>
                            <w:r>
                              <w:t>3</w:t>
                            </w:r>
                            <w:r w:rsidRPr="00CF0603">
                              <w:t xml:space="preserve"> months, their period of service is regarded as being uninterrupted (i.e. their scheme membership remains unchanged).</w:t>
                            </w:r>
                            <w:r>
                              <w:br/>
                            </w:r>
                          </w:p>
                          <w:p w14:paraId="45B5BC48" w14:textId="22720735" w:rsidR="00DA3D89" w:rsidRPr="00CF0603" w:rsidRDefault="00DA3D89" w:rsidP="0007293B">
                            <w:pPr>
                              <w:pStyle w:val="Tablebullets"/>
                              <w:numPr>
                                <w:ilvl w:val="0"/>
                                <w:numId w:val="0"/>
                              </w:numPr>
                              <w:ind w:left="360"/>
                            </w:pPr>
                            <w:r w:rsidRPr="00DF7741">
                              <w:t>Source:</w:t>
                            </w:r>
                            <w:r>
                              <w:t xml:space="preserve"> PSAS Act.</w:t>
                            </w:r>
                          </w:p>
                          <w:p w14:paraId="1BD8BCCD" w14:textId="7495F217" w:rsidR="00DA3D89" w:rsidRDefault="00DA3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77C15" id="_x0000_t202" coordsize="21600,21600" o:spt="202" path="m,l,21600r21600,l21600,xe">
                <v:stroke joinstyle="miter"/>
                <v:path gradientshapeok="t" o:connecttype="rect"/>
              </v:shapetype>
              <v:shape id="Text Box 2" o:spid="_x0000_s1026" type="#_x0000_t202" style="position:absolute;left:0;text-align:left;margin-left:368.05pt;margin-top:23.45pt;width:419.25pt;height:232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">
                <v:textbox>
                  <w:txbxContent>
                    <w:p w14:paraId="72FC22E4" w14:textId="5207164B" w:rsidR="00DA3D89" w:rsidRDefault="00DA3D89" w:rsidP="0091388F">
                      <w:pPr>
                        <w:pStyle w:val="Figuretitle"/>
                      </w:pPr>
                      <w:r>
                        <w:t>Box 3.1: additional rules used to determine an MP’s superannuation scheme</w:t>
                      </w:r>
                    </w:p>
                    <w:p w14:paraId="4DD3852E" w14:textId="745C933E" w:rsidR="00DA3D89" w:rsidRDefault="00DA3D89" w:rsidP="0007293B">
                      <w:pPr>
                        <w:pStyle w:val="Tablebullets"/>
                        <w:numPr>
                          <w:ilvl w:val="0"/>
                          <w:numId w:val="0"/>
                        </w:numPr>
                      </w:pPr>
                      <w:r>
                        <w:t>The following special rules apply to MPs eligible for the defined benefit schemes:</w:t>
                      </w:r>
                    </w:p>
                    <w:p w14:paraId="46A91565" w14:textId="77777777" w:rsidR="00DA3D89" w:rsidRPr="00CF0603" w:rsidRDefault="00DA3D89" w:rsidP="0007293B">
                      <w:pPr>
                        <w:pStyle w:val="Tablebullets"/>
                      </w:pPr>
                      <w:r>
                        <w:t>S</w:t>
                      </w:r>
                      <w:r w:rsidRPr="00CF0603">
                        <w:t xml:space="preserve">erving MPs in the Existing Benefits Scheme could elect to be subject to the provisions of the New Benefits Scheme (i.e. transfer into that scheme) at any time. </w:t>
                      </w:r>
                    </w:p>
                    <w:p w14:paraId="5FA69BCE" w14:textId="77777777" w:rsidR="00DA3D89" w:rsidRPr="00CF0603" w:rsidRDefault="00DA3D89" w:rsidP="0007293B">
                      <w:pPr>
                        <w:pStyle w:val="Tablebullets"/>
                      </w:pPr>
                      <w:r w:rsidRPr="00CF0603">
                        <w:t>An MP in the New Benefits Scheme who leaves the Parliament and is subsequently re-elected on or after 10 November 2004 becomes a member of the accumulation scheme. They resume receiving a pension (if eligible) upon leaving the Parliament, and also receive their superannuation entitlements from the accumulation scheme</w:t>
                      </w:r>
                      <w:r>
                        <w:t xml:space="preserve"> upon it vesting</w:t>
                      </w:r>
                      <w:r w:rsidRPr="00CF0603">
                        <w:t xml:space="preserve"> (subject to Commonwealth rules on when those benefits can be accessed).</w:t>
                      </w:r>
                    </w:p>
                    <w:p w14:paraId="15B41F0E" w14:textId="34D4837A" w:rsidR="00DA3D89" w:rsidRDefault="00DA3D89" w:rsidP="0007293B">
                      <w:pPr>
                        <w:pStyle w:val="Tablebullets"/>
                      </w:pPr>
                      <w:r>
                        <w:t>I</w:t>
                      </w:r>
                      <w:r w:rsidRPr="00CF0603">
                        <w:t xml:space="preserve">f an MP ceases to be an MP as a result of resigning from one House of the Parliament and is elected to the other House within </w:t>
                      </w:r>
                      <w:r>
                        <w:t>3</w:t>
                      </w:r>
                      <w:r w:rsidRPr="00CF0603">
                        <w:t xml:space="preserve"> months, their period of service is regarded as being uninterrupted (i.e. their scheme membership remains unchanged).</w:t>
                      </w:r>
                      <w:r>
                        <w:br/>
                      </w:r>
                    </w:p>
                    <w:p w14:paraId="45B5BC48" w14:textId="22720735" w:rsidR="00DA3D89" w:rsidRPr="00CF0603" w:rsidRDefault="00DA3D89" w:rsidP="0007293B">
                      <w:pPr>
                        <w:pStyle w:val="Tablebullets"/>
                        <w:numPr>
                          <w:ilvl w:val="0"/>
                          <w:numId w:val="0"/>
                        </w:numPr>
                        <w:ind w:left="360"/>
                      </w:pPr>
                      <w:r w:rsidRPr="00DF7741">
                        <w:t>Source:</w:t>
                      </w:r>
                      <w:r>
                        <w:t xml:space="preserve"> PSAS Act.</w:t>
                      </w:r>
                    </w:p>
                    <w:p w14:paraId="1BD8BCCD" w14:textId="7495F217" w:rsidR="00DA3D89" w:rsidRDefault="00DA3D89"/>
                  </w:txbxContent>
                </v:textbox>
                <w10:wrap type="square" anchorx="margin"/>
              </v:shape>
            </w:pict>
          </mc:Fallback>
        </mc:AlternateContent>
      </w:r>
      <w:r w:rsidR="00377B7B" w:rsidRPr="000740FC">
        <w:t>There are some exceptions to these general rules</w:t>
      </w:r>
      <w:r w:rsidR="005D6A5C" w:rsidRPr="000740FC">
        <w:t xml:space="preserve">, explained in </w:t>
      </w:r>
      <w:r w:rsidRPr="000740FC">
        <w:t xml:space="preserve">box </w:t>
      </w:r>
      <w:r w:rsidR="007F5E6D">
        <w:t>3.1</w:t>
      </w:r>
      <w:r w:rsidR="00CF0603" w:rsidRPr="000740FC">
        <w:t>.</w:t>
      </w:r>
      <w:r w:rsidR="00CF0603" w:rsidRPr="000740FC">
        <w:rPr>
          <w:rStyle w:val="CommentReference"/>
          <w:rFonts w:ascii="Arial" w:eastAsiaTheme="minorEastAsia" w:hAnsi="Arial" w:cstheme="minorBidi"/>
          <w:color w:val="7F7F7F" w:themeColor="text1" w:themeTint="80"/>
          <w:highlight w:val="yellow"/>
        </w:rPr>
        <w:t xml:space="preserve"> </w:t>
      </w:r>
    </w:p>
    <w:p w14:paraId="5CE654D5" w14:textId="0AF9C5B0" w:rsidR="002F0B10" w:rsidRDefault="004D7B3A" w:rsidP="002F0B10">
      <w:pPr>
        <w:pStyle w:val="Sourcefortablesandfigures"/>
      </w:pPr>
      <w:r>
        <w:t xml:space="preserve">. </w:t>
      </w:r>
    </w:p>
    <w:p w14:paraId="7230D08A" w14:textId="19E763A4" w:rsidR="001E1591" w:rsidRPr="000740FC" w:rsidRDefault="005A4455" w:rsidP="00B33183">
      <w:pPr>
        <w:pStyle w:val="Parabeforeabulletlist"/>
      </w:pPr>
      <w:r>
        <w:t xml:space="preserve">As at </w:t>
      </w:r>
      <w:r w:rsidR="003F02DB" w:rsidRPr="00CB0339">
        <w:t>September</w:t>
      </w:r>
      <w:r w:rsidRPr="00CB0339">
        <w:t xml:space="preserve"> 2020</w:t>
      </w:r>
      <w:r w:rsidRPr="000740FC">
        <w:t>, there were no existing MPs in the Existing Benefits Scheme and 17 existing MPs in the New Benefits Scheme</w:t>
      </w:r>
      <w:r>
        <w:t>.</w:t>
      </w:r>
      <w:r w:rsidRPr="000740FC">
        <w:t xml:space="preserve"> In addition, approximately 200 individuals (former MPs or their partners) are receiving a pension under the</w:t>
      </w:r>
      <w:r w:rsidR="5926590F" w:rsidRPr="000740FC">
        <w:t>se</w:t>
      </w:r>
      <w:r w:rsidRPr="000740FC">
        <w:t xml:space="preserve"> schemes.</w:t>
      </w:r>
      <w:r w:rsidR="001E1591" w:rsidRPr="000740FC">
        <w:t xml:space="preserve"> </w:t>
      </w:r>
      <w:r w:rsidR="34925820" w:rsidRPr="000740FC">
        <w:t>The other 111 existing MPs are members of the accumulation scheme.</w:t>
      </w:r>
    </w:p>
    <w:p w14:paraId="17958D8E" w14:textId="14D37FC0" w:rsidR="0064568F" w:rsidRDefault="00377B7B" w:rsidP="00BA6FAF">
      <w:pPr>
        <w:pStyle w:val="Paragraph"/>
      </w:pPr>
      <w:r w:rsidRPr="000740FC">
        <w:t>Figure</w:t>
      </w:r>
      <w:r w:rsidR="00594AB5" w:rsidRPr="000740FC">
        <w:t xml:space="preserve"> </w:t>
      </w:r>
      <w:r w:rsidR="007F5E6D">
        <w:t>3.1</w:t>
      </w:r>
      <w:r w:rsidR="000815DC">
        <w:t xml:space="preserve"> (overleaf)</w:t>
      </w:r>
      <w:r w:rsidR="00594AB5" w:rsidRPr="000740FC">
        <w:t xml:space="preserve"> </w:t>
      </w:r>
      <w:r w:rsidR="00E60AF3" w:rsidRPr="000740FC">
        <w:t>compares</w:t>
      </w:r>
      <w:r w:rsidR="00594AB5" w:rsidRPr="000740FC">
        <w:t xml:space="preserve"> the key features of the MP </w:t>
      </w:r>
      <w:r w:rsidR="00E16EBB">
        <w:t>defined benefit schemes and accumulation scheme</w:t>
      </w:r>
      <w:r w:rsidR="00FF328B" w:rsidRPr="000740FC">
        <w:t>.</w:t>
      </w:r>
      <w:r w:rsidR="0064568F">
        <w:br w:type="page"/>
      </w:r>
    </w:p>
    <w:p w14:paraId="61CC818F" w14:textId="765C156C" w:rsidR="00303FBF" w:rsidRDefault="00593FA4" w:rsidP="00804DF8">
      <w:pPr>
        <w:pStyle w:val="Figureheading"/>
      </w:pPr>
      <w:r w:rsidRPr="003C69F5">
        <w:lastRenderedPageBreak/>
        <w:t>Figure</w:t>
      </w:r>
      <w:r w:rsidR="007F5E6D" w:rsidRPr="003C69F5">
        <w:t xml:space="preserve"> 3.1</w:t>
      </w:r>
      <w:r w:rsidR="00303FBF" w:rsidRPr="003C69F5">
        <w:t xml:space="preserve">: </w:t>
      </w:r>
      <w:r w:rsidR="006D5FF9" w:rsidRPr="003C69F5">
        <w:t xml:space="preserve">comparison of key </w:t>
      </w:r>
      <w:r w:rsidR="00303FBF" w:rsidRPr="003C69F5">
        <w:t>features of MP superannuation schemes</w:t>
      </w:r>
      <w:r w:rsidR="00345BE9" w:rsidRPr="003C69F5">
        <w:t xml:space="preserve"> </w:t>
      </w:r>
    </w:p>
    <w:p w14:paraId="0068E177" w14:textId="58CA6998" w:rsidR="003C69F5" w:rsidRDefault="00512880" w:rsidP="00804DF8">
      <w:pPr>
        <w:pStyle w:val="Figureheading"/>
      </w:pPr>
      <w:r>
        <w:rPr>
          <w:noProof/>
        </w:rPr>
        <w:drawing>
          <wp:inline distT="0" distB="0" distL="0" distR="0" wp14:anchorId="442D727A" wp14:editId="6B4659A9">
            <wp:extent cx="5396230" cy="8167370"/>
            <wp:effectExtent l="0" t="0" r="0" b="508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 super schemes comparis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6230" cy="8167370"/>
                    </a:xfrm>
                    <a:prstGeom prst="rect">
                      <a:avLst/>
                    </a:prstGeom>
                  </pic:spPr>
                </pic:pic>
              </a:graphicData>
            </a:graphic>
          </wp:inline>
        </w:drawing>
      </w:r>
    </w:p>
    <w:p w14:paraId="11EDA3BC" w14:textId="4BFF58FF" w:rsidR="00DE7980" w:rsidRDefault="00DE7980" w:rsidP="00DE7980">
      <w:pPr>
        <w:pStyle w:val="Sourcefortablesandfigures"/>
      </w:pPr>
      <w:r w:rsidRPr="00DF7741">
        <w:rPr>
          <w:iCs/>
        </w:rPr>
        <w:t>Source:</w:t>
      </w:r>
      <w:r>
        <w:t xml:space="preserve"> </w:t>
      </w:r>
      <w:r w:rsidR="008E32FD">
        <w:t xml:space="preserve">Tribunal analysis. </w:t>
      </w:r>
    </w:p>
    <w:p w14:paraId="164CB2BC" w14:textId="07855BA7" w:rsidR="00242F0E" w:rsidRPr="000740FC" w:rsidRDefault="00242F0E" w:rsidP="00242F0E">
      <w:pPr>
        <w:pStyle w:val="VIRTHeading3"/>
        <w:rPr>
          <w:lang w:val="en-AU"/>
        </w:rPr>
      </w:pPr>
      <w:r w:rsidRPr="000740FC">
        <w:rPr>
          <w:lang w:val="en-AU"/>
        </w:rPr>
        <w:lastRenderedPageBreak/>
        <w:t xml:space="preserve">Overview of the defined benefit schemes </w:t>
      </w:r>
    </w:p>
    <w:p w14:paraId="0309304F" w14:textId="100A260E" w:rsidR="002C6EFF" w:rsidRPr="000740FC" w:rsidRDefault="002C6EFF" w:rsidP="00B33183">
      <w:pPr>
        <w:pStyle w:val="Paragraph"/>
      </w:pPr>
      <w:r w:rsidRPr="000740FC">
        <w:t xml:space="preserve">In exchange for contributions made </w:t>
      </w:r>
      <w:r w:rsidR="00320265">
        <w:t xml:space="preserve">from their salary </w:t>
      </w:r>
      <w:r w:rsidRPr="000740FC">
        <w:t xml:space="preserve">during their time as an MP, members of </w:t>
      </w:r>
      <w:r w:rsidR="002D6210" w:rsidRPr="000740FC">
        <w:t xml:space="preserve">the </w:t>
      </w:r>
      <w:r w:rsidRPr="000740FC">
        <w:t xml:space="preserve">defined benefit schemes are eligible for a fixed benefit upon leaving </w:t>
      </w:r>
      <w:r w:rsidR="00D643B9">
        <w:t xml:space="preserve">the </w:t>
      </w:r>
      <w:r w:rsidRPr="000740FC">
        <w:t xml:space="preserve">Parliament (figure </w:t>
      </w:r>
      <w:r w:rsidR="007F5E6D">
        <w:t>3.2</w:t>
      </w:r>
      <w:r w:rsidRPr="000740FC">
        <w:t>).</w:t>
      </w:r>
    </w:p>
    <w:p w14:paraId="3336A81F" w14:textId="373C4CF5" w:rsidR="0074458D" w:rsidRPr="000740FC" w:rsidRDefault="0074458D" w:rsidP="0074458D">
      <w:pPr>
        <w:pStyle w:val="Figuretitle"/>
        <w:rPr>
          <w:lang w:val="en-AU"/>
        </w:rPr>
      </w:pPr>
      <w:r w:rsidRPr="000740FC">
        <w:rPr>
          <w:lang w:val="en-AU"/>
        </w:rPr>
        <w:t xml:space="preserve">Figure </w:t>
      </w:r>
      <w:r w:rsidR="007F5E6D">
        <w:rPr>
          <w:lang w:val="en-AU"/>
        </w:rPr>
        <w:t>3.2</w:t>
      </w:r>
      <w:r w:rsidRPr="000740FC">
        <w:rPr>
          <w:lang w:val="en-AU"/>
        </w:rPr>
        <w:t>: how the MP defined benefit schemes operate</w:t>
      </w:r>
    </w:p>
    <w:p w14:paraId="71AC4C31" w14:textId="6841E407" w:rsidR="0074458D" w:rsidRPr="000740FC" w:rsidRDefault="00E27E6F" w:rsidP="003F33E9">
      <w:pPr>
        <w:pStyle w:val="Paragraph"/>
        <w:spacing w:after="0"/>
      </w:pPr>
      <w:r w:rsidRPr="00E27E6F">
        <w:rPr>
          <w:noProof/>
        </w:rPr>
        <w:drawing>
          <wp:inline distT="0" distB="0" distL="0" distR="0" wp14:anchorId="451CCDA4" wp14:editId="04EAAAEC">
            <wp:extent cx="5187315" cy="3907155"/>
            <wp:effectExtent l="19050" t="19050" r="1333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872" b="5310"/>
                    <a:stretch/>
                  </pic:blipFill>
                  <pic:spPr bwMode="auto">
                    <a:xfrm>
                      <a:off x="0" y="0"/>
                      <a:ext cx="5187315" cy="3907155"/>
                    </a:xfrm>
                    <a:prstGeom prst="rect">
                      <a:avLst/>
                    </a:prstGeom>
                    <a:noFill/>
                    <a:ln w="9525" cap="flat" cmpd="sng" algn="ctr">
                      <a:solidFill>
                        <a:srgbClr val="4D4D4D">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67996B" w14:textId="48C71207" w:rsidR="0074458D" w:rsidRPr="000740FC" w:rsidRDefault="00BF1C85" w:rsidP="0074458D">
      <w:pPr>
        <w:pStyle w:val="Notesfortablesfigures"/>
      </w:pPr>
      <w:r w:rsidRPr="000740FC">
        <w:t>Notes: (a) MPs are required to contribute from their basic salary for the first 20.5 years of service, and from their additional salary (if any) during all years of service. For an explanation of how contributions are calculated</w:t>
      </w:r>
      <w:r>
        <w:t xml:space="preserve">, see </w:t>
      </w:r>
      <w:r w:rsidRPr="001747F0">
        <w:t>appendix B.</w:t>
      </w:r>
      <w:r w:rsidRPr="000740FC">
        <w:t xml:space="preserve"> (b) </w:t>
      </w:r>
      <w:r>
        <w:t>E</w:t>
      </w:r>
      <w:r w:rsidRPr="000740FC">
        <w:t>ligible MPs can begin receiving a pension after they leave the Parliament, regardless of their age. They may also elect to commute all or part of their pension into a lump sum. MPs who are not eligible for a pension receive a lump sum</w:t>
      </w:r>
      <w:r>
        <w:t>.</w:t>
      </w:r>
      <w:r w:rsidRPr="000740FC">
        <w:t xml:space="preserve"> (c) </w:t>
      </w:r>
      <w:r>
        <w:t>L</w:t>
      </w:r>
      <w:r w:rsidRPr="000740FC">
        <w:t xml:space="preserve">ump sums are transferred into an accumulation fund when the MP leaves the Parliament, and can be accessed when the MP reaches their preservation age (ranges from 55 to 60 </w:t>
      </w:r>
      <w:r>
        <w:t xml:space="preserve">years </w:t>
      </w:r>
      <w:r w:rsidRPr="000740FC">
        <w:t>depending on their date of birth) and retires. Once in the accumulation fund, the MP may choose to access the lump sum as an income stream or use it to purchase an annuity (subject to Commonwealth preservation rules).</w:t>
      </w:r>
    </w:p>
    <w:p w14:paraId="203FB7B3" w14:textId="251B1FA1" w:rsidR="006A10F1" w:rsidRPr="000740FC" w:rsidRDefault="006A10F1" w:rsidP="00B33183">
      <w:pPr>
        <w:pStyle w:val="Paragraph"/>
      </w:pPr>
      <w:r w:rsidRPr="000740FC">
        <w:t xml:space="preserve">Participating former and existing MPs in the defined benefit schemes are members of the </w:t>
      </w:r>
      <w:r w:rsidR="007706F5">
        <w:t>PCSF</w:t>
      </w:r>
      <w:r w:rsidRPr="000740FC">
        <w:t xml:space="preserve">. The PCSF provides benefits to </w:t>
      </w:r>
      <w:r w:rsidR="0031275E">
        <w:t>a</w:t>
      </w:r>
      <w:r w:rsidRPr="000740FC">
        <w:t xml:space="preserve"> member when they leave the Parliament, and in some cases to their partner or eligible children, based on the rules of the applicable scheme. </w:t>
      </w:r>
    </w:p>
    <w:p w14:paraId="477716EF" w14:textId="33BF1D31" w:rsidR="002B46C5" w:rsidRPr="000740FC" w:rsidRDefault="006F3B13" w:rsidP="006A10F1">
      <w:pPr>
        <w:spacing w:before="120" w:after="240" w:line="276" w:lineRule="auto"/>
        <w:jc w:val="both"/>
        <w:rPr>
          <w:rFonts w:ascii="Calibri Light" w:eastAsiaTheme="minorEastAsia" w:hAnsi="Calibri Light" w:cs="Arial"/>
          <w:color w:val="4D4D4D" w:themeColor="accent6"/>
          <w:sz w:val="26"/>
          <w:szCs w:val="26"/>
        </w:rPr>
      </w:pPr>
      <w:r>
        <w:rPr>
          <w:rFonts w:ascii="Calibri Light" w:eastAsiaTheme="minorEastAsia" w:hAnsi="Calibri Light" w:cs="Arial"/>
          <w:color w:val="4D4D4D" w:themeColor="accent6"/>
          <w:sz w:val="26"/>
          <w:szCs w:val="26"/>
        </w:rPr>
        <w:t>E</w:t>
      </w:r>
      <w:r w:rsidR="006A10F1" w:rsidRPr="000740FC">
        <w:rPr>
          <w:rFonts w:ascii="Calibri Light" w:eastAsiaTheme="minorEastAsia" w:hAnsi="Calibri Light" w:cs="Arial"/>
          <w:color w:val="4D4D4D" w:themeColor="accent6"/>
          <w:sz w:val="26"/>
          <w:szCs w:val="26"/>
        </w:rPr>
        <w:t xml:space="preserve">xisting MPs in </w:t>
      </w:r>
      <w:r w:rsidR="3AFDCC9D" w:rsidRPr="19C23C82">
        <w:rPr>
          <w:rFonts w:ascii="Calibri Light" w:eastAsiaTheme="minorEastAsia" w:hAnsi="Calibri Light" w:cs="Arial"/>
          <w:color w:val="4D4D4D" w:themeColor="accent6"/>
          <w:sz w:val="26"/>
          <w:szCs w:val="26"/>
        </w:rPr>
        <w:t>both</w:t>
      </w:r>
      <w:r w:rsidR="1E2CDEEB" w:rsidRPr="19C23C82">
        <w:rPr>
          <w:rFonts w:ascii="Calibri Light" w:eastAsiaTheme="minorEastAsia" w:hAnsi="Calibri Light" w:cs="Arial"/>
          <w:color w:val="4D4D4D" w:themeColor="accent6"/>
          <w:sz w:val="26"/>
          <w:szCs w:val="26"/>
        </w:rPr>
        <w:t xml:space="preserve"> </w:t>
      </w:r>
      <w:r w:rsidR="459A6066" w:rsidRPr="745D53BE">
        <w:rPr>
          <w:rFonts w:ascii="Calibri Light" w:eastAsiaTheme="minorEastAsia" w:hAnsi="Calibri Light" w:cs="Arial"/>
          <w:color w:val="4D4D4D" w:themeColor="accent6"/>
          <w:sz w:val="26"/>
          <w:szCs w:val="26"/>
        </w:rPr>
        <w:t xml:space="preserve">defined benefit </w:t>
      </w:r>
      <w:r w:rsidR="1E2CDEEB" w:rsidRPr="19C23C82">
        <w:rPr>
          <w:rFonts w:ascii="Calibri Light" w:eastAsiaTheme="minorEastAsia" w:hAnsi="Calibri Light" w:cs="Arial"/>
          <w:color w:val="4D4D4D" w:themeColor="accent6"/>
          <w:sz w:val="26"/>
          <w:szCs w:val="26"/>
        </w:rPr>
        <w:t>scheme</w:t>
      </w:r>
      <w:r w:rsidR="338F0AF9" w:rsidRPr="19C23C82">
        <w:rPr>
          <w:rFonts w:ascii="Calibri Light" w:eastAsiaTheme="minorEastAsia" w:hAnsi="Calibri Light" w:cs="Arial"/>
          <w:color w:val="4D4D4D" w:themeColor="accent6"/>
          <w:sz w:val="26"/>
          <w:szCs w:val="26"/>
        </w:rPr>
        <w:t>s</w:t>
      </w:r>
      <w:r w:rsidR="00053B14">
        <w:rPr>
          <w:rFonts w:ascii="Calibri Light" w:eastAsiaTheme="minorEastAsia" w:hAnsi="Calibri Light" w:cs="Arial"/>
          <w:color w:val="4D4D4D" w:themeColor="accent6"/>
          <w:sz w:val="26"/>
          <w:szCs w:val="26"/>
        </w:rPr>
        <w:t xml:space="preserve"> </w:t>
      </w:r>
      <w:r w:rsidR="002B46C5" w:rsidRPr="000740FC">
        <w:rPr>
          <w:rFonts w:ascii="Calibri Light" w:eastAsiaTheme="minorEastAsia" w:hAnsi="Calibri Light" w:cs="Arial"/>
          <w:color w:val="4D4D4D" w:themeColor="accent6"/>
          <w:sz w:val="26"/>
          <w:szCs w:val="26"/>
        </w:rPr>
        <w:t>are required to contribute 11.5</w:t>
      </w:r>
      <w:r w:rsidR="00CD1FD9">
        <w:rPr>
          <w:rFonts w:ascii="Calibri Light" w:eastAsiaTheme="minorEastAsia" w:hAnsi="Calibri Light" w:cs="Arial"/>
          <w:color w:val="4D4D4D" w:themeColor="accent6"/>
          <w:sz w:val="26"/>
          <w:szCs w:val="26"/>
        </w:rPr>
        <w:t> </w:t>
      </w:r>
      <w:r w:rsidR="028ED6CC" w:rsidRPr="589A77DE">
        <w:rPr>
          <w:rFonts w:ascii="Calibri Light" w:eastAsiaTheme="minorEastAsia" w:hAnsi="Calibri Light" w:cs="Arial"/>
          <w:color w:val="4D4D4D" w:themeColor="accent6"/>
          <w:sz w:val="26"/>
          <w:szCs w:val="26"/>
        </w:rPr>
        <w:t>per</w:t>
      </w:r>
      <w:r w:rsidR="00CD1FD9">
        <w:rPr>
          <w:rFonts w:ascii="Calibri Light" w:eastAsiaTheme="minorEastAsia" w:hAnsi="Calibri Light" w:cs="Arial"/>
          <w:color w:val="4D4D4D" w:themeColor="accent6"/>
          <w:sz w:val="26"/>
          <w:szCs w:val="26"/>
        </w:rPr>
        <w:t> </w:t>
      </w:r>
      <w:r w:rsidR="028ED6CC" w:rsidRPr="589A77DE">
        <w:rPr>
          <w:rFonts w:ascii="Calibri Light" w:eastAsiaTheme="minorEastAsia" w:hAnsi="Calibri Light" w:cs="Arial"/>
          <w:color w:val="4D4D4D" w:themeColor="accent6"/>
          <w:sz w:val="26"/>
          <w:szCs w:val="26"/>
        </w:rPr>
        <w:t>cent</w:t>
      </w:r>
      <w:r w:rsidR="002B46C5" w:rsidRPr="000740FC">
        <w:rPr>
          <w:rFonts w:ascii="Calibri Light" w:eastAsiaTheme="minorEastAsia" w:hAnsi="Calibri Light" w:cs="Arial"/>
          <w:color w:val="4D4D4D" w:themeColor="accent6"/>
          <w:sz w:val="26"/>
          <w:szCs w:val="26"/>
        </w:rPr>
        <w:t xml:space="preserve"> of the </w:t>
      </w:r>
      <w:r w:rsidR="00904626">
        <w:rPr>
          <w:rFonts w:ascii="Calibri Light" w:eastAsiaTheme="minorEastAsia" w:hAnsi="Calibri Light" w:cs="Arial"/>
          <w:color w:val="4D4D4D" w:themeColor="accent6"/>
          <w:sz w:val="26"/>
          <w:szCs w:val="26"/>
        </w:rPr>
        <w:t>BSP</w:t>
      </w:r>
      <w:r w:rsidR="002B46C5" w:rsidRPr="000740FC">
        <w:rPr>
          <w:rFonts w:ascii="Calibri Light" w:eastAsiaTheme="minorEastAsia" w:hAnsi="Calibri Light" w:cs="Arial"/>
          <w:color w:val="4D4D4D" w:themeColor="accent6"/>
          <w:sz w:val="26"/>
          <w:szCs w:val="26"/>
        </w:rPr>
        <w:t xml:space="preserve"> for the first 20.5 years of service. </w:t>
      </w:r>
      <w:r w:rsidR="002E4725" w:rsidRPr="000740FC">
        <w:rPr>
          <w:rFonts w:ascii="Calibri Light" w:eastAsiaTheme="minorEastAsia" w:hAnsi="Calibri Light" w:cs="Arial"/>
          <w:color w:val="4D4D4D" w:themeColor="accent6"/>
          <w:sz w:val="26"/>
          <w:szCs w:val="26"/>
        </w:rPr>
        <w:t xml:space="preserve">MPs who receive an additional salary because they are specified parliamentary office </w:t>
      </w:r>
      <w:r w:rsidR="08C15A50" w:rsidRPr="19C23C82">
        <w:rPr>
          <w:rFonts w:ascii="Calibri Light" w:eastAsiaTheme="minorEastAsia" w:hAnsi="Calibri Light" w:cs="Arial"/>
          <w:color w:val="4D4D4D" w:themeColor="accent6"/>
          <w:sz w:val="26"/>
          <w:szCs w:val="26"/>
        </w:rPr>
        <w:t>holders</w:t>
      </w:r>
      <w:r w:rsidR="007544C6">
        <w:rPr>
          <w:rFonts w:ascii="Calibri Light" w:eastAsiaTheme="minorEastAsia" w:hAnsi="Calibri Light" w:cs="Arial"/>
          <w:color w:val="4D4D4D" w:themeColor="accent6"/>
          <w:sz w:val="26"/>
          <w:szCs w:val="26"/>
        </w:rPr>
        <w:t xml:space="preserve"> are also </w:t>
      </w:r>
      <w:r w:rsidR="007544C6">
        <w:rPr>
          <w:rFonts w:ascii="Calibri Light" w:eastAsiaTheme="minorEastAsia" w:hAnsi="Calibri Light" w:cs="Arial"/>
          <w:color w:val="4D4D4D" w:themeColor="accent6"/>
          <w:sz w:val="26"/>
          <w:szCs w:val="26"/>
        </w:rPr>
        <w:lastRenderedPageBreak/>
        <w:t>required to contribute 11.5</w:t>
      </w:r>
      <w:r w:rsidR="00207F3E">
        <w:rPr>
          <w:rFonts w:ascii="Calibri Light" w:eastAsiaTheme="minorEastAsia" w:hAnsi="Calibri Light" w:cs="Arial"/>
          <w:color w:val="4D4D4D" w:themeColor="accent6"/>
          <w:sz w:val="26"/>
          <w:szCs w:val="26"/>
        </w:rPr>
        <w:t xml:space="preserve"> per cent</w:t>
      </w:r>
      <w:r w:rsidR="007544C6">
        <w:rPr>
          <w:rFonts w:ascii="Calibri Light" w:eastAsiaTheme="minorEastAsia" w:hAnsi="Calibri Light" w:cs="Arial"/>
          <w:color w:val="4D4D4D" w:themeColor="accent6"/>
          <w:sz w:val="26"/>
          <w:szCs w:val="26"/>
        </w:rPr>
        <w:t xml:space="preserve"> of additional salary (if any) during all years of </w:t>
      </w:r>
      <w:r w:rsidR="06C9A5B9" w:rsidRPr="19C23C82">
        <w:rPr>
          <w:rFonts w:ascii="Calibri Light" w:eastAsiaTheme="minorEastAsia" w:hAnsi="Calibri Light" w:cs="Arial"/>
          <w:color w:val="4D4D4D" w:themeColor="accent6"/>
          <w:sz w:val="26"/>
          <w:szCs w:val="26"/>
        </w:rPr>
        <w:t>such</w:t>
      </w:r>
      <w:r w:rsidR="00E90ECF">
        <w:rPr>
          <w:rFonts w:ascii="Calibri Light" w:eastAsiaTheme="minorEastAsia" w:hAnsi="Calibri Light" w:cs="Arial"/>
          <w:color w:val="4D4D4D" w:themeColor="accent6"/>
          <w:sz w:val="26"/>
          <w:szCs w:val="26"/>
        </w:rPr>
        <w:t xml:space="preserve"> </w:t>
      </w:r>
      <w:r w:rsidR="002B46C5" w:rsidRPr="000740FC">
        <w:rPr>
          <w:rFonts w:ascii="Calibri Light" w:eastAsiaTheme="minorEastAsia" w:hAnsi="Calibri Light" w:cs="Arial"/>
          <w:color w:val="4D4D4D" w:themeColor="accent6"/>
          <w:sz w:val="26"/>
          <w:szCs w:val="26"/>
        </w:rPr>
        <w:t>service.</w:t>
      </w:r>
    </w:p>
    <w:p w14:paraId="3EB79E8C" w14:textId="3BC7D39E" w:rsidR="002E4725" w:rsidRPr="000740FC" w:rsidRDefault="002E4725" w:rsidP="002E4725">
      <w:pPr>
        <w:spacing w:before="120" w:after="240" w:line="276" w:lineRule="auto"/>
        <w:jc w:val="both"/>
        <w:rPr>
          <w:rFonts w:ascii="Calibri Light" w:eastAsiaTheme="minorEastAsia" w:hAnsi="Calibri Light" w:cs="Arial"/>
          <w:color w:val="4D4D4D" w:themeColor="accent6"/>
          <w:sz w:val="26"/>
          <w:szCs w:val="26"/>
        </w:rPr>
      </w:pPr>
      <w:r w:rsidRPr="000740FC">
        <w:rPr>
          <w:rFonts w:ascii="Calibri Light" w:eastAsiaTheme="minorEastAsia" w:hAnsi="Calibri Light" w:cs="Arial"/>
          <w:color w:val="4D4D4D" w:themeColor="accent6"/>
          <w:sz w:val="26"/>
          <w:szCs w:val="26"/>
        </w:rPr>
        <w:t>Member contributions are pooled and invested by ESSSuper, which is responsible for administering the PCSF,</w:t>
      </w:r>
      <w:r w:rsidRPr="000740FC">
        <w:rPr>
          <w:rStyle w:val="FootnoteReference"/>
          <w:rFonts w:ascii="Calibri Light" w:eastAsiaTheme="minorEastAsia" w:hAnsi="Calibri Light" w:cs="Arial"/>
          <w:color w:val="4D4D4D" w:themeColor="accent6"/>
          <w:sz w:val="26"/>
          <w:szCs w:val="26"/>
        </w:rPr>
        <w:footnoteReference w:id="42"/>
      </w:r>
      <w:r w:rsidRPr="000740FC">
        <w:rPr>
          <w:rFonts w:ascii="Calibri Light" w:eastAsiaTheme="minorEastAsia" w:hAnsi="Calibri Light" w:cs="Arial"/>
          <w:color w:val="4D4D4D" w:themeColor="accent6"/>
          <w:sz w:val="26"/>
          <w:szCs w:val="26"/>
        </w:rPr>
        <w:t xml:space="preserve"> and used to pay the superannuation </w:t>
      </w:r>
      <w:r w:rsidR="007523C0">
        <w:rPr>
          <w:rFonts w:ascii="Calibri Light" w:eastAsiaTheme="minorEastAsia" w:hAnsi="Calibri Light" w:cs="Arial"/>
          <w:color w:val="4D4D4D" w:themeColor="accent6"/>
          <w:sz w:val="26"/>
          <w:szCs w:val="26"/>
        </w:rPr>
        <w:t>benefits</w:t>
      </w:r>
      <w:r w:rsidRPr="000740FC">
        <w:rPr>
          <w:rFonts w:ascii="Calibri Light" w:eastAsiaTheme="minorEastAsia" w:hAnsi="Calibri Light" w:cs="Arial"/>
          <w:color w:val="4D4D4D" w:themeColor="accent6"/>
          <w:sz w:val="26"/>
          <w:szCs w:val="26"/>
        </w:rPr>
        <w:t xml:space="preserve"> of members. The State of Victoria has been required, from time to time, to contribute additional funds to the PCSF to ensure that sufficient funds are provided for </w:t>
      </w:r>
      <w:r w:rsidR="002E074D">
        <w:rPr>
          <w:rFonts w:ascii="Calibri Light" w:eastAsiaTheme="minorEastAsia" w:hAnsi="Calibri Light" w:cs="Arial"/>
          <w:color w:val="4D4D4D" w:themeColor="accent6"/>
          <w:sz w:val="26"/>
          <w:szCs w:val="26"/>
        </w:rPr>
        <w:t>benefit</w:t>
      </w:r>
      <w:r w:rsidRPr="000740FC">
        <w:rPr>
          <w:rFonts w:ascii="Calibri Light" w:eastAsiaTheme="minorEastAsia" w:hAnsi="Calibri Light" w:cs="Arial"/>
          <w:color w:val="4D4D4D" w:themeColor="accent6"/>
          <w:sz w:val="26"/>
          <w:szCs w:val="26"/>
        </w:rPr>
        <w:t>s to be paid.</w:t>
      </w:r>
      <w:r w:rsidR="00512550" w:rsidRPr="000740FC">
        <w:rPr>
          <w:rStyle w:val="FootnoteReference"/>
          <w:rFonts w:ascii="Calibri Light" w:eastAsiaTheme="minorEastAsia" w:hAnsi="Calibri Light" w:cs="Arial"/>
          <w:color w:val="4D4D4D" w:themeColor="accent6"/>
          <w:sz w:val="26"/>
          <w:szCs w:val="26"/>
        </w:rPr>
        <w:footnoteReference w:id="43"/>
      </w:r>
    </w:p>
    <w:p w14:paraId="4E1C8335" w14:textId="08EBE0BD" w:rsidR="00BB7B48" w:rsidRPr="000740FC" w:rsidRDefault="002E4725" w:rsidP="00B33183">
      <w:pPr>
        <w:pStyle w:val="Paragraph"/>
      </w:pPr>
      <w:r w:rsidRPr="000740FC">
        <w:t>Both</w:t>
      </w:r>
      <w:r w:rsidRPr="000740FC">
        <w:rPr>
          <w:rFonts w:eastAsiaTheme="minorEastAsia"/>
        </w:rPr>
        <w:t xml:space="preserve"> schemes provide participating MPs with a fixed benefit upon leaving the Parliament. </w:t>
      </w:r>
      <w:r w:rsidRPr="000740FC">
        <w:t>Eligible former MPs receive a pension upon leaving the Parliament, which they may elect to convert into a lump sum</w:t>
      </w:r>
      <w:r w:rsidR="00254E2E" w:rsidRPr="000740FC">
        <w:rPr>
          <w:rStyle w:val="FootnoteReference"/>
        </w:rPr>
        <w:footnoteReference w:id="44"/>
      </w:r>
      <w:r w:rsidRPr="000740FC">
        <w:t xml:space="preserve"> (subject to restrictions under Commonwealth law on when superannuation entitlements can be accessed</w:t>
      </w:r>
      <w:r w:rsidR="00C345C5">
        <w:t>)</w:t>
      </w:r>
      <w:r w:rsidR="003123BB">
        <w:t>.</w:t>
      </w:r>
      <w:r w:rsidR="00254E2E" w:rsidRPr="000740FC">
        <w:rPr>
          <w:rStyle w:val="FootnoteReference"/>
        </w:rPr>
        <w:footnoteReference w:id="45"/>
      </w:r>
    </w:p>
    <w:p w14:paraId="01EE3B55" w14:textId="4D23411E" w:rsidR="00C50E31" w:rsidRPr="000740FC" w:rsidRDefault="00BB7B48" w:rsidP="00B33183">
      <w:pPr>
        <w:pStyle w:val="Paragraph"/>
      </w:pPr>
      <w:r w:rsidRPr="000740FC">
        <w:t>Typically, an MP</w:t>
      </w:r>
      <w:r w:rsidR="006A5F9A" w:rsidRPr="000740FC">
        <w:t xml:space="preserve"> needs to serve at least 8 years to be eligible for the pension, although a longer eligibility period may apply depending on the circumstances in which they leave the Parliament (e.g. if they choose to resign mid-term).</w:t>
      </w:r>
      <w:r w:rsidR="00C50E31" w:rsidRPr="000740FC">
        <w:t xml:space="preserve"> Pensions are calculated as a percentage of the </w:t>
      </w:r>
      <w:r w:rsidR="00CC3233">
        <w:t>BSP</w:t>
      </w:r>
      <w:r w:rsidR="00C50E31" w:rsidRPr="000740FC">
        <w:t xml:space="preserve">. </w:t>
      </w:r>
    </w:p>
    <w:p w14:paraId="56CA7C35" w14:textId="45CFC042" w:rsidR="00C50E31" w:rsidRPr="000740FC" w:rsidRDefault="00C50E31" w:rsidP="00B33183">
      <w:pPr>
        <w:pStyle w:val="Paragraph"/>
        <w:rPr>
          <w:szCs w:val="26"/>
        </w:rPr>
      </w:pPr>
      <w:r w:rsidRPr="000740FC">
        <w:t xml:space="preserve">For example, under the New Benefits Scheme, the minimum pension is equal to 50 per cent of the </w:t>
      </w:r>
      <w:r w:rsidR="00437235">
        <w:t>BSP</w:t>
      </w:r>
      <w:r w:rsidRPr="000740FC">
        <w:t>. An additional 2.5 per cent is paid for every year of service over 8</w:t>
      </w:r>
      <w:r w:rsidR="00025B0B">
        <w:t xml:space="preserve"> years</w:t>
      </w:r>
      <w:r w:rsidRPr="000740FC">
        <w:t>, up to a maximum of 75 per cent</w:t>
      </w:r>
      <w:r w:rsidR="52F67353" w:rsidRPr="000740FC">
        <w:t>.</w:t>
      </w:r>
      <w:r w:rsidRPr="000740FC">
        <w:t xml:space="preserve"> Cameo </w:t>
      </w:r>
      <w:r w:rsidR="00E91897">
        <w:t>3.1</w:t>
      </w:r>
      <w:r w:rsidR="2FD6C56F" w:rsidRPr="000740FC">
        <w:t xml:space="preserve"> provides an example of the pension entitlements of an MP who serves 17 </w:t>
      </w:r>
      <w:r w:rsidR="5662A4FC" w:rsidRPr="000740FC">
        <w:t>y</w:t>
      </w:r>
      <w:r w:rsidR="2FD6C56F" w:rsidRPr="000740FC">
        <w:t>ears in the Parliament</w:t>
      </w:r>
      <w:r w:rsidRPr="000740FC">
        <w:t xml:space="preserve">. </w:t>
      </w:r>
    </w:p>
    <w:p w14:paraId="2E9A1ECB" w14:textId="45E8E871" w:rsidR="00C50E31" w:rsidRPr="000740FC" w:rsidRDefault="00C50E31" w:rsidP="00C50E31">
      <w:pPr>
        <w:pStyle w:val="Figureheading"/>
      </w:pPr>
      <w:r w:rsidRPr="000740FC">
        <w:t xml:space="preserve">Cameo </w:t>
      </w:r>
      <w:r w:rsidR="00E91897">
        <w:t>3.1</w:t>
      </w:r>
      <w:r w:rsidRPr="000740FC">
        <w:t xml:space="preserve">: </w:t>
      </w:r>
      <w:r w:rsidR="00073254">
        <w:t xml:space="preserve">hypothetical </w:t>
      </w:r>
      <w:r w:rsidR="00D9465B" w:rsidRPr="000740FC">
        <w:t xml:space="preserve">former </w:t>
      </w:r>
      <w:r w:rsidRPr="000740FC">
        <w:t xml:space="preserve">MP </w:t>
      </w:r>
      <w:r w:rsidR="00D9465B" w:rsidRPr="000740FC">
        <w:t>taking</w:t>
      </w:r>
      <w:r w:rsidRPr="000740FC">
        <w:t xml:space="preserve"> a pension under the New Benefits Scheme</w:t>
      </w:r>
    </w:p>
    <w:p w14:paraId="7FEB70EE" w14:textId="42D5CB64" w:rsidR="00281E5B" w:rsidRPr="00281E5B" w:rsidRDefault="007C3DB1" w:rsidP="00B33183">
      <w:pPr>
        <w:pStyle w:val="Paragraph"/>
      </w:pPr>
      <w:r>
        <w:rPr>
          <w:noProof/>
        </w:rPr>
        <mc:AlternateContent>
          <mc:Choice Requires="wpg">
            <w:drawing>
              <wp:inline distT="0" distB="0" distL="0" distR="0" wp14:anchorId="48769CEC" wp14:editId="39ABE365">
                <wp:extent cx="5396230" cy="1400810"/>
                <wp:effectExtent l="0" t="0" r="13970" b="27940"/>
                <wp:docPr id="17" name="Group 17"/>
                <wp:cNvGraphicFramePr/>
                <a:graphic xmlns:a="http://schemas.openxmlformats.org/drawingml/2006/main">
                  <a:graphicData uri="http://schemas.microsoft.com/office/word/2010/wordprocessingGroup">
                    <wpg:wgp>
                      <wpg:cNvGrpSpPr/>
                      <wpg:grpSpPr>
                        <a:xfrm>
                          <a:off x="0" y="0"/>
                          <a:ext cx="5396230" cy="1400810"/>
                          <a:chOff x="0" y="0"/>
                          <a:chExt cx="5706657" cy="1481729"/>
                        </a:xfrm>
                      </wpg:grpSpPr>
                      <wps:wsp>
                        <wps:cNvPr id="16" name="Rectangle 16"/>
                        <wps:cNvSpPr/>
                        <wps:spPr>
                          <a:xfrm>
                            <a:off x="0" y="0"/>
                            <a:ext cx="5706657" cy="1481729"/>
                          </a:xfrm>
                          <a:prstGeom prst="rect">
                            <a:avLst/>
                          </a:prstGeom>
                          <a:noFill/>
                          <a:ln>
                            <a:solidFill>
                              <a:schemeClr val="accent6">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60070" y="6675"/>
                            <a:ext cx="5572760" cy="1347470"/>
                            <a:chOff x="0" y="0"/>
                            <a:chExt cx="5574695" cy="1348157"/>
                          </a:xfrm>
                        </wpg:grpSpPr>
                        <wps:wsp>
                          <wps:cNvPr id="2031193028" name="Text Box 2"/>
                          <wps:cNvSpPr txBox="1">
                            <a:spLocks noChangeArrowheads="1"/>
                          </wps:cNvSpPr>
                          <wps:spPr bwMode="auto">
                            <a:xfrm>
                              <a:off x="0" y="777922"/>
                              <a:ext cx="1200010" cy="570235"/>
                            </a:xfrm>
                            <a:prstGeom prst="rect">
                              <a:avLst/>
                            </a:prstGeom>
                            <a:solidFill>
                              <a:schemeClr val="bg1"/>
                            </a:solidFill>
                            <a:ln w="9525">
                              <a:solidFill>
                                <a:schemeClr val="tx1">
                                  <a:lumMod val="50000"/>
                                  <a:lumOff val="50000"/>
                                </a:schemeClr>
                              </a:solidFill>
                              <a:miter lim="800000"/>
                              <a:headEnd/>
                              <a:tailEnd/>
                            </a:ln>
                          </wps:spPr>
                          <wps:txbx>
                            <w:txbxContent>
                              <w:p w14:paraId="1893CFDD" w14:textId="77777777" w:rsidR="00DA3D89" w:rsidRPr="007653EC" w:rsidRDefault="00DA3D89" w:rsidP="007C3DB1">
                                <w:pPr>
                                  <w:jc w:val="center"/>
                                  <w:rPr>
                                    <w:b/>
                                    <w:bCs/>
                                    <w:vertAlign w:val="superscript"/>
                                  </w:rPr>
                                </w:pPr>
                                <w:r w:rsidRPr="007653EC">
                                  <w:rPr>
                                    <w:b/>
                                    <w:bCs/>
                                  </w:rPr>
                                  <w:t xml:space="preserve">MP </w:t>
                                </w:r>
                                <w:r>
                                  <w:rPr>
                                    <w:b/>
                                    <w:bCs/>
                                  </w:rPr>
                                  <w:t>joins the Parliament at 2002 election</w:t>
                                </w:r>
                              </w:p>
                            </w:txbxContent>
                          </wps:txbx>
                          <wps:bodyPr rot="0" vert="horz" wrap="square" lIns="91440" tIns="45720" rIns="91440" bIns="45720" anchor="t" anchorCtr="0">
                            <a:noAutofit/>
                          </wps:bodyPr>
                        </wps:wsp>
                        <pic:pic xmlns:pic="http://schemas.openxmlformats.org/drawingml/2006/picture">
                          <pic:nvPicPr>
                            <pic:cNvPr id="2031193035" name="Picture 2031193035" descr="person Icon 203763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0126" y="0"/>
                              <a:ext cx="837565" cy="838200"/>
                            </a:xfrm>
                            <a:prstGeom prst="rect">
                              <a:avLst/>
                            </a:prstGeom>
                            <a:noFill/>
                            <a:ln>
                              <a:noFill/>
                            </a:ln>
                          </pic:spPr>
                        </pic:pic>
                        <wps:wsp>
                          <wps:cNvPr id="2031193029" name="Rectangle 2031193029"/>
                          <wps:cNvSpPr/>
                          <wps:spPr>
                            <a:xfrm>
                              <a:off x="1269242" y="63959"/>
                              <a:ext cx="2201099" cy="7125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9A22E1" w14:textId="77777777" w:rsidR="00DA3D89" w:rsidRDefault="00DA3D89" w:rsidP="007C3DB1">
                                <w:pPr>
                                  <w:jc w:val="center"/>
                                </w:pPr>
                                <w:r>
                                  <w:rPr>
                                    <w:color w:val="FFFFFF" w:themeColor="background1"/>
                                  </w:rPr>
                                  <w:t>Serves 17 years and does not hold any specified parliamentary offices, leaving at the end of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Right 36"/>
                          <wps:cNvSpPr/>
                          <wps:spPr>
                            <a:xfrm>
                              <a:off x="1201003" y="859809"/>
                              <a:ext cx="2359973" cy="356186"/>
                            </a:xfrm>
                            <a:prstGeom prst="rightArrow">
                              <a:avLst/>
                            </a:prstGeom>
                            <a:solidFill>
                              <a:schemeClr val="bg1">
                                <a:lumMod val="50000"/>
                              </a:schemeClr>
                            </a:solidFill>
                            <a:ln>
                              <a:noFill/>
                            </a:ln>
                            <a:effectLst/>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3575080" y="636110"/>
                              <a:ext cx="1999615" cy="712047"/>
                            </a:xfrm>
                            <a:prstGeom prst="rect">
                              <a:avLst/>
                            </a:prstGeom>
                            <a:solidFill>
                              <a:schemeClr val="bg1">
                                <a:lumMod val="75000"/>
                              </a:schemeClr>
                            </a:solidFill>
                            <a:ln w="9525">
                              <a:solidFill>
                                <a:schemeClr val="bg1">
                                  <a:lumMod val="75000"/>
                                </a:schemeClr>
                              </a:solidFill>
                              <a:miter lim="800000"/>
                              <a:headEnd/>
                              <a:tailEnd/>
                            </a:ln>
                          </wps:spPr>
                          <wps:txbx>
                            <w:txbxContent>
                              <w:p w14:paraId="29390A86" w14:textId="77777777" w:rsidR="00DA3D89" w:rsidRPr="00D9465B" w:rsidRDefault="00DA3D89" w:rsidP="007C3DB1">
                                <w:pPr>
                                  <w:jc w:val="center"/>
                                  <w:rPr>
                                    <w:b/>
                                    <w:bCs/>
                                    <w:color w:val="auto"/>
                                  </w:rPr>
                                </w:pPr>
                                <w:r w:rsidRPr="00D9465B">
                                  <w:rPr>
                                    <w:b/>
                                    <w:bCs/>
                                    <w:color w:val="auto"/>
                                  </w:rPr>
                                  <w:t>MP is eligible for a lifetime pension equal to 72.5% of the BSP per year –</w:t>
                                </w:r>
                                <w:r>
                                  <w:rPr>
                                    <w:b/>
                                    <w:bCs/>
                                    <w:color w:val="auto"/>
                                  </w:rPr>
                                  <w:t xml:space="preserve"> </w:t>
                                </w:r>
                                <w:r w:rsidRPr="00D9465B">
                                  <w:rPr>
                                    <w:b/>
                                    <w:bCs/>
                                    <w:color w:val="auto"/>
                                  </w:rPr>
                                  <w:t>$122,45</w:t>
                                </w:r>
                                <w:r>
                                  <w:rPr>
                                    <w:b/>
                                    <w:bCs/>
                                    <w:color w:val="auto"/>
                                  </w:rPr>
                                  <w:t>3 as at 2019</w:t>
                                </w:r>
                              </w:p>
                            </w:txbxContent>
                          </wps:txbx>
                          <wps:bodyPr rot="0" vert="horz" wrap="square" lIns="91440" tIns="45720" rIns="91440" bIns="45720" anchor="t" anchorCtr="0">
                            <a:noAutofit/>
                          </wps:bodyPr>
                        </wps:wsp>
                      </wpg:grpSp>
                    </wpg:wgp>
                  </a:graphicData>
                </a:graphic>
              </wp:inline>
            </w:drawing>
          </mc:Choice>
          <mc:Fallback>
            <w:pict>
              <v:group w14:anchorId="48769CEC" id="Group 17" o:spid="_x0000_s1027" style="width:424.9pt;height:110.3pt;mso-position-horizontal-relative:char;mso-position-vertical-relative:line" coordsize="57066,1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">
                <v:rect id="Rectangle 16" o:spid="_x0000_s1028" style="position:absolute;width:57066;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" filled="f" strokecolor="#dbdbdb [665]"/>
                <v:group id="Group 38" o:spid="_x0000_s1029" style="position:absolute;left:600;top:66;width:55728;height:13475" coordsize="55746,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_x0000_s1030" type="#_x0000_t202" style="position:absolute;top:7779;width:1200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" fillcolor="white [3212]" strokecolor="gray [1629]">
                    <v:textbox>
                      <w:txbxContent>
                        <w:p w14:paraId="1893CFDD" w14:textId="77777777" w:rsidR="00DA3D89" w:rsidRPr="007653EC" w:rsidRDefault="00DA3D89" w:rsidP="007C3DB1">
                          <w:pPr>
                            <w:jc w:val="center"/>
                            <w:rPr>
                              <w:b/>
                              <w:bCs/>
                              <w:vertAlign w:val="superscript"/>
                            </w:rPr>
                          </w:pPr>
                          <w:r w:rsidRPr="007653EC">
                            <w:rPr>
                              <w:b/>
                              <w:bCs/>
                            </w:rPr>
                            <w:t xml:space="preserve">MP </w:t>
                          </w:r>
                          <w:r>
                            <w:rPr>
                              <w:b/>
                              <w:bCs/>
                            </w:rPr>
                            <w:t>joins the Parliament at 2002 election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1193035" o:spid="_x0000_s1031" type="#_x0000_t75" alt="person Icon 2037633" style="position:absolute;left:1501;width:837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">
                    <v:imagedata r:id="rId48" o:title="person Icon 2037633"/>
                  </v:shape>
                  <v:rect id="Rectangle 2031193029" o:spid="_x0000_s1032" style="position:absolute;left:12692;top:639;width:22011;height:7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" fillcolor="#70ba85 [3206]" strokecolor="#30643e [1606]" strokeweight="2pt">
                    <v:textbox>
                      <w:txbxContent>
                        <w:p w14:paraId="799A22E1" w14:textId="77777777" w:rsidR="00DA3D89" w:rsidRDefault="00DA3D89" w:rsidP="007C3DB1">
                          <w:pPr>
                            <w:jc w:val="center"/>
                          </w:pPr>
                          <w:r>
                            <w:rPr>
                              <w:color w:val="FFFFFF" w:themeColor="background1"/>
                            </w:rPr>
                            <w:t>Serves 17 years and does not hold any specified parliamentary offices, leaving at the end of 2019</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33" type="#_x0000_t13" style="position:absolute;left:12010;top:8598;width:23599;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" adj="19970" fillcolor="#7f7f7f [1612]" stroked="f"/>
                  <v:shape id="_x0000_s1034" type="#_x0000_t202" style="position:absolute;left:35750;top:6361;width:19996;height: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" fillcolor="#bfbfbf [2412]" strokecolor="#bfbfbf [2412]">
                    <v:textbox>
                      <w:txbxContent>
                        <w:p w14:paraId="29390A86" w14:textId="77777777" w:rsidR="00DA3D89" w:rsidRPr="00D9465B" w:rsidRDefault="00DA3D89" w:rsidP="007C3DB1">
                          <w:pPr>
                            <w:jc w:val="center"/>
                            <w:rPr>
                              <w:b/>
                              <w:bCs/>
                              <w:color w:val="auto"/>
                            </w:rPr>
                          </w:pPr>
                          <w:r w:rsidRPr="00D9465B">
                            <w:rPr>
                              <w:b/>
                              <w:bCs/>
                              <w:color w:val="auto"/>
                            </w:rPr>
                            <w:t>MP is eligible for a lifetime pension equal to 72.5% of the BSP per year –</w:t>
                          </w:r>
                          <w:r>
                            <w:rPr>
                              <w:b/>
                              <w:bCs/>
                              <w:color w:val="auto"/>
                            </w:rPr>
                            <w:t xml:space="preserve"> </w:t>
                          </w:r>
                          <w:r w:rsidRPr="00D9465B">
                            <w:rPr>
                              <w:b/>
                              <w:bCs/>
                              <w:color w:val="auto"/>
                            </w:rPr>
                            <w:t>$122,45</w:t>
                          </w:r>
                          <w:r>
                            <w:rPr>
                              <w:b/>
                              <w:bCs/>
                              <w:color w:val="auto"/>
                            </w:rPr>
                            <w:t>3 as at 2019</w:t>
                          </w:r>
                        </w:p>
                      </w:txbxContent>
                    </v:textbox>
                  </v:shape>
                </v:group>
                <w10:anchorlock/>
              </v:group>
            </w:pict>
          </mc:Fallback>
        </mc:AlternateContent>
      </w:r>
    </w:p>
    <w:p w14:paraId="3FDC67AB" w14:textId="71CEADBA" w:rsidR="00384D49" w:rsidRDefault="00384D49" w:rsidP="00384D49">
      <w:pPr>
        <w:pStyle w:val="Notesfortablesfigures"/>
      </w:pPr>
      <w:r>
        <w:t xml:space="preserve">Note: </w:t>
      </w:r>
      <w:r w:rsidR="00586D7B">
        <w:t>Pension is indexed based on changes in the</w:t>
      </w:r>
      <w:r>
        <w:t xml:space="preserve"> Consumer Price Index</w:t>
      </w:r>
      <w:r w:rsidR="00586D7B">
        <w:t xml:space="preserve"> and</w:t>
      </w:r>
      <w:r w:rsidR="00201154">
        <w:t xml:space="preserve"> Average Weekly Ordinary Time Earnings</w:t>
      </w:r>
      <w:r w:rsidR="00E97B8D">
        <w:t xml:space="preserve"> in future years</w:t>
      </w:r>
      <w:r w:rsidR="00201154">
        <w:t xml:space="preserve">. </w:t>
      </w:r>
    </w:p>
    <w:p w14:paraId="244D16FD" w14:textId="12FE4652" w:rsidR="003D47E8" w:rsidRDefault="00384D49" w:rsidP="00384D49">
      <w:pPr>
        <w:pStyle w:val="Notesfortablesfigures"/>
      </w:pPr>
      <w:r>
        <w:t>Source: Tribunal analysis.</w:t>
      </w:r>
    </w:p>
    <w:p w14:paraId="6D4280D4" w14:textId="357E8744" w:rsidR="00E4554D" w:rsidRDefault="4DB1D6FE" w:rsidP="589A77DE">
      <w:pPr>
        <w:pStyle w:val="Paragraph"/>
      </w:pPr>
      <w:r w:rsidRPr="00CB0339">
        <w:lastRenderedPageBreak/>
        <w:t>The minimum value of the pension</w:t>
      </w:r>
      <w:r w:rsidR="00D30CF0">
        <w:t xml:space="preserve"> for an MP who </w:t>
      </w:r>
      <w:r w:rsidR="00FB101A">
        <w:t>does not hold a</w:t>
      </w:r>
      <w:r w:rsidR="00230732">
        <w:t>ny specified parliamentary offices</w:t>
      </w:r>
      <w:r w:rsidRPr="00CB0339">
        <w:t xml:space="preserve"> is 50 per cent of the BSP (as at 30</w:t>
      </w:r>
      <w:r w:rsidR="00CD1FD9">
        <w:t> </w:t>
      </w:r>
      <w:r w:rsidRPr="00CB0339">
        <w:t>June</w:t>
      </w:r>
      <w:r w:rsidR="00CD1FD9">
        <w:t> </w:t>
      </w:r>
      <w:r w:rsidRPr="00CB0339">
        <w:t>2020,</w:t>
      </w:r>
      <w:r w:rsidR="00CD1FD9">
        <w:t> </w:t>
      </w:r>
      <w:r w:rsidRPr="00CB0339">
        <w:t>$84,450.50</w:t>
      </w:r>
      <w:r w:rsidR="00CD1FD9">
        <w:t> </w:t>
      </w:r>
      <w:r w:rsidR="009A02D6">
        <w:t>p.a.</w:t>
      </w:r>
      <w:r w:rsidRPr="00CB0339">
        <w:t xml:space="preserve">), and the maximum is 75 per cent of the BSP (as at 30 June 2020, $126,676 </w:t>
      </w:r>
      <w:r w:rsidR="009A02D6">
        <w:t>p.a.</w:t>
      </w:r>
      <w:r w:rsidRPr="00CB0339">
        <w:t>).</w:t>
      </w:r>
    </w:p>
    <w:p w14:paraId="747E249A" w14:textId="445F9B97" w:rsidR="00E4554D" w:rsidRPr="000740FC" w:rsidRDefault="00E4554D" w:rsidP="00E4554D">
      <w:pPr>
        <w:pStyle w:val="Paragraph"/>
      </w:pPr>
      <w:r w:rsidRPr="00CB0339">
        <w:t>MPs who held a specified parliamentary office also receive an</w:t>
      </w:r>
      <w:r w:rsidRPr="000740FC">
        <w:t xml:space="preserve"> additional pension based on the years they held office and a percentage of their additional salary received.</w:t>
      </w:r>
      <w:r>
        <w:t xml:space="preserve"> </w:t>
      </w:r>
    </w:p>
    <w:p w14:paraId="6494038A" w14:textId="4CA68669" w:rsidR="002E4725" w:rsidRPr="000740FC" w:rsidRDefault="002E4725" w:rsidP="00B33183">
      <w:pPr>
        <w:pStyle w:val="Paragraph"/>
        <w:rPr>
          <w:rFonts w:eastAsiaTheme="minorEastAsia"/>
        </w:rPr>
      </w:pPr>
      <w:r w:rsidRPr="000740FC">
        <w:t xml:space="preserve">In contrast, former MPs who are ineligible for the pension instead receive a lump sum payment of up to 3⅓ times their contributions. </w:t>
      </w:r>
    </w:p>
    <w:p w14:paraId="148FD4AD" w14:textId="6179CFE0" w:rsidR="002E4725" w:rsidRPr="000740FC" w:rsidRDefault="002E4725" w:rsidP="00B33183">
      <w:pPr>
        <w:pStyle w:val="Paragraph"/>
      </w:pPr>
      <w:r w:rsidRPr="000740FC">
        <w:t xml:space="preserve">Upon the death of an MP, a reduced pension is payable to their partner or eligible children. </w:t>
      </w:r>
    </w:p>
    <w:p w14:paraId="5ABF486A" w14:textId="44002DB9" w:rsidR="0007221F" w:rsidRPr="000740FC" w:rsidRDefault="00543817" w:rsidP="00B33183">
      <w:pPr>
        <w:pStyle w:val="Paragraph"/>
      </w:pPr>
      <w:r w:rsidRPr="000740FC">
        <w:t>Appendix</w:t>
      </w:r>
      <w:r w:rsidR="0007221F" w:rsidRPr="000740FC">
        <w:t xml:space="preserve"> </w:t>
      </w:r>
      <w:r w:rsidR="5C8670F4" w:rsidRPr="000740FC">
        <w:t>B</w:t>
      </w:r>
      <w:r w:rsidR="0007221F" w:rsidRPr="000740FC">
        <w:t xml:space="preserve"> provides </w:t>
      </w:r>
      <w:r w:rsidRPr="000740FC">
        <w:t>further detail on</w:t>
      </w:r>
      <w:r w:rsidR="0007221F" w:rsidRPr="000740FC">
        <w:t xml:space="preserve"> the </w:t>
      </w:r>
      <w:r w:rsidRPr="000740FC">
        <w:t xml:space="preserve">operation of the </w:t>
      </w:r>
      <w:r w:rsidR="0007221F" w:rsidRPr="000740FC">
        <w:t>defined benefit schemes</w:t>
      </w:r>
      <w:r w:rsidRPr="000740FC">
        <w:t xml:space="preserve">. </w:t>
      </w:r>
    </w:p>
    <w:p w14:paraId="7FE1448E" w14:textId="19129171" w:rsidR="00523AD2" w:rsidRPr="000740FC" w:rsidRDefault="00543817" w:rsidP="00116FD1">
      <w:pPr>
        <w:pStyle w:val="VIRTHeading3"/>
        <w:rPr>
          <w:lang w:val="en-AU"/>
        </w:rPr>
      </w:pPr>
      <w:r w:rsidRPr="000740FC">
        <w:rPr>
          <w:lang w:val="en-AU"/>
        </w:rPr>
        <w:t xml:space="preserve">Overview of the </w:t>
      </w:r>
      <w:r w:rsidR="005C1DF7" w:rsidRPr="000740FC">
        <w:rPr>
          <w:lang w:val="en-AU"/>
        </w:rPr>
        <w:t>a</w:t>
      </w:r>
      <w:r w:rsidR="00993565" w:rsidRPr="000740FC">
        <w:rPr>
          <w:lang w:val="en-AU"/>
        </w:rPr>
        <w:t xml:space="preserve">ccumulation </w:t>
      </w:r>
      <w:r w:rsidR="00FC573F" w:rsidRPr="000740FC">
        <w:rPr>
          <w:lang w:val="en-AU"/>
        </w:rPr>
        <w:t>scheme</w:t>
      </w:r>
    </w:p>
    <w:p w14:paraId="0F2697CB" w14:textId="3B751278" w:rsidR="00BA66A8" w:rsidRPr="000740FC" w:rsidRDefault="00EA58C2" w:rsidP="00B33183">
      <w:pPr>
        <w:pStyle w:val="Paragraph"/>
      </w:pPr>
      <w:r w:rsidRPr="000740FC">
        <w:t xml:space="preserve">MPs elected </w:t>
      </w:r>
      <w:r w:rsidR="007B5EA0">
        <w:t>from 10</w:t>
      </w:r>
      <w:r w:rsidRPr="000740FC">
        <w:t xml:space="preserve"> November 2004 are members of the accumulation scheme.</w:t>
      </w:r>
    </w:p>
    <w:p w14:paraId="04EA5859" w14:textId="0E102966" w:rsidR="005A1F6C" w:rsidRPr="000740FC" w:rsidRDefault="005A1F6C" w:rsidP="00B33183">
      <w:pPr>
        <w:pStyle w:val="Paragraph"/>
      </w:pPr>
      <w:r w:rsidRPr="000740FC">
        <w:t xml:space="preserve">Under an accumulation scheme, MPs are paid contributions by the State into an accumulation fund of their choice, with contributions invested by the fund and superannuation balances </w:t>
      </w:r>
      <w:r w:rsidR="006F4353" w:rsidRPr="000740FC">
        <w:t xml:space="preserve">generally first </w:t>
      </w:r>
      <w:r w:rsidR="00365F2C" w:rsidRPr="000740FC">
        <w:t>accessible when the MP</w:t>
      </w:r>
      <w:r w:rsidRPr="000740FC">
        <w:t xml:space="preserve"> reach</w:t>
      </w:r>
      <w:r w:rsidR="00365F2C" w:rsidRPr="000740FC">
        <w:t>es</w:t>
      </w:r>
      <w:r w:rsidRPr="000740FC">
        <w:t xml:space="preserve"> their preservatio</w:t>
      </w:r>
      <w:r w:rsidRPr="00E91897">
        <w:t xml:space="preserve">n age (figure </w:t>
      </w:r>
      <w:r w:rsidR="00E91897" w:rsidRPr="00E91897">
        <w:t>3.3</w:t>
      </w:r>
      <w:r w:rsidR="00E959A2">
        <w:t xml:space="preserve"> overleaf</w:t>
      </w:r>
      <w:r w:rsidRPr="00E91897">
        <w:t>).</w:t>
      </w:r>
    </w:p>
    <w:p w14:paraId="2D4C1344" w14:textId="0980CC9F" w:rsidR="005A1F6C" w:rsidRPr="000740FC" w:rsidRDefault="005A1F6C" w:rsidP="005A1F6C">
      <w:pPr>
        <w:pStyle w:val="Figureheading"/>
      </w:pPr>
      <w:r w:rsidRPr="000740FC">
        <w:lastRenderedPageBreak/>
        <w:t xml:space="preserve">Figure </w:t>
      </w:r>
      <w:r w:rsidR="00E91897">
        <w:t>3.3</w:t>
      </w:r>
      <w:r w:rsidRPr="000740FC">
        <w:t xml:space="preserve">: </w:t>
      </w:r>
      <w:r w:rsidR="006D4D3F" w:rsidRPr="000740FC">
        <w:t>how</w:t>
      </w:r>
      <w:r w:rsidRPr="000740FC">
        <w:t xml:space="preserve"> the accumulation scheme</w:t>
      </w:r>
      <w:r w:rsidR="0010620F">
        <w:t xml:space="preserve"> operates</w:t>
      </w:r>
    </w:p>
    <w:p w14:paraId="5A8BF5BD" w14:textId="1EE895EB" w:rsidR="005A1F6C" w:rsidRPr="000740FC" w:rsidRDefault="00607C6E" w:rsidP="007D1973">
      <w:pPr>
        <w:pStyle w:val="Notesfortablesfigures"/>
      </w:pPr>
      <w:r w:rsidRPr="00607C6E">
        <w:rPr>
          <w:noProof/>
        </w:rPr>
        <w:drawing>
          <wp:inline distT="0" distB="0" distL="0" distR="0" wp14:anchorId="6AC854E9" wp14:editId="123F745C">
            <wp:extent cx="5396230" cy="3423285"/>
            <wp:effectExtent l="19050" t="19050" r="1397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6230" cy="3423285"/>
                    </a:xfrm>
                    <a:prstGeom prst="rect">
                      <a:avLst/>
                    </a:prstGeom>
                    <a:noFill/>
                    <a:ln>
                      <a:solidFill>
                        <a:schemeClr val="accent6">
                          <a:lumMod val="20000"/>
                          <a:lumOff val="80000"/>
                        </a:schemeClr>
                      </a:solidFill>
                    </a:ln>
                  </pic:spPr>
                </pic:pic>
              </a:graphicData>
            </a:graphic>
          </wp:inline>
        </w:drawing>
      </w:r>
    </w:p>
    <w:p w14:paraId="6BD59FF6" w14:textId="692E5498" w:rsidR="005A1F6C" w:rsidRPr="000740FC" w:rsidRDefault="004F46D6" w:rsidP="00175D29">
      <w:pPr>
        <w:pStyle w:val="Notesfortablesfigures"/>
      </w:pPr>
      <w:r w:rsidRPr="000740FC">
        <w:t xml:space="preserve">Notes: (a) </w:t>
      </w:r>
      <w:r>
        <w:t>U</w:t>
      </w:r>
      <w:r w:rsidRPr="000740FC">
        <w:t xml:space="preserve">nder s31 of the PSAS Act, MPs can elect to limit the amount </w:t>
      </w:r>
      <w:r>
        <w:t xml:space="preserve">of </w:t>
      </w:r>
      <w:r w:rsidRPr="000740FC">
        <w:t>contributions they receive to prevent them exceeding the concessional contributions cap</w:t>
      </w:r>
      <w:r>
        <w:t>.</w:t>
      </w:r>
      <w:r w:rsidRPr="000740FC">
        <w:t xml:space="preserve"> (</w:t>
      </w:r>
      <w:r>
        <w:t>b</w:t>
      </w:r>
      <w:r w:rsidRPr="000740FC">
        <w:t xml:space="preserve">) </w:t>
      </w:r>
      <w:r>
        <w:t>I</w:t>
      </w:r>
      <w:r w:rsidRPr="000740FC">
        <w:t>n some circumstances, an MP may be able to access their superannuation prior to reaching their preservation age (e.g. due to severe financial hardship or ill-health).</w:t>
      </w:r>
    </w:p>
    <w:p w14:paraId="7C0AABF1" w14:textId="440247E6" w:rsidR="00EA58C2" w:rsidRPr="000740FC" w:rsidRDefault="00732F94" w:rsidP="00B33183">
      <w:pPr>
        <w:pStyle w:val="Parabeforeabulletlist"/>
      </w:pPr>
      <w:r w:rsidRPr="000740FC">
        <w:t>Part 4</w:t>
      </w:r>
      <w:r w:rsidR="00EA58C2" w:rsidRPr="000740FC">
        <w:t xml:space="preserve"> of the PSAS Act requires the State to make superannuation contributions that are equal to the greater of:</w:t>
      </w:r>
    </w:p>
    <w:p w14:paraId="1BA75431" w14:textId="77777777" w:rsidR="009D54D8" w:rsidRPr="00E61042" w:rsidRDefault="009D54D8" w:rsidP="009D54D8">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‘prescribed percentage’ </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currently 15.</w:t>
      </w:r>
      <w:r>
        <w:rPr>
          <w:rFonts w:ascii="Calibri Light" w:hAnsi="Calibri Light" w:cs="Arial"/>
          <w:color w:val="4D4D4D" w:themeColor="accent6"/>
          <w:sz w:val="26"/>
          <w:szCs w:val="20"/>
        </w:rPr>
        <w:t>5</w:t>
      </w:r>
      <w:r w:rsidRPr="00E61042">
        <w:rPr>
          <w:rFonts w:ascii="Calibri Light" w:hAnsi="Calibri Light" w:cs="Arial"/>
          <w:color w:val="4D4D4D" w:themeColor="accent6"/>
          <w:sz w:val="26"/>
          <w:szCs w:val="20"/>
        </w:rPr>
        <w:t xml:space="preserve"> per cent</w:t>
      </w:r>
      <w:r>
        <w:rPr>
          <w:rFonts w:ascii="Calibri Light" w:hAnsi="Calibri Light" w:cs="Arial"/>
          <w:color w:val="4D4D4D" w:themeColor="accent6"/>
          <w:sz w:val="26"/>
          <w:szCs w:val="20"/>
        </w:rPr>
        <w:t>)</w:t>
      </w:r>
      <w:r w:rsidRPr="00E61042">
        <w:rPr>
          <w:rFonts w:ascii="Calibri Light" w:hAnsi="Calibri Light" w:cs="Arial"/>
          <w:color w:val="4D4D4D" w:themeColor="accent6"/>
          <w:sz w:val="26"/>
          <w:szCs w:val="20"/>
        </w:rPr>
        <w:t xml:space="preserve"> of the basic salary and additional salary (if any)</w:t>
      </w:r>
      <w:r>
        <w:rPr>
          <w:rFonts w:ascii="Calibri Light" w:hAnsi="Calibri Light" w:cs="Arial"/>
          <w:color w:val="4D4D4D" w:themeColor="accent6"/>
          <w:sz w:val="26"/>
          <w:szCs w:val="20"/>
        </w:rPr>
        <w:t xml:space="preserve"> (the prescribed percentage contribution amount) </w:t>
      </w:r>
    </w:p>
    <w:p w14:paraId="7D559E09" w14:textId="77777777" w:rsidR="009D54D8" w:rsidRDefault="009D54D8" w:rsidP="009D54D8">
      <w:pPr>
        <w:numPr>
          <w:ilvl w:val="0"/>
          <w:numId w:val="12"/>
        </w:numPr>
        <w:spacing w:after="0" w:line="276" w:lineRule="auto"/>
        <w:contextualSpacing/>
        <w:jc w:val="both"/>
        <w:rPr>
          <w:rFonts w:ascii="Calibri Light" w:hAnsi="Calibri Light" w:cs="Arial"/>
          <w:color w:val="4D4D4D" w:themeColor="accent6"/>
          <w:sz w:val="26"/>
          <w:szCs w:val="20"/>
        </w:rPr>
      </w:pPr>
      <w:r w:rsidRPr="00E61042">
        <w:rPr>
          <w:rFonts w:ascii="Calibri Light" w:hAnsi="Calibri Light" w:cs="Arial"/>
          <w:color w:val="4D4D4D" w:themeColor="accent6"/>
          <w:sz w:val="26"/>
          <w:szCs w:val="20"/>
        </w:rPr>
        <w:t xml:space="preserve">the minimum amount necessary to avoid a </w:t>
      </w:r>
      <w:r>
        <w:rPr>
          <w:rFonts w:ascii="Calibri Light" w:hAnsi="Calibri Light" w:cs="Arial"/>
          <w:color w:val="4D4D4D" w:themeColor="accent6"/>
          <w:sz w:val="26"/>
          <w:szCs w:val="20"/>
        </w:rPr>
        <w:t>S</w:t>
      </w:r>
      <w:r w:rsidRPr="00E61042">
        <w:rPr>
          <w:rFonts w:ascii="Calibri Light" w:hAnsi="Calibri Light" w:cs="Arial"/>
          <w:color w:val="4D4D4D" w:themeColor="accent6"/>
          <w:sz w:val="26"/>
          <w:szCs w:val="20"/>
        </w:rPr>
        <w:t xml:space="preserve">uperannuation </w:t>
      </w:r>
      <w:r>
        <w:rPr>
          <w:rFonts w:ascii="Calibri Light" w:hAnsi="Calibri Light" w:cs="Arial"/>
          <w:color w:val="4D4D4D" w:themeColor="accent6"/>
          <w:sz w:val="26"/>
          <w:szCs w:val="20"/>
        </w:rPr>
        <w:t>G</w:t>
      </w:r>
      <w:r w:rsidRPr="00E61042">
        <w:rPr>
          <w:rFonts w:ascii="Calibri Light" w:hAnsi="Calibri Light" w:cs="Arial"/>
          <w:color w:val="4D4D4D" w:themeColor="accent6"/>
          <w:sz w:val="26"/>
          <w:szCs w:val="20"/>
        </w:rPr>
        <w:t>uarantee</w:t>
      </w:r>
      <w:r>
        <w:rPr>
          <w:rFonts w:ascii="Calibri Light" w:hAnsi="Calibri Light" w:cs="Arial"/>
          <w:color w:val="4D4D4D" w:themeColor="accent6"/>
          <w:sz w:val="26"/>
          <w:szCs w:val="20"/>
        </w:rPr>
        <w:t xml:space="preserve"> (SG)</w:t>
      </w:r>
      <w:r w:rsidRPr="00E61042">
        <w:rPr>
          <w:rFonts w:ascii="Calibri Light" w:hAnsi="Calibri Light" w:cs="Arial"/>
          <w:color w:val="4D4D4D" w:themeColor="accent6"/>
          <w:sz w:val="26"/>
          <w:szCs w:val="20"/>
        </w:rPr>
        <w:t xml:space="preserve"> shortfall under Commonwealth law </w:t>
      </w:r>
      <w:r>
        <w:rPr>
          <w:rFonts w:ascii="Calibri Light" w:hAnsi="Calibri Light" w:cs="Arial"/>
          <w:color w:val="4D4D4D" w:themeColor="accent6"/>
          <w:sz w:val="26"/>
          <w:szCs w:val="20"/>
        </w:rPr>
        <w:t>(the shortfall contribution amount).</w:t>
      </w:r>
    </w:p>
    <w:p w14:paraId="1C98D059" w14:textId="1C3FFE3F" w:rsidR="00EA58C2" w:rsidRPr="000740FC" w:rsidRDefault="009D54D8" w:rsidP="009D54D8">
      <w:pPr>
        <w:pStyle w:val="Paragraph"/>
      </w:pPr>
      <w:r>
        <w:t>T</w:t>
      </w:r>
      <w:r w:rsidRPr="00E61042">
        <w:t>he prescribed percentage</w:t>
      </w:r>
      <w:r>
        <w:t xml:space="preserve"> contribution amount</w:t>
      </w:r>
      <w:r w:rsidRPr="00E61042">
        <w:t xml:space="preserve"> typically </w:t>
      </w:r>
      <w:r>
        <w:t>exceeds the shortfall contribution amount.</w:t>
      </w:r>
    </w:p>
    <w:p w14:paraId="6AFFD90A" w14:textId="54E72999" w:rsidR="00EA58C2" w:rsidRPr="000740FC" w:rsidRDefault="00EA58C2" w:rsidP="00B33183">
      <w:pPr>
        <w:pStyle w:val="Paragraph"/>
      </w:pPr>
      <w:r w:rsidRPr="000740FC">
        <w:t>The prescribed percentage is equal to the minimum percentage required under Commonwealth law (</w:t>
      </w:r>
      <w:r w:rsidR="5C16EE03" w:rsidRPr="000740FC">
        <w:t>the SG percentage</w:t>
      </w:r>
      <w:r w:rsidRPr="000740FC">
        <w:t xml:space="preserve">, currently 9.5 per cent) plus </w:t>
      </w:r>
      <w:r w:rsidR="00C95FE2">
        <w:t>6</w:t>
      </w:r>
      <w:r w:rsidRPr="000740FC">
        <w:t xml:space="preserve"> per cent. The</w:t>
      </w:r>
      <w:r w:rsidR="7FBA0E30" w:rsidRPr="000740FC">
        <w:t xml:space="preserve"> </w:t>
      </w:r>
      <w:r w:rsidR="4B4AA527" w:rsidRPr="000740FC">
        <w:t>SG</w:t>
      </w:r>
      <w:r w:rsidRPr="000740FC">
        <w:t xml:space="preserve"> percentage is currently set to progressively increase to 12 per cent by </w:t>
      </w:r>
      <w:r w:rsidRPr="003E74AF">
        <w:t>1</w:t>
      </w:r>
      <w:r w:rsidR="003E74AF" w:rsidRPr="003E74AF">
        <w:t> </w:t>
      </w:r>
      <w:r w:rsidRPr="003E74AF">
        <w:t>July</w:t>
      </w:r>
      <w:r w:rsidR="003E74AF" w:rsidRPr="003E74AF">
        <w:t> </w:t>
      </w:r>
      <w:r w:rsidRPr="003E74AF">
        <w:t>2025,</w:t>
      </w:r>
      <w:r w:rsidRPr="003E74AF">
        <w:rPr>
          <w:rStyle w:val="FootnoteReference"/>
        </w:rPr>
        <w:footnoteReference w:id="46"/>
      </w:r>
      <w:r w:rsidRPr="003E74AF">
        <w:t xml:space="preserve"> which</w:t>
      </w:r>
      <w:r w:rsidRPr="000740FC">
        <w:t xml:space="preserve"> would result in Victorian MPs receiving incremental increase</w:t>
      </w:r>
      <w:r w:rsidR="0395F8BB" w:rsidRPr="000740FC">
        <w:t>s</w:t>
      </w:r>
      <w:r w:rsidRPr="000740FC">
        <w:t xml:space="preserve"> </w:t>
      </w:r>
      <w:r w:rsidR="68F57E12" w:rsidRPr="000740FC">
        <w:t>to their</w:t>
      </w:r>
      <w:r w:rsidRPr="000740FC">
        <w:t xml:space="preserve"> contributions up to 18</w:t>
      </w:r>
      <w:r w:rsidR="006E3F3E" w:rsidRPr="000740FC">
        <w:t> </w:t>
      </w:r>
      <w:r w:rsidRPr="000740FC">
        <w:t>per cent of their basic and any additional salar</w:t>
      </w:r>
      <w:r w:rsidR="00CF44C9">
        <w:t>ies</w:t>
      </w:r>
      <w:r w:rsidRPr="000740FC">
        <w:t xml:space="preserve">. </w:t>
      </w:r>
    </w:p>
    <w:p w14:paraId="45FE28A7" w14:textId="110B917F" w:rsidR="00FF3209" w:rsidRPr="000740FC" w:rsidRDefault="00EA58C2" w:rsidP="00B33183">
      <w:pPr>
        <w:pStyle w:val="Paragraph"/>
      </w:pPr>
      <w:r w:rsidRPr="000740FC">
        <w:t xml:space="preserve">From 16 September 2019, the contributions received by MPs in the accumulation scheme will ordinarily exceed the </w:t>
      </w:r>
      <w:r w:rsidR="005C74E1" w:rsidRPr="000740FC">
        <w:t xml:space="preserve">Commonwealth </w:t>
      </w:r>
      <w:r w:rsidRPr="000740FC">
        <w:t>concessional contributions cap (currently $25,000), thereby resulting in an additional tax liability (</w:t>
      </w:r>
      <w:r w:rsidR="005339AD" w:rsidRPr="000740FC">
        <w:t>a</w:t>
      </w:r>
      <w:r w:rsidRPr="000740FC">
        <w:t>ppend</w:t>
      </w:r>
      <w:r w:rsidRPr="00E91897">
        <w:t>ix </w:t>
      </w:r>
      <w:r w:rsidR="005A7766" w:rsidRPr="00E91897">
        <w:t>C</w:t>
      </w:r>
      <w:r w:rsidRPr="00E91897">
        <w:t>).</w:t>
      </w:r>
      <w:r w:rsidRPr="000740FC">
        <w:t xml:space="preserve"> </w:t>
      </w:r>
      <w:r w:rsidR="00141968" w:rsidRPr="005A1B62">
        <w:lastRenderedPageBreak/>
        <w:t xml:space="preserve">MPs </w:t>
      </w:r>
      <w:r w:rsidR="00932AF1">
        <w:t xml:space="preserve">who </w:t>
      </w:r>
      <w:r w:rsidR="001B6C71" w:rsidRPr="005A1B62">
        <w:t xml:space="preserve">receive excess concessional contributions will receive </w:t>
      </w:r>
      <w:r w:rsidR="004B5808" w:rsidRPr="005A1B62">
        <w:t>a determination from the Australian Tax</w:t>
      </w:r>
      <w:r w:rsidR="00197506">
        <w:t>ation</w:t>
      </w:r>
      <w:r w:rsidR="004B5808" w:rsidRPr="005A1B62">
        <w:t xml:space="preserve"> Office</w:t>
      </w:r>
      <w:r w:rsidR="003001F8">
        <w:t xml:space="preserve"> (ATO)</w:t>
      </w:r>
      <w:r w:rsidR="004B5808" w:rsidRPr="005A1B62">
        <w:t xml:space="preserve"> after the financial year has concluded </w:t>
      </w:r>
      <w:r w:rsidR="00E936CF" w:rsidRPr="005A1B62">
        <w:t xml:space="preserve">and have the option of withdrawing </w:t>
      </w:r>
      <w:r w:rsidR="00AD3E22" w:rsidRPr="005A1B62">
        <w:t xml:space="preserve">up to 85 per cent of </w:t>
      </w:r>
      <w:r w:rsidR="00E936CF" w:rsidRPr="005A1B62">
        <w:t xml:space="preserve">excess contributions from their </w:t>
      </w:r>
      <w:r w:rsidR="00AD3E22" w:rsidRPr="005A1B62">
        <w:t xml:space="preserve">superannuation </w:t>
      </w:r>
      <w:r w:rsidR="00E936CF" w:rsidRPr="005A1B62">
        <w:t>fund.</w:t>
      </w:r>
      <w:r w:rsidR="006C55F2" w:rsidRPr="005A1B62">
        <w:rPr>
          <w:rStyle w:val="FootnoteReference"/>
        </w:rPr>
        <w:footnoteReference w:id="47"/>
      </w:r>
      <w:r w:rsidR="004C3D5D" w:rsidRPr="005A1B62">
        <w:t xml:space="preserve"> </w:t>
      </w:r>
    </w:p>
    <w:p w14:paraId="570160EC" w14:textId="4DB38B73" w:rsidR="005556B2" w:rsidRPr="000740FC" w:rsidRDefault="00EA58C2" w:rsidP="00B33183">
      <w:pPr>
        <w:pStyle w:val="Paragraph"/>
      </w:pPr>
      <w:r w:rsidRPr="000740FC">
        <w:t>Under the PSAS Act, MPs can request in writing that the State limit their contributions to avoid exceeding the cap.</w:t>
      </w:r>
      <w:r w:rsidRPr="000740FC">
        <w:rPr>
          <w:rStyle w:val="FootnoteReference"/>
        </w:rPr>
        <w:footnoteReference w:id="48"/>
      </w:r>
      <w:r w:rsidRPr="000740FC">
        <w:t xml:space="preserve"> If an MP chooses to do so, they forfeit their entitlement to </w:t>
      </w:r>
      <w:r w:rsidR="00605CEB">
        <w:t xml:space="preserve">the </w:t>
      </w:r>
      <w:r w:rsidRPr="000740FC">
        <w:t>contributions that would exceed the cap</w:t>
      </w:r>
      <w:r w:rsidR="00401559" w:rsidRPr="000740FC">
        <w:t xml:space="preserve"> (</w:t>
      </w:r>
      <w:r w:rsidR="00DF7741">
        <w:t>c</w:t>
      </w:r>
      <w:r w:rsidR="00401559" w:rsidRPr="000740FC">
        <w:t xml:space="preserve">ameo </w:t>
      </w:r>
      <w:r w:rsidR="00E91897">
        <w:t>3.2</w:t>
      </w:r>
      <w:r w:rsidR="00401559" w:rsidRPr="000740FC">
        <w:t>)</w:t>
      </w:r>
      <w:r w:rsidRPr="000740FC">
        <w:t>.</w:t>
      </w:r>
      <w:r w:rsidR="005556B2">
        <w:t xml:space="preserve"> </w:t>
      </w:r>
    </w:p>
    <w:p w14:paraId="51F9BB03" w14:textId="0E622CC7" w:rsidR="00B24216" w:rsidRPr="000740FC" w:rsidRDefault="00B24216" w:rsidP="00B24216">
      <w:pPr>
        <w:pStyle w:val="Figureheading"/>
      </w:pPr>
      <w:r w:rsidRPr="000740FC">
        <w:t xml:space="preserve">Cameo </w:t>
      </w:r>
      <w:r w:rsidR="00E91897">
        <w:t>3.2</w:t>
      </w:r>
      <w:r w:rsidRPr="000740FC">
        <w:t xml:space="preserve">: </w:t>
      </w:r>
      <w:r w:rsidR="00C64926" w:rsidRPr="000740FC">
        <w:t xml:space="preserve">superannuation contributions </w:t>
      </w:r>
      <w:r w:rsidR="002D1486" w:rsidRPr="000740FC">
        <w:t>for</w:t>
      </w:r>
      <w:r w:rsidR="00C64926" w:rsidRPr="000740FC">
        <w:t xml:space="preserve"> an M</w:t>
      </w:r>
      <w:r w:rsidR="00F657D9" w:rsidRPr="000740FC">
        <w:t>P</w:t>
      </w:r>
      <w:r w:rsidR="00C64926" w:rsidRPr="000740FC">
        <w:t xml:space="preserve"> </w:t>
      </w:r>
      <w:r w:rsidR="00FF654F" w:rsidRPr="000740FC">
        <w:t>in the accumulation scheme</w:t>
      </w:r>
      <w:r w:rsidR="00F657D9" w:rsidRPr="000740FC">
        <w:t xml:space="preserve"> who does not </w:t>
      </w:r>
      <w:r w:rsidR="00EB0CEE" w:rsidRPr="000740FC">
        <w:t>receive an additional salary</w:t>
      </w:r>
    </w:p>
    <w:p w14:paraId="2B9D920C" w14:textId="5BCC2300" w:rsidR="00B24216" w:rsidRPr="000740FC" w:rsidRDefault="00D04C92" w:rsidP="00E959A2">
      <w:pPr>
        <w:pStyle w:val="Paragraph"/>
        <w:spacing w:after="0"/>
      </w:pPr>
      <w:r>
        <w:rPr>
          <w:noProof/>
        </w:rPr>
        <mc:AlternateContent>
          <mc:Choice Requires="wpg">
            <w:drawing>
              <wp:inline distT="0" distB="0" distL="0" distR="0" wp14:anchorId="0657F0AD" wp14:editId="275F98A8">
                <wp:extent cx="5615094" cy="4898390"/>
                <wp:effectExtent l="0" t="0" r="24130" b="16510"/>
                <wp:docPr id="21" name="Group 21"/>
                <wp:cNvGraphicFramePr/>
                <a:graphic xmlns:a="http://schemas.openxmlformats.org/drawingml/2006/main">
                  <a:graphicData uri="http://schemas.microsoft.com/office/word/2010/wordprocessingGroup">
                    <wpg:wgp>
                      <wpg:cNvGrpSpPr/>
                      <wpg:grpSpPr>
                        <a:xfrm>
                          <a:off x="0" y="0"/>
                          <a:ext cx="5615094" cy="4898390"/>
                          <a:chOff x="0" y="0"/>
                          <a:chExt cx="5615094" cy="4898390"/>
                        </a:xfrm>
                      </wpg:grpSpPr>
                      <wpg:grpSp>
                        <wpg:cNvPr id="22" name="Group 22"/>
                        <wpg:cNvGrpSpPr/>
                        <wpg:grpSpPr>
                          <a:xfrm>
                            <a:off x="40640" y="74507"/>
                            <a:ext cx="5514034" cy="4737316"/>
                            <a:chOff x="0" y="0"/>
                            <a:chExt cx="5514034" cy="4737316"/>
                          </a:xfrm>
                        </wpg:grpSpPr>
                        <wps:wsp>
                          <wps:cNvPr id="23" name="Text Box 2"/>
                          <wps:cNvSpPr txBox="1">
                            <a:spLocks noChangeArrowheads="1"/>
                          </wps:cNvSpPr>
                          <wps:spPr bwMode="auto">
                            <a:xfrm>
                              <a:off x="988828" y="2466753"/>
                              <a:ext cx="638810" cy="403860"/>
                            </a:xfrm>
                            <a:prstGeom prst="rect">
                              <a:avLst/>
                            </a:prstGeom>
                            <a:solidFill>
                              <a:schemeClr val="bg1">
                                <a:lumMod val="65000"/>
                              </a:schemeClr>
                            </a:solidFill>
                            <a:ln w="9525">
                              <a:solidFill>
                                <a:schemeClr val="bg1">
                                  <a:lumMod val="65000"/>
                                </a:schemeClr>
                              </a:solidFill>
                              <a:miter lim="800000"/>
                              <a:headEnd/>
                              <a:tailEnd/>
                            </a:ln>
                          </wps:spPr>
                          <wps:txbx>
                            <w:txbxContent>
                              <w:p w14:paraId="23A4F707"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OR</w:t>
                                </w:r>
                              </w:p>
                            </w:txbxContent>
                          </wps:txbx>
                          <wps:bodyPr rot="0" vert="horz" wrap="square" lIns="91440" tIns="45720" rIns="91440" bIns="45720" anchor="t" anchorCtr="0">
                            <a:noAutofit/>
                          </wps:bodyPr>
                        </wps:wsp>
                        <wpg:grpSp>
                          <wpg:cNvPr id="24" name="Group 24"/>
                          <wpg:cNvGrpSpPr/>
                          <wpg:grpSpPr>
                            <a:xfrm>
                              <a:off x="0" y="0"/>
                              <a:ext cx="5514034" cy="4737316"/>
                              <a:chOff x="-171510" y="0"/>
                              <a:chExt cx="5514364" cy="4737316"/>
                            </a:xfrm>
                          </wpg:grpSpPr>
                          <wpg:grpSp>
                            <wpg:cNvPr id="27" name="Group 27"/>
                            <wpg:cNvGrpSpPr/>
                            <wpg:grpSpPr>
                              <a:xfrm>
                                <a:off x="-171510" y="0"/>
                                <a:ext cx="5434493" cy="3577771"/>
                                <a:chOff x="-171213" y="0"/>
                                <a:chExt cx="5434826" cy="3577771"/>
                              </a:xfrm>
                            </wpg:grpSpPr>
                            <wps:wsp>
                              <wps:cNvPr id="2031193025" name="Rectangle 2031193025"/>
                              <wps:cNvSpPr/>
                              <wps:spPr>
                                <a:xfrm>
                                  <a:off x="1539799" y="14841"/>
                                  <a:ext cx="1084179" cy="20669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EF380DD" w14:textId="77777777" w:rsidR="00DA3D89" w:rsidRDefault="00DA3D89" w:rsidP="00D04C92">
                                    <w:pPr>
                                      <w:jc w:val="center"/>
                                    </w:pPr>
                                    <w:r>
                                      <w:rPr>
                                        <w:color w:val="FFFFFF" w:themeColor="background1"/>
                                      </w:rPr>
                                      <w:t>MP elects to receive full superannuation entitlement,</w:t>
                                    </w:r>
                                    <w:r w:rsidRPr="0027624F">
                                      <w:rPr>
                                        <w:color w:val="FFFFFF" w:themeColor="background1"/>
                                      </w:rPr>
                                      <w:t xml:space="preserve"> </w:t>
                                    </w:r>
                                    <w:r>
                                      <w:rPr>
                                        <w:color w:val="FFFFFF" w:themeColor="background1"/>
                                      </w:rPr>
                                      <w:t>c</w:t>
                                    </w:r>
                                    <w:r w:rsidRPr="0027624F">
                                      <w:rPr>
                                        <w:color w:val="FFFFFF" w:themeColor="background1"/>
                                      </w:rPr>
                                      <w:t>oncessional contributions</w:t>
                                    </w:r>
                                    <w:r>
                                      <w:rPr>
                                        <w:color w:val="FFFFFF" w:themeColor="background1"/>
                                      </w:rPr>
                                      <w:t xml:space="preserve"> of 15.5% of salary</w:t>
                                    </w:r>
                                    <w:r w:rsidRPr="0027624F">
                                      <w:rPr>
                                        <w:color w:val="FFFFFF" w:themeColor="background1"/>
                                      </w:rPr>
                                      <w:t>: $28,274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27" name="Rectangle 2031193027"/>
                              <wps:cNvSpPr/>
                              <wps:spPr>
                                <a:xfrm>
                                  <a:off x="2766053" y="798727"/>
                                  <a:ext cx="1028700" cy="12858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4DAE75" w14:textId="77777777" w:rsidR="00DA3D89" w:rsidRPr="0027624F" w:rsidRDefault="00DA3D89" w:rsidP="00D04C92">
                                    <w:pPr>
                                      <w:jc w:val="center"/>
                                      <w:rPr>
                                        <w:color w:val="FFFFFF" w:themeColor="background1"/>
                                      </w:rPr>
                                    </w:pPr>
                                    <w:r w:rsidRPr="0027624F">
                                      <w:rPr>
                                        <w:color w:val="FFFFFF" w:themeColor="background1"/>
                                      </w:rPr>
                                      <w:t>Concessional contributions cap: $25,000</w:t>
                                    </w:r>
                                    <w:r w:rsidRPr="00566083">
                                      <w:rPr>
                                        <w:color w:val="FFFFFF" w:themeColor="background1"/>
                                        <w:vertAlign w:val="superscript"/>
                                      </w:rPr>
                                      <w:t>(a)</w:t>
                                    </w:r>
                                  </w:p>
                                  <w:p w14:paraId="7E2AAA52" w14:textId="77777777" w:rsidR="00DA3D89" w:rsidRDefault="00DA3D89" w:rsidP="00D04C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31" name="Straight Connector 2031193031"/>
                              <wps:cNvCnPr/>
                              <wps:spPr>
                                <a:xfrm>
                                  <a:off x="2623786" y="742883"/>
                                  <a:ext cx="2639145" cy="0"/>
                                </a:xfrm>
                                <a:prstGeom prst="line">
                                  <a:avLst/>
                                </a:prstGeom>
                                <a:ln w="57150">
                                  <a:solidFill>
                                    <a:schemeClr val="tx1">
                                      <a:alpha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31193033" name="Rectangle 2031193033"/>
                              <wps:cNvSpPr/>
                              <wps:spPr>
                                <a:xfrm>
                                  <a:off x="3857598" y="0"/>
                                  <a:ext cx="1405979" cy="7048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B6A67E1" w14:textId="77777777" w:rsidR="00DA3D89" w:rsidRDefault="00DA3D89" w:rsidP="00D04C92">
                                    <w:pPr>
                                      <w:jc w:val="center"/>
                                      <w:rPr>
                                        <w:color w:val="FFFFFF" w:themeColor="background1"/>
                                      </w:rPr>
                                    </w:pPr>
                                    <w:r>
                                      <w:rPr>
                                        <w:color w:val="FFFFFF" w:themeColor="background1"/>
                                      </w:rPr>
                                      <w:t>$3,274 excess contributions taxed at MP’s marginal rate</w:t>
                                    </w:r>
                                    <w:r w:rsidRPr="00420495">
                                      <w:rPr>
                                        <w:color w:val="FFFFFF" w:themeColor="background1"/>
                                        <w:vertAlign w:val="superscript"/>
                                      </w:rPr>
                                      <w:t>(</w:t>
                                    </w:r>
                                    <w:r>
                                      <w:rPr>
                                        <w:color w:val="FFFFFF" w:themeColor="background1"/>
                                        <w:vertAlign w:val="superscript"/>
                                      </w:rPr>
                                      <w:t>b</w:t>
                                    </w:r>
                                    <w:r w:rsidRPr="00420495">
                                      <w:rPr>
                                        <w:color w:val="FFFFFF" w:themeColor="background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34" name="Rectangle 2031193034"/>
                              <wps:cNvSpPr/>
                              <wps:spPr>
                                <a:xfrm>
                                  <a:off x="3857598" y="781014"/>
                                  <a:ext cx="1406015" cy="1285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EBCD2E2" w14:textId="77777777" w:rsidR="00DA3D89" w:rsidRDefault="00DA3D89" w:rsidP="00D04C92">
                                    <w:pPr>
                                      <w:jc w:val="center"/>
                                      <w:rPr>
                                        <w:color w:val="FFFFFF" w:themeColor="background1"/>
                                      </w:rPr>
                                    </w:pPr>
                                  </w:p>
                                  <w:p w14:paraId="3CF2F86D" w14:textId="77777777" w:rsidR="00DA3D89" w:rsidRPr="0027624F" w:rsidRDefault="00DA3D89" w:rsidP="00D04C92">
                                    <w:pPr>
                                      <w:jc w:val="center"/>
                                      <w:rPr>
                                        <w:color w:val="FFFFFF" w:themeColor="background1"/>
                                      </w:rPr>
                                    </w:pPr>
                                    <w:r>
                                      <w:rPr>
                                        <w:color w:val="FFFFFF" w:themeColor="background1"/>
                                      </w:rPr>
                                      <w:t>Contributions up to cap receive concessional tax treatment</w:t>
                                    </w:r>
                                  </w:p>
                                  <w:p w14:paraId="50313CA5" w14:textId="77777777" w:rsidR="00DA3D89" w:rsidRDefault="00DA3D89" w:rsidP="00D04C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1193036" name="Picture 2031193036" descr="person Icon 203763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71213" y="2245903"/>
                                  <a:ext cx="838200" cy="838200"/>
                                </a:xfrm>
                                <a:prstGeom prst="rect">
                                  <a:avLst/>
                                </a:prstGeom>
                                <a:noFill/>
                                <a:ln>
                                  <a:noFill/>
                                </a:ln>
                              </pic:spPr>
                            </pic:pic>
                            <wps:wsp>
                              <wps:cNvPr id="2031193037" name="Text Box 2"/>
                              <wps:cNvSpPr txBox="1">
                                <a:spLocks noChangeArrowheads="1"/>
                              </wps:cNvSpPr>
                              <wps:spPr bwMode="auto">
                                <a:xfrm>
                                  <a:off x="-154332" y="3066927"/>
                                  <a:ext cx="791169" cy="510844"/>
                                </a:xfrm>
                                <a:prstGeom prst="rect">
                                  <a:avLst/>
                                </a:prstGeom>
                                <a:noFill/>
                                <a:ln w="9525">
                                  <a:solidFill>
                                    <a:schemeClr val="tx1">
                                      <a:lumMod val="50000"/>
                                      <a:lumOff val="50000"/>
                                    </a:schemeClr>
                                  </a:solidFill>
                                  <a:miter lim="800000"/>
                                  <a:headEnd/>
                                  <a:tailEnd/>
                                </a:ln>
                              </wps:spPr>
                              <wps:txbx>
                                <w:txbxContent>
                                  <w:p w14:paraId="2337C38F" w14:textId="77777777" w:rsidR="00DA3D89" w:rsidRPr="00040C24" w:rsidRDefault="00DA3D89" w:rsidP="00D04C92">
                                    <w:pPr>
                                      <w:jc w:val="center"/>
                                      <w:rPr>
                                        <w:b/>
                                        <w:bCs/>
                                        <w:color w:val="000000" w:themeColor="text1"/>
                                        <w:vertAlign w:val="superscript"/>
                                      </w:rPr>
                                    </w:pPr>
                                    <w:r w:rsidRPr="00040C24">
                                      <w:rPr>
                                        <w:b/>
                                        <w:bCs/>
                                        <w:color w:val="000000" w:themeColor="text1"/>
                                      </w:rPr>
                                      <w:t>MP basic salary: $182,413</w:t>
                                    </w:r>
                                  </w:p>
                                </w:txbxContent>
                              </wps:txbx>
                              <wps:bodyPr rot="0" vert="horz" wrap="square" lIns="91440" tIns="45720" rIns="91440" bIns="45720" anchor="t" anchorCtr="0">
                                <a:noAutofit/>
                              </wps:bodyPr>
                            </wps:wsp>
                          </wpg:grpSp>
                          <wps:wsp>
                            <wps:cNvPr id="2031193041" name="Arrow: Bent-Up 2031193041"/>
                            <wps:cNvSpPr/>
                            <wps:spPr>
                              <a:xfrm rot="16200000" flipV="1">
                                <a:off x="910104" y="1455294"/>
                                <a:ext cx="829945" cy="428625"/>
                              </a:xfrm>
                              <a:prstGeom prst="bentUpArrow">
                                <a:avLst>
                                  <a:gd name="adj1" fmla="val 35660"/>
                                  <a:gd name="adj2" fmla="val 34321"/>
                                  <a:gd name="adj3" fmla="val 33982"/>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42" name="Text Box 2"/>
                            <wps:cNvSpPr txBox="1">
                              <a:spLocks noChangeArrowheads="1"/>
                            </wps:cNvSpPr>
                            <wps:spPr bwMode="auto">
                              <a:xfrm>
                                <a:off x="656043" y="1617884"/>
                                <a:ext cx="809219" cy="605251"/>
                              </a:xfrm>
                              <a:prstGeom prst="rect">
                                <a:avLst/>
                              </a:prstGeom>
                              <a:solidFill>
                                <a:schemeClr val="bg1">
                                  <a:lumMod val="65000"/>
                                </a:schemeClr>
                              </a:solidFill>
                              <a:ln w="9525">
                                <a:solidFill>
                                  <a:schemeClr val="bg1">
                                    <a:lumMod val="65000"/>
                                  </a:schemeClr>
                                </a:solidFill>
                                <a:miter lim="800000"/>
                                <a:headEnd/>
                                <a:tailEnd/>
                              </a:ln>
                            </wps:spPr>
                            <wps:txbx>
                              <w:txbxContent>
                                <w:p w14:paraId="57D48C00"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Option A</w:t>
                                  </w:r>
                                </w:p>
                              </w:txbxContent>
                            </wps:txbx>
                            <wps:bodyPr rot="0" vert="horz" wrap="square" lIns="91440" tIns="45720" rIns="91440" bIns="45720" anchor="t" anchorCtr="0">
                              <a:noAutofit/>
                            </wps:bodyPr>
                          </wps:wsp>
                          <wpg:grpSp>
                            <wpg:cNvPr id="2031193044" name="Group 2031193044"/>
                            <wpg:cNvGrpSpPr/>
                            <wpg:grpSpPr>
                              <a:xfrm>
                                <a:off x="666624" y="2657354"/>
                                <a:ext cx="4676230" cy="2079962"/>
                                <a:chOff x="376745" y="-121"/>
                                <a:chExt cx="4676230" cy="2079962"/>
                              </a:xfrm>
                            </wpg:grpSpPr>
                            <wps:wsp>
                              <wps:cNvPr id="2031193046" name="Straight Connector 2031193046"/>
                              <wps:cNvCnPr/>
                              <wps:spPr>
                                <a:xfrm flipV="1">
                                  <a:off x="2333606" y="752320"/>
                                  <a:ext cx="2719368" cy="19050"/>
                                </a:xfrm>
                                <a:prstGeom prst="line">
                                  <a:avLst/>
                                </a:prstGeom>
                                <a:ln w="57150">
                                  <a:solidFill>
                                    <a:schemeClr val="tx1">
                                      <a:alpha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31193047" name="Rectangle 2031193047"/>
                              <wps:cNvSpPr/>
                              <wps:spPr>
                                <a:xfrm>
                                  <a:off x="3705198" y="-121"/>
                                  <a:ext cx="1347777" cy="704850"/>
                                </a:xfrm>
                                <a:prstGeom prst="rect">
                                  <a:avLst/>
                                </a:prstGeom>
                                <a:solidFill>
                                  <a:schemeClr val="bg1">
                                    <a:lumMod val="7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31EBF1" w14:textId="77777777" w:rsidR="00DA3D89" w:rsidRDefault="00DA3D89" w:rsidP="00D04C92">
                                    <w:pPr>
                                      <w:jc w:val="center"/>
                                      <w:rPr>
                                        <w:color w:val="FFFFFF" w:themeColor="background1"/>
                                      </w:rPr>
                                    </w:pPr>
                                    <w:r>
                                      <w:rPr>
                                        <w:color w:val="FFFFFF" w:themeColor="background1"/>
                                      </w:rPr>
                                      <w:t>Entitlement to remaining contributions forfeited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48" name="Rectangle 2031193048"/>
                              <wps:cNvSpPr/>
                              <wps:spPr>
                                <a:xfrm>
                                  <a:off x="3705198" y="790418"/>
                                  <a:ext cx="1347777" cy="1285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FDEEFA" w14:textId="77777777" w:rsidR="00DA3D89" w:rsidRDefault="00DA3D89" w:rsidP="00D04C92">
                                    <w:pPr>
                                      <w:jc w:val="center"/>
                                      <w:rPr>
                                        <w:color w:val="FFFFFF" w:themeColor="background1"/>
                                      </w:rPr>
                                    </w:pPr>
                                  </w:p>
                                  <w:p w14:paraId="02C5B1E9" w14:textId="77777777" w:rsidR="00DA3D89" w:rsidRPr="0027624F" w:rsidRDefault="00DA3D89" w:rsidP="00D04C92">
                                    <w:pPr>
                                      <w:jc w:val="center"/>
                                      <w:rPr>
                                        <w:color w:val="FFFFFF" w:themeColor="background1"/>
                                      </w:rPr>
                                    </w:pPr>
                                    <w:r>
                                      <w:rPr>
                                        <w:color w:val="FFFFFF" w:themeColor="background1"/>
                                      </w:rPr>
                                      <w:t>Contributions up to cap receive concessional tax treatment</w:t>
                                    </w:r>
                                  </w:p>
                                  <w:p w14:paraId="7546D6E3" w14:textId="77777777" w:rsidR="00DA3D89" w:rsidRDefault="00DA3D89" w:rsidP="00D04C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1193049" name="Group 2031193049"/>
                              <wpg:cNvGrpSpPr/>
                              <wpg:grpSpPr>
                                <a:xfrm>
                                  <a:off x="376745" y="495530"/>
                                  <a:ext cx="3144647" cy="1584311"/>
                                  <a:chOff x="376745" y="-142645"/>
                                  <a:chExt cx="3144647" cy="1584311"/>
                                </a:xfrm>
                              </wpg:grpSpPr>
                              <wps:wsp>
                                <wps:cNvPr id="2031193050" name="Rectangle 2031193050"/>
                                <wps:cNvSpPr/>
                                <wps:spPr>
                                  <a:xfrm>
                                    <a:off x="1249511" y="155791"/>
                                    <a:ext cx="1084115" cy="1285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EF673CF" w14:textId="77777777" w:rsidR="00DA3D89" w:rsidRDefault="00DA3D89" w:rsidP="00D04C92">
                                      <w:pPr>
                                        <w:jc w:val="center"/>
                                      </w:pPr>
                                      <w:r>
                                        <w:rPr>
                                          <w:color w:val="FFFFFF" w:themeColor="background1"/>
                                        </w:rPr>
                                        <w:t>MP elects to receive reduced</w:t>
                                      </w:r>
                                      <w:r w:rsidRPr="0027624F">
                                        <w:rPr>
                                          <w:color w:val="FFFFFF" w:themeColor="background1"/>
                                        </w:rPr>
                                        <w:t xml:space="preserve"> contributions</w:t>
                                      </w:r>
                                      <w:r>
                                        <w:rPr>
                                          <w:color w:val="FFFFFF" w:themeColor="background1"/>
                                        </w:rPr>
                                        <w:t xml:space="preserve"> up to the concessional contributions cap</w:t>
                                      </w:r>
                                      <w:r w:rsidRPr="0027624F">
                                        <w:rPr>
                                          <w:color w:val="FFFFFF" w:themeColor="background1"/>
                                        </w:rPr>
                                        <w:t>: $2</w:t>
                                      </w:r>
                                      <w:r>
                                        <w:rPr>
                                          <w:color w:val="FFFFFF" w:themeColor="background1"/>
                                        </w:rPr>
                                        <w:t>5</w:t>
                                      </w:r>
                                      <w:r w:rsidRPr="0027624F">
                                        <w:rPr>
                                          <w:color w:val="FFFFFF" w:themeColor="background1"/>
                                        </w:rPr>
                                        <w:t>,</w:t>
                                      </w:r>
                                      <w:r>
                                        <w:rPr>
                                          <w:color w:val="FFFFFF" w:themeColor="background1"/>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54" name="Rectangle 2031193054"/>
                                <wps:cNvSpPr/>
                                <wps:spPr>
                                  <a:xfrm>
                                    <a:off x="2492692" y="153353"/>
                                    <a:ext cx="1028700" cy="12858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47FCD9" w14:textId="77777777" w:rsidR="00DA3D89" w:rsidRPr="0027624F" w:rsidRDefault="00DA3D89" w:rsidP="00D04C92">
                                      <w:pPr>
                                        <w:jc w:val="center"/>
                                        <w:rPr>
                                          <w:color w:val="FFFFFF" w:themeColor="background1"/>
                                        </w:rPr>
                                      </w:pPr>
                                      <w:r w:rsidRPr="0027624F">
                                        <w:rPr>
                                          <w:color w:val="FFFFFF" w:themeColor="background1"/>
                                        </w:rPr>
                                        <w:t>Concessional contributions cap: $25,000</w:t>
                                      </w:r>
                                      <w:r w:rsidRPr="00BF02CD">
                                        <w:rPr>
                                          <w:color w:val="FFFFFF" w:themeColor="background1"/>
                                          <w:vertAlign w:val="superscript"/>
                                        </w:rPr>
                                        <w:t>(</w:t>
                                      </w:r>
                                      <w:r w:rsidRPr="001344FB">
                                        <w:rPr>
                                          <w:color w:val="FFFFFF" w:themeColor="background1"/>
                                          <w:vertAlign w:val="superscript"/>
                                        </w:rPr>
                                        <w:t>a)</w:t>
                                      </w:r>
                                    </w:p>
                                    <w:p w14:paraId="4EBC1228" w14:textId="77777777" w:rsidR="00DA3D89" w:rsidRDefault="00DA3D89" w:rsidP="00D04C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93055" name="Arrow: Bent-Up 2031193055"/>
                                <wps:cNvSpPr/>
                                <wps:spPr>
                                  <a:xfrm rot="16200000" flipH="1" flipV="1">
                                    <a:off x="563393" y="193380"/>
                                    <a:ext cx="941705" cy="430530"/>
                                  </a:xfrm>
                                  <a:prstGeom prst="bentUpArrow">
                                    <a:avLst>
                                      <a:gd name="adj1" fmla="val 35660"/>
                                      <a:gd name="adj2" fmla="val 34321"/>
                                      <a:gd name="adj3" fmla="val 33982"/>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xt Box 2"/>
                                <wps:cNvSpPr txBox="1">
                                  <a:spLocks noChangeArrowheads="1"/>
                                </wps:cNvSpPr>
                                <wps:spPr bwMode="auto">
                                  <a:xfrm>
                                    <a:off x="376745" y="-142645"/>
                                    <a:ext cx="798633" cy="648753"/>
                                  </a:xfrm>
                                  <a:prstGeom prst="rect">
                                    <a:avLst/>
                                  </a:prstGeom>
                                  <a:solidFill>
                                    <a:schemeClr val="bg1">
                                      <a:lumMod val="65000"/>
                                    </a:schemeClr>
                                  </a:solidFill>
                                  <a:ln w="9525">
                                    <a:solidFill>
                                      <a:schemeClr val="bg1">
                                        <a:lumMod val="65000"/>
                                      </a:schemeClr>
                                    </a:solidFill>
                                    <a:miter lim="800000"/>
                                    <a:headEnd/>
                                    <a:tailEnd/>
                                  </a:ln>
                                </wps:spPr>
                                <wps:txbx>
                                  <w:txbxContent>
                                    <w:p w14:paraId="58EE860A"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Option B</w:t>
                                      </w:r>
                                    </w:p>
                                  </w:txbxContent>
                                </wps:txbx>
                                <wps:bodyPr rot="0" vert="horz" wrap="square" lIns="91440" tIns="45720" rIns="91440" bIns="45720" anchor="t" anchorCtr="0">
                                  <a:noAutofit/>
                                </wps:bodyPr>
                              </wps:wsp>
                            </wpg:grpSp>
                          </wpg:grpSp>
                        </wpg:grpSp>
                      </wpg:grpSp>
                      <wps:wsp>
                        <wps:cNvPr id="225" name="Rectangle 225"/>
                        <wps:cNvSpPr/>
                        <wps:spPr>
                          <a:xfrm>
                            <a:off x="0" y="0"/>
                            <a:ext cx="5615094" cy="4898390"/>
                          </a:xfrm>
                          <a:prstGeom prst="rect">
                            <a:avLst/>
                          </a:prstGeom>
                          <a:noFill/>
                          <a:ln>
                            <a:solidFill>
                              <a:schemeClr val="accent6">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57F0AD" id="Group 21" o:spid="_x0000_s1035" style="width:442.15pt;height:385.7pt;mso-position-horizontal-relative:char;mso-position-vertical-relative:line" coordsize="56150,4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">
                <v:group id="Group 22" o:spid="_x0000_s1036" style="position:absolute;left:406;top:745;width:55140;height:47373" coordsize="55140,4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_x0000_s1037" type="#_x0000_t202" style="position:absolute;left:9888;top:24667;width:638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" fillcolor="#a5a5a5 [2092]" strokecolor="#a5a5a5 [2092]">
                    <v:textbox>
                      <w:txbxContent>
                        <w:p w14:paraId="23A4F707"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OR</w:t>
                          </w:r>
                        </w:p>
                      </w:txbxContent>
                    </v:textbox>
                  </v:shape>
                  <v:group id="Group 24" o:spid="_x0000_s1038" style="position:absolute;width:55140;height:47373" coordorigin="-1715" coordsize="55143,4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7" o:spid="_x0000_s1039" style="position:absolute;left:-1715;width:54344;height:35777" coordorigin="-1712" coordsize="54348,3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031193025" o:spid="_x0000_s1040" style="position:absolute;left:15397;top:148;width:10842;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" fillcolor="#70ba85 [3206]" strokecolor="#30643e [1606]" strokeweight="2pt">
                        <v:textbox>
                          <w:txbxContent>
                            <w:p w14:paraId="0EF380DD" w14:textId="77777777" w:rsidR="00DA3D89" w:rsidRDefault="00DA3D89" w:rsidP="00D04C92">
                              <w:pPr>
                                <w:jc w:val="center"/>
                              </w:pPr>
                              <w:r>
                                <w:rPr>
                                  <w:color w:val="FFFFFF" w:themeColor="background1"/>
                                </w:rPr>
                                <w:t>MP elects to receive full superannuation entitlement,</w:t>
                              </w:r>
                              <w:r w:rsidRPr="0027624F">
                                <w:rPr>
                                  <w:color w:val="FFFFFF" w:themeColor="background1"/>
                                </w:rPr>
                                <w:t xml:space="preserve"> </w:t>
                              </w:r>
                              <w:r>
                                <w:rPr>
                                  <w:color w:val="FFFFFF" w:themeColor="background1"/>
                                </w:rPr>
                                <w:t>c</w:t>
                              </w:r>
                              <w:r w:rsidRPr="0027624F">
                                <w:rPr>
                                  <w:color w:val="FFFFFF" w:themeColor="background1"/>
                                </w:rPr>
                                <w:t>oncessional contributions</w:t>
                              </w:r>
                              <w:r>
                                <w:rPr>
                                  <w:color w:val="FFFFFF" w:themeColor="background1"/>
                                </w:rPr>
                                <w:t xml:space="preserve"> of 15.5% of salary</w:t>
                              </w:r>
                              <w:r w:rsidRPr="0027624F">
                                <w:rPr>
                                  <w:color w:val="FFFFFF" w:themeColor="background1"/>
                                </w:rPr>
                                <w:t>: $28,274</w:t>
                              </w:r>
                            </w:p>
                          </w:txbxContent>
                        </v:textbox>
                      </v:rect>
                      <v:rect id="Rectangle 2031193027" o:spid="_x0000_s1041" style="position:absolute;left:27660;top:7987;width:10287;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" fillcolor="#4d4d4d [3209]" strokecolor="#262626 [1609]" strokeweight="2pt">
                        <v:textbox>
                          <w:txbxContent>
                            <w:p w14:paraId="4B4DAE75" w14:textId="77777777" w:rsidR="00DA3D89" w:rsidRPr="0027624F" w:rsidRDefault="00DA3D89" w:rsidP="00D04C92">
                              <w:pPr>
                                <w:jc w:val="center"/>
                                <w:rPr>
                                  <w:color w:val="FFFFFF" w:themeColor="background1"/>
                                </w:rPr>
                              </w:pPr>
                              <w:r w:rsidRPr="0027624F">
                                <w:rPr>
                                  <w:color w:val="FFFFFF" w:themeColor="background1"/>
                                </w:rPr>
                                <w:t>Concessional contributions cap: $25,000</w:t>
                              </w:r>
                              <w:r w:rsidRPr="00566083">
                                <w:rPr>
                                  <w:color w:val="FFFFFF" w:themeColor="background1"/>
                                  <w:vertAlign w:val="superscript"/>
                                </w:rPr>
                                <w:t>(a)</w:t>
                              </w:r>
                            </w:p>
                            <w:p w14:paraId="7E2AAA52" w14:textId="77777777" w:rsidR="00DA3D89" w:rsidRDefault="00DA3D89" w:rsidP="00D04C92">
                              <w:pPr>
                                <w:jc w:val="center"/>
                              </w:pPr>
                              <w:r>
                                <w:t xml:space="preserve"> </w:t>
                              </w:r>
                            </w:p>
                          </w:txbxContent>
                        </v:textbox>
                      </v:rect>
                      <v:line id="Straight Connector 2031193031" o:spid="_x0000_s1042" style="position:absolute;visibility:visible;mso-wrap-style:square" from="26237,7428" to="52629,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" strokecolor="black [3213]" strokeweight="4.5pt">
                        <v:stroke dashstyle="1 1" opacity="32896f"/>
                      </v:line>
                      <v:rect id="Rectangle 2031193033" o:spid="_x0000_s1043" style="position:absolute;left:38575;width:1406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" fillcolor="#70ba85 [3206]" strokecolor="#30643e [1606]" strokeweight="2pt">
                        <v:textbox>
                          <w:txbxContent>
                            <w:p w14:paraId="1B6A67E1" w14:textId="77777777" w:rsidR="00DA3D89" w:rsidRDefault="00DA3D89" w:rsidP="00D04C92">
                              <w:pPr>
                                <w:jc w:val="center"/>
                                <w:rPr>
                                  <w:color w:val="FFFFFF" w:themeColor="background1"/>
                                </w:rPr>
                              </w:pPr>
                              <w:r>
                                <w:rPr>
                                  <w:color w:val="FFFFFF" w:themeColor="background1"/>
                                </w:rPr>
                                <w:t>$3,274 excess contributions taxed at MP’s marginal rate</w:t>
                              </w:r>
                              <w:r w:rsidRPr="00420495">
                                <w:rPr>
                                  <w:color w:val="FFFFFF" w:themeColor="background1"/>
                                  <w:vertAlign w:val="superscript"/>
                                </w:rPr>
                                <w:t>(</w:t>
                              </w:r>
                              <w:r>
                                <w:rPr>
                                  <w:color w:val="FFFFFF" w:themeColor="background1"/>
                                  <w:vertAlign w:val="superscript"/>
                                </w:rPr>
                                <w:t>b</w:t>
                              </w:r>
                              <w:r w:rsidRPr="00420495">
                                <w:rPr>
                                  <w:color w:val="FFFFFF" w:themeColor="background1"/>
                                  <w:vertAlign w:val="superscript"/>
                                </w:rPr>
                                <w:t>)</w:t>
                              </w:r>
                            </w:p>
                          </w:txbxContent>
                        </v:textbox>
                      </v:rect>
                      <v:rect id="Rectangle 2031193034" o:spid="_x0000_s1044" style="position:absolute;left:38575;top:7810;width:14061;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" fillcolor="#70ba85 [3206]" strokecolor="#30643e [1606]" strokeweight="2pt">
                        <v:textbox>
                          <w:txbxContent>
                            <w:p w14:paraId="4EBCD2E2" w14:textId="77777777" w:rsidR="00DA3D89" w:rsidRDefault="00DA3D89" w:rsidP="00D04C92">
                              <w:pPr>
                                <w:jc w:val="center"/>
                                <w:rPr>
                                  <w:color w:val="FFFFFF" w:themeColor="background1"/>
                                </w:rPr>
                              </w:pPr>
                            </w:p>
                            <w:p w14:paraId="3CF2F86D" w14:textId="77777777" w:rsidR="00DA3D89" w:rsidRPr="0027624F" w:rsidRDefault="00DA3D89" w:rsidP="00D04C92">
                              <w:pPr>
                                <w:jc w:val="center"/>
                                <w:rPr>
                                  <w:color w:val="FFFFFF" w:themeColor="background1"/>
                                </w:rPr>
                              </w:pPr>
                              <w:r>
                                <w:rPr>
                                  <w:color w:val="FFFFFF" w:themeColor="background1"/>
                                </w:rPr>
                                <w:t>Contributions up to cap receive concessional tax treatment</w:t>
                              </w:r>
                            </w:p>
                            <w:p w14:paraId="50313CA5" w14:textId="77777777" w:rsidR="00DA3D89" w:rsidRDefault="00DA3D89" w:rsidP="00D04C92">
                              <w:pPr>
                                <w:jc w:val="center"/>
                              </w:pPr>
                              <w:r>
                                <w:t xml:space="preserve"> </w:t>
                              </w:r>
                            </w:p>
                          </w:txbxContent>
                        </v:textbox>
                      </v:rect>
                      <v:shape id="Picture 2031193036" o:spid="_x0000_s1045" type="#_x0000_t75" alt="person Icon 2037633" style="position:absolute;left:-1712;top:22459;width:838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">
                        <v:imagedata r:id="rId50" o:title="person Icon 2037633"/>
                      </v:shape>
                      <v:shape id="_x0000_s1046" type="#_x0000_t202" style="position:absolute;left:-1543;top:30669;width:7911;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" filled="f" strokecolor="gray [1629]">
                        <v:textbox>
                          <w:txbxContent>
                            <w:p w14:paraId="2337C38F" w14:textId="77777777" w:rsidR="00DA3D89" w:rsidRPr="00040C24" w:rsidRDefault="00DA3D89" w:rsidP="00D04C92">
                              <w:pPr>
                                <w:jc w:val="center"/>
                                <w:rPr>
                                  <w:b/>
                                  <w:bCs/>
                                  <w:color w:val="000000" w:themeColor="text1"/>
                                  <w:vertAlign w:val="superscript"/>
                                </w:rPr>
                              </w:pPr>
                              <w:r w:rsidRPr="00040C24">
                                <w:rPr>
                                  <w:b/>
                                  <w:bCs/>
                                  <w:color w:val="000000" w:themeColor="text1"/>
                                </w:rPr>
                                <w:t>MP basic salary: $182,413</w:t>
                              </w:r>
                            </w:p>
                          </w:txbxContent>
                        </v:textbox>
                      </v:shape>
                    </v:group>
                    <v:shape id="Arrow: Bent-Up 2031193041" o:spid="_x0000_s1047" style="position:absolute;left:9100;top:14553;width:8299;height:4286;rotation:90;flip:y;visibility:visible;mso-wrap-style:square;v-text-anchor:middle" coordsize="82994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" path="m,275777r606413,l606413,145655r-70685,l682837,,829945,145655r-70685,l759260,428625,,428625,,275777xe" fillcolor="#7f7f7f [1612]" strokecolor="#7f7f7f [1612]" strokeweight="2pt">
                      <v:path arrowok="t" o:connecttype="custom" o:connectlocs="0,275777;606413,275777;606413,145655;535728,145655;682837,0;829945,145655;759260,145655;759260,428625;0,428625;0,275777" o:connectangles="0,0,0,0,0,0,0,0,0,0"/>
                    </v:shape>
                    <v:shape id="_x0000_s1048" type="#_x0000_t202" style="position:absolute;left:6560;top:16178;width:8092;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" fillcolor="#a5a5a5 [2092]" strokecolor="#a5a5a5 [2092]">
                      <v:textbox>
                        <w:txbxContent>
                          <w:p w14:paraId="57D48C00"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Option A</w:t>
                            </w:r>
                          </w:p>
                        </w:txbxContent>
                      </v:textbox>
                    </v:shape>
                    <v:group id="Group 2031193044" o:spid="_x0000_s1049" style="position:absolute;left:6666;top:26573;width:46762;height:20800" coordorigin="3767,-1" coordsize="46762,2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">
                      <v:line id="Straight Connector 2031193046" o:spid="_x0000_s1050" style="position:absolute;flip:y;visibility:visible;mso-wrap-style:square" from="23336,7523" to="50529,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" strokecolor="black [3213]" strokeweight="4.5pt">
                        <v:stroke dashstyle="1 1" opacity="32896f"/>
                      </v:line>
                      <v:rect id="Rectangle 2031193047" o:spid="_x0000_s1051" style="position:absolute;left:37051;top:-1;width:13478;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" fillcolor="#bfbfbf [2412]" strokecolor="#bfbfbf [2412]" strokeweight="2pt">
                        <v:textbox>
                          <w:txbxContent>
                            <w:p w14:paraId="2C31EBF1" w14:textId="77777777" w:rsidR="00DA3D89" w:rsidRDefault="00DA3D89" w:rsidP="00D04C92">
                              <w:pPr>
                                <w:jc w:val="center"/>
                                <w:rPr>
                                  <w:color w:val="FFFFFF" w:themeColor="background1"/>
                                </w:rPr>
                              </w:pPr>
                              <w:r>
                                <w:rPr>
                                  <w:color w:val="FFFFFF" w:themeColor="background1"/>
                                </w:rPr>
                                <w:t>Entitlement to remaining contributions forfeited</w:t>
                              </w:r>
                            </w:p>
                          </w:txbxContent>
                        </v:textbox>
                      </v:rect>
                      <v:rect id="Rectangle 2031193048" o:spid="_x0000_s1052" style="position:absolute;left:37051;top:7904;width:13478;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" fillcolor="#70ba85 [3206]" strokecolor="#30643e [1606]" strokeweight="2pt">
                        <v:textbox>
                          <w:txbxContent>
                            <w:p w14:paraId="22FDEEFA" w14:textId="77777777" w:rsidR="00DA3D89" w:rsidRDefault="00DA3D89" w:rsidP="00D04C92">
                              <w:pPr>
                                <w:jc w:val="center"/>
                                <w:rPr>
                                  <w:color w:val="FFFFFF" w:themeColor="background1"/>
                                </w:rPr>
                              </w:pPr>
                            </w:p>
                            <w:p w14:paraId="02C5B1E9" w14:textId="77777777" w:rsidR="00DA3D89" w:rsidRPr="0027624F" w:rsidRDefault="00DA3D89" w:rsidP="00D04C92">
                              <w:pPr>
                                <w:jc w:val="center"/>
                                <w:rPr>
                                  <w:color w:val="FFFFFF" w:themeColor="background1"/>
                                </w:rPr>
                              </w:pPr>
                              <w:r>
                                <w:rPr>
                                  <w:color w:val="FFFFFF" w:themeColor="background1"/>
                                </w:rPr>
                                <w:t>Contributions up to cap receive concessional tax treatment</w:t>
                              </w:r>
                            </w:p>
                            <w:p w14:paraId="7546D6E3" w14:textId="77777777" w:rsidR="00DA3D89" w:rsidRDefault="00DA3D89" w:rsidP="00D04C92">
                              <w:pPr>
                                <w:jc w:val="center"/>
                              </w:pPr>
                              <w:r>
                                <w:t xml:space="preserve"> </w:t>
                              </w:r>
                            </w:p>
                          </w:txbxContent>
                        </v:textbox>
                      </v:rect>
                      <v:group id="Group 2031193049" o:spid="_x0000_s1053" style="position:absolute;left:3767;top:4955;width:31446;height:15843" coordorigin="3767,-1426" coordsize="31446,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">
                        <v:rect id="Rectangle 2031193050" o:spid="_x0000_s1054" style="position:absolute;left:12495;top:1557;width:10841;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" fillcolor="#70ba85 [3206]" strokecolor="#30643e [1606]" strokeweight="2pt">
                          <v:textbox>
                            <w:txbxContent>
                              <w:p w14:paraId="7EF673CF" w14:textId="77777777" w:rsidR="00DA3D89" w:rsidRDefault="00DA3D89" w:rsidP="00D04C92">
                                <w:pPr>
                                  <w:jc w:val="center"/>
                                </w:pPr>
                                <w:r>
                                  <w:rPr>
                                    <w:color w:val="FFFFFF" w:themeColor="background1"/>
                                  </w:rPr>
                                  <w:t>MP elects to receive reduced</w:t>
                                </w:r>
                                <w:r w:rsidRPr="0027624F">
                                  <w:rPr>
                                    <w:color w:val="FFFFFF" w:themeColor="background1"/>
                                  </w:rPr>
                                  <w:t xml:space="preserve"> contributions</w:t>
                                </w:r>
                                <w:r>
                                  <w:rPr>
                                    <w:color w:val="FFFFFF" w:themeColor="background1"/>
                                  </w:rPr>
                                  <w:t xml:space="preserve"> up to the concessional contributions cap</w:t>
                                </w:r>
                                <w:r w:rsidRPr="0027624F">
                                  <w:rPr>
                                    <w:color w:val="FFFFFF" w:themeColor="background1"/>
                                  </w:rPr>
                                  <w:t>: $2</w:t>
                                </w:r>
                                <w:r>
                                  <w:rPr>
                                    <w:color w:val="FFFFFF" w:themeColor="background1"/>
                                  </w:rPr>
                                  <w:t>5</w:t>
                                </w:r>
                                <w:r w:rsidRPr="0027624F">
                                  <w:rPr>
                                    <w:color w:val="FFFFFF" w:themeColor="background1"/>
                                  </w:rPr>
                                  <w:t>,</w:t>
                                </w:r>
                                <w:r>
                                  <w:rPr>
                                    <w:color w:val="FFFFFF" w:themeColor="background1"/>
                                  </w:rPr>
                                  <w:t>000</w:t>
                                </w:r>
                              </w:p>
                            </w:txbxContent>
                          </v:textbox>
                        </v:rect>
                        <v:rect id="Rectangle 2031193054" o:spid="_x0000_s1055" style="position:absolute;left:24926;top:1533;width:10287;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" fillcolor="#4d4d4d [3209]" strokecolor="#262626 [1609]" strokeweight="2pt">
                          <v:textbox>
                            <w:txbxContent>
                              <w:p w14:paraId="7247FCD9" w14:textId="77777777" w:rsidR="00DA3D89" w:rsidRPr="0027624F" w:rsidRDefault="00DA3D89" w:rsidP="00D04C92">
                                <w:pPr>
                                  <w:jc w:val="center"/>
                                  <w:rPr>
                                    <w:color w:val="FFFFFF" w:themeColor="background1"/>
                                  </w:rPr>
                                </w:pPr>
                                <w:r w:rsidRPr="0027624F">
                                  <w:rPr>
                                    <w:color w:val="FFFFFF" w:themeColor="background1"/>
                                  </w:rPr>
                                  <w:t>Concessional contributions cap: $25,000</w:t>
                                </w:r>
                                <w:r w:rsidRPr="00BF02CD">
                                  <w:rPr>
                                    <w:color w:val="FFFFFF" w:themeColor="background1"/>
                                    <w:vertAlign w:val="superscript"/>
                                  </w:rPr>
                                  <w:t>(</w:t>
                                </w:r>
                                <w:r w:rsidRPr="001344FB">
                                  <w:rPr>
                                    <w:color w:val="FFFFFF" w:themeColor="background1"/>
                                    <w:vertAlign w:val="superscript"/>
                                  </w:rPr>
                                  <w:t>a)</w:t>
                                </w:r>
                              </w:p>
                              <w:p w14:paraId="4EBC1228" w14:textId="77777777" w:rsidR="00DA3D89" w:rsidRDefault="00DA3D89" w:rsidP="00D04C92">
                                <w:pPr>
                                  <w:jc w:val="center"/>
                                </w:pPr>
                                <w:r>
                                  <w:t xml:space="preserve"> </w:t>
                                </w:r>
                              </w:p>
                            </w:txbxContent>
                          </v:textbox>
                        </v:rect>
                        <v:shape id="Arrow: Bent-Up 2031193055" o:spid="_x0000_s1056" style="position:absolute;left:5634;top:1933;width:9416;height:4306;rotation:-90;flip:x y;visibility:visible;mso-wrap-style:square;v-text-anchor:middle" coordsize="94170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" path="m,277003r717179,l717179,146303r-70998,l793943,,941705,146303r-70999,l870706,430530,,430530,,277003xe" fillcolor="#7f7f7f [1612]" strokecolor="#7f7f7f [1612]" strokeweight="2pt">
                          <v:path arrowok="t" o:connecttype="custom" o:connectlocs="0,277003;717179,277003;717179,146303;646181,146303;793943,0;941705,146303;870706,146303;870706,430530;0,430530;0,277003" o:connectangles="0,0,0,0,0,0,0,0,0,0"/>
                        </v:shape>
                        <v:shape id="_x0000_s1057" type="#_x0000_t202" style="position:absolute;left:3767;top:-1426;width:7986;height:6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" fillcolor="#a5a5a5 [2092]" strokecolor="#a5a5a5 [2092]">
                          <v:textbox>
                            <w:txbxContent>
                              <w:p w14:paraId="58EE860A" w14:textId="77777777" w:rsidR="00DA3D89" w:rsidRDefault="00DA3D89" w:rsidP="00D04C92">
                                <w:pPr>
                                  <w:jc w:val="center"/>
                                  <w:rPr>
                                    <w:rFonts w:ascii="Agency FB" w:hAnsi="Agency FB"/>
                                    <w:b/>
                                    <w:bCs/>
                                    <w:sz w:val="36"/>
                                    <w:szCs w:val="36"/>
                                  </w:rPr>
                                </w:pPr>
                                <w:r>
                                  <w:rPr>
                                    <w:rFonts w:ascii="Agency FB" w:hAnsi="Agency FB"/>
                                    <w:b/>
                                    <w:bCs/>
                                    <w:color w:val="auto"/>
                                    <w:sz w:val="36"/>
                                    <w:szCs w:val="36"/>
                                  </w:rPr>
                                  <w:t>Option B</w:t>
                                </w:r>
                              </w:p>
                            </w:txbxContent>
                          </v:textbox>
                        </v:shape>
                      </v:group>
                    </v:group>
                  </v:group>
                </v:group>
                <v:rect id="Rectangle 225" o:spid="_x0000_s1058" style="position:absolute;width:56150;height:4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" filled="f" strokecolor="#dbdbdb [665]"/>
                <w10:anchorlock/>
              </v:group>
            </w:pict>
          </mc:Fallback>
        </mc:AlternateContent>
      </w:r>
    </w:p>
    <w:p w14:paraId="2386EFD6" w14:textId="5BE7A277" w:rsidR="00666CD3" w:rsidRPr="000740FC" w:rsidRDefault="00666CD3" w:rsidP="00DA0CF3">
      <w:pPr>
        <w:pStyle w:val="Notesfortablesfigures"/>
      </w:pPr>
      <w:r w:rsidRPr="000740FC">
        <w:t xml:space="preserve">Notes: (a) </w:t>
      </w:r>
      <w:r w:rsidR="00700EF9">
        <w:t>F</w:t>
      </w:r>
      <w:r w:rsidRPr="000740FC">
        <w:t>rom 1 July 2018, MPs with a total superannuation balance less than $500,000 on 30 June of the previous financial year are able to ‘carry forward’ unused portions of the cap for up to 5 years. As a result, these individuals may have an increased cap for some financial years. (b) MP also incurs an excess concessional contributions charge.</w:t>
      </w:r>
    </w:p>
    <w:p w14:paraId="4F0776DC" w14:textId="77777777" w:rsidR="00E959A2" w:rsidRDefault="00E959A2" w:rsidP="00B33183">
      <w:pPr>
        <w:pStyle w:val="Paragraph"/>
      </w:pPr>
      <w:r>
        <w:br w:type="page"/>
      </w:r>
    </w:p>
    <w:p w14:paraId="7EF9E171" w14:textId="7247FED0" w:rsidR="00EA58C2" w:rsidRPr="000740FC" w:rsidRDefault="00B56E69" w:rsidP="00B33183">
      <w:pPr>
        <w:pStyle w:val="Paragraph"/>
      </w:pPr>
      <w:r w:rsidRPr="000740FC">
        <w:lastRenderedPageBreak/>
        <w:t xml:space="preserve">MPs are required to nominate a complying fund for their contributions to be paid into, otherwise contributions are paid into the default fund. The default fund is </w:t>
      </w:r>
      <w:proofErr w:type="spellStart"/>
      <w:r w:rsidRPr="000740FC">
        <w:t>VicSuper</w:t>
      </w:r>
      <w:proofErr w:type="spellEnd"/>
      <w:r w:rsidRPr="000740FC">
        <w:t xml:space="preserve">, which is currently used by around 50 per cent of existing MPs in the accumulation scheme. </w:t>
      </w:r>
      <w:r w:rsidR="00EA58C2" w:rsidRPr="000740FC">
        <w:t>MPs in the accumulation scheme may elect to enter into a salary sacrifice arrangement to increase the contributions made to their nominated superannuation fund.</w:t>
      </w:r>
      <w:r w:rsidR="008F2217">
        <w:rPr>
          <w:rStyle w:val="FootnoteReference"/>
        </w:rPr>
        <w:footnoteReference w:id="49"/>
      </w:r>
      <w:r w:rsidR="00EA58C2" w:rsidRPr="000740FC">
        <w:t xml:space="preserve"> </w:t>
      </w:r>
    </w:p>
    <w:p w14:paraId="3E591DE0" w14:textId="3C8E4E53" w:rsidR="00EA58C2" w:rsidRPr="000740FC" w:rsidRDefault="00EA58C2" w:rsidP="00B33183">
      <w:pPr>
        <w:pStyle w:val="Parabeforeabulletlist"/>
      </w:pPr>
      <w:r w:rsidRPr="000740FC">
        <w:t>Commonwealth law provides rules on when MPs in the accumulation scheme can access their superannuation balance (which consists of contributions and investment earnings). Generally speaking, an existing or former MP can access their superannuation when they:</w:t>
      </w:r>
      <w:r w:rsidRPr="000740FC" w:rsidDel="00C91956">
        <w:t xml:space="preserve"> </w:t>
      </w:r>
      <w:r w:rsidRPr="000740FC">
        <w:t xml:space="preserve">  </w:t>
      </w:r>
    </w:p>
    <w:p w14:paraId="7BDBF004" w14:textId="6FB15972" w:rsidR="00EA58C2" w:rsidRPr="000740FC" w:rsidRDefault="00EA58C2" w:rsidP="0046477F">
      <w:pPr>
        <w:pStyle w:val="VIRTBulletpoints"/>
      </w:pPr>
      <w:r w:rsidRPr="000740FC">
        <w:t xml:space="preserve">reach their ‘preservation age’, which ranges from 55-60 </w:t>
      </w:r>
      <w:r w:rsidR="21A292D9" w:rsidRPr="000740FC">
        <w:t xml:space="preserve">years </w:t>
      </w:r>
      <w:r w:rsidRPr="000740FC">
        <w:t>depending on date of birth, and retire (or commence a transition to retirement income stream); or</w:t>
      </w:r>
    </w:p>
    <w:p w14:paraId="3DD7959F" w14:textId="35758CE9" w:rsidR="00EA58C2" w:rsidRPr="000740FC" w:rsidRDefault="00EA58C2" w:rsidP="0046477F">
      <w:pPr>
        <w:pStyle w:val="VIRTBulletpoints"/>
        <w:rPr>
          <w:rFonts w:asciiTheme="minorHAnsi" w:eastAsiaTheme="minorEastAsia" w:hAnsiTheme="minorHAnsi" w:cstheme="minorBidi"/>
          <w:szCs w:val="26"/>
        </w:rPr>
      </w:pPr>
      <w:r w:rsidRPr="000740FC">
        <w:t>turn 65 years old.</w:t>
      </w:r>
    </w:p>
    <w:p w14:paraId="3A68B78F" w14:textId="055E4265" w:rsidR="00EA3C7A" w:rsidRPr="000740FC" w:rsidRDefault="00EA3C7A" w:rsidP="00EA3C7A">
      <w:pPr>
        <w:spacing w:before="120" w:after="240"/>
        <w:outlineLvl w:val="0"/>
        <w:rPr>
          <w:rFonts w:asciiTheme="minorHAnsi" w:hAnsiTheme="minorHAnsi" w:cs="Arial"/>
          <w:color w:val="0F6745" w:themeColor="accent2" w:themeShade="BF"/>
          <w:spacing w:val="20"/>
          <w:sz w:val="30"/>
          <w:szCs w:val="30"/>
        </w:rPr>
      </w:pPr>
      <w:r w:rsidRPr="000740FC">
        <w:rPr>
          <w:rFonts w:asciiTheme="minorHAnsi" w:hAnsiTheme="minorHAnsi" w:cs="Arial"/>
          <w:color w:val="0F6745" w:themeColor="accent2" w:themeShade="BF"/>
          <w:spacing w:val="20"/>
          <w:sz w:val="30"/>
          <w:szCs w:val="30"/>
        </w:rPr>
        <w:t>Separation payment</w:t>
      </w:r>
    </w:p>
    <w:p w14:paraId="54A55C2E" w14:textId="75C35702" w:rsidR="00EA3C7A" w:rsidRDefault="00EA3C7A" w:rsidP="00EA3C7A">
      <w:pPr>
        <w:spacing w:before="120" w:after="120" w:line="276" w:lineRule="auto"/>
        <w:jc w:val="both"/>
        <w:rPr>
          <w:rFonts w:ascii="Calibri Light" w:eastAsia="Rockwell" w:hAnsi="Calibri Light" w:cs="Arial"/>
          <w:color w:val="4D4D4D" w:themeColor="accent6"/>
          <w:sz w:val="26"/>
          <w:szCs w:val="26"/>
          <w:lang w:val="en-US"/>
        </w:rPr>
      </w:pPr>
      <w:r w:rsidRPr="000740FC">
        <w:rPr>
          <w:rFonts w:ascii="Calibri Light" w:eastAsia="Rockwell" w:hAnsi="Calibri Light" w:cs="Arial"/>
          <w:color w:val="4D4D4D" w:themeColor="accent6"/>
          <w:sz w:val="26"/>
          <w:szCs w:val="26"/>
        </w:rPr>
        <w:t xml:space="preserve">Former MPs who are not members of the defined benefit schemes are eligible to receive a separation payment upon leaving the Parliament, to facilitate the completion of their parliamentary and electorate business and to support them as they transition from working as an MP. </w:t>
      </w:r>
    </w:p>
    <w:p w14:paraId="4258E719" w14:textId="51F6141E" w:rsidR="00EA3C7A" w:rsidRPr="000740FC" w:rsidRDefault="00EA3C7A" w:rsidP="00EA3C7A">
      <w:pPr>
        <w:spacing w:before="120" w:after="120" w:line="276" w:lineRule="auto"/>
        <w:jc w:val="both"/>
        <w:rPr>
          <w:rFonts w:ascii="Calibri Light" w:eastAsia="Rockwell" w:hAnsi="Calibri Light" w:cs="Arial"/>
          <w:color w:val="4D4D4D" w:themeColor="accent6"/>
          <w:sz w:val="26"/>
          <w:szCs w:val="26"/>
        </w:rPr>
      </w:pPr>
      <w:r w:rsidRPr="000740FC">
        <w:rPr>
          <w:rFonts w:ascii="Calibri Light" w:eastAsia="Rockwell" w:hAnsi="Calibri Light" w:cs="Arial"/>
          <w:color w:val="4D4D4D" w:themeColor="accent6"/>
          <w:sz w:val="26"/>
          <w:szCs w:val="26"/>
        </w:rPr>
        <w:t xml:space="preserve">This separation payment is equal to </w:t>
      </w:r>
      <w:r w:rsidR="009D05D0">
        <w:rPr>
          <w:rFonts w:ascii="Calibri Light" w:eastAsia="Rockwell" w:hAnsi="Calibri Light" w:cs="Arial"/>
          <w:color w:val="4D4D4D" w:themeColor="accent6"/>
          <w:sz w:val="26"/>
          <w:szCs w:val="26"/>
        </w:rPr>
        <w:t>3</w:t>
      </w:r>
      <w:r w:rsidRPr="000740FC">
        <w:rPr>
          <w:rFonts w:ascii="Calibri Light" w:eastAsia="Rockwell" w:hAnsi="Calibri Light" w:cs="Arial"/>
          <w:color w:val="4D4D4D" w:themeColor="accent6"/>
          <w:sz w:val="26"/>
          <w:szCs w:val="26"/>
        </w:rPr>
        <w:t xml:space="preserve"> months’ basic salary (currently $45,603) where an MP has served for up to one term, and </w:t>
      </w:r>
      <w:r w:rsidR="009D05D0">
        <w:rPr>
          <w:rFonts w:ascii="Calibri Light" w:eastAsia="Rockwell" w:hAnsi="Calibri Light" w:cs="Arial"/>
          <w:color w:val="4D4D4D" w:themeColor="accent6"/>
          <w:sz w:val="26"/>
          <w:szCs w:val="26"/>
        </w:rPr>
        <w:t>6</w:t>
      </w:r>
      <w:r w:rsidRPr="000740FC">
        <w:rPr>
          <w:rFonts w:ascii="Calibri Light" w:eastAsia="Rockwell" w:hAnsi="Calibri Light" w:cs="Arial"/>
          <w:color w:val="4D4D4D" w:themeColor="accent6"/>
          <w:sz w:val="26"/>
          <w:szCs w:val="26"/>
        </w:rPr>
        <w:t xml:space="preserve"> months’ basic salary (currently $91,207) where they have served for two or more terms. If an MP served for more than one term but less than two terms, the value of the payment is determined on a pro rata basis.</w:t>
      </w:r>
      <w:r w:rsidRPr="000740FC">
        <w:rPr>
          <w:rFonts w:ascii="Calibri Light" w:eastAsia="Rockwell" w:hAnsi="Calibri Light" w:cs="Arial"/>
          <w:color w:val="4D4D4D" w:themeColor="accent6"/>
          <w:sz w:val="26"/>
          <w:szCs w:val="26"/>
          <w:vertAlign w:val="superscript"/>
        </w:rPr>
        <w:footnoteReference w:id="50"/>
      </w:r>
    </w:p>
    <w:p w14:paraId="67A6790E" w14:textId="77777777" w:rsidR="00EA3C7A" w:rsidRPr="000740FC" w:rsidRDefault="00EA3C7A" w:rsidP="00EA3C7A">
      <w:pPr>
        <w:spacing w:before="120" w:after="120" w:line="276" w:lineRule="auto"/>
        <w:jc w:val="both"/>
        <w:rPr>
          <w:rFonts w:ascii="Calibri Light" w:eastAsia="Rockwell" w:hAnsi="Calibri Light" w:cs="Arial"/>
          <w:color w:val="4D4D4D" w:themeColor="accent6"/>
          <w:sz w:val="26"/>
          <w:szCs w:val="26"/>
        </w:rPr>
      </w:pPr>
      <w:r w:rsidRPr="000740FC">
        <w:rPr>
          <w:rFonts w:ascii="Calibri Light" w:eastAsia="Rockwell" w:hAnsi="Calibri Light" w:cs="Arial"/>
          <w:color w:val="4D4D4D" w:themeColor="accent6"/>
          <w:sz w:val="26"/>
          <w:szCs w:val="26"/>
        </w:rPr>
        <w:t>MPs are eligible for the separation payment provided they have not been found guilty of corrupt conduct or a wilful breach of their duties.</w:t>
      </w:r>
      <w:r w:rsidRPr="000740FC">
        <w:rPr>
          <w:rFonts w:ascii="Calibri Light" w:eastAsia="Rockwell" w:hAnsi="Calibri Light" w:cs="Arial"/>
          <w:color w:val="4D4D4D" w:themeColor="accent6"/>
          <w:sz w:val="26"/>
          <w:szCs w:val="26"/>
          <w:vertAlign w:val="superscript"/>
        </w:rPr>
        <w:footnoteReference w:id="51"/>
      </w:r>
      <w:r w:rsidRPr="000740FC">
        <w:rPr>
          <w:rFonts w:ascii="Calibri Light" w:eastAsia="Rockwell" w:hAnsi="Calibri Light" w:cs="Arial"/>
          <w:color w:val="4D4D4D" w:themeColor="accent6"/>
          <w:sz w:val="26"/>
          <w:szCs w:val="26"/>
        </w:rPr>
        <w:t xml:space="preserve"> The amount paid is not affected by the former MP’s age or the period spent transitioning to other work. In the event that an MP dies while serving in the Parliament, the separation payment is made to a beneficiary.  </w:t>
      </w:r>
    </w:p>
    <w:p w14:paraId="787EF928" w14:textId="77777777" w:rsidR="00EA3C7A" w:rsidRPr="000740FC" w:rsidRDefault="00EA3C7A" w:rsidP="00EA3C7A">
      <w:pPr>
        <w:spacing w:before="120" w:after="120" w:line="276" w:lineRule="auto"/>
        <w:jc w:val="both"/>
        <w:rPr>
          <w:rFonts w:ascii="Calibri Light" w:eastAsia="Rockwell" w:hAnsi="Calibri Light" w:cs="Arial"/>
          <w:color w:val="4D4D4D" w:themeColor="accent6"/>
          <w:sz w:val="26"/>
          <w:szCs w:val="26"/>
        </w:rPr>
      </w:pPr>
      <w:r w:rsidRPr="000740FC">
        <w:rPr>
          <w:rFonts w:ascii="Calibri Light" w:eastAsia="Rockwell" w:hAnsi="Calibri Light" w:cs="Arial"/>
          <w:color w:val="4D4D4D" w:themeColor="accent6"/>
          <w:sz w:val="26"/>
          <w:szCs w:val="26"/>
        </w:rPr>
        <w:lastRenderedPageBreak/>
        <w:t>Former MPs are required to repay the money if they return to the Parliament in the same term of the Parliament or in the term after the general election at which they ceased to be an MP.</w:t>
      </w:r>
    </w:p>
    <w:p w14:paraId="3A296306" w14:textId="650B8F53" w:rsidR="00766F79" w:rsidRPr="000740FC" w:rsidRDefault="00EA3C7A" w:rsidP="00EA3C7A">
      <w:pPr>
        <w:spacing w:before="120" w:after="120" w:line="276" w:lineRule="auto"/>
        <w:jc w:val="both"/>
        <w:rPr>
          <w:rFonts w:ascii="Calibri Light" w:eastAsia="Rockwell" w:hAnsi="Calibri Light" w:cs="Arial"/>
          <w:color w:val="4D4D4D" w:themeColor="accent6"/>
          <w:sz w:val="26"/>
          <w:szCs w:val="26"/>
        </w:rPr>
      </w:pPr>
      <w:r w:rsidRPr="000740FC">
        <w:rPr>
          <w:rFonts w:ascii="Calibri Light" w:eastAsia="Rockwell" w:hAnsi="Calibri Light" w:cs="Arial"/>
          <w:color w:val="4D4D4D" w:themeColor="accent6"/>
          <w:sz w:val="26"/>
          <w:szCs w:val="26"/>
        </w:rPr>
        <w:t>The separation payment was introduced in 2019 to replace the former ‘resettlement allowance’, which was provided</w:t>
      </w:r>
      <w:r w:rsidR="00350C17">
        <w:rPr>
          <w:rFonts w:ascii="Calibri Light" w:eastAsia="Rockwell" w:hAnsi="Calibri Light" w:cs="Arial"/>
          <w:color w:val="4D4D4D" w:themeColor="accent6"/>
          <w:sz w:val="26"/>
          <w:szCs w:val="26"/>
        </w:rPr>
        <w:t xml:space="preserve"> only</w:t>
      </w:r>
      <w:r w:rsidRPr="000740FC">
        <w:rPr>
          <w:rFonts w:ascii="Calibri Light" w:eastAsia="Rockwell" w:hAnsi="Calibri Light" w:cs="Arial"/>
          <w:color w:val="4D4D4D" w:themeColor="accent6"/>
          <w:sz w:val="26"/>
          <w:szCs w:val="26"/>
        </w:rPr>
        <w:t xml:space="preserve"> to MPs who lost their seat at a general election or </w:t>
      </w:r>
      <w:r w:rsidR="00350C17">
        <w:rPr>
          <w:rFonts w:ascii="Calibri Light" w:eastAsia="Rockwell" w:hAnsi="Calibri Light" w:cs="Arial"/>
          <w:color w:val="4D4D4D" w:themeColor="accent6"/>
          <w:sz w:val="26"/>
          <w:szCs w:val="26"/>
        </w:rPr>
        <w:t xml:space="preserve">who </w:t>
      </w:r>
      <w:r w:rsidRPr="000740FC">
        <w:rPr>
          <w:rFonts w:ascii="Calibri Light" w:eastAsia="Rockwell" w:hAnsi="Calibri Light" w:cs="Arial"/>
          <w:color w:val="4D4D4D" w:themeColor="accent6"/>
          <w:sz w:val="26"/>
          <w:szCs w:val="26"/>
        </w:rPr>
        <w:t>did not seek re-election due to not being endorsed by their party. The resettlement allowance was introduced in 2013, following the Hazell Review.</w:t>
      </w:r>
      <w:r w:rsidR="005026F8">
        <w:rPr>
          <w:rFonts w:ascii="Calibri Light" w:eastAsia="Rockwell" w:hAnsi="Calibri Light" w:cs="Arial"/>
          <w:color w:val="4D4D4D" w:themeColor="accent6"/>
          <w:sz w:val="26"/>
          <w:szCs w:val="26"/>
        </w:rPr>
        <w:t xml:space="preserve"> </w:t>
      </w:r>
      <w:r w:rsidR="105D280F" w:rsidRPr="005A1B62">
        <w:rPr>
          <w:rFonts w:ascii="Calibri Light" w:eastAsia="Calibri Light" w:hAnsi="Calibri Light" w:cs="Calibri Light"/>
          <w:color w:val="4D4D4D" w:themeColor="accent6"/>
          <w:sz w:val="26"/>
          <w:szCs w:val="26"/>
        </w:rPr>
        <w:t xml:space="preserve">This payment aims </w:t>
      </w:r>
      <w:r w:rsidR="00B435AD">
        <w:rPr>
          <w:rFonts w:ascii="Calibri Light" w:eastAsia="Calibri Light" w:hAnsi="Calibri Light" w:cs="Calibri Light"/>
          <w:color w:val="4D4D4D" w:themeColor="accent6"/>
          <w:sz w:val="26"/>
          <w:szCs w:val="26"/>
        </w:rPr>
        <w:t xml:space="preserve">in part </w:t>
      </w:r>
      <w:r w:rsidR="105D280F" w:rsidRPr="005A1B62">
        <w:rPr>
          <w:rFonts w:ascii="Calibri Light" w:eastAsia="Calibri Light" w:hAnsi="Calibri Light" w:cs="Calibri Light"/>
          <w:color w:val="4D4D4D" w:themeColor="accent6"/>
          <w:sz w:val="26"/>
          <w:szCs w:val="26"/>
        </w:rPr>
        <w:t>to bridge the gap between the superannuation arrangements of MPs in the defined benefit schemes and those in the accumulation scheme.</w:t>
      </w:r>
      <w:r w:rsidR="00DB3D25" w:rsidRPr="005A1B62">
        <w:rPr>
          <w:rStyle w:val="FootnoteReference"/>
          <w:rFonts w:ascii="Calibri Light" w:eastAsia="Calibri Light" w:hAnsi="Calibri Light" w:cs="Calibri Light"/>
          <w:color w:val="4D4D4D" w:themeColor="accent6"/>
          <w:sz w:val="26"/>
          <w:szCs w:val="26"/>
        </w:rPr>
        <w:footnoteReference w:id="52"/>
      </w:r>
      <w:r w:rsidR="105D280F" w:rsidRPr="005A1B62">
        <w:rPr>
          <w:rFonts w:ascii="Calibri Light" w:eastAsia="Calibri Light" w:hAnsi="Calibri Light" w:cs="Calibri Light"/>
          <w:color w:val="4D4D4D" w:themeColor="accent6"/>
          <w:sz w:val="26"/>
          <w:szCs w:val="26"/>
        </w:rPr>
        <w:t xml:space="preserve"> </w:t>
      </w:r>
      <w:r w:rsidR="005026F8" w:rsidRPr="005026F8">
        <w:rPr>
          <w:rFonts w:ascii="Calibri Light" w:eastAsia="Rockwell" w:hAnsi="Calibri Light" w:cs="Arial"/>
          <w:color w:val="4D4D4D" w:themeColor="accent6"/>
          <w:sz w:val="26"/>
          <w:szCs w:val="26"/>
        </w:rPr>
        <w:t>As previously indicated, it is akin to the redundancy payments to which many workers are entitled on termination of their employment.</w:t>
      </w:r>
    </w:p>
    <w:p w14:paraId="7D1A1EBA" w14:textId="5383B3AE" w:rsidR="002A7BB8" w:rsidRPr="000740FC" w:rsidRDefault="002A7BB8" w:rsidP="002A7BB8">
      <w:pPr>
        <w:pStyle w:val="VIRTHeading3"/>
        <w:rPr>
          <w:lang w:val="en-AU"/>
        </w:rPr>
      </w:pPr>
      <w:r w:rsidRPr="000740FC">
        <w:rPr>
          <w:lang w:val="en-AU"/>
        </w:rPr>
        <w:t>Overview of the tax treatment of the superannuation schemes</w:t>
      </w:r>
    </w:p>
    <w:p w14:paraId="138359E8" w14:textId="3C306331" w:rsidR="002F562A" w:rsidRPr="000740FC" w:rsidRDefault="002F562A" w:rsidP="00B33183">
      <w:pPr>
        <w:pStyle w:val="Parabeforeabulletlist"/>
      </w:pPr>
      <w:r w:rsidRPr="000740FC">
        <w:t xml:space="preserve">The superannuation contributions and benefits of MPs in each of the superannuation schemes are impacted by various Commonwealth taxes, which can apply </w:t>
      </w:r>
      <w:r w:rsidR="00AF5ABF">
        <w:t>when the</w:t>
      </w:r>
      <w:r w:rsidRPr="000740FC">
        <w:t>:</w:t>
      </w:r>
    </w:p>
    <w:p w14:paraId="3C723E5D" w14:textId="71DF4839" w:rsidR="00725948" w:rsidRPr="000740FC" w:rsidRDefault="00D1123A" w:rsidP="00B8494A">
      <w:pPr>
        <w:pStyle w:val="VIRTBulletpoints"/>
      </w:pPr>
      <w:r w:rsidRPr="000740FC">
        <w:t>money i</w:t>
      </w:r>
      <w:r w:rsidR="00725948" w:rsidRPr="000740FC">
        <w:t xml:space="preserve">s contributed to </w:t>
      </w:r>
      <w:r w:rsidR="0001738F">
        <w:t xml:space="preserve">the </w:t>
      </w:r>
      <w:r w:rsidR="00725948" w:rsidRPr="000740FC">
        <w:t>MP’s fund</w:t>
      </w:r>
    </w:p>
    <w:p w14:paraId="4DE577A6" w14:textId="35A1F804" w:rsidR="00725948" w:rsidRPr="000740FC" w:rsidRDefault="00725948" w:rsidP="00B8494A">
      <w:pPr>
        <w:pStyle w:val="VIRTBulletpoints"/>
      </w:pPr>
      <w:r w:rsidRPr="000740FC">
        <w:t>superannuation fund generates investment earnings</w:t>
      </w:r>
    </w:p>
    <w:p w14:paraId="3C292785" w14:textId="10D1938F" w:rsidR="00725948" w:rsidRPr="000740FC" w:rsidRDefault="00725948" w:rsidP="00B8494A">
      <w:pPr>
        <w:pStyle w:val="VIRTBulletpoints"/>
      </w:pPr>
      <w:r w:rsidRPr="000740FC">
        <w:t xml:space="preserve">MP withdraws money from their superannuation account or receives </w:t>
      </w:r>
      <w:r w:rsidR="00B8494A" w:rsidRPr="000740FC">
        <w:t xml:space="preserve">retirement benefits (e.g. a pension). </w:t>
      </w:r>
    </w:p>
    <w:p w14:paraId="56674AF5" w14:textId="3280FA4D" w:rsidR="0002451A" w:rsidRPr="000740FC" w:rsidRDefault="00CE0E3E" w:rsidP="00B33183">
      <w:pPr>
        <w:pStyle w:val="Paragraph"/>
      </w:pPr>
      <w:r>
        <w:t>As a result of</w:t>
      </w:r>
      <w:r w:rsidR="0002451A" w:rsidRPr="000740FC">
        <w:t xml:space="preserve"> differences in how the schemes operate, MPs are subject to different tax arrangements depending on whether they are in a defined benefit scheme or the accumulation scheme. These arrangements have been taken into account in the Tribunal’s actuarial modelling outlined in chapter 5 and appendi</w:t>
      </w:r>
      <w:r w:rsidR="00741125">
        <w:t>x</w:t>
      </w:r>
      <w:r w:rsidR="00321411" w:rsidRPr="00E91897">
        <w:t xml:space="preserve"> D</w:t>
      </w:r>
      <w:r w:rsidR="0002451A" w:rsidRPr="00E91897">
        <w:t>.</w:t>
      </w:r>
    </w:p>
    <w:p w14:paraId="53B380B4" w14:textId="02AD0B36" w:rsidR="000C249D" w:rsidRPr="000740FC" w:rsidRDefault="00E42336" w:rsidP="00B33183">
      <w:pPr>
        <w:pStyle w:val="Paragraph"/>
      </w:pPr>
      <w:r w:rsidRPr="000740FC">
        <w:t xml:space="preserve">Grandfathering arrangements </w:t>
      </w:r>
      <w:r w:rsidR="00A32F00" w:rsidRPr="000740FC">
        <w:t xml:space="preserve">that are </w:t>
      </w:r>
      <w:r w:rsidRPr="000740FC">
        <w:t xml:space="preserve">in place under Commonwealth law </w:t>
      </w:r>
      <w:r w:rsidR="00320D81" w:rsidRPr="000740FC">
        <w:t xml:space="preserve">serve to limit the tax liability of </w:t>
      </w:r>
      <w:r w:rsidR="00A32F00" w:rsidRPr="000740FC">
        <w:t xml:space="preserve">existing </w:t>
      </w:r>
      <w:r w:rsidR="00320D81" w:rsidRPr="000740FC">
        <w:t xml:space="preserve">MPs </w:t>
      </w:r>
      <w:r w:rsidR="00A32F00" w:rsidRPr="000740FC">
        <w:t>in the New Benefits Scheme</w:t>
      </w:r>
      <w:r w:rsidR="00E43379" w:rsidRPr="000740FC">
        <w:t xml:space="preserve">. These </w:t>
      </w:r>
      <w:r w:rsidR="0030724F" w:rsidRPr="000740FC">
        <w:t xml:space="preserve">arrangements </w:t>
      </w:r>
      <w:r w:rsidR="00061C30" w:rsidRPr="000740FC">
        <w:t>typically apply</w:t>
      </w:r>
      <w:r w:rsidR="00CE0E3E">
        <w:t xml:space="preserve"> only</w:t>
      </w:r>
      <w:r w:rsidR="004870CE" w:rsidRPr="000740FC">
        <w:t xml:space="preserve"> where a defined benefit account was opened prior to 12 May 2009</w:t>
      </w:r>
      <w:r w:rsidR="00CE0E3E">
        <w:t>.</w:t>
      </w:r>
      <w:r w:rsidR="004870CE" w:rsidRPr="000740FC">
        <w:t xml:space="preserve"> </w:t>
      </w:r>
      <w:r w:rsidR="00CE0E3E">
        <w:t>T</w:t>
      </w:r>
      <w:r w:rsidR="004870CE" w:rsidRPr="000740FC">
        <w:t xml:space="preserve">hey </w:t>
      </w:r>
      <w:r w:rsidR="0030724F" w:rsidRPr="000740FC">
        <w:t>do not apply to MPs in the accumulation scheme</w:t>
      </w:r>
      <w:r w:rsidR="004870CE" w:rsidRPr="000740FC">
        <w:t>.</w:t>
      </w:r>
      <w:r w:rsidR="00061C30" w:rsidRPr="000740FC">
        <w:t xml:space="preserve"> </w:t>
      </w:r>
    </w:p>
    <w:p w14:paraId="7CF8C07A" w14:textId="3DD7C675" w:rsidR="005A7766" w:rsidRPr="000740FC" w:rsidRDefault="005A7766" w:rsidP="000268FB">
      <w:pPr>
        <w:pStyle w:val="Paragraph"/>
      </w:pPr>
      <w:r w:rsidRPr="000740FC">
        <w:t xml:space="preserve">Figure </w:t>
      </w:r>
      <w:r w:rsidR="00E91897">
        <w:t>3.4</w:t>
      </w:r>
      <w:r w:rsidRPr="000740FC">
        <w:t xml:space="preserve"> </w:t>
      </w:r>
      <w:r w:rsidR="00E959A2">
        <w:t>(overleaf)</w:t>
      </w:r>
      <w:r w:rsidRPr="000740FC">
        <w:t xml:space="preserve"> provides an overview of the tax arrangements for MPs in the defined benefit schemes and accumulation scheme</w:t>
      </w:r>
      <w:r w:rsidR="0002451A" w:rsidRPr="000740FC">
        <w:t>.</w:t>
      </w:r>
      <w:r w:rsidRPr="000740FC">
        <w:t xml:space="preserve"> </w:t>
      </w:r>
      <w:r w:rsidR="002428C5" w:rsidRPr="000740FC">
        <w:t xml:space="preserve">A detailed explanation of the tax arrangements is at </w:t>
      </w:r>
      <w:r w:rsidR="04A331C7" w:rsidRPr="000740FC">
        <w:t>a</w:t>
      </w:r>
      <w:r w:rsidR="002428C5" w:rsidRPr="000740FC">
        <w:t xml:space="preserve">ppendix </w:t>
      </w:r>
      <w:r w:rsidR="002428C5" w:rsidRPr="00AE4D7F">
        <w:t>C</w:t>
      </w:r>
      <w:r w:rsidR="002428C5" w:rsidRPr="000740FC">
        <w:t>.</w:t>
      </w:r>
      <w:r w:rsidRPr="000740FC">
        <w:br w:type="page"/>
      </w:r>
    </w:p>
    <w:p w14:paraId="7EDA7E59" w14:textId="752D6B67" w:rsidR="00D44133" w:rsidRPr="000740FC" w:rsidRDefault="005A7766" w:rsidP="005A7766">
      <w:pPr>
        <w:pStyle w:val="Figuretitle"/>
        <w:rPr>
          <w:lang w:val="en-AU"/>
        </w:rPr>
      </w:pPr>
      <w:r w:rsidRPr="000740FC">
        <w:rPr>
          <w:lang w:val="en-AU"/>
        </w:rPr>
        <w:lastRenderedPageBreak/>
        <w:t xml:space="preserve">Figure </w:t>
      </w:r>
      <w:r w:rsidR="00E91897">
        <w:rPr>
          <w:lang w:val="en-AU"/>
        </w:rPr>
        <w:t>3.4</w:t>
      </w:r>
      <w:r w:rsidRPr="000740FC">
        <w:rPr>
          <w:lang w:val="en-AU"/>
        </w:rPr>
        <w:t xml:space="preserve">: </w:t>
      </w:r>
      <w:r w:rsidR="0062451B" w:rsidRPr="000740FC">
        <w:rPr>
          <w:lang w:val="en-AU"/>
        </w:rPr>
        <w:t>tax treatment of MP superannuation schemes</w:t>
      </w:r>
    </w:p>
    <w:p w14:paraId="33A64280" w14:textId="2B2462FE" w:rsidR="008E0781" w:rsidRDefault="00D44133" w:rsidP="008E0781">
      <w:pPr>
        <w:pStyle w:val="Figuretitle"/>
        <w:jc w:val="center"/>
        <w:rPr>
          <w:lang w:val="en-AU"/>
        </w:rPr>
      </w:pPr>
      <w:r w:rsidRPr="000740FC">
        <w:rPr>
          <w:lang w:val="en-AU"/>
        </w:rPr>
        <w:t>Defined benefit schemes</w:t>
      </w:r>
    </w:p>
    <w:p w14:paraId="5237DD60" w14:textId="41678D8B" w:rsidR="00585F6B" w:rsidRDefault="00DB6D69" w:rsidP="00D44F89">
      <w:pPr>
        <w:pStyle w:val="Figuretitle"/>
        <w:jc w:val="center"/>
      </w:pPr>
      <w:r>
        <w:rPr>
          <w:lang w:val="en-AU"/>
        </w:rPr>
        <mc:AlternateContent>
          <mc:Choice Requires="wpg">
            <w:drawing>
              <wp:inline distT="0" distB="0" distL="0" distR="0" wp14:anchorId="2555F292" wp14:editId="6B73E254">
                <wp:extent cx="5396230" cy="3343316"/>
                <wp:effectExtent l="0" t="0" r="33020" b="28575"/>
                <wp:docPr id="255" name="Group 255"/>
                <wp:cNvGraphicFramePr/>
                <a:graphic xmlns:a="http://schemas.openxmlformats.org/drawingml/2006/main">
                  <a:graphicData uri="http://schemas.microsoft.com/office/word/2010/wordprocessingGroup">
                    <wpg:wgp>
                      <wpg:cNvGrpSpPr/>
                      <wpg:grpSpPr>
                        <a:xfrm>
                          <a:off x="0" y="0"/>
                          <a:ext cx="5396230" cy="3343316"/>
                          <a:chOff x="0" y="0"/>
                          <a:chExt cx="5433483" cy="3366347"/>
                        </a:xfrm>
                      </wpg:grpSpPr>
                      <wpg:grpSp>
                        <wpg:cNvPr id="32" name="Group 32"/>
                        <wpg:cNvGrpSpPr/>
                        <wpg:grpSpPr>
                          <a:xfrm>
                            <a:off x="86783" y="81280"/>
                            <a:ext cx="5346700" cy="3221990"/>
                            <a:chOff x="0" y="0"/>
                            <a:chExt cx="5346700" cy="3222407"/>
                          </a:xfrm>
                        </wpg:grpSpPr>
                        <wpg:graphicFrame>
                          <wpg:cNvPr id="33" name="Diagram 33"/>
                          <wpg:cNvFrPr/>
                          <wpg:xfrm>
                            <a:off x="0" y="0"/>
                            <a:ext cx="5346700" cy="628650"/>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grpSp>
                          <wpg:cNvPr id="34" name="Group 34"/>
                          <wpg:cNvGrpSpPr/>
                          <wpg:grpSpPr>
                            <a:xfrm>
                              <a:off x="226610" y="627797"/>
                              <a:ext cx="4840605" cy="2594610"/>
                              <a:chOff x="0" y="0"/>
                              <a:chExt cx="4840605" cy="2594610"/>
                            </a:xfrm>
                          </wpg:grpSpPr>
                          <wps:wsp>
                            <wps:cNvPr id="35" name="Text Box 2"/>
                            <wps:cNvSpPr txBox="1">
                              <a:spLocks noChangeArrowheads="1"/>
                            </wps:cNvSpPr>
                            <wps:spPr bwMode="auto">
                              <a:xfrm>
                                <a:off x="1665027" y="2163170"/>
                                <a:ext cx="1475105" cy="403860"/>
                              </a:xfrm>
                              <a:prstGeom prst="rect">
                                <a:avLst/>
                              </a:prstGeom>
                              <a:solidFill>
                                <a:sysClr val="window" lastClr="FFFFFF">
                                  <a:lumMod val="65000"/>
                                </a:sysClr>
                              </a:solidFill>
                              <a:ln w="9525">
                                <a:solidFill>
                                  <a:sysClr val="window" lastClr="FFFFFF">
                                    <a:lumMod val="65000"/>
                                  </a:sysClr>
                                </a:solidFill>
                                <a:miter lim="800000"/>
                                <a:headEnd/>
                                <a:tailEnd/>
                              </a:ln>
                            </wps:spPr>
                            <wps:txbx>
                              <w:txbxContent>
                                <w:p w14:paraId="31064791"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g:grpSp>
                            <wpg:cNvPr id="39" name="Group 39"/>
                            <wpg:cNvGrpSpPr/>
                            <wpg:grpSpPr>
                              <a:xfrm>
                                <a:off x="0" y="0"/>
                                <a:ext cx="4840605" cy="2594610"/>
                                <a:chOff x="0" y="0"/>
                                <a:chExt cx="4840605" cy="2595496"/>
                              </a:xfrm>
                            </wpg:grpSpPr>
                            <wps:wsp>
                              <wps:cNvPr id="40" name="Arrow: Right 40"/>
                              <wps:cNvSpPr/>
                              <wps:spPr>
                                <a:xfrm rot="5400000">
                                  <a:off x="1566132" y="1123093"/>
                                  <a:ext cx="1674688" cy="349250"/>
                                </a:xfrm>
                                <a:prstGeom prst="rightArrow">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3244850" y="0"/>
                                  <a:ext cx="0" cy="2595496"/>
                                </a:xfrm>
                                <a:prstGeom prst="line">
                                  <a:avLst/>
                                </a:prstGeom>
                                <a:noFill/>
                                <a:ln w="57150" cap="flat" cmpd="sng" algn="ctr">
                                  <a:solidFill>
                                    <a:srgbClr val="26664E">
                                      <a:shade val="95000"/>
                                      <a:satMod val="105000"/>
                                    </a:srgbClr>
                                  </a:solidFill>
                                  <a:prstDash val="sysDot"/>
                                </a:ln>
                                <a:effectLst/>
                              </wps:spPr>
                              <wps:bodyPr/>
                            </wps:wsp>
                            <wps:wsp>
                              <wps:cNvPr id="42" name="Straight Connector 42"/>
                              <wps:cNvCnPr/>
                              <wps:spPr>
                                <a:xfrm>
                                  <a:off x="1568450" y="0"/>
                                  <a:ext cx="0" cy="2595496"/>
                                </a:xfrm>
                                <a:prstGeom prst="line">
                                  <a:avLst/>
                                </a:prstGeom>
                                <a:noFill/>
                                <a:ln w="57150" cap="flat" cmpd="sng" algn="ctr">
                                  <a:solidFill>
                                    <a:srgbClr val="26664E">
                                      <a:shade val="95000"/>
                                      <a:satMod val="105000"/>
                                    </a:srgbClr>
                                  </a:solidFill>
                                  <a:prstDash val="sysDot"/>
                                </a:ln>
                                <a:effectLst/>
                              </wps:spPr>
                              <wps:bodyPr/>
                            </wps:wsp>
                            <wps:wsp>
                              <wps:cNvPr id="43" name="Text Box 2"/>
                              <wps:cNvSpPr txBox="1">
                                <a:spLocks noChangeArrowheads="1"/>
                              </wps:cNvSpPr>
                              <wps:spPr bwMode="auto">
                                <a:xfrm>
                                  <a:off x="8255" y="2159801"/>
                                  <a:ext cx="1475105" cy="404495"/>
                                </a:xfrm>
                                <a:prstGeom prst="rect">
                                  <a:avLst/>
                                </a:prstGeom>
                                <a:solidFill>
                                  <a:sysClr val="window" lastClr="FFFFFF">
                                    <a:lumMod val="65000"/>
                                  </a:sysClr>
                                </a:solidFill>
                                <a:ln w="9525">
                                  <a:solidFill>
                                    <a:sysClr val="window" lastClr="FFFFFF">
                                      <a:lumMod val="65000"/>
                                    </a:sysClr>
                                  </a:solidFill>
                                  <a:miter lim="800000"/>
                                  <a:headEnd/>
                                  <a:tailEnd/>
                                </a:ln>
                              </wps:spPr>
                              <wps:txbx>
                                <w:txbxContent>
                                  <w:p w14:paraId="2F4F3BAA"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s:wsp>
                              <wps:cNvPr id="44" name="Text Box 2"/>
                              <wps:cNvSpPr txBox="1">
                                <a:spLocks noChangeArrowheads="1"/>
                              </wps:cNvSpPr>
                              <wps:spPr bwMode="auto">
                                <a:xfrm>
                                  <a:off x="1797050" y="590550"/>
                                  <a:ext cx="1206500" cy="1162050"/>
                                </a:xfrm>
                                <a:prstGeom prst="rect">
                                  <a:avLst/>
                                </a:prstGeom>
                                <a:solidFill>
                                  <a:sysClr val="window" lastClr="FFFFFF"/>
                                </a:solidFill>
                                <a:ln w="9525">
                                  <a:solidFill>
                                    <a:sysClr val="windowText" lastClr="000000">
                                      <a:lumMod val="50000"/>
                                      <a:lumOff val="50000"/>
                                    </a:sysClr>
                                  </a:solidFill>
                                  <a:miter lim="800000"/>
                                  <a:headEnd/>
                                  <a:tailEnd/>
                                </a:ln>
                              </wps:spPr>
                              <wps:txbx>
                                <w:txbxContent>
                                  <w:p w14:paraId="4FD30884" w14:textId="77777777" w:rsidR="00DA3D89" w:rsidRPr="00C60B08" w:rsidRDefault="00DA3D89" w:rsidP="00DB6D69">
                                    <w:pPr>
                                      <w:rPr>
                                        <w:vertAlign w:val="superscript"/>
                                      </w:rPr>
                                    </w:pPr>
                                    <w:r w:rsidRPr="003408C3">
                                      <w:t>P</w:t>
                                    </w:r>
                                    <w:r>
                                      <w:t>CS</w:t>
                                    </w:r>
                                    <w:r w:rsidRPr="003408C3">
                                      <w:t>F pays tax on investment earnings, but this does not affect the value of benefits.</w:t>
                                    </w:r>
                                  </w:p>
                                </w:txbxContent>
                              </wps:txbx>
                              <wps:bodyPr rot="0" vert="horz" wrap="square" lIns="91440" tIns="45720" rIns="91440" bIns="45720" anchor="t" anchorCtr="0">
                                <a:noAutofit/>
                              </wps:bodyPr>
                            </wps:wsp>
                            <wps:wsp>
                              <wps:cNvPr id="45" name="Arrow: Right 45"/>
                              <wps:cNvSpPr/>
                              <wps:spPr>
                                <a:xfrm rot="5400000">
                                  <a:off x="3250630" y="1124526"/>
                                  <a:ext cx="1671825" cy="349250"/>
                                </a:xfrm>
                                <a:prstGeom prst="rightArrow">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3348355" y="2159801"/>
                                  <a:ext cx="1475105" cy="404495"/>
                                </a:xfrm>
                                <a:prstGeom prst="rect">
                                  <a:avLst/>
                                </a:prstGeom>
                                <a:solidFill>
                                  <a:sysClr val="window" lastClr="FFFFFF">
                                    <a:lumMod val="65000"/>
                                  </a:sysClr>
                                </a:solidFill>
                                <a:ln w="9525">
                                  <a:solidFill>
                                    <a:sysClr val="window" lastClr="FFFFFF">
                                      <a:lumMod val="65000"/>
                                    </a:sysClr>
                                  </a:solidFill>
                                  <a:miter lim="800000"/>
                                  <a:headEnd/>
                                  <a:tailEnd/>
                                </a:ln>
                              </wps:spPr>
                              <wps:txbx>
                                <w:txbxContent>
                                  <w:p w14:paraId="3D9698AA"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s:wsp>
                              <wps:cNvPr id="47" name="Text Box 2"/>
                              <wps:cNvSpPr txBox="1">
                                <a:spLocks noChangeArrowheads="1"/>
                              </wps:cNvSpPr>
                              <wps:spPr bwMode="auto">
                                <a:xfrm>
                                  <a:off x="3390900" y="596900"/>
                                  <a:ext cx="1432560" cy="1244600"/>
                                </a:xfrm>
                                <a:prstGeom prst="rect">
                                  <a:avLst/>
                                </a:prstGeom>
                                <a:solidFill>
                                  <a:sysClr val="window" lastClr="FFFFFF"/>
                                </a:solidFill>
                                <a:ln w="9525">
                                  <a:solidFill>
                                    <a:sysClr val="windowText" lastClr="000000">
                                      <a:lumMod val="50000"/>
                                      <a:lumOff val="50000"/>
                                    </a:sysClr>
                                  </a:solidFill>
                                  <a:miter lim="800000"/>
                                  <a:headEnd/>
                                  <a:tailEnd/>
                                </a:ln>
                              </wps:spPr>
                              <wps:txbx>
                                <w:txbxContent>
                                  <w:p w14:paraId="16C9616F" w14:textId="77777777" w:rsidR="00DA3D89" w:rsidRPr="00FB3601" w:rsidRDefault="00DA3D89" w:rsidP="00DB6D69">
                                    <w:r w:rsidRPr="003408C3">
                                      <w:t>A portion of the benefit is tax-free. The remainder is taxed (</w:t>
                                    </w:r>
                                    <w:r w:rsidRPr="009E3C5F">
                                      <w:t>different rates of tax apply</w:t>
                                    </w:r>
                                    <w:r w:rsidRPr="003408C3">
                                      <w:t xml:space="preserve"> depending on the MP’s age).</w:t>
                                    </w:r>
                                  </w:p>
                                </w:txbxContent>
                              </wps:txbx>
                              <wps:bodyPr rot="0" vert="horz" wrap="square" lIns="91440" tIns="45720" rIns="91440" bIns="45720" anchor="t" anchorCtr="0">
                                <a:noAutofit/>
                              </wps:bodyPr>
                            </wps:wsp>
                            <wps:wsp>
                              <wps:cNvPr id="48" name="Arrow: Right 48"/>
                              <wps:cNvSpPr/>
                              <wps:spPr>
                                <a:xfrm rot="5400000">
                                  <a:off x="-127972" y="1112058"/>
                                  <a:ext cx="1696759" cy="349250"/>
                                </a:xfrm>
                                <a:prstGeom prst="rightArrow">
                                  <a:avLst/>
                                </a:prstGeom>
                                <a:noFill/>
                                <a:ln w="12700" cap="flat" cmpd="sng" algn="ctr">
                                  <a:solidFill>
                                    <a:sysClr val="windowText" lastClr="000000">
                                      <a:lumMod val="50000"/>
                                      <a:lumOff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0" y="590550"/>
                                  <a:ext cx="1460500" cy="1250950"/>
                                </a:xfrm>
                                <a:prstGeom prst="rect">
                                  <a:avLst/>
                                </a:prstGeom>
                                <a:solidFill>
                                  <a:sysClr val="window" lastClr="FFFFFF"/>
                                </a:solidFill>
                                <a:ln w="9525">
                                  <a:solidFill>
                                    <a:sysClr val="windowText" lastClr="000000">
                                      <a:lumMod val="50000"/>
                                      <a:lumOff val="50000"/>
                                    </a:sysClr>
                                  </a:solidFill>
                                  <a:miter lim="800000"/>
                                  <a:headEnd/>
                                  <a:tailEnd/>
                                </a:ln>
                              </wps:spPr>
                              <wps:txbx>
                                <w:txbxContent>
                                  <w:p w14:paraId="405C4670" w14:textId="77777777" w:rsidR="00DA3D89" w:rsidRPr="008E0781" w:rsidRDefault="00DA3D89" w:rsidP="00DB6D69">
                                    <w:pPr>
                                      <w:rPr>
                                        <w:vertAlign w:val="superscript"/>
                                      </w:rPr>
                                    </w:pPr>
                                    <w:r w:rsidRPr="003408C3">
                                      <w:t xml:space="preserve">MPs </w:t>
                                    </w:r>
                                    <w:r>
                                      <w:t>make after-tax contributions. Extra taxes don’t apply unless MPs meet high income or</w:t>
                                    </w:r>
                                    <w:r w:rsidRPr="003408C3">
                                      <w:t xml:space="preserve"> super</w:t>
                                    </w:r>
                                    <w:r>
                                      <w:t>annuation</w:t>
                                    </w:r>
                                    <w:r w:rsidRPr="003408C3">
                                      <w:t xml:space="preserve"> balance </w:t>
                                    </w:r>
                                    <w:r>
                                      <w:t>thresholds</w:t>
                                    </w:r>
                                    <w:r w:rsidRPr="003408C3">
                                      <w:t>.</w:t>
                                    </w:r>
                                    <w:r w:rsidRPr="003408C3">
                                      <w:rPr>
                                        <w:vertAlign w:val="superscript"/>
                                      </w:rPr>
                                      <w:t>(</w:t>
                                    </w:r>
                                    <w:r>
                                      <w:rPr>
                                        <w:vertAlign w:val="superscript"/>
                                      </w:rPr>
                                      <w:t>a</w:t>
                                    </w:r>
                                    <w:r w:rsidRPr="003408C3">
                                      <w:rPr>
                                        <w:vertAlign w:val="superscript"/>
                                      </w:rPr>
                                      <w:t>)</w:t>
                                    </w:r>
                                    <w:r>
                                      <w:rPr>
                                        <w:vertAlign w:val="superscript"/>
                                      </w:rPr>
                                      <w:t>(b)</w:t>
                                    </w:r>
                                  </w:p>
                                </w:txbxContent>
                              </wps:txbx>
                              <wps:bodyPr rot="0" vert="horz" wrap="square" lIns="91440" tIns="45720" rIns="91440" bIns="45720" anchor="t" anchorCtr="0">
                                <a:noAutofit/>
                              </wps:bodyPr>
                            </wps:wsp>
                            <wps:wsp>
                              <wps:cNvPr id="50" name="Text Box 2"/>
                              <wps:cNvSpPr txBox="1">
                                <a:spLocks noChangeArrowheads="1"/>
                              </wps:cNvSpPr>
                              <wps:spPr bwMode="auto">
                                <a:xfrm>
                                  <a:off x="0" y="44445"/>
                                  <a:ext cx="1475105" cy="404495"/>
                                </a:xfrm>
                                <a:prstGeom prst="rect">
                                  <a:avLst/>
                                </a:prstGeom>
                                <a:solidFill>
                                  <a:sysClr val="window" lastClr="FFFFFF">
                                    <a:lumMod val="75000"/>
                                  </a:sysClr>
                                </a:solidFill>
                                <a:ln w="9525">
                                  <a:solidFill>
                                    <a:sysClr val="window" lastClr="FFFFFF">
                                      <a:lumMod val="75000"/>
                                    </a:sysClr>
                                  </a:solidFill>
                                  <a:miter lim="800000"/>
                                  <a:headEnd/>
                                  <a:tailEnd/>
                                </a:ln>
                              </wps:spPr>
                              <wps:txbx>
                                <w:txbxContent>
                                  <w:p w14:paraId="3AC77719"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MP</w:t>
                                    </w:r>
                                  </w:p>
                                </w:txbxContent>
                              </wps:txbx>
                              <wps:bodyPr rot="0" vert="horz" wrap="square" lIns="91440" tIns="45720" rIns="91440" bIns="45720" anchor="t" anchorCtr="0">
                                <a:noAutofit/>
                              </wps:bodyPr>
                            </wps:wsp>
                            <wps:wsp>
                              <wps:cNvPr id="51" name="Text Box 2"/>
                              <wps:cNvSpPr txBox="1">
                                <a:spLocks noChangeArrowheads="1"/>
                              </wps:cNvSpPr>
                              <wps:spPr bwMode="auto">
                                <a:xfrm>
                                  <a:off x="1676400" y="50800"/>
                                  <a:ext cx="1475105" cy="404495"/>
                                </a:xfrm>
                                <a:prstGeom prst="rect">
                                  <a:avLst/>
                                </a:prstGeom>
                                <a:solidFill>
                                  <a:sysClr val="window" lastClr="FFFFFF">
                                    <a:lumMod val="75000"/>
                                  </a:sysClr>
                                </a:solidFill>
                                <a:ln w="9525">
                                  <a:solidFill>
                                    <a:sysClr val="window" lastClr="FFFFFF">
                                      <a:lumMod val="75000"/>
                                    </a:sysClr>
                                  </a:solidFill>
                                  <a:miter lim="800000"/>
                                  <a:headEnd/>
                                  <a:tailEnd/>
                                </a:ln>
                              </wps:spPr>
                              <wps:txbx>
                                <w:txbxContent>
                                  <w:p w14:paraId="18AF1CE0"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PCSF</w:t>
                                    </w:r>
                                  </w:p>
                                </w:txbxContent>
                              </wps:txbx>
                              <wps:bodyPr rot="0" vert="horz" wrap="square" lIns="91440" tIns="45720" rIns="91440" bIns="45720" anchor="t" anchorCtr="0">
                                <a:noAutofit/>
                              </wps:bodyPr>
                            </wps:wsp>
                            <wps:wsp>
                              <wps:cNvPr id="52" name="Text Box 2"/>
                              <wps:cNvSpPr txBox="1">
                                <a:spLocks noChangeArrowheads="1"/>
                              </wps:cNvSpPr>
                              <wps:spPr bwMode="auto">
                                <a:xfrm>
                                  <a:off x="3365500" y="50800"/>
                                  <a:ext cx="1475105" cy="404495"/>
                                </a:xfrm>
                                <a:prstGeom prst="rect">
                                  <a:avLst/>
                                </a:prstGeom>
                                <a:solidFill>
                                  <a:sysClr val="window" lastClr="FFFFFF">
                                    <a:lumMod val="75000"/>
                                  </a:sysClr>
                                </a:solidFill>
                                <a:ln w="9525">
                                  <a:solidFill>
                                    <a:sysClr val="window" lastClr="FFFFFF">
                                      <a:lumMod val="75000"/>
                                    </a:sysClr>
                                  </a:solidFill>
                                  <a:miter lim="800000"/>
                                  <a:headEnd/>
                                  <a:tailEnd/>
                                </a:ln>
                              </wps:spPr>
                              <wps:txbx>
                                <w:txbxContent>
                                  <w:p w14:paraId="684E1512"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MP</w:t>
                                    </w:r>
                                  </w:p>
                                </w:txbxContent>
                              </wps:txbx>
                              <wps:bodyPr rot="0" vert="horz" wrap="square" lIns="91440" tIns="45720" rIns="91440" bIns="45720" anchor="t" anchorCtr="0">
                                <a:noAutofit/>
                              </wps:bodyPr>
                            </wps:wsp>
                          </wpg:grpSp>
                        </wpg:grpSp>
                      </wpg:grpSp>
                      <wps:wsp>
                        <wps:cNvPr id="53" name="Rectangle 53"/>
                        <wps:cNvSpPr/>
                        <wps:spPr>
                          <a:xfrm>
                            <a:off x="0" y="0"/>
                            <a:ext cx="5433483" cy="3366347"/>
                          </a:xfrm>
                          <a:prstGeom prst="rect">
                            <a:avLst/>
                          </a:prstGeom>
                          <a:noFill/>
                          <a:ln w="9525" cap="flat" cmpd="sng" algn="ctr">
                            <a:solidFill>
                              <a:srgbClr val="4D4D4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55F292" id="Group 255" o:spid="_x0000_s1059" style="width:424.9pt;height:263.25pt;mso-position-horizontal-relative:char;mso-position-vertical-relative:line" coordsize="54334,3366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">
                <v:group id="Group 32" o:spid="_x0000_s1060" style="position:absolute;left:867;top:812;width:53467;height:32220" coordsize="53467,3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Diagram 33" o:spid="_x0000_s1061" type="#_x0000_t75" style="position:absolute;left:-315;top:-76;width:53953;height:6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">
                    <v:imagedata r:id="rId56" o:title=""/>
                    <o:lock v:ext="edit" aspectratio="f"/>
                  </v:shape>
                  <v:group id="Group 34" o:spid="_x0000_s1062" style="position:absolute;left:2266;top:6277;width:48406;height:25947" coordsize="48406,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063" type="#_x0000_t202" style="position:absolute;left:16650;top:21631;width:14751;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" fillcolor="#a6a6a6" strokecolor="#a6a6a6">
                      <v:textbox>
                        <w:txbxContent>
                          <w:p w14:paraId="31064791"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v:textbox>
                    </v:shape>
                    <v:group id="Group 39" o:spid="_x0000_s1064" style="position:absolute;width:48406;height:25946" coordsize="48406,2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rrow: Right 40" o:spid="_x0000_s1065" type="#_x0000_t13" style="position:absolute;left:15661;top:11230;width:16747;height:34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" adj="19348" fillcolor="#7f7f7f" strokecolor="#7f7f7f" strokeweight="2pt"/>
                      <v:line id="Straight Connector 41" o:spid="_x0000_s1066" style="position:absolute;visibility:visible;mso-wrap-style:square" from="32448,0" to="32448,2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" strokecolor="#23654c" strokeweight="4.5pt">
                        <v:stroke dashstyle="1 1"/>
                      </v:line>
                      <v:line id="Straight Connector 42" o:spid="_x0000_s1067" style="position:absolute;visibility:visible;mso-wrap-style:square" from="15684,0" to="15684,2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" strokecolor="#23654c" strokeweight="4.5pt">
                        <v:stroke dashstyle="1 1"/>
                      </v:line>
                      <v:shape id="_x0000_s1068" type="#_x0000_t202" style="position:absolute;left:82;top:21598;width:147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" fillcolor="#a6a6a6" strokecolor="#a6a6a6">
                        <v:textbox>
                          <w:txbxContent>
                            <w:p w14:paraId="2F4F3BAA"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v:textbox>
                      </v:shape>
                      <v:shape id="_x0000_s1069" type="#_x0000_t202" style="position:absolute;left:17970;top:5905;width:12065;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" fillcolor="window" strokecolor="#7f7f7f">
                        <v:textbox>
                          <w:txbxContent>
                            <w:p w14:paraId="4FD30884" w14:textId="77777777" w:rsidR="00DA3D89" w:rsidRPr="00C60B08" w:rsidRDefault="00DA3D89" w:rsidP="00DB6D69">
                              <w:pPr>
                                <w:rPr>
                                  <w:vertAlign w:val="superscript"/>
                                </w:rPr>
                              </w:pPr>
                              <w:r w:rsidRPr="003408C3">
                                <w:t>P</w:t>
                              </w:r>
                              <w:r>
                                <w:t>CS</w:t>
                              </w:r>
                              <w:r w:rsidRPr="003408C3">
                                <w:t>F pays tax on investment earnings, but this does not affect the value of benefits.</w:t>
                              </w:r>
                            </w:p>
                          </w:txbxContent>
                        </v:textbox>
                      </v:shape>
                      <v:shape id="Arrow: Right 45" o:spid="_x0000_s1070" type="#_x0000_t13" style="position:absolute;left:32506;top:11245;width:16718;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" adj="19344" fillcolor="#7f7f7f" strokecolor="#7f7f7f" strokeweight="2pt"/>
                      <v:shape id="_x0000_s1071" type="#_x0000_t202" style="position:absolute;left:33483;top:21598;width:147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" fillcolor="#a6a6a6" strokecolor="#a6a6a6">
                        <v:textbox>
                          <w:txbxContent>
                            <w:p w14:paraId="3D9698AA"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ATO</w:t>
                              </w:r>
                            </w:p>
                          </w:txbxContent>
                        </v:textbox>
                      </v:shape>
                      <v:shape id="_x0000_s1072" type="#_x0000_t202" style="position:absolute;left:33909;top:5969;width:1432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" fillcolor="window" strokecolor="#7f7f7f">
                        <v:textbox>
                          <w:txbxContent>
                            <w:p w14:paraId="16C9616F" w14:textId="77777777" w:rsidR="00DA3D89" w:rsidRPr="00FB3601" w:rsidRDefault="00DA3D89" w:rsidP="00DB6D69">
                              <w:r w:rsidRPr="003408C3">
                                <w:t>A portion of the benefit is tax-free. The remainder is taxed (</w:t>
                              </w:r>
                              <w:r w:rsidRPr="009E3C5F">
                                <w:t>different rates of tax apply</w:t>
                              </w:r>
                              <w:r w:rsidRPr="003408C3">
                                <w:t xml:space="preserve"> depending on the MP’s age).</w:t>
                              </w:r>
                            </w:p>
                          </w:txbxContent>
                        </v:textbox>
                      </v:shape>
                      <v:shape id="Arrow: Right 48" o:spid="_x0000_s1073" type="#_x0000_t13" style="position:absolute;left:-1280;top:11120;width:16967;height:34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" adj="19377" filled="f" strokecolor="#7f7f7f" strokeweight="1pt">
                        <v:stroke dashstyle="3 1"/>
                      </v:shape>
                      <v:shape id="_x0000_s1074" type="#_x0000_t202" style="position:absolute;top:5905;width:14605;height:1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" fillcolor="window" strokecolor="#7f7f7f">
                        <v:textbox>
                          <w:txbxContent>
                            <w:p w14:paraId="405C4670" w14:textId="77777777" w:rsidR="00DA3D89" w:rsidRPr="008E0781" w:rsidRDefault="00DA3D89" w:rsidP="00DB6D69">
                              <w:pPr>
                                <w:rPr>
                                  <w:vertAlign w:val="superscript"/>
                                </w:rPr>
                              </w:pPr>
                              <w:r w:rsidRPr="003408C3">
                                <w:t xml:space="preserve">MPs </w:t>
                              </w:r>
                              <w:r>
                                <w:t>make after-tax contributions. Extra taxes don’t apply unless MPs meet high income or</w:t>
                              </w:r>
                              <w:r w:rsidRPr="003408C3">
                                <w:t xml:space="preserve"> super</w:t>
                              </w:r>
                              <w:r>
                                <w:t>annuation</w:t>
                              </w:r>
                              <w:r w:rsidRPr="003408C3">
                                <w:t xml:space="preserve"> balance </w:t>
                              </w:r>
                              <w:proofErr w:type="gramStart"/>
                              <w:r>
                                <w:t>thresholds</w:t>
                              </w:r>
                              <w:r w:rsidRPr="003408C3">
                                <w:t>.</w:t>
                              </w:r>
                              <w:r w:rsidRPr="003408C3">
                                <w:rPr>
                                  <w:vertAlign w:val="superscript"/>
                                </w:rPr>
                                <w:t>(</w:t>
                              </w:r>
                              <w:proofErr w:type="gramEnd"/>
                              <w:r>
                                <w:rPr>
                                  <w:vertAlign w:val="superscript"/>
                                </w:rPr>
                                <w:t>a</w:t>
                              </w:r>
                              <w:r w:rsidRPr="003408C3">
                                <w:rPr>
                                  <w:vertAlign w:val="superscript"/>
                                </w:rPr>
                                <w:t>)</w:t>
                              </w:r>
                              <w:r>
                                <w:rPr>
                                  <w:vertAlign w:val="superscript"/>
                                </w:rPr>
                                <w:t>(b)</w:t>
                              </w:r>
                            </w:p>
                          </w:txbxContent>
                        </v:textbox>
                      </v:shape>
                      <v:shape id="_x0000_s1075" type="#_x0000_t202" style="position:absolute;top:444;width:1475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" fillcolor="#bfbfbf" strokecolor="#bfbfbf">
                        <v:textbox>
                          <w:txbxContent>
                            <w:p w14:paraId="3AC77719"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MP</w:t>
                              </w:r>
                            </w:p>
                          </w:txbxContent>
                        </v:textbox>
                      </v:shape>
                      <v:shape id="_x0000_s1076" type="#_x0000_t202" style="position:absolute;left:16764;top:508;width:147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" fillcolor="#bfbfbf" strokecolor="#bfbfbf">
                        <v:textbox>
                          <w:txbxContent>
                            <w:p w14:paraId="18AF1CE0"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PCSF</w:t>
                              </w:r>
                            </w:p>
                          </w:txbxContent>
                        </v:textbox>
                      </v:shape>
                      <v:shape id="_x0000_s1077" type="#_x0000_t202" style="position:absolute;left:33655;top:508;width:147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" fillcolor="#bfbfbf" strokecolor="#bfbfbf">
                        <v:textbox>
                          <w:txbxContent>
                            <w:p w14:paraId="684E1512" w14:textId="77777777" w:rsidR="00DA3D89" w:rsidRDefault="00DA3D89" w:rsidP="00DB6D69">
                              <w:pPr>
                                <w:jc w:val="center"/>
                                <w:rPr>
                                  <w:rFonts w:ascii="Agency FB" w:hAnsi="Agency FB"/>
                                  <w:b/>
                                  <w:bCs/>
                                  <w:sz w:val="36"/>
                                  <w:szCs w:val="36"/>
                                </w:rPr>
                              </w:pPr>
                              <w:r>
                                <w:rPr>
                                  <w:rFonts w:ascii="Agency FB" w:hAnsi="Agency FB"/>
                                  <w:b/>
                                  <w:bCs/>
                                  <w:color w:val="auto"/>
                                  <w:sz w:val="36"/>
                                  <w:szCs w:val="36"/>
                                </w:rPr>
                                <w:t>MP</w:t>
                              </w:r>
                            </w:p>
                          </w:txbxContent>
                        </v:textbox>
                      </v:shape>
                    </v:group>
                  </v:group>
                </v:group>
                <v:rect id="Rectangle 53" o:spid="_x0000_s1078" style="position:absolute;width:54334;height:3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" filled="f" strokecolor="#dbdbdb"/>
                <w10:anchorlock/>
              </v:group>
            </w:pict>
          </mc:Fallback>
        </mc:AlternateContent>
      </w:r>
    </w:p>
    <w:p w14:paraId="1F433353" w14:textId="2F4A4A8E" w:rsidR="000035F3" w:rsidRDefault="00D44133" w:rsidP="00D44F89">
      <w:pPr>
        <w:pStyle w:val="Figuretitle"/>
        <w:jc w:val="center"/>
      </w:pPr>
      <w:r w:rsidRPr="7FF989C1">
        <w:t>Accumulation scheme</w:t>
      </w:r>
      <w:r w:rsidR="00864EF6">
        <mc:AlternateContent>
          <mc:Choice Requires="wpg">
            <w:drawing>
              <wp:inline distT="0" distB="0" distL="0" distR="0" wp14:anchorId="269EF0C6" wp14:editId="336CCCE1">
                <wp:extent cx="5396230" cy="3365212"/>
                <wp:effectExtent l="0" t="0" r="33020" b="26035"/>
                <wp:docPr id="254" name="Group 254"/>
                <wp:cNvGraphicFramePr/>
                <a:graphic xmlns:a="http://schemas.openxmlformats.org/drawingml/2006/main">
                  <a:graphicData uri="http://schemas.microsoft.com/office/word/2010/wordprocessingGroup">
                    <wpg:wgp>
                      <wpg:cNvGrpSpPr/>
                      <wpg:grpSpPr>
                        <a:xfrm>
                          <a:off x="0" y="0"/>
                          <a:ext cx="5396230" cy="3365212"/>
                          <a:chOff x="0" y="0"/>
                          <a:chExt cx="5424116" cy="3449536"/>
                        </a:xfrm>
                      </wpg:grpSpPr>
                      <wps:wsp>
                        <wps:cNvPr id="253" name="Rectangle 253"/>
                        <wps:cNvSpPr/>
                        <wps:spPr>
                          <a:xfrm>
                            <a:off x="0" y="0"/>
                            <a:ext cx="5424116" cy="3449536"/>
                          </a:xfrm>
                          <a:prstGeom prst="rect">
                            <a:avLst/>
                          </a:prstGeom>
                          <a:noFill/>
                          <a:ln>
                            <a:solidFill>
                              <a:schemeClr val="accent6">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29"/>
                        <wpg:cNvGrpSpPr/>
                        <wpg:grpSpPr>
                          <a:xfrm>
                            <a:off x="58366" y="71336"/>
                            <a:ext cx="5365750" cy="3311525"/>
                            <a:chOff x="0" y="0"/>
                            <a:chExt cx="5365750" cy="3311951"/>
                          </a:xfrm>
                        </wpg:grpSpPr>
                        <wpg:graphicFrame>
                          <wpg:cNvPr id="230" name="Diagram 230"/>
                          <wpg:cNvFrPr/>
                          <wpg:xfrm>
                            <a:off x="19050" y="0"/>
                            <a:ext cx="5346700" cy="628650"/>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g:grpSp>
                          <wpg:cNvPr id="231" name="Group 231"/>
                          <wpg:cNvGrpSpPr/>
                          <wpg:grpSpPr>
                            <a:xfrm>
                              <a:off x="0" y="600501"/>
                              <a:ext cx="5139055" cy="2711450"/>
                              <a:chOff x="0" y="0"/>
                              <a:chExt cx="5139055" cy="2711450"/>
                            </a:xfrm>
                          </wpg:grpSpPr>
                          <wpg:grpSp>
                            <wpg:cNvPr id="232" name="Group 232"/>
                            <wpg:cNvGrpSpPr/>
                            <wpg:grpSpPr>
                              <a:xfrm>
                                <a:off x="0" y="0"/>
                                <a:ext cx="5139055" cy="2711450"/>
                                <a:chOff x="0" y="0"/>
                                <a:chExt cx="5139055" cy="2711450"/>
                              </a:xfrm>
                            </wpg:grpSpPr>
                            <wps:wsp>
                              <wps:cNvPr id="233" name="Arrow: Right 233"/>
                              <wps:cNvSpPr/>
                              <wps:spPr>
                                <a:xfrm rot="5400000">
                                  <a:off x="1815308" y="1205074"/>
                                  <a:ext cx="1759902" cy="349250"/>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3543300" y="2"/>
                                  <a:ext cx="19050" cy="2677269"/>
                                </a:xfrm>
                                <a:prstGeom prst="line">
                                  <a:avLst/>
                                </a:prstGeom>
                                <a:ln w="57150">
                                  <a:prstDash val="sysDot"/>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1841500" y="0"/>
                                  <a:ext cx="12700" cy="2711450"/>
                                </a:xfrm>
                                <a:prstGeom prst="line">
                                  <a:avLst/>
                                </a:prstGeom>
                                <a:ln w="57150">
                                  <a:prstDash val="sysDot"/>
                                </a:ln>
                              </wps:spPr>
                              <wps:style>
                                <a:lnRef idx="1">
                                  <a:schemeClr val="accent1"/>
                                </a:lnRef>
                                <a:fillRef idx="0">
                                  <a:schemeClr val="accent1"/>
                                </a:fillRef>
                                <a:effectRef idx="0">
                                  <a:schemeClr val="accent1"/>
                                </a:effectRef>
                                <a:fontRef idx="minor">
                                  <a:schemeClr val="tx1"/>
                                </a:fontRef>
                              </wps:style>
                              <wps:bodyPr/>
                            </wps:wsp>
                            <wps:wsp>
                              <wps:cNvPr id="236" name="Text Box 2"/>
                              <wps:cNvSpPr txBox="1">
                                <a:spLocks noChangeArrowheads="1"/>
                              </wps:cNvSpPr>
                              <wps:spPr bwMode="auto">
                                <a:xfrm>
                                  <a:off x="133350" y="88900"/>
                                  <a:ext cx="711200" cy="660400"/>
                                </a:xfrm>
                                <a:prstGeom prst="rect">
                                  <a:avLst/>
                                </a:prstGeom>
                                <a:solidFill>
                                  <a:schemeClr val="bg1">
                                    <a:lumMod val="75000"/>
                                  </a:schemeClr>
                                </a:solidFill>
                                <a:ln w="9525">
                                  <a:solidFill>
                                    <a:schemeClr val="bg1">
                                      <a:lumMod val="75000"/>
                                    </a:schemeClr>
                                  </a:solidFill>
                                  <a:miter lim="800000"/>
                                  <a:headEnd/>
                                  <a:tailEnd/>
                                </a:ln>
                              </wps:spPr>
                              <wps:txbx>
                                <w:txbxContent>
                                  <w:p w14:paraId="47BAB059"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Super fund</w:t>
                                    </w:r>
                                  </w:p>
                                </w:txbxContent>
                              </wps:txbx>
                              <wps:bodyPr rot="0" vert="horz" wrap="square" lIns="91440" tIns="45720" rIns="91440" bIns="45720" anchor="t" anchorCtr="0">
                                <a:noAutofit/>
                              </wps:bodyPr>
                            </wps:wsp>
                            <wps:wsp>
                              <wps:cNvPr id="237" name="Text Box 2"/>
                              <wps:cNvSpPr txBox="1">
                                <a:spLocks noChangeArrowheads="1"/>
                              </wps:cNvSpPr>
                              <wps:spPr bwMode="auto">
                                <a:xfrm>
                                  <a:off x="177800" y="2273300"/>
                                  <a:ext cx="1475105" cy="404495"/>
                                </a:xfrm>
                                <a:prstGeom prst="rect">
                                  <a:avLst/>
                                </a:prstGeom>
                                <a:solidFill>
                                  <a:schemeClr val="bg1">
                                    <a:lumMod val="65000"/>
                                  </a:schemeClr>
                                </a:solidFill>
                                <a:ln w="9525">
                                  <a:solidFill>
                                    <a:schemeClr val="bg1">
                                      <a:lumMod val="65000"/>
                                    </a:schemeClr>
                                  </a:solidFill>
                                  <a:miter lim="800000"/>
                                  <a:headEnd/>
                                  <a:tailEnd/>
                                </a:ln>
                              </wps:spPr>
                              <wps:txbx>
                                <w:txbxContent>
                                  <w:p w14:paraId="600C1980"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s:wsp>
                              <wps:cNvPr id="238" name="Arrow: Right 238"/>
                              <wps:cNvSpPr/>
                              <wps:spPr>
                                <a:xfrm rot="5400000">
                                  <a:off x="-272733" y="1333183"/>
                                  <a:ext cx="1503995" cy="349250"/>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a:off x="0" y="790816"/>
                                  <a:ext cx="990600" cy="1177412"/>
                                </a:xfrm>
                                <a:prstGeom prst="rect">
                                  <a:avLst/>
                                </a:prstGeom>
                                <a:solidFill>
                                  <a:schemeClr val="bg1"/>
                                </a:solidFill>
                                <a:ln w="9525">
                                  <a:solidFill>
                                    <a:schemeClr val="tx1">
                                      <a:lumMod val="50000"/>
                                      <a:lumOff val="50000"/>
                                    </a:schemeClr>
                                  </a:solidFill>
                                  <a:miter lim="800000"/>
                                  <a:headEnd/>
                                  <a:tailEnd/>
                                </a:ln>
                              </wps:spPr>
                              <wps:txbx>
                                <w:txbxContent>
                                  <w:p w14:paraId="4B3B352A" w14:textId="77777777" w:rsidR="00DA3D89" w:rsidRPr="00A44F5A" w:rsidRDefault="00DA3D89" w:rsidP="00864EF6">
                                    <w:pPr>
                                      <w:rPr>
                                        <w:vertAlign w:val="superscript"/>
                                      </w:rPr>
                                    </w:pPr>
                                    <w:r>
                                      <w:t>Contributions up to CCC taxed at 15% in fund. Amounts over CCC incur extra tax.</w:t>
                                    </w:r>
                                    <w:r>
                                      <w:rPr>
                                        <w:vertAlign w:val="superscript"/>
                                      </w:rPr>
                                      <w:t>(c)</w:t>
                                    </w:r>
                                  </w:p>
                                </w:txbxContent>
                              </wps:txbx>
                              <wps:bodyPr rot="0" vert="horz" wrap="square" lIns="91440" tIns="45720" rIns="91440" bIns="45720" anchor="t" anchorCtr="0">
                                <a:noAutofit/>
                              </wps:bodyPr>
                            </wps:wsp>
                            <wps:wsp>
                              <wps:cNvPr id="240" name="Text Box 2"/>
                              <wps:cNvSpPr txBox="1">
                                <a:spLocks noChangeArrowheads="1"/>
                              </wps:cNvSpPr>
                              <wps:spPr bwMode="auto">
                                <a:xfrm>
                                  <a:off x="1955800" y="2266950"/>
                                  <a:ext cx="1475105" cy="404495"/>
                                </a:xfrm>
                                <a:prstGeom prst="rect">
                                  <a:avLst/>
                                </a:prstGeom>
                                <a:solidFill>
                                  <a:schemeClr val="bg1">
                                    <a:lumMod val="65000"/>
                                  </a:schemeClr>
                                </a:solidFill>
                                <a:ln w="9525">
                                  <a:solidFill>
                                    <a:schemeClr val="bg1">
                                      <a:lumMod val="65000"/>
                                    </a:schemeClr>
                                  </a:solidFill>
                                  <a:miter lim="800000"/>
                                  <a:headEnd/>
                                  <a:tailEnd/>
                                </a:ln>
                              </wps:spPr>
                              <wps:txbx>
                                <w:txbxContent>
                                  <w:p w14:paraId="39737B27"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s:wsp>
                              <wps:cNvPr id="241" name="Text Box 2"/>
                              <wps:cNvSpPr txBox="1">
                                <a:spLocks noChangeArrowheads="1"/>
                              </wps:cNvSpPr>
                              <wps:spPr bwMode="auto">
                                <a:xfrm>
                                  <a:off x="2139950" y="790665"/>
                                  <a:ext cx="1111250" cy="1164864"/>
                                </a:xfrm>
                                <a:prstGeom prst="rect">
                                  <a:avLst/>
                                </a:prstGeom>
                                <a:solidFill>
                                  <a:schemeClr val="bg1"/>
                                </a:solidFill>
                                <a:ln w="9525">
                                  <a:solidFill>
                                    <a:schemeClr val="tx1">
                                      <a:lumMod val="50000"/>
                                      <a:lumOff val="50000"/>
                                    </a:schemeClr>
                                  </a:solidFill>
                                  <a:miter lim="800000"/>
                                  <a:headEnd/>
                                  <a:tailEnd/>
                                </a:ln>
                              </wps:spPr>
                              <wps:txbx>
                                <w:txbxContent>
                                  <w:p w14:paraId="1E485A6A" w14:textId="77777777" w:rsidR="00DA3D89" w:rsidRPr="00C60B08" w:rsidRDefault="00DA3D89" w:rsidP="00864EF6">
                                    <w:pPr>
                                      <w:rPr>
                                        <w:vertAlign w:val="superscript"/>
                                      </w:rPr>
                                    </w:pPr>
                                    <w:r>
                                      <w:t xml:space="preserve">Investment earnings </w:t>
                                    </w:r>
                                    <w:r w:rsidRPr="00D55F87">
                                      <w:t>generated by the MP’s contributions</w:t>
                                    </w:r>
                                    <w:r>
                                      <w:t xml:space="preserve"> taxed up to 15% in the fund.</w:t>
                                    </w:r>
                                    <w:r>
                                      <w:rPr>
                                        <w:vertAlign w:val="superscript"/>
                                      </w:rPr>
                                      <w:t>(d)</w:t>
                                    </w:r>
                                  </w:p>
                                </w:txbxContent>
                              </wps:txbx>
                              <wps:bodyPr rot="0" vert="horz" wrap="square" lIns="91440" tIns="45720" rIns="91440" bIns="45720" anchor="t" anchorCtr="0">
                                <a:noAutofit/>
                              </wps:bodyPr>
                            </wps:wsp>
                            <wps:wsp>
                              <wps:cNvPr id="242" name="Arrow: Right 242"/>
                              <wps:cNvSpPr/>
                              <wps:spPr>
                                <a:xfrm rot="5400000">
                                  <a:off x="3499643" y="1207294"/>
                                  <a:ext cx="1760538" cy="349250"/>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
                              <wps:cNvSpPr txBox="1">
                                <a:spLocks noChangeArrowheads="1"/>
                              </wps:cNvSpPr>
                              <wps:spPr bwMode="auto">
                                <a:xfrm>
                                  <a:off x="3663950" y="2266950"/>
                                  <a:ext cx="1475105" cy="404495"/>
                                </a:xfrm>
                                <a:prstGeom prst="rect">
                                  <a:avLst/>
                                </a:prstGeom>
                                <a:solidFill>
                                  <a:schemeClr val="bg1">
                                    <a:lumMod val="65000"/>
                                  </a:schemeClr>
                                </a:solidFill>
                                <a:ln w="9525">
                                  <a:solidFill>
                                    <a:schemeClr val="bg1">
                                      <a:lumMod val="65000"/>
                                    </a:schemeClr>
                                  </a:solidFill>
                                  <a:miter lim="800000"/>
                                  <a:headEnd/>
                                  <a:tailEnd/>
                                </a:ln>
                              </wps:spPr>
                              <wps:txbx>
                                <w:txbxContent>
                                  <w:p w14:paraId="58C166C7"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wps:txbx>
                              <wps:bodyPr rot="0" vert="horz" wrap="square" lIns="91440" tIns="45720" rIns="91440" bIns="45720" anchor="t" anchorCtr="0">
                                <a:noAutofit/>
                              </wps:bodyPr>
                            </wps:wsp>
                            <wps:wsp>
                              <wps:cNvPr id="244" name="Text Box 2"/>
                              <wps:cNvSpPr txBox="1">
                                <a:spLocks noChangeArrowheads="1"/>
                              </wps:cNvSpPr>
                              <wps:spPr bwMode="auto">
                                <a:xfrm>
                                  <a:off x="3822700" y="749154"/>
                                  <a:ext cx="1117600" cy="1231773"/>
                                </a:xfrm>
                                <a:prstGeom prst="rect">
                                  <a:avLst/>
                                </a:prstGeom>
                                <a:solidFill>
                                  <a:schemeClr val="bg1"/>
                                </a:solidFill>
                                <a:ln w="9525">
                                  <a:solidFill>
                                    <a:schemeClr val="tx1">
                                      <a:lumMod val="50000"/>
                                      <a:lumOff val="50000"/>
                                    </a:schemeClr>
                                  </a:solidFill>
                                  <a:miter lim="800000"/>
                                  <a:headEnd/>
                                  <a:tailEnd/>
                                </a:ln>
                              </wps:spPr>
                              <wps:txbx>
                                <w:txbxContent>
                                  <w:p w14:paraId="0E90CB12" w14:textId="77777777" w:rsidR="00DA3D89" w:rsidRPr="00FB3601" w:rsidRDefault="00DA3D89" w:rsidP="00864EF6">
                                    <w:r>
                                      <w:t xml:space="preserve">Superannuation is generally </w:t>
                                    </w:r>
                                    <w:r>
                                      <w:br/>
                                      <w:t>tax-free for MPs  60 or older. MPs under 60 may pay tax on withdrawals.</w:t>
                                    </w:r>
                                  </w:p>
                                </w:txbxContent>
                              </wps:txbx>
                              <wps:bodyPr rot="0" vert="horz" wrap="square" lIns="91440" tIns="45720" rIns="91440" bIns="45720" anchor="t" anchorCtr="0">
                                <a:noAutofit/>
                              </wps:bodyPr>
                            </wps:wsp>
                            <wps:wsp>
                              <wps:cNvPr id="245" name="Text Box 245"/>
                              <wps:cNvSpPr txBox="1">
                                <a:spLocks noChangeArrowheads="1"/>
                              </wps:cNvSpPr>
                              <wps:spPr bwMode="auto">
                                <a:xfrm>
                                  <a:off x="1009650" y="88900"/>
                                  <a:ext cx="711200" cy="660400"/>
                                </a:xfrm>
                                <a:prstGeom prst="rect">
                                  <a:avLst/>
                                </a:prstGeom>
                                <a:solidFill>
                                  <a:sysClr val="window" lastClr="FFFFFF">
                                    <a:lumMod val="75000"/>
                                  </a:sysClr>
                                </a:solidFill>
                                <a:ln w="9525">
                                  <a:solidFill>
                                    <a:sysClr val="window" lastClr="FFFFFF">
                                      <a:lumMod val="75000"/>
                                    </a:sysClr>
                                  </a:solidFill>
                                  <a:miter lim="800000"/>
                                  <a:headEnd/>
                                  <a:tailEnd/>
                                </a:ln>
                              </wps:spPr>
                              <wps:txbx>
                                <w:txbxContent>
                                  <w:p w14:paraId="63CB1ECB"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MP</w:t>
                                    </w:r>
                                  </w:p>
                                </w:txbxContent>
                              </wps:txbx>
                              <wps:bodyPr rot="0" vert="horz" wrap="square" lIns="91440" tIns="45720" rIns="91440" bIns="45720" anchor="ctr" anchorCtr="0">
                                <a:noAutofit/>
                              </wps:bodyPr>
                            </wps:wsp>
                            <wps:wsp>
                              <wps:cNvPr id="246" name="Arrow: Right 246"/>
                              <wps:cNvSpPr/>
                              <wps:spPr>
                                <a:xfrm rot="5400000">
                                  <a:off x="597217" y="1333183"/>
                                  <a:ext cx="1503994" cy="349250"/>
                                </a:xfrm>
                                <a:prstGeom prst="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
                              <wps:cNvSpPr txBox="1">
                                <a:spLocks noChangeArrowheads="1"/>
                              </wps:cNvSpPr>
                              <wps:spPr bwMode="auto">
                                <a:xfrm>
                                  <a:off x="1016000" y="790063"/>
                                  <a:ext cx="757365" cy="1177563"/>
                                </a:xfrm>
                                <a:prstGeom prst="rect">
                                  <a:avLst/>
                                </a:prstGeom>
                                <a:solidFill>
                                  <a:schemeClr val="bg1"/>
                                </a:solidFill>
                                <a:ln w="9525">
                                  <a:solidFill>
                                    <a:schemeClr val="tx1">
                                      <a:lumMod val="50000"/>
                                      <a:lumOff val="50000"/>
                                    </a:schemeClr>
                                  </a:solidFill>
                                  <a:miter lim="800000"/>
                                  <a:headEnd/>
                                  <a:tailEnd/>
                                </a:ln>
                              </wps:spPr>
                              <wps:txbx>
                                <w:txbxContent>
                                  <w:p w14:paraId="026946DD" w14:textId="77777777" w:rsidR="00DA3D89" w:rsidRPr="00280D32" w:rsidRDefault="00DA3D89" w:rsidP="00864EF6">
                                    <w:pPr>
                                      <w:rPr>
                                        <w:vertAlign w:val="superscript"/>
                                      </w:rPr>
                                    </w:pPr>
                                    <w:r>
                                      <w:t>High income earners may pay additional tax.</w:t>
                                    </w:r>
                                    <w:r>
                                      <w:rPr>
                                        <w:vertAlign w:val="superscript"/>
                                      </w:rPr>
                                      <w:t>(b)</w:t>
                                    </w:r>
                                    <w:r>
                                      <w:t xml:space="preserve"> </w:t>
                                    </w:r>
                                  </w:p>
                                </w:txbxContent>
                              </wps:txbx>
                              <wps:bodyPr rot="0" vert="horz" wrap="square" lIns="91440" tIns="45720" rIns="91440" bIns="45720" anchor="t" anchorCtr="0">
                                <a:noAutofit/>
                              </wps:bodyPr>
                            </wps:wsp>
                          </wpg:grpSp>
                          <wps:wsp>
                            <wps:cNvPr id="248" name="Text Box 2"/>
                            <wps:cNvSpPr txBox="1">
                              <a:spLocks noChangeArrowheads="1"/>
                            </wps:cNvSpPr>
                            <wps:spPr bwMode="auto">
                              <a:xfrm>
                                <a:off x="1958454" y="95535"/>
                                <a:ext cx="1475105" cy="404495"/>
                              </a:xfrm>
                              <a:prstGeom prst="rect">
                                <a:avLst/>
                              </a:prstGeom>
                              <a:solidFill>
                                <a:schemeClr val="bg1">
                                  <a:lumMod val="75000"/>
                                </a:schemeClr>
                              </a:solidFill>
                              <a:ln w="9525">
                                <a:solidFill>
                                  <a:schemeClr val="bg1">
                                    <a:lumMod val="75000"/>
                                  </a:schemeClr>
                                </a:solidFill>
                                <a:miter lim="800000"/>
                                <a:headEnd/>
                                <a:tailEnd/>
                              </a:ln>
                            </wps:spPr>
                            <wps:txbx>
                              <w:txbxContent>
                                <w:p w14:paraId="1BD03C18"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Super fund</w:t>
                                  </w:r>
                                </w:p>
                              </w:txbxContent>
                            </wps:txbx>
                            <wps:bodyPr rot="0" vert="horz" wrap="square" lIns="91440" tIns="45720" rIns="91440" bIns="45720" anchor="t" anchorCtr="0">
                              <a:noAutofit/>
                            </wps:bodyPr>
                          </wps:wsp>
                          <wps:wsp>
                            <wps:cNvPr id="252" name="Text Box 2"/>
                            <wps:cNvSpPr txBox="1">
                              <a:spLocks noChangeArrowheads="1"/>
                            </wps:cNvSpPr>
                            <wps:spPr bwMode="auto">
                              <a:xfrm>
                                <a:off x="3643952" y="102359"/>
                                <a:ext cx="1475105" cy="404495"/>
                              </a:xfrm>
                              <a:prstGeom prst="rect">
                                <a:avLst/>
                              </a:prstGeom>
                              <a:solidFill>
                                <a:schemeClr val="bg1">
                                  <a:lumMod val="75000"/>
                                </a:schemeClr>
                              </a:solidFill>
                              <a:ln w="9525">
                                <a:solidFill>
                                  <a:schemeClr val="bg1">
                                    <a:lumMod val="75000"/>
                                  </a:schemeClr>
                                </a:solidFill>
                                <a:miter lim="800000"/>
                                <a:headEnd/>
                                <a:tailEnd/>
                              </a:ln>
                            </wps:spPr>
                            <wps:txbx>
                              <w:txbxContent>
                                <w:p w14:paraId="1E9E13DA"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MP</w:t>
                                  </w:r>
                                </w:p>
                              </w:txbxContent>
                            </wps:txbx>
                            <wps:bodyPr rot="0" vert="horz" wrap="square" lIns="91440" tIns="45720" rIns="91440" bIns="45720" anchor="t" anchorCtr="0">
                              <a:noAutofit/>
                            </wps:bodyPr>
                          </wps:wsp>
                        </wpg:grpSp>
                      </wpg:grpSp>
                    </wpg:wgp>
                  </a:graphicData>
                </a:graphic>
              </wp:inline>
            </w:drawing>
          </mc:Choice>
          <mc:Fallback>
            <w:pict>
              <v:group w14:anchorId="269EF0C6" id="Group 254" o:spid="_x0000_s1079" style="width:424.9pt;height:265pt;mso-position-horizontal-relative:char;mso-position-vertical-relative:line" coordsize="54241,3449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">
                <v:rect id="Rectangle 253" o:spid="_x0000_s1080" style="position:absolute;width:54241;height:3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" filled="f" strokecolor="#dbdbdb [665]"/>
                <v:group id="Group 229" o:spid="_x0000_s1081" style="position:absolute;left:583;top:713;width:53658;height:33115" coordsize="53657,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Diagram 230" o:spid="_x0000_s1082" type="#_x0000_t75" style="position:absolute;left:-93;top:-150;width:53921;height:6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">
                    <v:imagedata r:id="rId62" o:title=""/>
                    <o:lock v:ext="edit" aspectratio="f"/>
                  </v:shape>
                  <v:group id="Group 231" o:spid="_x0000_s1083" style="position:absolute;top:6005;width:51390;height:27114" coordsize="51390,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084" style="position:absolute;width:51390;height:27114" coordsize="51390,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rrow: Right 233" o:spid="_x0000_s1085" type="#_x0000_t13" style="position:absolute;left:18152;top:12051;width:17599;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" adj="19457" fillcolor="gray [1629]" strokecolor="gray [1629]" strokeweight="2pt"/>
                      <v:line id="Straight Connector 234" o:spid="_x0000_s1086" style="position:absolute;visibility:visible;mso-wrap-style:square" from="35433,0" to="35623,2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" strokecolor="#246049 [3044]" strokeweight="4.5pt">
                        <v:stroke dashstyle="1 1"/>
                      </v:line>
                      <v:line id="Straight Connector 235" o:spid="_x0000_s1087" style="position:absolute;visibility:visible;mso-wrap-style:square" from="18415,0" to="18542,2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" strokecolor="#246049 [3044]" strokeweight="4.5pt">
                        <v:stroke dashstyle="1 1"/>
                      </v:line>
                      <v:shape id="_x0000_s1088" type="#_x0000_t202" style="position:absolute;left:1333;top:889;width:7112;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" fillcolor="#bfbfbf [2412]" strokecolor="#bfbfbf [2412]">
                        <v:textbox>
                          <w:txbxContent>
                            <w:p w14:paraId="47BAB059"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Super fund</w:t>
                              </w:r>
                            </w:p>
                          </w:txbxContent>
                        </v:textbox>
                      </v:shape>
                      <v:shape id="_x0000_s1089" type="#_x0000_t202" style="position:absolute;left:1778;top:22733;width:147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" fillcolor="#a5a5a5 [2092]" strokecolor="#a5a5a5 [2092]">
                        <v:textbox>
                          <w:txbxContent>
                            <w:p w14:paraId="600C1980"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v:textbox>
                      </v:shape>
                      <v:shape id="Arrow: Right 238" o:spid="_x0000_s1090" type="#_x0000_t13" style="position:absolute;left:-2728;top:13332;width:15040;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" adj="19092" fillcolor="gray [1629]" strokecolor="gray [1629]" strokeweight="2pt"/>
                      <v:shape id="_x0000_s1091" type="#_x0000_t202" style="position:absolute;top:7908;width:9906;height:1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" fillcolor="white [3212]" strokecolor="gray [1629]">
                        <v:textbox>
                          <w:txbxContent>
                            <w:p w14:paraId="4B3B352A" w14:textId="77777777" w:rsidR="00DA3D89" w:rsidRPr="00A44F5A" w:rsidRDefault="00DA3D89" w:rsidP="00864EF6">
                              <w:pPr>
                                <w:rPr>
                                  <w:vertAlign w:val="superscript"/>
                                </w:rPr>
                              </w:pPr>
                              <w:r>
                                <w:t xml:space="preserve">Contributions up to CCC taxed at 15% in fund. Amounts over CCC incur extra </w:t>
                              </w:r>
                              <w:proofErr w:type="gramStart"/>
                              <w:r>
                                <w:t>tax.</w:t>
                              </w:r>
                              <w:r>
                                <w:rPr>
                                  <w:vertAlign w:val="superscript"/>
                                </w:rPr>
                                <w:t>(</w:t>
                              </w:r>
                              <w:proofErr w:type="gramEnd"/>
                              <w:r>
                                <w:rPr>
                                  <w:vertAlign w:val="superscript"/>
                                </w:rPr>
                                <w:t>c)</w:t>
                              </w:r>
                            </w:p>
                          </w:txbxContent>
                        </v:textbox>
                      </v:shape>
                      <v:shape id="_x0000_s1092" type="#_x0000_t202" style="position:absolute;left:19558;top:22669;width:1475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" fillcolor="#a5a5a5 [2092]" strokecolor="#a5a5a5 [2092]">
                        <v:textbox>
                          <w:txbxContent>
                            <w:p w14:paraId="39737B27"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v:textbox>
                      </v:shape>
                      <v:shape id="_x0000_s1093" type="#_x0000_t202" style="position:absolute;left:21399;top:7906;width:11113;height:1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" fillcolor="white [3212]" strokecolor="gray [1629]">
                        <v:textbox>
                          <w:txbxContent>
                            <w:p w14:paraId="1E485A6A" w14:textId="77777777" w:rsidR="00DA3D89" w:rsidRPr="00C60B08" w:rsidRDefault="00DA3D89" w:rsidP="00864EF6">
                              <w:pPr>
                                <w:rPr>
                                  <w:vertAlign w:val="superscript"/>
                                </w:rPr>
                              </w:pPr>
                              <w:r>
                                <w:t xml:space="preserve">Investment earnings </w:t>
                              </w:r>
                              <w:r w:rsidRPr="00D55F87">
                                <w:t>generated by the MP’s contributions</w:t>
                              </w:r>
                              <w:r>
                                <w:t xml:space="preserve"> taxed up to 15% in the </w:t>
                              </w:r>
                              <w:proofErr w:type="gramStart"/>
                              <w:r>
                                <w:t>fund.</w:t>
                              </w:r>
                              <w:r>
                                <w:rPr>
                                  <w:vertAlign w:val="superscript"/>
                                </w:rPr>
                                <w:t>(</w:t>
                              </w:r>
                              <w:proofErr w:type="gramEnd"/>
                              <w:r>
                                <w:rPr>
                                  <w:vertAlign w:val="superscript"/>
                                </w:rPr>
                                <w:t>d)</w:t>
                              </w:r>
                            </w:p>
                          </w:txbxContent>
                        </v:textbox>
                      </v:shape>
                      <v:shape id="Arrow: Right 242" o:spid="_x0000_s1094" type="#_x0000_t13" style="position:absolute;left:34996;top:12072;width:17605;height:34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" adj="19458" fillcolor="gray [1629]" strokecolor="gray [1629]" strokeweight="2pt"/>
                      <v:shape id="_x0000_s1095" type="#_x0000_t202" style="position:absolute;left:36639;top:22669;width:1475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" fillcolor="#a5a5a5 [2092]" strokecolor="#a5a5a5 [2092]">
                        <v:textbox>
                          <w:txbxContent>
                            <w:p w14:paraId="58C166C7"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ATO</w:t>
                              </w:r>
                            </w:p>
                          </w:txbxContent>
                        </v:textbox>
                      </v:shape>
                      <v:shape id="_x0000_s1096" type="#_x0000_t202" style="position:absolute;left:38227;top:7491;width:11176;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" fillcolor="white [3212]" strokecolor="gray [1629]">
                        <v:textbox>
                          <w:txbxContent>
                            <w:p w14:paraId="0E90CB12" w14:textId="77777777" w:rsidR="00DA3D89" w:rsidRPr="00FB3601" w:rsidRDefault="00DA3D89" w:rsidP="00864EF6">
                              <w:r>
                                <w:t xml:space="preserve">Superannuation is generally </w:t>
                              </w:r>
                              <w:r>
                                <w:br/>
                                <w:t>tax-free for MPs  60 or older. MPs under 60 may pay tax on withdrawals.</w:t>
                              </w:r>
                            </w:p>
                          </w:txbxContent>
                        </v:textbox>
                      </v:shape>
                      <v:shape id="Text Box 245" o:spid="_x0000_s1097" type="#_x0000_t202" style="position:absolute;left:10096;top:889;width:7112;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" fillcolor="#bfbfbf" strokecolor="#bfbfbf">
                        <v:textbox>
                          <w:txbxContent>
                            <w:p w14:paraId="63CB1ECB"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MP</w:t>
                              </w:r>
                            </w:p>
                          </w:txbxContent>
                        </v:textbox>
                      </v:shape>
                      <v:shape id="Arrow: Right 246" o:spid="_x0000_s1098" type="#_x0000_t13" style="position:absolute;left:5972;top:13331;width:15040;height:34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" adj="19092" fillcolor="gray [1629]" strokecolor="gray [1629]" strokeweight="2pt"/>
                      <v:shape id="_x0000_s1099" type="#_x0000_t202" style="position:absolute;left:10160;top:7900;width:7573;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" fillcolor="white [3212]" strokecolor="gray [1629]">
                        <v:textbox>
                          <w:txbxContent>
                            <w:p w14:paraId="026946DD" w14:textId="77777777" w:rsidR="00DA3D89" w:rsidRPr="00280D32" w:rsidRDefault="00DA3D89" w:rsidP="00864EF6">
                              <w:pPr>
                                <w:rPr>
                                  <w:vertAlign w:val="superscript"/>
                                </w:rPr>
                              </w:pPr>
                              <w:r>
                                <w:t xml:space="preserve">High income earners may pay additional </w:t>
                              </w:r>
                              <w:proofErr w:type="gramStart"/>
                              <w:r>
                                <w:t>tax.</w:t>
                              </w:r>
                              <w:r>
                                <w:rPr>
                                  <w:vertAlign w:val="superscript"/>
                                </w:rPr>
                                <w:t>(</w:t>
                              </w:r>
                              <w:proofErr w:type="gramEnd"/>
                              <w:r>
                                <w:rPr>
                                  <w:vertAlign w:val="superscript"/>
                                </w:rPr>
                                <w:t>b)</w:t>
                              </w:r>
                              <w:r>
                                <w:t xml:space="preserve"> </w:t>
                              </w:r>
                            </w:p>
                          </w:txbxContent>
                        </v:textbox>
                      </v:shape>
                    </v:group>
                    <v:shape id="_x0000_s1100" type="#_x0000_t202" style="position:absolute;left:19584;top:955;width:1475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" fillcolor="#bfbfbf [2412]" strokecolor="#bfbfbf [2412]">
                      <v:textbox>
                        <w:txbxContent>
                          <w:p w14:paraId="1BD03C18"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Super fund</w:t>
                            </w:r>
                          </w:p>
                        </w:txbxContent>
                      </v:textbox>
                    </v:shape>
                    <v:shape id="_x0000_s1101" type="#_x0000_t202" style="position:absolute;left:36439;top:1023;width:1475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" fillcolor="#bfbfbf [2412]" strokecolor="#bfbfbf [2412]">
                      <v:textbox>
                        <w:txbxContent>
                          <w:p w14:paraId="1E9E13DA" w14:textId="77777777" w:rsidR="00DA3D89" w:rsidRDefault="00DA3D89" w:rsidP="00864EF6">
                            <w:pPr>
                              <w:jc w:val="center"/>
                              <w:rPr>
                                <w:rFonts w:ascii="Agency FB" w:hAnsi="Agency FB"/>
                                <w:b/>
                                <w:bCs/>
                                <w:sz w:val="36"/>
                                <w:szCs w:val="36"/>
                              </w:rPr>
                            </w:pPr>
                            <w:r>
                              <w:rPr>
                                <w:rFonts w:ascii="Agency FB" w:hAnsi="Agency FB"/>
                                <w:b/>
                                <w:bCs/>
                                <w:color w:val="auto"/>
                                <w:sz w:val="36"/>
                                <w:szCs w:val="36"/>
                              </w:rPr>
                              <w:t>MP</w:t>
                            </w:r>
                          </w:p>
                        </w:txbxContent>
                      </v:textbox>
                    </v:shape>
                  </v:group>
                </v:group>
                <w10:anchorlock/>
              </v:group>
            </w:pict>
          </mc:Fallback>
        </mc:AlternateContent>
      </w:r>
    </w:p>
    <w:p w14:paraId="555545D9" w14:textId="6BF7134F" w:rsidR="00D44133" w:rsidRPr="000740FC" w:rsidRDefault="0062451B" w:rsidP="0062451B">
      <w:pPr>
        <w:pStyle w:val="Notesfortablesfigures"/>
      </w:pPr>
      <w:r w:rsidRPr="000740FC">
        <w:t>Notes:</w:t>
      </w:r>
      <w:r w:rsidR="003553AB" w:rsidRPr="000740FC">
        <w:t xml:space="preserve"> (a) MP contributions are not taxed unless the MP’s total superannuation balance exceeds the transfer balance cap ($1.6m for the 2020-21 financial year)</w:t>
      </w:r>
      <w:r w:rsidR="000B3D96" w:rsidRPr="000740FC">
        <w:t>. Grandfathering arrangements are also in place which prevent MPs in the defined benefit scheme from having to paying tax on notional contributions made by the State</w:t>
      </w:r>
      <w:r w:rsidR="00D83183">
        <w:t>.</w:t>
      </w:r>
      <w:r w:rsidR="003553AB" w:rsidRPr="000740FC">
        <w:t xml:space="preserve"> (b) MPs with combined income and contributions exceeding a certain threshold ($250,000 for the 2020-21 financial year) may be required to pay Division 293 tax (</w:t>
      </w:r>
      <w:r w:rsidR="6D8B4068" w:rsidRPr="000740FC">
        <w:t>a</w:t>
      </w:r>
      <w:r w:rsidR="003553AB" w:rsidRPr="000740FC">
        <w:t>ppendix C)</w:t>
      </w:r>
      <w:r w:rsidR="00D83183">
        <w:t>.</w:t>
      </w:r>
      <w:r w:rsidR="003553AB" w:rsidRPr="000740FC">
        <w:t xml:space="preserve"> (c) CCC – concessional contributions cap ($25,000 for the 2020</w:t>
      </w:r>
      <w:r w:rsidR="0090055A">
        <w:noBreakHyphen/>
      </w:r>
      <w:r w:rsidR="003553AB" w:rsidRPr="000740FC">
        <w:t>21 financial year). Amounts over the cap are included in assessable income and incur an additional tax charge</w:t>
      </w:r>
      <w:r w:rsidR="00F512C0">
        <w:t>.</w:t>
      </w:r>
      <w:r w:rsidR="003553AB" w:rsidRPr="000740FC">
        <w:t xml:space="preserve"> (d) </w:t>
      </w:r>
      <w:r w:rsidR="00F512C0">
        <w:t>T</w:t>
      </w:r>
      <w:r w:rsidR="003553AB" w:rsidRPr="000740FC">
        <w:t>he superannuation fund pays this tax on behalf of the MP, offsetting their investment returns.</w:t>
      </w:r>
    </w:p>
    <w:p w14:paraId="19D2EF84" w14:textId="1084EB86" w:rsidR="00582F91" w:rsidRPr="000740FC" w:rsidRDefault="00994A93" w:rsidP="00DB774D">
      <w:pPr>
        <w:pStyle w:val="VIRTHeading2"/>
        <w:rPr>
          <w:rStyle w:val="normaltextrun"/>
          <w:lang w:val="en-AU"/>
        </w:rPr>
      </w:pPr>
      <w:bookmarkStart w:id="64" w:name="_Toc50990424"/>
      <w:bookmarkStart w:id="65" w:name="_Toc51234133"/>
      <w:r>
        <w:lastRenderedPageBreak/>
        <w:t xml:space="preserve">3.3 </w:t>
      </w:r>
      <w:r w:rsidR="00582F91" w:rsidRPr="00994A93">
        <w:t>Summary</w:t>
      </w:r>
      <w:bookmarkEnd w:id="64"/>
      <w:bookmarkEnd w:id="65"/>
    </w:p>
    <w:p w14:paraId="10972644" w14:textId="540BB131" w:rsidR="001E1259" w:rsidRPr="000740FC" w:rsidRDefault="04F2542F" w:rsidP="00B33183">
      <w:pPr>
        <w:pStyle w:val="Paragraph"/>
      </w:pPr>
      <w:r w:rsidRPr="005A1B62">
        <w:t xml:space="preserve">Superannuation arrangements for </w:t>
      </w:r>
      <w:r w:rsidR="00D873BA" w:rsidRPr="005A1B62">
        <w:t xml:space="preserve">Victorian </w:t>
      </w:r>
      <w:r w:rsidRPr="005A1B62">
        <w:t>MPs have</w:t>
      </w:r>
      <w:r w:rsidR="00D873BA" w:rsidRPr="005A1B62">
        <w:t xml:space="preserve"> historically</w:t>
      </w:r>
      <w:r w:rsidR="26DB487A" w:rsidRPr="005A1B62">
        <w:t xml:space="preserve"> reflected </w:t>
      </w:r>
      <w:r w:rsidR="00D873BA" w:rsidRPr="005A1B62">
        <w:t xml:space="preserve">the unique nature of their role, </w:t>
      </w:r>
      <w:r w:rsidR="009053FE" w:rsidRPr="005A1B62">
        <w:t xml:space="preserve">and superannuation </w:t>
      </w:r>
      <w:r w:rsidR="26DB487A" w:rsidRPr="005A1B62">
        <w:t>entitlements for Commonwealth MPs and the Victorian public service.</w:t>
      </w:r>
      <w:r w:rsidR="26DB487A">
        <w:t xml:space="preserve"> </w:t>
      </w:r>
    </w:p>
    <w:p w14:paraId="4694FFCC" w14:textId="1D548AD3" w:rsidR="001E1259" w:rsidRPr="000740FC" w:rsidRDefault="1FFECACE" w:rsidP="00B33183">
      <w:pPr>
        <w:pStyle w:val="Paragraph"/>
      </w:pPr>
      <w:r>
        <w:t xml:space="preserve">Superannuation arrangements for existing and former MPs largely depend on the date they first entered </w:t>
      </w:r>
      <w:r w:rsidR="00D924CA">
        <w:t xml:space="preserve">the </w:t>
      </w:r>
      <w:r>
        <w:t xml:space="preserve">Parliament. </w:t>
      </w:r>
    </w:p>
    <w:p w14:paraId="79DABABA" w14:textId="4CCADB7E" w:rsidR="00D72C0B" w:rsidRDefault="00D72C0B" w:rsidP="00B33183">
      <w:pPr>
        <w:pStyle w:val="Paragraph"/>
      </w:pPr>
      <w:r w:rsidRPr="000740FC">
        <w:t xml:space="preserve">Existing and former MPs are members of </w:t>
      </w:r>
      <w:r>
        <w:t xml:space="preserve">one of </w:t>
      </w:r>
      <w:r w:rsidRPr="000740FC">
        <w:t>three schemes. Two of these are defined benefit schemes and are closed to new MPs. The majority of existing MPs are members of an accumulation scheme.</w:t>
      </w:r>
    </w:p>
    <w:p w14:paraId="050F374F" w14:textId="4F5B3A5C" w:rsidR="001E1259" w:rsidRPr="000740FC" w:rsidRDefault="26DB487A" w:rsidP="00B33183">
      <w:pPr>
        <w:pStyle w:val="Paragraph"/>
      </w:pPr>
      <w:r>
        <w:t>Since 2013,</w:t>
      </w:r>
      <w:r w:rsidR="46FFEDDA">
        <w:t xml:space="preserve"> MPs have been provided </w:t>
      </w:r>
      <w:r w:rsidR="0AA8BE59">
        <w:t xml:space="preserve">with superannuation </w:t>
      </w:r>
      <w:r w:rsidR="00481E90">
        <w:t>benefits</w:t>
      </w:r>
      <w:r w:rsidR="0AA8BE59">
        <w:t xml:space="preserve"> above the minimum required under Commonwealth law</w:t>
      </w:r>
      <w:r>
        <w:t xml:space="preserve">, </w:t>
      </w:r>
      <w:r w:rsidR="3904FFBD">
        <w:t>recogni</w:t>
      </w:r>
      <w:r w:rsidR="26865A48">
        <w:t>s</w:t>
      </w:r>
      <w:r w:rsidR="3904FFBD">
        <w:t>ing</w:t>
      </w:r>
      <w:r w:rsidR="3C208939">
        <w:t xml:space="preserve"> in part</w:t>
      </w:r>
      <w:r>
        <w:t xml:space="preserve"> </w:t>
      </w:r>
      <w:r w:rsidR="4CCE4ADF">
        <w:t>that they do not enjoy the same employment standards and protections</w:t>
      </w:r>
      <w:r w:rsidR="6BCDF3FE">
        <w:t xml:space="preserve"> provided to most employees in Australia</w:t>
      </w:r>
      <w:r w:rsidR="09A40F02">
        <w:t xml:space="preserve"> (e.g. </w:t>
      </w:r>
      <w:r>
        <w:t>leave entitlements</w:t>
      </w:r>
      <w:r w:rsidR="09A40F02">
        <w:t>)</w:t>
      </w:r>
      <w:r>
        <w:t>.</w:t>
      </w:r>
      <w:r w:rsidR="6E535195">
        <w:t xml:space="preserve"> </w:t>
      </w:r>
    </w:p>
    <w:p w14:paraId="7678CB32" w14:textId="0E893D1F" w:rsidR="00F76725" w:rsidRPr="000740FC" w:rsidRDefault="00BE6C76" w:rsidP="00B33183">
      <w:pPr>
        <w:pStyle w:val="Paragraph"/>
      </w:pPr>
      <w:r w:rsidRPr="000740FC">
        <w:t>Chapters 4 and 5</w:t>
      </w:r>
      <w:r w:rsidR="00C74AC5" w:rsidRPr="000740FC">
        <w:t xml:space="preserve"> examine the key qualitative and quantitative differences between the </w:t>
      </w:r>
      <w:r w:rsidR="001500AC" w:rsidRPr="000740FC">
        <w:t xml:space="preserve">defined benefit </w:t>
      </w:r>
      <w:r w:rsidR="00C74AC5" w:rsidRPr="000740FC">
        <w:t>schemes</w:t>
      </w:r>
      <w:r w:rsidR="001500AC" w:rsidRPr="000740FC">
        <w:t xml:space="preserve"> and the accumulation scheme</w:t>
      </w:r>
      <w:r w:rsidR="00C74AC5" w:rsidRPr="000740FC">
        <w:t>.</w:t>
      </w:r>
    </w:p>
    <w:p w14:paraId="012D6BBA" w14:textId="77777777" w:rsidR="005339AD" w:rsidRPr="000740FC" w:rsidRDefault="005339AD">
      <w:pPr>
        <w:spacing w:after="80"/>
        <w:sectPr w:rsidR="005339AD" w:rsidRPr="000740FC" w:rsidSect="00FB5E3A">
          <w:type w:val="oddPage"/>
          <w:pgSz w:w="11900" w:h="16840"/>
          <w:pgMar w:top="1701" w:right="1701" w:bottom="1559" w:left="1701" w:header="709" w:footer="709" w:gutter="0"/>
          <w:cols w:space="708"/>
          <w:titlePg/>
          <w:docGrid w:linePitch="299"/>
        </w:sectPr>
      </w:pPr>
    </w:p>
    <w:p w14:paraId="0CF50DC9" w14:textId="772F78D5" w:rsidR="000C00C1" w:rsidRPr="000740FC" w:rsidRDefault="00564682" w:rsidP="00BF2DB2">
      <w:pPr>
        <w:pStyle w:val="ChapterHeading0"/>
        <w:rPr>
          <w:lang w:val="en-AU"/>
        </w:rPr>
      </w:pPr>
      <w:bookmarkStart w:id="66" w:name="_Toc50990425"/>
      <w:bookmarkStart w:id="67" w:name="_Toc51234134"/>
      <w:r w:rsidRPr="000740FC">
        <w:rPr>
          <w:lang w:val="en-AU"/>
        </w:rPr>
        <w:lastRenderedPageBreak/>
        <w:t>4</w:t>
      </w:r>
      <w:r w:rsidR="00E74856" w:rsidRPr="000740FC">
        <w:rPr>
          <w:lang w:val="en-AU"/>
        </w:rPr>
        <w:t xml:space="preserve"> </w:t>
      </w:r>
      <w:r w:rsidR="005109C2" w:rsidRPr="000740FC">
        <w:rPr>
          <w:lang w:val="en-AU"/>
        </w:rPr>
        <w:t xml:space="preserve">Qualitative differences </w:t>
      </w:r>
      <w:r w:rsidR="0A7067C6" w:rsidRPr="000740FC">
        <w:rPr>
          <w:lang w:val="en-AU"/>
        </w:rPr>
        <w:t>between</w:t>
      </w:r>
      <w:r w:rsidR="00E74856" w:rsidRPr="000740FC">
        <w:rPr>
          <w:lang w:val="en-AU"/>
        </w:rPr>
        <w:t xml:space="preserve"> the </w:t>
      </w:r>
      <w:r w:rsidR="00692F42">
        <w:rPr>
          <w:lang w:val="en-AU"/>
        </w:rPr>
        <w:t>s</w:t>
      </w:r>
      <w:r w:rsidR="00E74856" w:rsidRPr="000740FC">
        <w:rPr>
          <w:lang w:val="en-AU"/>
        </w:rPr>
        <w:t>chemes</w:t>
      </w:r>
      <w:r w:rsidR="00157102" w:rsidRPr="000740FC">
        <w:rPr>
          <w:lang w:val="en-AU"/>
        </w:rPr>
        <w:br/>
      </w:r>
      <w:r w:rsidR="000C4D46" w:rsidRPr="000740FC">
        <w:rPr>
          <w:lang w:val="en-AU"/>
        </w:rPr>
        <w:drawing>
          <wp:inline distT="0" distB="0" distL="0" distR="0" wp14:anchorId="3A44A0AF" wp14:editId="75D525B3">
            <wp:extent cx="2218055" cy="254635"/>
            <wp:effectExtent l="0" t="0" r="0" b="0"/>
            <wp:docPr id="1269490298" name="Picture 126949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66"/>
      <w:bookmarkEnd w:id="67"/>
    </w:p>
    <w:p w14:paraId="43313989" w14:textId="1453C8F2" w:rsidR="00487395" w:rsidRPr="000740FC" w:rsidRDefault="00487395" w:rsidP="00B33183">
      <w:pPr>
        <w:pStyle w:val="Parabeforeabulletlist"/>
        <w:rPr>
          <w:rFonts w:asciiTheme="minorHAnsi" w:eastAsiaTheme="minorEastAsia" w:hAnsiTheme="minorHAnsi" w:cstheme="minorBidi"/>
        </w:rPr>
      </w:pPr>
      <w:r w:rsidRPr="000740FC">
        <w:t>This</w:t>
      </w:r>
      <w:r w:rsidRPr="000740FC" w:rsidDel="00AF6C2C">
        <w:t xml:space="preserve"> </w:t>
      </w:r>
      <w:r w:rsidRPr="000740FC">
        <w:t>chapter analyses the key qualitative differences between the MP superannuation schemes. These relate to:</w:t>
      </w:r>
    </w:p>
    <w:p w14:paraId="527902FA" w14:textId="77777777" w:rsidR="00C262FA" w:rsidRPr="000740FC" w:rsidRDefault="00C262FA" w:rsidP="0046477F">
      <w:pPr>
        <w:pStyle w:val="VIRTBulletpoints"/>
      </w:pPr>
      <w:r w:rsidRPr="000740FC">
        <w:t>when superannuation benefits can be accessed</w:t>
      </w:r>
    </w:p>
    <w:p w14:paraId="0774123B" w14:textId="77777777" w:rsidR="00487395" w:rsidRPr="000740FC" w:rsidRDefault="00487395" w:rsidP="00487395">
      <w:pPr>
        <w:pStyle w:val="VIRTBulletpoints"/>
      </w:pPr>
      <w:r w:rsidRPr="000740FC">
        <w:t>sources of uncertainty and risk</w:t>
      </w:r>
    </w:p>
    <w:p w14:paraId="0AEC1A02" w14:textId="1292B2BA" w:rsidR="00C262FA" w:rsidRPr="000740FC" w:rsidRDefault="00C262FA" w:rsidP="0046477F">
      <w:pPr>
        <w:pStyle w:val="VIRTBulletpoints"/>
      </w:pPr>
      <w:r w:rsidRPr="000740FC">
        <w:t>flexibility offered to members in making contributions</w:t>
      </w:r>
      <w:r w:rsidR="071C4236" w:rsidRPr="000740FC">
        <w:t>,</w:t>
      </w:r>
      <w:r w:rsidRPr="000740FC">
        <w:t xml:space="preserve"> investing </w:t>
      </w:r>
      <w:r w:rsidR="1B54663D" w:rsidRPr="000740FC">
        <w:t xml:space="preserve">those contributions </w:t>
      </w:r>
      <w:r w:rsidRPr="000740FC">
        <w:t>and accessing benefits.</w:t>
      </w:r>
    </w:p>
    <w:p w14:paraId="5388B20F" w14:textId="22C61DD0" w:rsidR="005B7C6B" w:rsidRPr="000740FC" w:rsidRDefault="0036615F" w:rsidP="00B33183">
      <w:pPr>
        <w:pStyle w:val="Paragraph"/>
      </w:pPr>
      <w:r w:rsidRPr="000740FC">
        <w:t>Chapter</w:t>
      </w:r>
      <w:r w:rsidR="00223827" w:rsidRPr="000740FC">
        <w:t xml:space="preserve"> 5</w:t>
      </w:r>
      <w:r w:rsidRPr="000740FC">
        <w:t xml:space="preserve"> </w:t>
      </w:r>
      <w:r w:rsidR="00DF6EF3" w:rsidRPr="000740FC">
        <w:t>outlines</w:t>
      </w:r>
      <w:r w:rsidR="001928DD" w:rsidRPr="000740FC">
        <w:t xml:space="preserve"> the quantitative differences between the</w:t>
      </w:r>
      <w:r w:rsidR="00DF6EF3" w:rsidRPr="000740FC">
        <w:t xml:space="preserve"> schemes, with a particular focus on </w:t>
      </w:r>
      <w:r w:rsidR="00826514" w:rsidRPr="000740FC">
        <w:t xml:space="preserve">the superannuation </w:t>
      </w:r>
      <w:r w:rsidR="00200519">
        <w:t>benefits</w:t>
      </w:r>
      <w:r w:rsidR="005F5A36" w:rsidRPr="000740FC">
        <w:t xml:space="preserve"> provided by</w:t>
      </w:r>
      <w:r w:rsidR="00DF6EF3" w:rsidRPr="000740FC">
        <w:t xml:space="preserve"> the New Benefits Scheme and </w:t>
      </w:r>
      <w:r w:rsidR="003B54F9">
        <w:t xml:space="preserve">the </w:t>
      </w:r>
      <w:r w:rsidR="00DF6EF3" w:rsidRPr="000740FC">
        <w:t>accumulation scheme</w:t>
      </w:r>
      <w:r w:rsidR="005F5A36" w:rsidRPr="000740FC">
        <w:t>.</w:t>
      </w:r>
    </w:p>
    <w:p w14:paraId="4AD3C2DB" w14:textId="267BDFCC" w:rsidR="004F770B" w:rsidRPr="000740FC" w:rsidRDefault="00AE753B" w:rsidP="00DB774D">
      <w:pPr>
        <w:pStyle w:val="VIRTHeading2"/>
        <w:rPr>
          <w:lang w:val="en-AU"/>
        </w:rPr>
      </w:pPr>
      <w:bookmarkStart w:id="68" w:name="_Toc50990426"/>
      <w:bookmarkStart w:id="69" w:name="_Toc51234135"/>
      <w:r w:rsidRPr="000740FC">
        <w:rPr>
          <w:lang w:val="en-AU"/>
        </w:rPr>
        <w:t xml:space="preserve">4.1 </w:t>
      </w:r>
      <w:r w:rsidR="002F1E1E" w:rsidRPr="000740FC">
        <w:rPr>
          <w:lang w:val="en-AU"/>
        </w:rPr>
        <w:t>W</w:t>
      </w:r>
      <w:r w:rsidR="00761E11" w:rsidRPr="000740FC">
        <w:rPr>
          <w:lang w:val="en-AU"/>
        </w:rPr>
        <w:t>hen superannuation benefits can be accessed</w:t>
      </w:r>
      <w:bookmarkEnd w:id="68"/>
      <w:bookmarkEnd w:id="69"/>
    </w:p>
    <w:p w14:paraId="15D74B84" w14:textId="5E96DB64" w:rsidR="007E69A8" w:rsidRPr="000740FC" w:rsidRDefault="007E69A8" w:rsidP="00B33183">
      <w:pPr>
        <w:pStyle w:val="Paragraph"/>
      </w:pPr>
      <w:r w:rsidRPr="000740FC">
        <w:t xml:space="preserve">A key difference between the superannuation schemes is the age at which members are able to start accessing their benefits. </w:t>
      </w:r>
      <w:r w:rsidR="000351E0" w:rsidRPr="000740FC">
        <w:t xml:space="preserve">These differences arise </w:t>
      </w:r>
      <w:r w:rsidR="001E1E59">
        <w:t>as a consequence of</w:t>
      </w:r>
      <w:r w:rsidR="000351E0" w:rsidRPr="000740FC">
        <w:t xml:space="preserve"> Commonwealth preservation rules, </w:t>
      </w:r>
      <w:r w:rsidRPr="000740FC">
        <w:t>which prevent Australians from accessing their superannuation until they’ve satisfied a ‘condition of release’.</w:t>
      </w:r>
      <w:r w:rsidRPr="000740FC">
        <w:rPr>
          <w:rStyle w:val="FootnoteReference"/>
        </w:rPr>
        <w:footnoteReference w:id="53"/>
      </w:r>
    </w:p>
    <w:p w14:paraId="7F78D540" w14:textId="369080FE" w:rsidR="007E69A8" w:rsidRPr="000740FC" w:rsidRDefault="007E69A8" w:rsidP="00B33183">
      <w:pPr>
        <w:pStyle w:val="Paragraph"/>
      </w:pPr>
      <w:r w:rsidRPr="000740FC">
        <w:t xml:space="preserve">Under Commonwealth rules, former MPs </w:t>
      </w:r>
      <w:r w:rsidR="009537FA">
        <w:t>who</w:t>
      </w:r>
      <w:r w:rsidRPr="000740FC">
        <w:t xml:space="preserve"> are members of the defined benefit schemes and who are eligible for a pension start to receive it as soon as they leave the Parliament</w:t>
      </w:r>
      <w:r w:rsidRPr="000740FC">
        <w:rPr>
          <w:szCs w:val="26"/>
        </w:rPr>
        <w:t>.</w:t>
      </w:r>
    </w:p>
    <w:p w14:paraId="5999F155" w14:textId="228B9335" w:rsidR="009B3B37" w:rsidRPr="000740FC" w:rsidRDefault="009B3B37" w:rsidP="00B33183">
      <w:pPr>
        <w:pStyle w:val="Paragraph"/>
      </w:pPr>
      <w:r w:rsidRPr="000740FC">
        <w:t xml:space="preserve">Other former MPs (i.e. those in the accumulation scheme, or in the defined benefit schemes </w:t>
      </w:r>
      <w:r w:rsidR="002F094B">
        <w:t>who</w:t>
      </w:r>
      <w:r w:rsidRPr="000740FC">
        <w:t xml:space="preserve"> receive their benefit as a lump sum) are ordinarily unable to access </w:t>
      </w:r>
      <w:r w:rsidRPr="000740FC">
        <w:lastRenderedPageBreak/>
        <w:t>their superannuation until they reach their preservation age.</w:t>
      </w:r>
      <w:r w:rsidRPr="000740FC">
        <w:rPr>
          <w:rStyle w:val="FootnoteReference"/>
        </w:rPr>
        <w:footnoteReference w:id="54"/>
      </w:r>
      <w:r w:rsidRPr="000740FC">
        <w:t xml:space="preserve"> An individual’s preservation age ranges from 55-60 </w:t>
      </w:r>
      <w:r w:rsidR="09C82330" w:rsidRPr="000740FC">
        <w:t xml:space="preserve">years </w:t>
      </w:r>
      <w:r w:rsidRPr="000740FC">
        <w:t>depending on their date of birth.</w:t>
      </w:r>
    </w:p>
    <w:p w14:paraId="01CC381A" w14:textId="77777777" w:rsidR="009901FE" w:rsidRPr="000740FC" w:rsidRDefault="009901FE" w:rsidP="00B33183">
      <w:pPr>
        <w:pStyle w:val="Parabeforeabulletlist"/>
      </w:pPr>
      <w:r w:rsidRPr="000740FC">
        <w:t>As a result of these rules:</w:t>
      </w:r>
    </w:p>
    <w:p w14:paraId="1290F858" w14:textId="0D889025" w:rsidR="009B3B37" w:rsidRPr="000740FC" w:rsidRDefault="009901FE" w:rsidP="0046477F">
      <w:pPr>
        <w:pStyle w:val="VIRTBulletpoints"/>
      </w:pPr>
      <w:r w:rsidRPr="000740FC">
        <w:t xml:space="preserve">members of </w:t>
      </w:r>
      <w:r w:rsidR="009B3B37" w:rsidRPr="000740FC">
        <w:t xml:space="preserve">the defined benefit schemes </w:t>
      </w:r>
      <w:r w:rsidR="002F094B">
        <w:t>who</w:t>
      </w:r>
      <w:r w:rsidR="009B3B37" w:rsidRPr="000740FC">
        <w:t xml:space="preserve"> </w:t>
      </w:r>
      <w:r w:rsidR="0B83842D" w:rsidRPr="000740FC">
        <w:t xml:space="preserve">are </w:t>
      </w:r>
      <w:r w:rsidR="009B3B37" w:rsidRPr="000740FC">
        <w:t xml:space="preserve">eligible for the pension can be certain that they will continue to receive income if they lose their seat in the Parliament, </w:t>
      </w:r>
      <w:r w:rsidR="12AB0C25" w:rsidRPr="000740FC">
        <w:t xml:space="preserve">regardless of their age, subsequent engagement in employment and </w:t>
      </w:r>
      <w:r w:rsidR="597AC1FA" w:rsidRPr="000740FC">
        <w:t xml:space="preserve">other sources of </w:t>
      </w:r>
      <w:r w:rsidR="12AB0C25" w:rsidRPr="000740FC">
        <w:t>income</w:t>
      </w:r>
    </w:p>
    <w:p w14:paraId="5E93F29B" w14:textId="4BEAEF60" w:rsidR="009901FE" w:rsidRPr="000740FC" w:rsidRDefault="009B3B37" w:rsidP="0046477F">
      <w:pPr>
        <w:pStyle w:val="VIRTBulletpoints"/>
      </w:pPr>
      <w:r w:rsidRPr="000740FC">
        <w:t xml:space="preserve">other former MPs may find themselves without funds to support themselves and their families if they lose their seat prior to retirement age and cannot find another job. </w:t>
      </w:r>
    </w:p>
    <w:p w14:paraId="13AC4C20" w14:textId="4FFE46F8" w:rsidR="004025C5" w:rsidRPr="000740FC" w:rsidRDefault="00AE5727" w:rsidP="00B33183">
      <w:pPr>
        <w:pStyle w:val="Paragraph"/>
      </w:pPr>
      <w:r w:rsidRPr="000740FC">
        <w:t>Subject to eligibility requirements, f</w:t>
      </w:r>
      <w:r w:rsidR="006D27E4" w:rsidRPr="000740FC">
        <w:t xml:space="preserve">ormer </w:t>
      </w:r>
      <w:r w:rsidR="003B6278" w:rsidRPr="000740FC">
        <w:t xml:space="preserve">MPs in the accumulation scheme are </w:t>
      </w:r>
      <w:r w:rsidR="0073777C" w:rsidRPr="000740FC">
        <w:t xml:space="preserve">provided with the separation payment </w:t>
      </w:r>
      <w:r w:rsidR="003B6278" w:rsidRPr="000740FC">
        <w:t>when they leave the Parliament to support them as they transition from working as an MP.</w:t>
      </w:r>
      <w:r w:rsidR="0018552E" w:rsidRPr="000740FC">
        <w:t xml:space="preserve"> </w:t>
      </w:r>
      <w:r w:rsidR="3C2CCFC5" w:rsidRPr="000740FC">
        <w:t>T</w:t>
      </w:r>
      <w:r w:rsidR="0D7912D0" w:rsidRPr="000740FC">
        <w:t>he</w:t>
      </w:r>
      <w:r w:rsidR="0018552E" w:rsidRPr="000740FC">
        <w:t xml:space="preserve"> maximum separation payment that a former MP can receive is equal to </w:t>
      </w:r>
      <w:r w:rsidR="00386DC8">
        <w:t>6</w:t>
      </w:r>
      <w:r w:rsidR="0018552E" w:rsidRPr="000740FC">
        <w:t xml:space="preserve"> months’ basic salary</w:t>
      </w:r>
      <w:r w:rsidR="23800DED" w:rsidRPr="000740FC">
        <w:t>.</w:t>
      </w:r>
      <w:r w:rsidR="77FDF5E9" w:rsidRPr="000740FC">
        <w:t xml:space="preserve"> </w:t>
      </w:r>
      <w:r w:rsidR="0C5A1A6B" w:rsidRPr="000740FC">
        <w:t>T</w:t>
      </w:r>
      <w:r w:rsidR="414FFEF7" w:rsidRPr="000740FC">
        <w:t>h</w:t>
      </w:r>
      <w:r w:rsidR="37E05855" w:rsidRPr="000740FC">
        <w:t>e limits to this payment</w:t>
      </w:r>
      <w:r w:rsidR="0D5AD116" w:rsidRPr="000740FC">
        <w:t xml:space="preserve"> may impact</w:t>
      </w:r>
      <w:r w:rsidR="6CE4BAED" w:rsidRPr="000740FC">
        <w:t xml:space="preserve"> MP</w:t>
      </w:r>
      <w:r w:rsidR="72C61D68" w:rsidRPr="000740FC">
        <w:t>s who</w:t>
      </w:r>
      <w:r w:rsidR="5FAE0BEA" w:rsidRPr="000740FC">
        <w:t xml:space="preserve"> do not have alternative sources of support or income</w:t>
      </w:r>
      <w:r w:rsidR="3C37C415" w:rsidRPr="000740FC">
        <w:t>,</w:t>
      </w:r>
      <w:r w:rsidR="5FAE0BEA" w:rsidRPr="000740FC">
        <w:t xml:space="preserve"> are unable to find </w:t>
      </w:r>
      <w:r w:rsidR="2740C053" w:rsidRPr="000740FC">
        <w:t>new paid</w:t>
      </w:r>
      <w:r w:rsidR="5FAE0BEA" w:rsidRPr="000740FC">
        <w:t xml:space="preserve"> employment for an extended period </w:t>
      </w:r>
      <w:r w:rsidR="79E016FF" w:rsidRPr="000740FC">
        <w:t>and/or</w:t>
      </w:r>
      <w:r w:rsidR="5FAE0BEA" w:rsidRPr="000740FC">
        <w:t xml:space="preserve"> are </w:t>
      </w:r>
      <w:r w:rsidR="2E85F778" w:rsidRPr="000740FC">
        <w:t>some time away from reaching their preservation age.</w:t>
      </w:r>
    </w:p>
    <w:p w14:paraId="028774C5" w14:textId="3FC3149B" w:rsidR="00B871AB" w:rsidRPr="000740FC" w:rsidRDefault="006E2CF2" w:rsidP="00DB774D">
      <w:pPr>
        <w:pStyle w:val="VIRTHeading2"/>
        <w:rPr>
          <w:lang w:val="en-AU"/>
        </w:rPr>
      </w:pPr>
      <w:bookmarkStart w:id="70" w:name="_Toc50990427"/>
      <w:bookmarkStart w:id="71" w:name="_Toc51234136"/>
      <w:r w:rsidRPr="000740FC">
        <w:rPr>
          <w:lang w:val="en-AU"/>
        </w:rPr>
        <w:t xml:space="preserve">4.2 </w:t>
      </w:r>
      <w:r w:rsidR="00AE3FB3" w:rsidRPr="000740FC">
        <w:rPr>
          <w:lang w:val="en-AU"/>
        </w:rPr>
        <w:t>Sources of uncertainty and risk</w:t>
      </w:r>
      <w:bookmarkEnd w:id="70"/>
      <w:bookmarkEnd w:id="71"/>
    </w:p>
    <w:p w14:paraId="01F19DB5" w14:textId="24D42E72" w:rsidR="006B5C62" w:rsidRPr="000740FC" w:rsidRDefault="00A245EB" w:rsidP="00B33183">
      <w:pPr>
        <w:pStyle w:val="Paragraph"/>
      </w:pPr>
      <w:r w:rsidRPr="000740FC">
        <w:t>The superannuation benefit</w:t>
      </w:r>
      <w:r w:rsidR="00AE6AD2" w:rsidRPr="000740FC">
        <w:t>s</w:t>
      </w:r>
      <w:r w:rsidRPr="000740FC">
        <w:t xml:space="preserve"> provided to members of the defined benefit </w:t>
      </w:r>
      <w:r w:rsidR="006B5C62" w:rsidRPr="000740FC">
        <w:t xml:space="preserve">schemes </w:t>
      </w:r>
      <w:r w:rsidR="00B62055" w:rsidRPr="000740FC">
        <w:t xml:space="preserve">and </w:t>
      </w:r>
      <w:r w:rsidR="001E1E59">
        <w:t xml:space="preserve">the </w:t>
      </w:r>
      <w:r w:rsidR="00B62055" w:rsidRPr="000740FC">
        <w:t xml:space="preserve">accumulation scheme </w:t>
      </w:r>
      <w:r w:rsidR="009E74C5" w:rsidRPr="000740FC">
        <w:t>are</w:t>
      </w:r>
      <w:r w:rsidR="00B62055" w:rsidRPr="000740FC">
        <w:t xml:space="preserve"> influenced by </w:t>
      </w:r>
      <w:r w:rsidR="006B5C62" w:rsidRPr="000740FC">
        <w:t xml:space="preserve">different factors. </w:t>
      </w:r>
      <w:r w:rsidR="00A75CD8" w:rsidRPr="000740FC">
        <w:t>In turn, these factors influence the types of risks faced by</w:t>
      </w:r>
      <w:r w:rsidR="3FA8E60B" w:rsidRPr="000740FC">
        <w:t xml:space="preserve"> members of the schemes</w:t>
      </w:r>
      <w:r w:rsidR="3E0F55C7" w:rsidRPr="000740FC">
        <w:t>.</w:t>
      </w:r>
    </w:p>
    <w:p w14:paraId="2D3BC8C0" w14:textId="1806A627" w:rsidR="00ED6CEA" w:rsidRPr="000740FC" w:rsidRDefault="00ED6CEA" w:rsidP="00B33183">
      <w:pPr>
        <w:pStyle w:val="Parabeforeabulletlist"/>
      </w:pPr>
      <w:r w:rsidRPr="000740FC">
        <w:t xml:space="preserve">For </w:t>
      </w:r>
      <w:r w:rsidR="00274B13">
        <w:t>all three</w:t>
      </w:r>
      <w:r w:rsidRPr="000740FC">
        <w:t xml:space="preserve"> schemes, the level of superannuation benefits received is influenced by years served as an MP and whether the MP held a specified parliamentary office.</w:t>
      </w:r>
    </w:p>
    <w:p w14:paraId="699136BB" w14:textId="77777777" w:rsidR="00ED6CEA" w:rsidRPr="000740FC" w:rsidRDefault="00ED6CEA" w:rsidP="00B33183">
      <w:pPr>
        <w:pStyle w:val="Parabeforeabulletlist"/>
      </w:pPr>
      <w:r w:rsidRPr="000740FC">
        <w:t>For defined benefit schemes, the value of the superannuation benefit is also influenced by:</w:t>
      </w:r>
    </w:p>
    <w:p w14:paraId="02ED91A2" w14:textId="1560AB64" w:rsidR="00A245EB" w:rsidRPr="000740FC" w:rsidRDefault="00A40BE6" w:rsidP="0046477F">
      <w:pPr>
        <w:pStyle w:val="VIRTBulletpoints"/>
      </w:pPr>
      <w:r>
        <w:t xml:space="preserve">the </w:t>
      </w:r>
      <w:r w:rsidR="00A245EB" w:rsidRPr="000740FC">
        <w:t xml:space="preserve">value of the </w:t>
      </w:r>
      <w:r w:rsidR="009F73C8">
        <w:t>BSP</w:t>
      </w:r>
      <w:r w:rsidR="00A245EB" w:rsidRPr="000740FC">
        <w:t xml:space="preserve"> (from September 2019) or basic salary (prior to September 2019) during the years that a pension is paid</w:t>
      </w:r>
    </w:p>
    <w:p w14:paraId="6EF8A454" w14:textId="77777777" w:rsidR="00A245EB" w:rsidRPr="000740FC" w:rsidRDefault="00A245EB" w:rsidP="0046477F">
      <w:pPr>
        <w:pStyle w:val="VIRTBulletpoints"/>
      </w:pPr>
      <w:r w:rsidRPr="000740FC">
        <w:t>how long the former MP (and their partner) lives after the former MP leaves the Parliament</w:t>
      </w:r>
    </w:p>
    <w:p w14:paraId="53C5185D" w14:textId="2616C89E" w:rsidR="00A245EB" w:rsidRPr="000740FC" w:rsidRDefault="00A245EB" w:rsidP="0046477F">
      <w:pPr>
        <w:pStyle w:val="VIRTBulletpoints"/>
      </w:pPr>
      <w:r w:rsidRPr="000740FC">
        <w:lastRenderedPageBreak/>
        <w:t xml:space="preserve">the </w:t>
      </w:r>
      <w:r w:rsidR="00FD0322">
        <w:t>eligibility</w:t>
      </w:r>
      <w:r w:rsidRPr="000740FC">
        <w:t xml:space="preserve"> of the former MP’s children (if any)</w:t>
      </w:r>
      <w:r w:rsidR="00C92AFE">
        <w:t xml:space="preserve"> for a </w:t>
      </w:r>
      <w:r w:rsidR="004E3A07">
        <w:t xml:space="preserve">reduced </w:t>
      </w:r>
      <w:r w:rsidR="00C92AFE">
        <w:t>pension</w:t>
      </w:r>
      <w:r w:rsidRPr="000740FC">
        <w:t xml:space="preserve"> at the time that the former MP and/or their partner dies.</w:t>
      </w:r>
      <w:r w:rsidRPr="000740FC">
        <w:rPr>
          <w:rStyle w:val="FootnoteReference"/>
        </w:rPr>
        <w:footnoteReference w:id="55"/>
      </w:r>
      <w:r w:rsidRPr="000740FC">
        <w:t xml:space="preserve"> </w:t>
      </w:r>
    </w:p>
    <w:p w14:paraId="4B447D47" w14:textId="77777777" w:rsidR="00ED6CEA" w:rsidRPr="000740FC" w:rsidRDefault="00ED6CEA" w:rsidP="00B33183">
      <w:pPr>
        <w:pStyle w:val="Parabeforeabulletlist"/>
      </w:pPr>
      <w:r w:rsidRPr="000740FC">
        <w:t xml:space="preserve">For the accumulation scheme, the value of the superannuation benefit is also influenced by: </w:t>
      </w:r>
    </w:p>
    <w:p w14:paraId="1D86F04D" w14:textId="55EE9EEC" w:rsidR="00A245EB" w:rsidRPr="000740FC" w:rsidRDefault="007554C3" w:rsidP="0046477F">
      <w:pPr>
        <w:pStyle w:val="VIRTBulletpoints"/>
      </w:pPr>
      <w:r>
        <w:t xml:space="preserve">the </w:t>
      </w:r>
      <w:r w:rsidR="00A245EB" w:rsidRPr="000740FC">
        <w:t xml:space="preserve">values of </w:t>
      </w:r>
      <w:r>
        <w:t xml:space="preserve">the </w:t>
      </w:r>
      <w:r w:rsidR="00A245EB" w:rsidRPr="000740FC">
        <w:t xml:space="preserve">basic and any additional salaries, and </w:t>
      </w:r>
      <w:r w:rsidR="00C10963">
        <w:t xml:space="preserve">the </w:t>
      </w:r>
      <w:r w:rsidR="00A245EB" w:rsidRPr="000740FC">
        <w:t>value(s) of the prescribed percentage, during the years they served in the Parliament</w:t>
      </w:r>
    </w:p>
    <w:p w14:paraId="5CBD75D7" w14:textId="77777777" w:rsidR="00A245EB" w:rsidRPr="000740FC" w:rsidRDefault="00A245EB" w:rsidP="0046477F">
      <w:pPr>
        <w:pStyle w:val="VIRTBulletpoints"/>
      </w:pPr>
      <w:r w:rsidRPr="000740FC">
        <w:t>any voluntary superannuation contributions made by the former MP while serving in the Parliament (e.g. under a salary sacrifice arrangement)</w:t>
      </w:r>
    </w:p>
    <w:p w14:paraId="6B5E97F6" w14:textId="77777777" w:rsidR="00E13E70" w:rsidRPr="000740FC" w:rsidRDefault="00A245EB" w:rsidP="0046477F">
      <w:pPr>
        <w:pStyle w:val="VIRTBulletpoints"/>
      </w:pPr>
      <w:r w:rsidRPr="000740FC">
        <w:t>how the superannuation balance is invested, the performance of that investment option and any applicable superannuation fees or insurance premiums.</w:t>
      </w:r>
    </w:p>
    <w:p w14:paraId="26F8B6EC" w14:textId="5D78D6A3" w:rsidR="00AA0131" w:rsidRPr="000740FC" w:rsidRDefault="2E9732BD" w:rsidP="00B33183">
      <w:pPr>
        <w:pStyle w:val="Paragraph"/>
      </w:pPr>
      <w:r w:rsidRPr="000740FC">
        <w:t>A</w:t>
      </w:r>
      <w:r w:rsidR="00875306" w:rsidRPr="000740FC">
        <w:t xml:space="preserve"> </w:t>
      </w:r>
      <w:r w:rsidR="00EA6E7B" w:rsidRPr="000740FC">
        <w:t>relative</w:t>
      </w:r>
      <w:r w:rsidR="00875306" w:rsidRPr="000740FC">
        <w:t xml:space="preserve"> </w:t>
      </w:r>
      <w:r w:rsidR="00AD5B9B" w:rsidRPr="000740FC">
        <w:t xml:space="preserve">advantage of the defined benefit schemes is </w:t>
      </w:r>
      <w:r w:rsidR="00ED6CEA" w:rsidRPr="000740FC">
        <w:t>the opportunity for financial security in retirement. Assuming an MP satisfies the eligibility requirements, they will receive a pension for the remainder of their and their partner’s</w:t>
      </w:r>
      <w:r w:rsidR="002A7D08">
        <w:t xml:space="preserve"> and eligible children’s</w:t>
      </w:r>
      <w:r w:rsidR="00ED6CEA" w:rsidRPr="000740FC">
        <w:t xml:space="preserve"> lives. However, if a former MP in the defined benefit schemes who is receiving a pension dies earlier than expected (e.g. due to an accident or unforeseen illness), this can effectively reduce the </w:t>
      </w:r>
      <w:r w:rsidR="00AB458A">
        <w:t xml:space="preserve">quantum of the </w:t>
      </w:r>
      <w:r w:rsidR="00ED6CEA" w:rsidRPr="000740FC">
        <w:t>total superannuation benefit.</w:t>
      </w:r>
    </w:p>
    <w:p w14:paraId="2E8E4DA2" w14:textId="2FDDC34C" w:rsidR="00ED6CEA" w:rsidRPr="000740FC" w:rsidRDefault="002A34A5" w:rsidP="00B33183">
      <w:pPr>
        <w:pStyle w:val="Paragraphbeforeabulletlist"/>
      </w:pPr>
      <w:r>
        <w:t>T</w:t>
      </w:r>
      <w:r w:rsidR="00ED6CEA" w:rsidRPr="000740FC">
        <w:t xml:space="preserve">he superannuation benefit accrued by an MP in the accumulation scheme may not be sufficient to fund their retirement. </w:t>
      </w:r>
      <w:r w:rsidR="00D033B8">
        <w:t>That might result, f</w:t>
      </w:r>
      <w:r w:rsidR="00D033B8" w:rsidRPr="000740FC">
        <w:t>or</w:t>
      </w:r>
      <w:r w:rsidR="00ED6CEA" w:rsidRPr="000740FC">
        <w:t xml:space="preserve"> example, in the case of an MP who retires involuntarily (e.g. as a result of being defeated at an election) and cannot obtain further employment.</w:t>
      </w:r>
    </w:p>
    <w:p w14:paraId="4427D4DD" w14:textId="3C3572D0" w:rsidR="00CB73E2" w:rsidRPr="000740FC" w:rsidRDefault="007F6BE2" w:rsidP="00DB774D">
      <w:pPr>
        <w:pStyle w:val="VIRTHeading2"/>
        <w:rPr>
          <w:lang w:val="en-AU"/>
        </w:rPr>
      </w:pPr>
      <w:bookmarkStart w:id="72" w:name="_Toc51234137"/>
      <w:bookmarkStart w:id="73" w:name="_Toc50990428"/>
      <w:r w:rsidRPr="000740FC">
        <w:rPr>
          <w:lang w:val="en-AU"/>
        </w:rPr>
        <w:t xml:space="preserve">4.3 </w:t>
      </w:r>
      <w:r w:rsidR="00CB73E2" w:rsidRPr="000740FC">
        <w:rPr>
          <w:lang w:val="en-AU"/>
        </w:rPr>
        <w:t>Flexibility</w:t>
      </w:r>
      <w:bookmarkEnd w:id="72"/>
      <w:r w:rsidR="00CB73E2" w:rsidRPr="000740FC">
        <w:rPr>
          <w:lang w:val="en-AU"/>
        </w:rPr>
        <w:t xml:space="preserve"> </w:t>
      </w:r>
      <w:bookmarkEnd w:id="73"/>
    </w:p>
    <w:p w14:paraId="471DE99E" w14:textId="21C70497" w:rsidR="00CB73E2" w:rsidRPr="000740FC" w:rsidRDefault="00CB73E2" w:rsidP="00B33183">
      <w:pPr>
        <w:pStyle w:val="Parabeforeabulletlist"/>
      </w:pPr>
      <w:r w:rsidRPr="000740FC">
        <w:t xml:space="preserve">Compared </w:t>
      </w:r>
      <w:r w:rsidR="0A6F6BAA" w:rsidRPr="000740FC">
        <w:t>with</w:t>
      </w:r>
      <w:r w:rsidRPr="000740FC">
        <w:t xml:space="preserve"> the defined benefit schemes, the accumulation scheme provides members with a greater degree of choice and control over:</w:t>
      </w:r>
    </w:p>
    <w:p w14:paraId="6198293D" w14:textId="77777777" w:rsidR="00CB73E2" w:rsidRPr="000740FC" w:rsidRDefault="00CB73E2" w:rsidP="0046477F">
      <w:pPr>
        <w:pStyle w:val="VIRTBulletpoints"/>
      </w:pPr>
      <w:r w:rsidRPr="000740FC">
        <w:t>which superannuation fund(s) they are a member of while serving in the Parliament</w:t>
      </w:r>
    </w:p>
    <w:p w14:paraId="2572F702" w14:textId="77777777" w:rsidR="00CB73E2" w:rsidRPr="000740FC" w:rsidRDefault="00CB73E2" w:rsidP="0046477F">
      <w:pPr>
        <w:pStyle w:val="VIRTBulletpoints"/>
      </w:pPr>
      <w:r w:rsidRPr="000740FC">
        <w:t>the level of contributions they make to their superannuation fund(s)</w:t>
      </w:r>
    </w:p>
    <w:p w14:paraId="467AC624" w14:textId="5B119652" w:rsidR="00CB73E2" w:rsidRPr="000740FC" w:rsidRDefault="00CB73E2" w:rsidP="0046477F">
      <w:pPr>
        <w:pStyle w:val="VIRTBulletpoints"/>
      </w:pPr>
      <w:r w:rsidRPr="000740FC">
        <w:t xml:space="preserve">how their superannuation is invested, and </w:t>
      </w:r>
      <w:r w:rsidR="30989945" w:rsidRPr="000740FC">
        <w:t>therefore their level</w:t>
      </w:r>
      <w:r w:rsidR="00697117">
        <w:t xml:space="preserve"> of</w:t>
      </w:r>
      <w:r w:rsidR="30989945" w:rsidRPr="000740FC">
        <w:t xml:space="preserve"> </w:t>
      </w:r>
      <w:r w:rsidR="00697117">
        <w:t>risk</w:t>
      </w:r>
      <w:r w:rsidR="30989945" w:rsidRPr="000740FC">
        <w:t xml:space="preserve"> exposure</w:t>
      </w:r>
    </w:p>
    <w:p w14:paraId="6F1038AE" w14:textId="77777777" w:rsidR="00CB73E2" w:rsidRPr="000740FC" w:rsidRDefault="00CB73E2" w:rsidP="0046477F">
      <w:pPr>
        <w:pStyle w:val="VIRTBulletpoints"/>
      </w:pPr>
      <w:r w:rsidRPr="000740FC">
        <w:t>how they access their superannuation benefits.</w:t>
      </w:r>
    </w:p>
    <w:p w14:paraId="5C5B50BD" w14:textId="013DFE7E" w:rsidR="00CB73E2" w:rsidRPr="000740FC" w:rsidRDefault="00CB73E2" w:rsidP="007F6BE2">
      <w:pPr>
        <w:pStyle w:val="VIRTHeading3"/>
        <w:rPr>
          <w:lang w:val="en-AU"/>
        </w:rPr>
      </w:pPr>
      <w:r w:rsidRPr="000740FC">
        <w:rPr>
          <w:lang w:val="en-AU"/>
        </w:rPr>
        <w:lastRenderedPageBreak/>
        <w:t xml:space="preserve">Choice of superannuation fund and </w:t>
      </w:r>
      <w:r w:rsidR="00AD3A18" w:rsidRPr="000740FC">
        <w:rPr>
          <w:lang w:val="en-AU"/>
        </w:rPr>
        <w:t>how superannuation is invested</w:t>
      </w:r>
    </w:p>
    <w:p w14:paraId="3635414C" w14:textId="78F1FDAD" w:rsidR="00CB73E2" w:rsidRPr="000740FC" w:rsidRDefault="00CB73E2" w:rsidP="00B33183">
      <w:pPr>
        <w:pStyle w:val="Paragraph"/>
      </w:pPr>
      <w:r w:rsidRPr="000740FC">
        <w:t>MPs in the defined benefit schemes are required to be members of the PCSF. Former MPs who are eligible for a pension (and choose not to commute the whole amount to a lump sum) remain members and have their pensions paid out of the PCSF. Former MPs who are not eligible for a pension</w:t>
      </w:r>
      <w:r w:rsidR="02FFCE56" w:rsidRPr="000740FC">
        <w:t xml:space="preserve"> (</w:t>
      </w:r>
      <w:r w:rsidRPr="000740FC">
        <w:t>or were eligible but chose to commute it to a lump sum</w:t>
      </w:r>
      <w:r w:rsidR="7FC8010F" w:rsidRPr="000740FC">
        <w:t>)</w:t>
      </w:r>
      <w:r w:rsidRPr="000740FC">
        <w:t xml:space="preserve"> and who are unable to access their superannuation due to Commonwealth preservation rules are required to ‘rollover’ their benefit into another superannuation fund.</w:t>
      </w:r>
    </w:p>
    <w:p w14:paraId="3416C3E5" w14:textId="1855BE9B" w:rsidR="00CB73E2" w:rsidRPr="000740FC" w:rsidRDefault="00CB73E2" w:rsidP="00B33183">
      <w:pPr>
        <w:pStyle w:val="Paragraph"/>
      </w:pPr>
      <w:r w:rsidRPr="000740FC">
        <w:t>In contrast, existing and former MPs in the accumulation scheme can choose which fund</w:t>
      </w:r>
      <w:r w:rsidR="13E17400" w:rsidRPr="000740FC">
        <w:t xml:space="preserve"> or funds</w:t>
      </w:r>
      <w:r w:rsidRPr="000740FC">
        <w:t xml:space="preserve"> their superannuation balance is held with</w:t>
      </w:r>
      <w:r w:rsidR="7EFD4B94" w:rsidRPr="000740FC">
        <w:t>.</w:t>
      </w:r>
      <w:r w:rsidR="0083337A" w:rsidRPr="000740FC">
        <w:t xml:space="preserve"> </w:t>
      </w:r>
      <w:r w:rsidRPr="000740FC">
        <w:t>Th</w:t>
      </w:r>
      <w:r w:rsidR="6F2821B2" w:rsidRPr="000740FC">
        <w:t xml:space="preserve">is </w:t>
      </w:r>
      <w:r w:rsidRPr="000740FC">
        <w:t xml:space="preserve">may </w:t>
      </w:r>
      <w:r w:rsidR="75ECA1FA" w:rsidRPr="000740FC">
        <w:t>be a</w:t>
      </w:r>
      <w:r w:rsidRPr="000740FC">
        <w:t xml:space="preserve"> </w:t>
      </w:r>
      <w:r w:rsidR="00B349DA">
        <w:t>SMSF</w:t>
      </w:r>
      <w:r w:rsidRPr="000740FC">
        <w:t>.</w:t>
      </w:r>
    </w:p>
    <w:p w14:paraId="68660660" w14:textId="2C1509FE" w:rsidR="00CB73E2" w:rsidRPr="000740FC" w:rsidRDefault="00CB73E2" w:rsidP="00B33183">
      <w:pPr>
        <w:pStyle w:val="Parabeforeabulletlist"/>
      </w:pPr>
      <w:r w:rsidRPr="000740FC">
        <w:t>Accumulation funds also provide members with options as to how their superannuation is invested, which affects the anticipated rate of return and the level of risk expos</w:t>
      </w:r>
      <w:r w:rsidR="67CE97C8" w:rsidRPr="000740FC">
        <w:t>ure</w:t>
      </w:r>
      <w:r w:rsidRPr="000740FC">
        <w:t>. For example, an MP in the accumulation scheme may choose to:</w:t>
      </w:r>
    </w:p>
    <w:p w14:paraId="2D0F7714" w14:textId="77777777" w:rsidR="00CB73E2" w:rsidRPr="000740FC" w:rsidRDefault="00CB73E2" w:rsidP="0046477F">
      <w:pPr>
        <w:pStyle w:val="VIRTBulletpoints"/>
      </w:pPr>
      <w:r w:rsidRPr="000740FC">
        <w:t>place their superannuation into a riskier, high-growth investment option earlier in life</w:t>
      </w:r>
    </w:p>
    <w:p w14:paraId="45580AD0" w14:textId="77777777" w:rsidR="00CB73E2" w:rsidRPr="000740FC" w:rsidRDefault="00CB73E2" w:rsidP="0046477F">
      <w:pPr>
        <w:pStyle w:val="VIRTBulletpoints"/>
      </w:pPr>
      <w:r w:rsidRPr="000740FC">
        <w:t>move their superannuation into a safer, more conservative investment option as they approach retirement.</w:t>
      </w:r>
    </w:p>
    <w:p w14:paraId="5DA3B184" w14:textId="77777777" w:rsidR="00CB73E2" w:rsidRPr="000740FC" w:rsidRDefault="00CB73E2" w:rsidP="007F6BE2">
      <w:pPr>
        <w:pStyle w:val="VIRTHeading3"/>
        <w:rPr>
          <w:lang w:val="en-AU"/>
        </w:rPr>
      </w:pPr>
      <w:r w:rsidRPr="000740FC">
        <w:rPr>
          <w:lang w:val="en-AU"/>
        </w:rPr>
        <w:t>Control over contributions</w:t>
      </w:r>
    </w:p>
    <w:p w14:paraId="6BDDFAA1" w14:textId="60C79F9F" w:rsidR="00CB73E2" w:rsidRPr="000740FC" w:rsidRDefault="00CB73E2" w:rsidP="00B33183">
      <w:pPr>
        <w:pStyle w:val="Paragraph"/>
      </w:pPr>
      <w:r w:rsidRPr="000740FC">
        <w:t xml:space="preserve">Existing MPs in the defined benefit schemes are required to </w:t>
      </w:r>
      <w:r w:rsidR="68F60F7D" w:rsidRPr="000740FC">
        <w:t xml:space="preserve">make after-tax contributions to the PCSF — 11.5 per cent of the </w:t>
      </w:r>
      <w:r w:rsidR="00230312">
        <w:t>BSP</w:t>
      </w:r>
      <w:r w:rsidR="68F60F7D" w:rsidRPr="000740FC">
        <w:t xml:space="preserve"> for the first 20.5 years of service.</w:t>
      </w:r>
      <w:r w:rsidR="003C6272" w:rsidRPr="000740FC">
        <w:t xml:space="preserve"> </w:t>
      </w:r>
      <w:r w:rsidRPr="000740FC">
        <w:t xml:space="preserve">MPs holding a specified parliamentary office are also required to contribute a portion of their additional salary during </w:t>
      </w:r>
      <w:r w:rsidR="3479D4F6" w:rsidRPr="000740FC">
        <w:t>th</w:t>
      </w:r>
      <w:r w:rsidR="6BC23EED" w:rsidRPr="000740FC">
        <w:t>at period</w:t>
      </w:r>
      <w:r w:rsidR="004D30C0" w:rsidRPr="000740FC">
        <w:t>.</w:t>
      </w:r>
      <w:r w:rsidRPr="000740FC">
        <w:rPr>
          <w:rStyle w:val="FootnoteReference"/>
        </w:rPr>
        <w:footnoteReference w:id="56"/>
      </w:r>
      <w:r w:rsidRPr="000740FC">
        <w:t xml:space="preserve"> </w:t>
      </w:r>
    </w:p>
    <w:p w14:paraId="3DE4DEFC" w14:textId="49BC0C17" w:rsidR="00CB73E2" w:rsidRPr="000740FC" w:rsidRDefault="00CB73E2" w:rsidP="00B33183">
      <w:pPr>
        <w:pStyle w:val="Paragraph"/>
      </w:pPr>
      <w:r w:rsidRPr="000740FC">
        <w:t xml:space="preserve">Existing MPs in the defined benefit schemes cannot choose to reduce or increase the rate at which they make contributions. They also cannot choose to make contributions from pre-tax salary (as concessional contributions). </w:t>
      </w:r>
      <w:r w:rsidR="1CE0AE65" w:rsidRPr="000740FC">
        <w:t xml:space="preserve">Further, </w:t>
      </w:r>
      <w:r w:rsidRPr="000740FC">
        <w:t xml:space="preserve">MPs may be required to continue making contributions even if they are no longer accruing additional superannuation </w:t>
      </w:r>
      <w:r w:rsidR="004E5988">
        <w:t>benefits</w:t>
      </w:r>
      <w:r w:rsidRPr="000740FC">
        <w:t xml:space="preserve">. For example, an MP in the New Benefits Scheme </w:t>
      </w:r>
      <w:r w:rsidR="009813EE">
        <w:t xml:space="preserve">who </w:t>
      </w:r>
      <w:r w:rsidRPr="000740FC">
        <w:t xml:space="preserve">does not hold a specified parliamentary office accrues their </w:t>
      </w:r>
      <w:r w:rsidRPr="000740FC">
        <w:lastRenderedPageBreak/>
        <w:t>maximum pension benefit after 18 years of service but is required to make contributions for the first 20.5 years of service.</w:t>
      </w:r>
    </w:p>
    <w:p w14:paraId="104B43FD" w14:textId="16E42FD1" w:rsidR="00CB73E2" w:rsidRPr="000740FC" w:rsidRDefault="00CB73E2" w:rsidP="00B33183">
      <w:pPr>
        <w:pStyle w:val="Paragraph"/>
      </w:pPr>
      <w:r w:rsidRPr="000740FC">
        <w:t xml:space="preserve">In comparison, MPs in the accumulation scheme are not required to make personal contributions, </w:t>
      </w:r>
      <w:r w:rsidR="31D1364E" w:rsidRPr="000740FC">
        <w:t>although</w:t>
      </w:r>
      <w:r w:rsidR="0B76BB8E" w:rsidRPr="000740FC">
        <w:t xml:space="preserve"> </w:t>
      </w:r>
      <w:r w:rsidR="00022B82">
        <w:t xml:space="preserve">they </w:t>
      </w:r>
      <w:r w:rsidR="0B76BB8E" w:rsidRPr="000740FC">
        <w:t xml:space="preserve">have considerable scope </w:t>
      </w:r>
      <w:r w:rsidRPr="000740FC">
        <w:t>to do so. For example, an MP may choose to contribute up to 50 per cent of their pre-tax salary to superannuation under a salary sacrifice arrangement</w:t>
      </w:r>
      <w:r w:rsidR="0091385E" w:rsidRPr="000740FC">
        <w:t>,</w:t>
      </w:r>
      <w:r w:rsidRPr="000740FC">
        <w:rPr>
          <w:rStyle w:val="FootnoteReference"/>
        </w:rPr>
        <w:footnoteReference w:id="57"/>
      </w:r>
      <w:r w:rsidRPr="000740FC">
        <w:t xml:space="preserve"> and may also choose to make after-tax contributions. </w:t>
      </w:r>
    </w:p>
    <w:p w14:paraId="1747EFFF" w14:textId="2A0FFD54" w:rsidR="00C715D8" w:rsidRPr="000740FC" w:rsidRDefault="00CB73E2" w:rsidP="00B33183">
      <w:pPr>
        <w:pStyle w:val="Paragraph"/>
      </w:pPr>
      <w:r w:rsidRPr="000740FC">
        <w:t xml:space="preserve">As explained in </w:t>
      </w:r>
      <w:r w:rsidR="1C8BE04C" w:rsidRPr="000740FC">
        <w:t>a</w:t>
      </w:r>
      <w:r w:rsidRPr="000740FC">
        <w:t xml:space="preserve">ppendix C, </w:t>
      </w:r>
      <w:r w:rsidR="4AD03F84" w:rsidRPr="000740FC">
        <w:t xml:space="preserve">contributions exceeding </w:t>
      </w:r>
      <w:r w:rsidRPr="000740FC">
        <w:t>the Commonwealth government caps on concessional and non-concessional contributions incur an additional tax liability. MPs in the accumulation scheme are able to withdraw excess contributions. However, due to the nature of the PCSF, existing MPs in the defined benefit schemes are unable to make these withdrawals. As a result, they must pay the additional tax out of their own funds.</w:t>
      </w:r>
    </w:p>
    <w:p w14:paraId="59BCDBBA" w14:textId="77777777" w:rsidR="00CB73E2" w:rsidRPr="000740FC" w:rsidRDefault="00CB73E2" w:rsidP="007F6BE2">
      <w:pPr>
        <w:pStyle w:val="VIRTHeading3"/>
        <w:rPr>
          <w:lang w:val="en-AU"/>
        </w:rPr>
      </w:pPr>
      <w:r w:rsidRPr="000740FC">
        <w:rPr>
          <w:lang w:val="en-AU"/>
        </w:rPr>
        <w:t xml:space="preserve">How superannuation can be accessed </w:t>
      </w:r>
    </w:p>
    <w:p w14:paraId="3D466628" w14:textId="672934B3" w:rsidR="00CB73E2" w:rsidRPr="000740FC" w:rsidRDefault="00CB73E2" w:rsidP="00B33183">
      <w:pPr>
        <w:pStyle w:val="Parabeforeabulletlist"/>
      </w:pPr>
      <w:r w:rsidRPr="000740FC">
        <w:t xml:space="preserve">Former MPs in the defined benefit schemes may receive their superannuation benefit as one </w:t>
      </w:r>
      <w:r w:rsidR="00F04D87">
        <w:t>(or a combination of)</w:t>
      </w:r>
      <w:r w:rsidRPr="000740FC">
        <w:t xml:space="preserve"> the following:</w:t>
      </w:r>
    </w:p>
    <w:p w14:paraId="50C9E279" w14:textId="77777777" w:rsidR="00CB73E2" w:rsidRPr="000740FC" w:rsidRDefault="00CB73E2" w:rsidP="0046477F">
      <w:pPr>
        <w:pStyle w:val="VIRTBulletpoints"/>
      </w:pPr>
      <w:r w:rsidRPr="000740FC">
        <w:t>lump sum</w:t>
      </w:r>
    </w:p>
    <w:p w14:paraId="6C0222E8" w14:textId="77777777" w:rsidR="00CB73E2" w:rsidRPr="000740FC" w:rsidRDefault="00CB73E2" w:rsidP="0046477F">
      <w:pPr>
        <w:pStyle w:val="VIRTBulletpoints"/>
      </w:pPr>
      <w:r w:rsidRPr="000740FC">
        <w:t>pension (subject to eligibility requirements).</w:t>
      </w:r>
    </w:p>
    <w:p w14:paraId="29020E27" w14:textId="426A3F5B" w:rsidR="00CB73E2" w:rsidRPr="000740FC" w:rsidRDefault="00CB73E2" w:rsidP="00B33183">
      <w:pPr>
        <w:pStyle w:val="Paragraph"/>
      </w:pPr>
      <w:r w:rsidRPr="000740FC">
        <w:t xml:space="preserve">Former MPs </w:t>
      </w:r>
      <w:r w:rsidR="009537FA">
        <w:t>who</w:t>
      </w:r>
      <w:r w:rsidRPr="000740FC">
        <w:t xml:space="preserve"> are eligible for a pension may elect, within </w:t>
      </w:r>
      <w:r w:rsidR="00DF5F8B">
        <w:t>3</w:t>
      </w:r>
      <w:r w:rsidRPr="000740FC">
        <w:t xml:space="preserve"> months of becoming eligible, to commute all or part of their pension </w:t>
      </w:r>
      <w:r w:rsidR="00042A21">
        <w:t>benefit</w:t>
      </w:r>
      <w:r w:rsidRPr="000740FC">
        <w:t xml:space="preserve"> to a lump sum. The value of the lump sum is calculated based on a formula in the PSAS Act. Former MPs are not able to commute their pension to a lump sum payment after that period, and otherwise cannot make any choices about how they receive their superannuation.</w:t>
      </w:r>
    </w:p>
    <w:p w14:paraId="2D8D9315" w14:textId="77777777" w:rsidR="00D92B2F" w:rsidRPr="000740FC" w:rsidRDefault="55EE6A53" w:rsidP="00B33183">
      <w:pPr>
        <w:pStyle w:val="Parabeforeabulletlist"/>
        <w:rPr>
          <w:rStyle w:val="FootnoteReference"/>
          <w:vertAlign w:val="baseline"/>
        </w:rPr>
      </w:pPr>
      <w:r w:rsidRPr="000740FC">
        <w:t xml:space="preserve">In comparison, </w:t>
      </w:r>
      <w:r w:rsidR="70F98AE2" w:rsidRPr="000740FC">
        <w:t>f</w:t>
      </w:r>
      <w:r w:rsidR="00CB73E2" w:rsidRPr="000740FC">
        <w:t>ormer MPs in the accumulation scheme can access their superannuation as one or more of the following:</w:t>
      </w:r>
      <w:r w:rsidR="00A06F95" w:rsidRPr="000740FC" w:rsidDel="00A06F95">
        <w:rPr>
          <w:rStyle w:val="FootnoteReference"/>
        </w:rPr>
        <w:t xml:space="preserve"> </w:t>
      </w:r>
    </w:p>
    <w:p w14:paraId="5B90BBF0" w14:textId="75A7484C" w:rsidR="00CB73E2" w:rsidRPr="000740FC" w:rsidRDefault="00CB73E2" w:rsidP="0046477F">
      <w:pPr>
        <w:pStyle w:val="VIRTBulletpoints"/>
      </w:pPr>
      <w:r w:rsidRPr="000740FC">
        <w:t>lump sum</w:t>
      </w:r>
    </w:p>
    <w:p w14:paraId="5A86D1B5" w14:textId="77777777" w:rsidR="00CB73E2" w:rsidRPr="000740FC" w:rsidRDefault="00CB73E2" w:rsidP="0046477F">
      <w:pPr>
        <w:pStyle w:val="VIRTBulletpoints"/>
      </w:pPr>
      <w:r w:rsidRPr="000740FC">
        <w:t>account-based pension</w:t>
      </w:r>
    </w:p>
    <w:p w14:paraId="0127FFB3" w14:textId="77777777" w:rsidR="00CB73E2" w:rsidRPr="000740FC" w:rsidRDefault="00CB73E2" w:rsidP="0046477F">
      <w:pPr>
        <w:pStyle w:val="VIRTBulletpoints"/>
      </w:pPr>
      <w:r w:rsidRPr="000740FC">
        <w:t>annuity purchased in the private market.</w:t>
      </w:r>
    </w:p>
    <w:p w14:paraId="4972F1A5" w14:textId="29DD51FB" w:rsidR="00A06F95" w:rsidRPr="000740FC" w:rsidRDefault="00065FD5" w:rsidP="00B33183">
      <w:pPr>
        <w:pStyle w:val="Paragraph"/>
      </w:pPr>
      <w:r w:rsidRPr="005A1B62">
        <w:t>F</w:t>
      </w:r>
      <w:r w:rsidR="00DE1DBC" w:rsidRPr="005A1B62">
        <w:t>ormer MPs in the defined</w:t>
      </w:r>
      <w:r w:rsidR="000A4695">
        <w:t xml:space="preserve"> benefit</w:t>
      </w:r>
      <w:r w:rsidR="00DE1DBC" w:rsidRPr="005A1B62">
        <w:t xml:space="preserve"> schemes </w:t>
      </w:r>
      <w:r w:rsidR="002F094B">
        <w:t>who</w:t>
      </w:r>
      <w:r w:rsidR="00DE1DBC" w:rsidRPr="005A1B62">
        <w:t xml:space="preserve"> receive</w:t>
      </w:r>
      <w:r w:rsidR="000B7738" w:rsidRPr="005A1B62">
        <w:t xml:space="preserve"> </w:t>
      </w:r>
      <w:r w:rsidR="002D43E1" w:rsidRPr="005A1B62">
        <w:t xml:space="preserve">a lump sum </w:t>
      </w:r>
      <w:r w:rsidR="00CB688C">
        <w:t>payment</w:t>
      </w:r>
      <w:r w:rsidR="00350B24" w:rsidRPr="005A1B62">
        <w:t xml:space="preserve"> may </w:t>
      </w:r>
      <w:r w:rsidR="00212D31" w:rsidRPr="005A1B62">
        <w:t>be restricted from accessing it</w:t>
      </w:r>
      <w:r w:rsidR="0011494A" w:rsidRPr="005A1B62">
        <w:t xml:space="preserve"> due to Commonwealth</w:t>
      </w:r>
      <w:r w:rsidR="00917B58" w:rsidRPr="005A1B62">
        <w:t xml:space="preserve"> preservation rules.</w:t>
      </w:r>
      <w:r w:rsidRPr="005A1B62">
        <w:t xml:space="preserve"> Those MPs are </w:t>
      </w:r>
      <w:r w:rsidR="0048251F" w:rsidRPr="005A1B62">
        <w:t xml:space="preserve">instead </w:t>
      </w:r>
      <w:r w:rsidRPr="005A1B62">
        <w:t>required to transfer the lump sum into an accumulation</w:t>
      </w:r>
      <w:r w:rsidR="000D46C0" w:rsidRPr="005A1B62">
        <w:noBreakHyphen/>
      </w:r>
      <w:r w:rsidRPr="005A1B62">
        <w:t xml:space="preserve">type </w:t>
      </w:r>
      <w:r w:rsidR="00883962" w:rsidRPr="005A1B62">
        <w:t>account</w:t>
      </w:r>
      <w:r w:rsidR="0048251F" w:rsidRPr="005A1B62">
        <w:t>.</w:t>
      </w:r>
      <w:r w:rsidR="00DE1DBC" w:rsidRPr="005A1B62">
        <w:t xml:space="preserve"> </w:t>
      </w:r>
      <w:r w:rsidR="0031140F" w:rsidRPr="005A1B62">
        <w:t xml:space="preserve">Once those </w:t>
      </w:r>
      <w:r w:rsidR="00E64291" w:rsidRPr="005A1B62">
        <w:t>former MPs</w:t>
      </w:r>
      <w:r w:rsidR="0031140F" w:rsidRPr="005A1B62">
        <w:t xml:space="preserve"> are allowed</w:t>
      </w:r>
      <w:r w:rsidR="001274FC" w:rsidRPr="005A1B62">
        <w:t xml:space="preserve"> to access</w:t>
      </w:r>
      <w:r w:rsidR="00960F69" w:rsidRPr="005A1B62">
        <w:t xml:space="preserve"> their superannuation </w:t>
      </w:r>
      <w:r w:rsidR="00960F69" w:rsidRPr="005A1B62">
        <w:lastRenderedPageBreak/>
        <w:t>under the preservation rules, they</w:t>
      </w:r>
      <w:r w:rsidR="00E877BF" w:rsidRPr="005A1B62">
        <w:t xml:space="preserve"> can do so using the </w:t>
      </w:r>
      <w:r w:rsidR="00CB1329" w:rsidRPr="005A1B62">
        <w:t>o</w:t>
      </w:r>
      <w:r w:rsidR="00E877BF" w:rsidRPr="005A1B62">
        <w:t xml:space="preserve">ptions available </w:t>
      </w:r>
      <w:r w:rsidR="00CB1329" w:rsidRPr="005A1B62">
        <w:t>to</w:t>
      </w:r>
      <w:r w:rsidR="00E877BF" w:rsidRPr="005A1B62">
        <w:t xml:space="preserve"> former MPs</w:t>
      </w:r>
      <w:r w:rsidR="00E64291" w:rsidRPr="005A1B62">
        <w:t xml:space="preserve"> </w:t>
      </w:r>
      <w:r w:rsidR="00CB1329" w:rsidRPr="005A1B62">
        <w:t xml:space="preserve">in the </w:t>
      </w:r>
      <w:r w:rsidR="003C60D7" w:rsidRPr="005A1B62">
        <w:t>accumulation scheme</w:t>
      </w:r>
      <w:r w:rsidR="000B35A2" w:rsidRPr="005A1B62">
        <w:t>.</w:t>
      </w:r>
      <w:r w:rsidR="00163AE2" w:rsidRPr="005A1B62">
        <w:t xml:space="preserve"> </w:t>
      </w:r>
    </w:p>
    <w:p w14:paraId="76891B90" w14:textId="55547FD2" w:rsidR="00CB73E2" w:rsidRPr="000740FC" w:rsidRDefault="00CB73E2" w:rsidP="00B33183">
      <w:pPr>
        <w:pStyle w:val="Paragraph"/>
      </w:pPr>
      <w:r w:rsidRPr="000740FC">
        <w:t>If</w:t>
      </w:r>
      <w:r w:rsidR="00D863B9" w:rsidRPr="000740FC">
        <w:t xml:space="preserve"> </w:t>
      </w:r>
      <w:r w:rsidRPr="000740FC">
        <w:t>purchas</w:t>
      </w:r>
      <w:r w:rsidR="67C1CC2B" w:rsidRPr="000740FC">
        <w:t>ing</w:t>
      </w:r>
      <w:r w:rsidRPr="000740FC">
        <w:t xml:space="preserve"> an annuity, the</w:t>
      </w:r>
      <w:r w:rsidR="29AB4E1F" w:rsidRPr="000740FC">
        <w:t xml:space="preserve"> former MP</w:t>
      </w:r>
      <w:r w:rsidRPr="000740FC">
        <w:t xml:space="preserve"> ha</w:t>
      </w:r>
      <w:r w:rsidR="570437F5" w:rsidRPr="000740FC">
        <w:t>s</w:t>
      </w:r>
      <w:r w:rsidRPr="000740FC">
        <w:t xml:space="preserve"> a variety of options regarding </w:t>
      </w:r>
      <w:r w:rsidR="135C8548" w:rsidRPr="000740FC">
        <w:t>its</w:t>
      </w:r>
      <w:r w:rsidRPr="000740FC">
        <w:t xml:space="preserve"> </w:t>
      </w:r>
      <w:r w:rsidR="788F68F2" w:rsidRPr="000740FC">
        <w:t>structure</w:t>
      </w:r>
      <w:r w:rsidRPr="000740FC">
        <w:t>. For example, they may purchase a lifetime annuity that will provide payments for the remainder of their lives, or a fixed</w:t>
      </w:r>
      <w:r w:rsidR="00CE7AAC" w:rsidRPr="000740FC">
        <w:noBreakHyphen/>
      </w:r>
      <w:r w:rsidRPr="000740FC">
        <w:t xml:space="preserve">term annuity that provides payments for a </w:t>
      </w:r>
      <w:r w:rsidR="5BC96F4C" w:rsidRPr="000740FC">
        <w:t>set</w:t>
      </w:r>
      <w:r w:rsidRPr="000740FC">
        <w:t xml:space="preserve"> number of years. </w:t>
      </w:r>
    </w:p>
    <w:p w14:paraId="3F3089EB" w14:textId="3897980A" w:rsidR="007F6BE2" w:rsidRPr="000740FC" w:rsidRDefault="00CB73E2" w:rsidP="00B33183">
      <w:pPr>
        <w:pStyle w:val="Paragraph"/>
      </w:pPr>
      <w:r w:rsidRPr="000740FC">
        <w:t xml:space="preserve">Former MPs in the accumulation scheme also have more opportunities to change how they access their superannuation once they have retired. For example, </w:t>
      </w:r>
      <w:r w:rsidR="7D4D499E" w:rsidRPr="000740FC">
        <w:rPr>
          <w:rFonts w:eastAsia="Calibri Light" w:cs="Calibri Light"/>
        </w:rPr>
        <w:t xml:space="preserve">the frequency and size of the payments can be changed for an </w:t>
      </w:r>
      <w:r w:rsidRPr="000740FC">
        <w:t xml:space="preserve">account-based pension, and part or all of the funds </w:t>
      </w:r>
      <w:r w:rsidR="589425CC" w:rsidRPr="000740FC">
        <w:t xml:space="preserve">can be withdrawn </w:t>
      </w:r>
      <w:r w:rsidRPr="000740FC">
        <w:t>as a lump sum.</w:t>
      </w:r>
    </w:p>
    <w:p w14:paraId="38785E09" w14:textId="31BE4B81" w:rsidR="000D7321" w:rsidRPr="000740FC" w:rsidRDefault="004027FA" w:rsidP="00DB774D">
      <w:pPr>
        <w:pStyle w:val="VIRTHeading2"/>
      </w:pPr>
      <w:bookmarkStart w:id="74" w:name="_Toc50990429"/>
      <w:bookmarkStart w:id="75" w:name="_Toc51234138"/>
      <w:r w:rsidRPr="000740FC">
        <w:t xml:space="preserve">4.4 </w:t>
      </w:r>
      <w:r w:rsidR="000D7321" w:rsidRPr="000740FC">
        <w:t>Summary</w:t>
      </w:r>
      <w:bookmarkEnd w:id="74"/>
      <w:bookmarkEnd w:id="75"/>
      <w:r w:rsidR="000D7321" w:rsidRPr="000740FC">
        <w:t xml:space="preserve"> </w:t>
      </w:r>
    </w:p>
    <w:p w14:paraId="350FDDBC" w14:textId="601B68C7" w:rsidR="004027FA" w:rsidRPr="000740FC" w:rsidRDefault="00CF6EEB" w:rsidP="00B33183">
      <w:pPr>
        <w:pStyle w:val="Paragraph"/>
      </w:pPr>
      <w:r w:rsidRPr="000740FC">
        <w:t xml:space="preserve">There are three key qualitative differences between the </w:t>
      </w:r>
      <w:r w:rsidR="006265AE">
        <w:t xml:space="preserve">MP superannuation </w:t>
      </w:r>
      <w:r w:rsidRPr="000740FC">
        <w:t xml:space="preserve">schemes. </w:t>
      </w:r>
      <w:r w:rsidR="004027FA" w:rsidRPr="000740FC">
        <w:t>T</w:t>
      </w:r>
      <w:r w:rsidRPr="000740FC">
        <w:t xml:space="preserve">wo of these differences — the timing of when an MP can access their superannuation and the sources of risk and uncertainty — </w:t>
      </w:r>
      <w:r w:rsidRPr="00FD409F">
        <w:t>favo</w:t>
      </w:r>
      <w:r w:rsidR="00A408D1" w:rsidRPr="00FD409F">
        <w:t>u</w:t>
      </w:r>
      <w:r w:rsidRPr="00FD409F">
        <w:t>r</w:t>
      </w:r>
      <w:r w:rsidRPr="000740FC">
        <w:t xml:space="preserve"> members of </w:t>
      </w:r>
      <w:r w:rsidR="00B97F12">
        <w:t xml:space="preserve">the </w:t>
      </w:r>
      <w:r w:rsidRPr="000740FC">
        <w:t xml:space="preserve">defined benefit schemes. This is </w:t>
      </w:r>
      <w:r w:rsidRPr="00FD409F">
        <w:t>because</w:t>
      </w:r>
      <w:r w:rsidRPr="000740FC">
        <w:t xml:space="preserve"> </w:t>
      </w:r>
      <w:r w:rsidR="00756F89" w:rsidRPr="000740FC">
        <w:t xml:space="preserve">members of </w:t>
      </w:r>
      <w:r w:rsidR="00B97F12">
        <w:t xml:space="preserve">the </w:t>
      </w:r>
      <w:r w:rsidR="00756F89" w:rsidRPr="000740FC">
        <w:t>defined benefit schemes</w:t>
      </w:r>
      <w:r w:rsidR="00EC206B">
        <w:t xml:space="preserve"> who</w:t>
      </w:r>
      <w:r w:rsidR="00756F89" w:rsidRPr="000740FC">
        <w:t xml:space="preserve"> meet </w:t>
      </w:r>
      <w:r w:rsidR="007515CE">
        <w:t xml:space="preserve">the </w:t>
      </w:r>
      <w:r w:rsidR="00756F89" w:rsidRPr="000740FC">
        <w:t>eligibility requirements for receiving a pension are</w:t>
      </w:r>
      <w:r w:rsidRPr="000740FC">
        <w:t xml:space="preserve"> able to access their superannuation upon leaving the Parliament and are eligible to receive a guaranteed income for the remainder of their lives. The third difference, related to flexibility, may favo</w:t>
      </w:r>
      <w:r w:rsidR="386CA510" w:rsidRPr="000740FC">
        <w:t>u</w:t>
      </w:r>
      <w:r w:rsidRPr="000740FC">
        <w:t>r members of the accumulation scheme</w:t>
      </w:r>
      <w:r w:rsidR="00221FE1">
        <w:t xml:space="preserve"> as they have</w:t>
      </w:r>
      <w:r w:rsidRPr="000740FC">
        <w:t xml:space="preserve"> </w:t>
      </w:r>
      <w:r w:rsidR="006B1BCC" w:rsidRPr="000740FC">
        <w:t xml:space="preserve">greater </w:t>
      </w:r>
      <w:r w:rsidRPr="000740FC">
        <w:t xml:space="preserve">choice </w:t>
      </w:r>
      <w:r w:rsidR="005A1B62">
        <w:t xml:space="preserve">in respect </w:t>
      </w:r>
      <w:r w:rsidRPr="000740FC">
        <w:t>of superannuation fund and level of contributions.</w:t>
      </w:r>
    </w:p>
    <w:p w14:paraId="6ED0AE5F" w14:textId="24A2543C" w:rsidR="00CF6EEB" w:rsidRPr="000740FC" w:rsidRDefault="004027FA" w:rsidP="00B33183">
      <w:pPr>
        <w:pStyle w:val="Paragraph"/>
      </w:pPr>
      <w:r w:rsidRPr="000740FC">
        <w:t xml:space="preserve">On balance, the Tribunal considers that these differences place MPs in the defined benefit schemes at a significant advantage compared </w:t>
      </w:r>
      <w:r w:rsidR="79F55703" w:rsidRPr="000740FC">
        <w:t>with</w:t>
      </w:r>
      <w:r w:rsidRPr="000740FC">
        <w:t xml:space="preserve"> their counterparts in the accumulation scheme. This suggests that there </w:t>
      </w:r>
      <w:r w:rsidR="003B654E" w:rsidRPr="000740FC">
        <w:t>is a</w:t>
      </w:r>
      <w:r w:rsidR="00D72DA5" w:rsidRPr="000740FC">
        <w:t xml:space="preserve"> potential</w:t>
      </w:r>
      <w:r w:rsidR="003B654E" w:rsidRPr="000740FC">
        <w:t xml:space="preserve"> inequality</w:t>
      </w:r>
      <w:r w:rsidRPr="000740FC">
        <w:t xml:space="preserve"> between those schemes.</w:t>
      </w:r>
    </w:p>
    <w:p w14:paraId="0B230A58" w14:textId="77777777" w:rsidR="005339AD" w:rsidRDefault="00CF6EEB" w:rsidP="00B33183">
      <w:pPr>
        <w:pStyle w:val="Paragraph"/>
      </w:pPr>
      <w:r w:rsidRPr="000740FC">
        <w:t>Chapter 5</w:t>
      </w:r>
      <w:r w:rsidR="00927809" w:rsidRPr="000740FC">
        <w:t xml:space="preserve"> </w:t>
      </w:r>
      <w:r w:rsidR="000813B8" w:rsidRPr="000740FC">
        <w:t xml:space="preserve">discusses </w:t>
      </w:r>
      <w:r w:rsidR="00667E9B" w:rsidRPr="000740FC">
        <w:t xml:space="preserve">quantitative </w:t>
      </w:r>
      <w:r w:rsidR="001D44D5" w:rsidRPr="000740FC">
        <w:t xml:space="preserve">differences in the </w:t>
      </w:r>
      <w:r w:rsidR="00667E9B" w:rsidRPr="000740FC">
        <w:t xml:space="preserve">superannuation </w:t>
      </w:r>
      <w:r w:rsidR="009560C9">
        <w:t>benefits</w:t>
      </w:r>
      <w:r w:rsidR="001D44D5" w:rsidRPr="000740FC">
        <w:t xml:space="preserve"> provided by the New Benefits Scheme and the accumulation scheme. </w:t>
      </w:r>
    </w:p>
    <w:p w14:paraId="6104B697" w14:textId="77777777" w:rsidR="00E959A2" w:rsidRDefault="00E959A2" w:rsidP="00B33183">
      <w:pPr>
        <w:pStyle w:val="Paragraph"/>
      </w:pPr>
    </w:p>
    <w:p w14:paraId="56E88A41" w14:textId="5A5098DA" w:rsidR="005339AD" w:rsidRPr="000740FC" w:rsidRDefault="005339AD" w:rsidP="00B33183">
      <w:pPr>
        <w:pStyle w:val="Paragraph"/>
        <w:sectPr w:rsidR="005339AD" w:rsidRPr="000740FC" w:rsidSect="0052634F">
          <w:pgSz w:w="11900" w:h="16840"/>
          <w:pgMar w:top="1701" w:right="1701" w:bottom="1559" w:left="1701" w:header="709" w:footer="709" w:gutter="0"/>
          <w:cols w:space="708"/>
          <w:titlePg/>
          <w:docGrid w:linePitch="299"/>
        </w:sectPr>
      </w:pPr>
    </w:p>
    <w:p w14:paraId="2F430EA7" w14:textId="4927E524" w:rsidR="00CB73E2" w:rsidRPr="000740FC" w:rsidDel="007F6BE2" w:rsidRDefault="238392C0" w:rsidP="008D22A9">
      <w:pPr>
        <w:pStyle w:val="ChapterHeading0"/>
        <w:rPr>
          <w:lang w:val="en-AU"/>
        </w:rPr>
      </w:pPr>
      <w:bookmarkStart w:id="76" w:name="_Toc50990430"/>
      <w:bookmarkStart w:id="77" w:name="_Toc51234139"/>
      <w:r w:rsidRPr="000740FC">
        <w:rPr>
          <w:lang w:val="en-AU"/>
        </w:rPr>
        <w:lastRenderedPageBreak/>
        <w:t xml:space="preserve">5 </w:t>
      </w:r>
      <w:r w:rsidR="00B74C48" w:rsidRPr="000740FC">
        <w:rPr>
          <w:lang w:val="en-AU"/>
        </w:rPr>
        <w:t>Quantitative comparison of the schemes</w:t>
      </w:r>
      <w:r w:rsidR="00BF2DB2" w:rsidRPr="000740FC">
        <w:rPr>
          <w:lang w:val="en-AU"/>
        </w:rPr>
        <w:br/>
      </w:r>
      <w:r w:rsidR="000C4D46" w:rsidRPr="000740FC">
        <w:rPr>
          <w:lang w:val="en-AU"/>
        </w:rPr>
        <w:drawing>
          <wp:inline distT="0" distB="0" distL="0" distR="0" wp14:anchorId="5E9F639A" wp14:editId="23BCE277">
            <wp:extent cx="2218055" cy="254635"/>
            <wp:effectExtent l="0" t="0" r="0" b="0"/>
            <wp:docPr id="1269490299" name="Picture 126949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76"/>
      <w:bookmarkEnd w:id="77"/>
    </w:p>
    <w:p w14:paraId="7754888E" w14:textId="035666A8" w:rsidR="001E2848" w:rsidRPr="000740FC" w:rsidRDefault="006C7C4A" w:rsidP="00B33183">
      <w:pPr>
        <w:pStyle w:val="Paragraph"/>
      </w:pPr>
      <w:r w:rsidRPr="000740FC">
        <w:t xml:space="preserve">This chapter summarises the findings of actuarial modelling commissioned by the Tribunal to compare the expected financial benefits provided by the New Benefits Scheme and accumulation scheme under various scenarios. The modelling takes into account the unique features and rules of the schemes. </w:t>
      </w:r>
    </w:p>
    <w:p w14:paraId="02DD792A" w14:textId="0DFC3BC6" w:rsidR="006C7C4A" w:rsidRPr="000740FC" w:rsidDel="007F6BE2" w:rsidRDefault="001E2848" w:rsidP="00B33183">
      <w:pPr>
        <w:pStyle w:val="Paragraph"/>
      </w:pPr>
      <w:r w:rsidRPr="000740FC">
        <w:t xml:space="preserve">Appendix </w:t>
      </w:r>
      <w:r w:rsidR="006C7C4A" w:rsidRPr="000740FC">
        <w:t xml:space="preserve">D provides further technical details </w:t>
      </w:r>
      <w:r w:rsidRPr="000740FC">
        <w:t xml:space="preserve">about </w:t>
      </w:r>
      <w:r w:rsidR="006C7C4A" w:rsidRPr="000740FC">
        <w:t>the modelling</w:t>
      </w:r>
      <w:r w:rsidRPr="000740FC">
        <w:t xml:space="preserve">, including </w:t>
      </w:r>
      <w:r w:rsidR="00B03F22" w:rsidRPr="000740FC">
        <w:t xml:space="preserve">an explanation of key </w:t>
      </w:r>
      <w:r w:rsidRPr="000740FC">
        <w:t>assumptions</w:t>
      </w:r>
      <w:r w:rsidR="008F5BFF">
        <w:t xml:space="preserve"> and methodolog</w:t>
      </w:r>
      <w:r w:rsidR="006D78CF">
        <w:t>ies</w:t>
      </w:r>
      <w:r w:rsidR="006C7C4A" w:rsidRPr="000740FC">
        <w:t>.</w:t>
      </w:r>
      <w:r w:rsidRPr="000740FC">
        <w:t xml:space="preserve"> </w:t>
      </w:r>
    </w:p>
    <w:p w14:paraId="057DF337" w14:textId="3B77027C" w:rsidR="006C7C4A" w:rsidRPr="000740FC" w:rsidRDefault="006C7C4A" w:rsidP="00DB774D">
      <w:pPr>
        <w:pStyle w:val="VIRTHeading2"/>
        <w:rPr>
          <w:lang w:val="en-AU"/>
        </w:rPr>
      </w:pPr>
      <w:bookmarkStart w:id="78" w:name="_Toc50990431"/>
      <w:bookmarkStart w:id="79" w:name="_Toc51234140"/>
      <w:r w:rsidRPr="000740FC">
        <w:rPr>
          <w:lang w:val="en-AU"/>
        </w:rPr>
        <w:t>5.1 Actuarial modelling approach</w:t>
      </w:r>
      <w:bookmarkEnd w:id="78"/>
      <w:bookmarkEnd w:id="79"/>
    </w:p>
    <w:p w14:paraId="4BE825E0" w14:textId="40581846" w:rsidR="006C7C4A" w:rsidRPr="000740FC" w:rsidRDefault="006C7C4A" w:rsidP="00B33183">
      <w:pPr>
        <w:pStyle w:val="Paragraph"/>
      </w:pPr>
      <w:r w:rsidRPr="000740FC">
        <w:t>The Tribunal commissioned PwC</w:t>
      </w:r>
      <w:r w:rsidR="00465FA5">
        <w:t>, consultants,</w:t>
      </w:r>
      <w:r w:rsidR="00DA264F" w:rsidRPr="000740FC">
        <w:t xml:space="preserve"> </w:t>
      </w:r>
      <w:r w:rsidRPr="000740FC">
        <w:t>to carry out actuarial modelling to compare the expected benefits of the schemes using superannuation industry standard assumptions</w:t>
      </w:r>
      <w:r w:rsidR="00FD738E">
        <w:t xml:space="preserve"> and methodolog</w:t>
      </w:r>
      <w:r w:rsidR="006D78CF">
        <w:t>ies</w:t>
      </w:r>
      <w:r w:rsidRPr="000740FC">
        <w:t>.</w:t>
      </w:r>
    </w:p>
    <w:p w14:paraId="2401E93F" w14:textId="3E2B6B81" w:rsidR="006C7C4A" w:rsidRPr="000740FC" w:rsidRDefault="006C7C4A" w:rsidP="00B33183">
      <w:pPr>
        <w:pStyle w:val="Paragraph"/>
      </w:pPr>
      <w:r w:rsidRPr="000740FC">
        <w:t xml:space="preserve">The modelling compared the </w:t>
      </w:r>
      <w:r w:rsidR="003B3F47">
        <w:t xml:space="preserve">estimated </w:t>
      </w:r>
      <w:r w:rsidRPr="000740FC">
        <w:t>superannuation benefits provided to various hypothetical MP</w:t>
      </w:r>
      <w:r w:rsidR="00EE0DAA">
        <w:t>s</w:t>
      </w:r>
      <w:r w:rsidRPr="000740FC">
        <w:t xml:space="preserve">, who were assumed to have the option to join either </w:t>
      </w:r>
      <w:r w:rsidR="002C4B5C">
        <w:t>the</w:t>
      </w:r>
      <w:r w:rsidR="007524F2">
        <w:t xml:space="preserve"> New Benefits Scheme or accumulation scheme</w:t>
      </w:r>
      <w:r w:rsidRPr="000740FC">
        <w:t xml:space="preserve">. It is important to note that the modelling is purely hypothetical — and that this </w:t>
      </w:r>
      <w:r w:rsidR="00DF081A">
        <w:t>option</w:t>
      </w:r>
      <w:r w:rsidRPr="000740FC">
        <w:t xml:space="preserve"> did</w:t>
      </w:r>
      <w:r w:rsidR="00DF081A">
        <w:t xml:space="preserve"> not</w:t>
      </w:r>
      <w:r w:rsidRPr="000740FC">
        <w:t xml:space="preserve"> and does not exist in practice — as the New Benefits Scheme was closed to new entrants in 2004.</w:t>
      </w:r>
    </w:p>
    <w:p w14:paraId="785DC922" w14:textId="7EB8DE86" w:rsidR="006C7C4A" w:rsidRPr="000740FC" w:rsidRDefault="006C7C4A" w:rsidP="00B33183">
      <w:pPr>
        <w:pStyle w:val="Parabeforeabulletlist"/>
      </w:pPr>
      <w:r w:rsidRPr="000740FC">
        <w:t>The modelling incorporated both</w:t>
      </w:r>
      <w:r w:rsidR="00A321FB">
        <w:t xml:space="preserve"> a</w:t>
      </w:r>
      <w:r w:rsidRPr="000740FC">
        <w:t>:</w:t>
      </w:r>
    </w:p>
    <w:p w14:paraId="40FA26D8" w14:textId="7A711647" w:rsidR="006C7C4A" w:rsidRPr="000740FC" w:rsidRDefault="006C7C4A" w:rsidP="006C7C4A">
      <w:pPr>
        <w:pStyle w:val="VIRTBulletpoints"/>
      </w:pPr>
      <w:r w:rsidRPr="000740FC">
        <w:rPr>
          <w:i/>
          <w:iCs/>
        </w:rPr>
        <w:t>backward-looking approach</w:t>
      </w:r>
      <w:r w:rsidRPr="000740FC">
        <w:t xml:space="preserve">: estimating the superannuation benefit of a hypothetical MP </w:t>
      </w:r>
      <w:r w:rsidR="007E1816">
        <w:t>who</w:t>
      </w:r>
      <w:r w:rsidRPr="000740FC">
        <w:t xml:space="preserve"> was a member of either the accumulation scheme or New Benefits Scheme and </w:t>
      </w:r>
      <w:r w:rsidR="007E1816">
        <w:t xml:space="preserve">who </w:t>
      </w:r>
      <w:r w:rsidRPr="000740FC">
        <w:t>served in the Parliament for a period:</w:t>
      </w:r>
    </w:p>
    <w:p w14:paraId="57B1124C" w14:textId="77777777" w:rsidR="006C7C4A" w:rsidRPr="000740FC" w:rsidRDefault="006C7C4A" w:rsidP="006C7C4A">
      <w:pPr>
        <w:pStyle w:val="VIRTBulletpoints"/>
        <w:numPr>
          <w:ilvl w:val="1"/>
          <w:numId w:val="12"/>
        </w:numPr>
      </w:pPr>
      <w:r w:rsidRPr="000740FC">
        <w:t xml:space="preserve">starting on or after 1 July 2004; and </w:t>
      </w:r>
    </w:p>
    <w:p w14:paraId="3F17C1AE" w14:textId="77777777" w:rsidR="006C7C4A" w:rsidRPr="000740FC" w:rsidRDefault="006C7C4A" w:rsidP="006C7C4A">
      <w:pPr>
        <w:pStyle w:val="VIRTBulletpoints"/>
        <w:numPr>
          <w:ilvl w:val="1"/>
          <w:numId w:val="12"/>
        </w:numPr>
      </w:pPr>
      <w:r w:rsidRPr="000740FC">
        <w:t xml:space="preserve">ending on or before 30 June 2019 </w:t>
      </w:r>
    </w:p>
    <w:p w14:paraId="0D6E0269" w14:textId="7FD55BDD" w:rsidR="006C7C4A" w:rsidRPr="000740FC" w:rsidRDefault="006C7C4A" w:rsidP="006C7C4A">
      <w:pPr>
        <w:pStyle w:val="VIRTBulletpoints"/>
      </w:pPr>
      <w:r w:rsidRPr="000740FC">
        <w:rPr>
          <w:i/>
          <w:iCs/>
        </w:rPr>
        <w:lastRenderedPageBreak/>
        <w:t>forward-looking approach</w:t>
      </w:r>
      <w:r w:rsidRPr="000740FC">
        <w:t xml:space="preserve">: forecasting the superannuation benefit of a hypothetical MP </w:t>
      </w:r>
      <w:r w:rsidR="007E1816">
        <w:t>who</w:t>
      </w:r>
      <w:r w:rsidRPr="000740FC">
        <w:t xml:space="preserve"> was a member of either the accumulation scheme or New Benefits Scheme and </w:t>
      </w:r>
      <w:r w:rsidR="007E1816">
        <w:t>who</w:t>
      </w:r>
      <w:r w:rsidR="0017754B">
        <w:t xml:space="preserve"> </w:t>
      </w:r>
      <w:r w:rsidRPr="000740FC">
        <w:t>served in the Parliament for a period:</w:t>
      </w:r>
    </w:p>
    <w:p w14:paraId="505F3396" w14:textId="77777777" w:rsidR="006C7C4A" w:rsidRPr="000740FC" w:rsidRDefault="006C7C4A" w:rsidP="006C7C4A">
      <w:pPr>
        <w:pStyle w:val="VIRTBulletpoints"/>
        <w:numPr>
          <w:ilvl w:val="1"/>
          <w:numId w:val="12"/>
        </w:numPr>
      </w:pPr>
      <w:r w:rsidRPr="000740FC">
        <w:t>starting on or after 1 July 2020; and</w:t>
      </w:r>
    </w:p>
    <w:p w14:paraId="6F4AD93B" w14:textId="77777777" w:rsidR="006C7C4A" w:rsidRPr="000740FC" w:rsidRDefault="006C7C4A" w:rsidP="006C7C4A">
      <w:pPr>
        <w:pStyle w:val="VIRTBulletpoints"/>
        <w:numPr>
          <w:ilvl w:val="1"/>
          <w:numId w:val="12"/>
        </w:numPr>
      </w:pPr>
      <w:r w:rsidRPr="000740FC">
        <w:t>ending on a future date.</w:t>
      </w:r>
    </w:p>
    <w:p w14:paraId="257CA12D" w14:textId="4528027C" w:rsidR="006C7C4A" w:rsidRPr="000740FC" w:rsidRDefault="006C7C4A" w:rsidP="00E91897">
      <w:pPr>
        <w:pStyle w:val="Paragraph"/>
      </w:pPr>
      <w:r w:rsidRPr="000740FC">
        <w:t xml:space="preserve">The Tribunal used the backward-looking approach to understand how the superannuation </w:t>
      </w:r>
      <w:r w:rsidR="004C7F36">
        <w:t>benefits</w:t>
      </w:r>
      <w:r w:rsidRPr="000740FC">
        <w:t xml:space="preserve"> provided to existing and former MPs who joined the accumulation scheme from 2004 (as this was when the New Benefits Scheme was closed to new MPs) compare</w:t>
      </w:r>
      <w:r w:rsidR="003009FA">
        <w:t>d</w:t>
      </w:r>
      <w:r w:rsidRPr="000740FC">
        <w:t xml:space="preserve"> </w:t>
      </w:r>
      <w:r w:rsidR="00F17825">
        <w:t>with</w:t>
      </w:r>
      <w:r w:rsidRPr="000740FC">
        <w:t xml:space="preserve"> those provided to their contemporaries in the New Benefits Scheme.</w:t>
      </w:r>
    </w:p>
    <w:p w14:paraId="393FEED3" w14:textId="77777777" w:rsidR="006C7C4A" w:rsidRPr="000740FC" w:rsidRDefault="006C7C4A" w:rsidP="00B33183">
      <w:pPr>
        <w:pStyle w:val="Parabeforeabulletlist"/>
      </w:pPr>
      <w:r w:rsidRPr="000740FC">
        <w:t xml:space="preserve">The Tribunal used the forward-looking approach to understand how recent and anticipated future changes to MP superannuation entitlements are likely to affect the expected benefits of the superannuation schemes. </w:t>
      </w:r>
    </w:p>
    <w:p w14:paraId="64B9E653" w14:textId="5DAEBDDC" w:rsidR="006C7C4A" w:rsidRPr="000740FC" w:rsidRDefault="006C7C4A" w:rsidP="00B33183">
      <w:pPr>
        <w:pStyle w:val="Parabeforeabulletlist"/>
      </w:pPr>
      <w:r w:rsidRPr="000740FC">
        <w:t>The modelling was designed to provide a holistic comparison of the financial benefits of membership of the schemes, taking into account matters such as:</w:t>
      </w:r>
    </w:p>
    <w:p w14:paraId="4AC5D78B" w14:textId="77777777" w:rsidR="006C7C4A" w:rsidRPr="000740FC" w:rsidRDefault="006C7C4A" w:rsidP="006C7C4A">
      <w:pPr>
        <w:pStyle w:val="VIRTBulletpoints"/>
      </w:pPr>
      <w:r w:rsidRPr="000740FC">
        <w:t>superannuation contributions made or deducted from salary</w:t>
      </w:r>
    </w:p>
    <w:p w14:paraId="22EABDB9" w14:textId="77777777" w:rsidR="006C7C4A" w:rsidRPr="000740FC" w:rsidRDefault="006C7C4A" w:rsidP="006C7C4A">
      <w:pPr>
        <w:pStyle w:val="VIRTBulletpoints"/>
      </w:pPr>
      <w:r w:rsidRPr="000740FC">
        <w:t>reversionary benefits</w:t>
      </w:r>
    </w:p>
    <w:p w14:paraId="227D2DF6" w14:textId="77777777" w:rsidR="006C7C4A" w:rsidRPr="000740FC" w:rsidRDefault="006C7C4A" w:rsidP="006C7C4A">
      <w:pPr>
        <w:pStyle w:val="VIRTBulletpoints"/>
      </w:pPr>
      <w:r w:rsidRPr="000740FC">
        <w:t>disability and death benefits.</w:t>
      </w:r>
    </w:p>
    <w:p w14:paraId="37590258" w14:textId="77777777" w:rsidR="006C7C4A" w:rsidRPr="000740FC" w:rsidRDefault="006C7C4A" w:rsidP="00B33183">
      <w:pPr>
        <w:pStyle w:val="Parabeforeabulletlist"/>
      </w:pPr>
      <w:r w:rsidRPr="000740FC">
        <w:t>Key factors that influence the relative benefit provided by each scheme are:</w:t>
      </w:r>
    </w:p>
    <w:p w14:paraId="6CBBCAD9" w14:textId="77777777" w:rsidR="006C7C4A" w:rsidRPr="000740FC" w:rsidRDefault="006C7C4A" w:rsidP="006C7C4A">
      <w:pPr>
        <w:pStyle w:val="VIRTBulletpoints"/>
      </w:pPr>
      <w:r w:rsidRPr="000740FC">
        <w:t>the age at which an MP joined the Parliament</w:t>
      </w:r>
    </w:p>
    <w:p w14:paraId="7B61E1B6" w14:textId="77777777" w:rsidR="006C7C4A" w:rsidRPr="000740FC" w:rsidRDefault="006C7C4A" w:rsidP="006C7C4A">
      <w:pPr>
        <w:pStyle w:val="VIRTBulletpoints"/>
      </w:pPr>
      <w:r w:rsidRPr="000740FC">
        <w:t>the length of time that an MP served in the Parliament</w:t>
      </w:r>
    </w:p>
    <w:p w14:paraId="751CFF1F" w14:textId="77777777" w:rsidR="006C7C4A" w:rsidRPr="000740FC" w:rsidRDefault="006C7C4A" w:rsidP="006C7C4A">
      <w:pPr>
        <w:pStyle w:val="VIRTBulletpoints"/>
      </w:pPr>
      <w:r w:rsidRPr="000740FC">
        <w:t xml:space="preserve">the particular years that an MP served in the Parliament </w:t>
      </w:r>
    </w:p>
    <w:p w14:paraId="747439C6" w14:textId="77777777" w:rsidR="006C7C4A" w:rsidRPr="000740FC" w:rsidRDefault="006C7C4A" w:rsidP="006C7C4A">
      <w:pPr>
        <w:pStyle w:val="VIRTBulletpoints"/>
      </w:pPr>
      <w:r w:rsidRPr="000740FC">
        <w:t>any specified parliamentary offices that an MP held</w:t>
      </w:r>
    </w:p>
    <w:p w14:paraId="29D96854" w14:textId="77777777" w:rsidR="006C7C4A" w:rsidRPr="000740FC" w:rsidRDefault="006C7C4A" w:rsidP="006C7C4A">
      <w:pPr>
        <w:pStyle w:val="VIRTBulletpoints"/>
      </w:pPr>
      <w:r w:rsidRPr="000740FC">
        <w:t>for the accumulation scheme, how the superannuation balance was invested and the performance of that investment option.</w:t>
      </w:r>
    </w:p>
    <w:p w14:paraId="14841AB0" w14:textId="77777777" w:rsidR="006C7C4A" w:rsidRPr="000740FC" w:rsidRDefault="006C7C4A" w:rsidP="006C7C4A">
      <w:pPr>
        <w:pStyle w:val="VIRTHeading3"/>
        <w:rPr>
          <w:lang w:val="en-AU"/>
        </w:rPr>
      </w:pPr>
      <w:r w:rsidRPr="000740FC">
        <w:rPr>
          <w:lang w:val="en-AU"/>
        </w:rPr>
        <w:t>Key economic and financial assumptions</w:t>
      </w:r>
    </w:p>
    <w:p w14:paraId="2B007FF2" w14:textId="77777777" w:rsidR="006C7C4A" w:rsidRPr="000740FC" w:rsidRDefault="006C7C4A" w:rsidP="00E91897">
      <w:pPr>
        <w:pStyle w:val="Parabeforeabulletlist"/>
      </w:pPr>
      <w:r w:rsidRPr="000740FC">
        <w:t>The modelling used industry standard assumptions to estimate the impact on financial benefits of actual and expected:</w:t>
      </w:r>
    </w:p>
    <w:p w14:paraId="4D392E9F" w14:textId="77777777" w:rsidR="006C7C4A" w:rsidRPr="000740FC" w:rsidRDefault="006C7C4A" w:rsidP="006C7C4A">
      <w:pPr>
        <w:pStyle w:val="VIRTBulletpoints"/>
      </w:pPr>
      <w:r w:rsidRPr="000740FC">
        <w:t>inflation</w:t>
      </w:r>
    </w:p>
    <w:p w14:paraId="25BE5D15" w14:textId="77777777" w:rsidR="006C7C4A" w:rsidRPr="000740FC" w:rsidRDefault="006C7C4A" w:rsidP="006C7C4A">
      <w:pPr>
        <w:pStyle w:val="VIRTBulletpoints"/>
      </w:pPr>
      <w:r w:rsidRPr="000740FC">
        <w:t>growth in MP salaries and superannuation contributions</w:t>
      </w:r>
    </w:p>
    <w:p w14:paraId="1305C7DF" w14:textId="630290AB" w:rsidR="006C7C4A" w:rsidRPr="000740FC" w:rsidRDefault="006C7C4A" w:rsidP="006C7C4A">
      <w:pPr>
        <w:pStyle w:val="VIRTBulletpoints"/>
      </w:pPr>
      <w:r w:rsidRPr="000740FC">
        <w:t xml:space="preserve">investment returns (table </w:t>
      </w:r>
      <w:r w:rsidR="00E91897">
        <w:t>5.1</w:t>
      </w:r>
      <w:r w:rsidR="00E90904">
        <w:t xml:space="preserve"> overleaf</w:t>
      </w:r>
      <w:r w:rsidRPr="000740FC">
        <w:t xml:space="preserve">).  </w:t>
      </w:r>
    </w:p>
    <w:p w14:paraId="5FD1764C" w14:textId="161BC6E2" w:rsidR="006C7C4A" w:rsidRPr="000740FC" w:rsidRDefault="006C7C4A" w:rsidP="006C7C4A">
      <w:pPr>
        <w:pStyle w:val="Tableheading"/>
      </w:pPr>
      <w:r w:rsidRPr="000740FC">
        <w:lastRenderedPageBreak/>
        <w:t xml:space="preserve">Table </w:t>
      </w:r>
      <w:r w:rsidR="00E91897">
        <w:t>5.1</w:t>
      </w:r>
      <w:r w:rsidRPr="000740FC">
        <w:t>: key economic and financial assumptions</w:t>
      </w:r>
    </w:p>
    <w:tbl>
      <w:tblPr>
        <w:tblStyle w:val="ListTable3-Accent2"/>
        <w:tblW w:w="8498" w:type="dxa"/>
        <w:tblLook w:val="04A0" w:firstRow="1" w:lastRow="0" w:firstColumn="1" w:lastColumn="0" w:noHBand="0" w:noVBand="1"/>
      </w:tblPr>
      <w:tblGrid>
        <w:gridCol w:w="1616"/>
        <w:gridCol w:w="3048"/>
        <w:gridCol w:w="3834"/>
      </w:tblGrid>
      <w:tr w:rsidR="006C7C4A" w:rsidRPr="000740FC" w14:paraId="2F4CABDA" w14:textId="77777777" w:rsidTr="003C1F1A">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1616" w:type="dxa"/>
          </w:tcPr>
          <w:p w14:paraId="01B43BF9" w14:textId="77777777" w:rsidR="006C7C4A" w:rsidRPr="000740FC" w:rsidRDefault="006C7C4A" w:rsidP="008D6D73">
            <w:pPr>
              <w:pStyle w:val="Tableheaderrow"/>
              <w:jc w:val="left"/>
              <w:rPr>
                <w:b/>
                <w:bCs/>
              </w:rPr>
            </w:pPr>
            <w:r w:rsidRPr="000740FC">
              <w:rPr>
                <w:b/>
                <w:bCs/>
              </w:rPr>
              <w:t>Topic</w:t>
            </w:r>
          </w:p>
        </w:tc>
        <w:tc>
          <w:tcPr>
            <w:tcW w:w="3048" w:type="dxa"/>
          </w:tcPr>
          <w:p w14:paraId="7A6D6452" w14:textId="1F1D3EF1" w:rsidR="006C7C4A" w:rsidRPr="000740FC" w:rsidRDefault="006C7C4A" w:rsidP="008D6D73">
            <w:pPr>
              <w:pStyle w:val="Tableheaderrow"/>
              <w:jc w:val="left"/>
              <w:cnfStyle w:val="100000000000" w:firstRow="1" w:lastRow="0" w:firstColumn="0" w:lastColumn="0" w:oddVBand="0" w:evenVBand="0" w:oddHBand="0" w:evenHBand="0" w:firstRowFirstColumn="0" w:firstRowLastColumn="0" w:lastRowFirstColumn="0" w:lastRowLastColumn="0"/>
              <w:rPr>
                <w:b/>
                <w:bCs/>
              </w:rPr>
            </w:pPr>
            <w:r w:rsidRPr="000740FC">
              <w:rPr>
                <w:b/>
                <w:bCs/>
              </w:rPr>
              <w:t>Backward-looking approach</w:t>
            </w:r>
          </w:p>
        </w:tc>
        <w:tc>
          <w:tcPr>
            <w:tcW w:w="3834" w:type="dxa"/>
          </w:tcPr>
          <w:p w14:paraId="51AE85B7" w14:textId="77777777" w:rsidR="006C7C4A" w:rsidRPr="000740FC" w:rsidRDefault="006C7C4A" w:rsidP="008D6D73">
            <w:pPr>
              <w:pStyle w:val="Tableheaderrow"/>
              <w:jc w:val="left"/>
              <w:cnfStyle w:val="100000000000" w:firstRow="1" w:lastRow="0" w:firstColumn="0" w:lastColumn="0" w:oddVBand="0" w:evenVBand="0" w:oddHBand="0" w:evenHBand="0" w:firstRowFirstColumn="0" w:firstRowLastColumn="0" w:lastRowFirstColumn="0" w:lastRowLastColumn="0"/>
              <w:rPr>
                <w:b/>
                <w:bCs/>
              </w:rPr>
            </w:pPr>
            <w:r w:rsidRPr="000740FC">
              <w:rPr>
                <w:b/>
                <w:bCs/>
              </w:rPr>
              <w:t>Forward-looking approach</w:t>
            </w:r>
          </w:p>
        </w:tc>
      </w:tr>
      <w:tr w:rsidR="00A53F0A" w:rsidRPr="000740FC" w14:paraId="6A2459BF" w14:textId="77777777" w:rsidTr="00580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2B699307" w14:textId="77777777" w:rsidR="00A53F0A" w:rsidRPr="000740FC" w:rsidRDefault="00A53F0A" w:rsidP="003C1F1A">
            <w:pPr>
              <w:pStyle w:val="Textinthetable"/>
              <w:rPr>
                <w:b/>
                <w:bCs w:val="0"/>
                <w:highlight w:val="yellow"/>
                <w:lang w:val="en-AU"/>
              </w:rPr>
            </w:pPr>
            <w:r w:rsidRPr="000740FC">
              <w:rPr>
                <w:b/>
                <w:bCs w:val="0"/>
                <w:lang w:val="en-AU"/>
              </w:rPr>
              <w:t>Inflation</w:t>
            </w:r>
          </w:p>
        </w:tc>
        <w:tc>
          <w:tcPr>
            <w:tcW w:w="6882" w:type="dxa"/>
            <w:gridSpan w:val="2"/>
          </w:tcPr>
          <w:p w14:paraId="312817C3" w14:textId="12878D3A" w:rsidR="00A53F0A" w:rsidRPr="000740FC" w:rsidRDefault="00A53F0A" w:rsidP="00E91897">
            <w:pPr>
              <w:pStyle w:val="Tablebullets"/>
              <w:ind w:left="357" w:hanging="357"/>
              <w:cnfStyle w:val="000000100000" w:firstRow="0" w:lastRow="0" w:firstColumn="0" w:lastColumn="0" w:oddVBand="0" w:evenVBand="0" w:oddHBand="1" w:evenHBand="0" w:firstRowFirstColumn="0" w:firstRowLastColumn="0" w:lastRowFirstColumn="0" w:lastRowLastColumn="0"/>
            </w:pPr>
            <w:r w:rsidRPr="000740FC">
              <w:t xml:space="preserve">Based on an industry standard assumption of 2.5% </w:t>
            </w:r>
            <w:r w:rsidR="009A02D6">
              <w:t>p.a.</w:t>
            </w:r>
          </w:p>
        </w:tc>
      </w:tr>
      <w:tr w:rsidR="006C7C4A" w:rsidRPr="000740FC" w14:paraId="61A3C20D" w14:textId="77777777" w:rsidTr="003C1F1A">
        <w:tc>
          <w:tcPr>
            <w:cnfStyle w:val="001000000000" w:firstRow="0" w:lastRow="0" w:firstColumn="1" w:lastColumn="0" w:oddVBand="0" w:evenVBand="0" w:oddHBand="0" w:evenHBand="0" w:firstRowFirstColumn="0" w:firstRowLastColumn="0" w:lastRowFirstColumn="0" w:lastRowLastColumn="0"/>
            <w:tcW w:w="1616" w:type="dxa"/>
          </w:tcPr>
          <w:p w14:paraId="0F93E049" w14:textId="77777777" w:rsidR="006C7C4A" w:rsidRPr="000740FC" w:rsidRDefault="006C7C4A" w:rsidP="003C1F1A">
            <w:pPr>
              <w:pStyle w:val="Textinthetable"/>
              <w:rPr>
                <w:b/>
                <w:bCs w:val="0"/>
                <w:lang w:val="en-AU"/>
              </w:rPr>
            </w:pPr>
            <w:r w:rsidRPr="000740FC">
              <w:rPr>
                <w:b/>
                <w:bCs w:val="0"/>
                <w:lang w:val="en-AU"/>
              </w:rPr>
              <w:t>Growth in MP salaries and superannuation contributions</w:t>
            </w:r>
          </w:p>
        </w:tc>
        <w:tc>
          <w:tcPr>
            <w:tcW w:w="3048" w:type="dxa"/>
          </w:tcPr>
          <w:p w14:paraId="37101993" w14:textId="52675A6C" w:rsidR="006C7C4A" w:rsidRPr="000740FC" w:rsidRDefault="006C7C4A" w:rsidP="00E91897">
            <w:pPr>
              <w:pStyle w:val="Tablebullets"/>
              <w:ind w:left="357" w:hanging="357"/>
              <w:cnfStyle w:val="000000000000" w:firstRow="0" w:lastRow="0" w:firstColumn="0" w:lastColumn="0" w:oddVBand="0" w:evenVBand="0" w:oddHBand="0" w:evenHBand="0" w:firstRowFirstColumn="0" w:firstRowLastColumn="0" w:lastRowFirstColumn="0" w:lastRowLastColumn="0"/>
            </w:pPr>
            <w:r w:rsidRPr="000740FC">
              <w:t>Historic</w:t>
            </w:r>
            <w:r w:rsidR="002F4308">
              <w:t>al</w:t>
            </w:r>
            <w:r w:rsidRPr="000740FC">
              <w:t xml:space="preserve"> data</w:t>
            </w:r>
          </w:p>
        </w:tc>
        <w:tc>
          <w:tcPr>
            <w:tcW w:w="3834" w:type="dxa"/>
          </w:tcPr>
          <w:p w14:paraId="7FB1FA0F" w14:textId="43A73419" w:rsidR="006C7C4A" w:rsidRPr="000740FC" w:rsidRDefault="006C7C4A" w:rsidP="00E91897">
            <w:pPr>
              <w:pStyle w:val="Tablebullets"/>
              <w:ind w:left="357" w:hanging="357"/>
              <w:cnfStyle w:val="000000000000" w:firstRow="0" w:lastRow="0" w:firstColumn="0" w:lastColumn="0" w:oddVBand="0" w:evenVBand="0" w:oddHBand="0" w:evenHBand="0" w:firstRowFirstColumn="0" w:firstRowLastColumn="0" w:lastRowFirstColumn="0" w:lastRowLastColumn="0"/>
            </w:pPr>
            <w:r w:rsidRPr="000740FC">
              <w:t xml:space="preserve">MP salary and the </w:t>
            </w:r>
            <w:r w:rsidR="00450532">
              <w:t>BSP</w:t>
            </w:r>
            <w:r w:rsidRPr="000740FC">
              <w:t xml:space="preserve"> adjusted based on an industry standard assumption for wages growth, 4% </w:t>
            </w:r>
            <w:r w:rsidR="009A02D6">
              <w:t>p.a.</w:t>
            </w:r>
          </w:p>
          <w:p w14:paraId="69D31399" w14:textId="1D0F1062" w:rsidR="006C7C4A" w:rsidRPr="000740FC" w:rsidRDefault="006C7C4A" w:rsidP="00E91897">
            <w:pPr>
              <w:pStyle w:val="Tablebullets"/>
              <w:ind w:left="357" w:hanging="357"/>
              <w:cnfStyle w:val="000000000000" w:firstRow="0" w:lastRow="0" w:firstColumn="0" w:lastColumn="0" w:oddVBand="0" w:evenVBand="0" w:oddHBand="0" w:evenHBand="0" w:firstRowFirstColumn="0" w:firstRowLastColumn="0" w:lastRowFirstColumn="0" w:lastRowLastColumn="0"/>
            </w:pPr>
            <w:r w:rsidRPr="000740FC">
              <w:t xml:space="preserve">Proposed increases to the </w:t>
            </w:r>
            <w:r w:rsidR="00D21B6C">
              <w:t>SG percentage</w:t>
            </w:r>
            <w:r w:rsidRPr="000740FC">
              <w:t xml:space="preserve"> factored in</w:t>
            </w:r>
            <w:r w:rsidRPr="00E91897">
              <w:rPr>
                <w:vertAlign w:val="superscript"/>
              </w:rPr>
              <w:t>(a)</w:t>
            </w:r>
          </w:p>
        </w:tc>
      </w:tr>
      <w:tr w:rsidR="006C7C4A" w:rsidRPr="000740FC" w14:paraId="1E3F93B3" w14:textId="77777777" w:rsidTr="003C1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2585505" w14:textId="77777777" w:rsidR="006C7C4A" w:rsidRPr="000740FC" w:rsidRDefault="006C7C4A" w:rsidP="003C1F1A">
            <w:pPr>
              <w:pStyle w:val="Textinthetable"/>
              <w:rPr>
                <w:b/>
                <w:bCs w:val="0"/>
                <w:lang w:val="en-AU"/>
              </w:rPr>
            </w:pPr>
            <w:r w:rsidRPr="000740FC">
              <w:rPr>
                <w:b/>
                <w:bCs w:val="0"/>
                <w:lang w:val="en-AU"/>
              </w:rPr>
              <w:t>Investment returns</w:t>
            </w:r>
          </w:p>
        </w:tc>
        <w:tc>
          <w:tcPr>
            <w:tcW w:w="3048" w:type="dxa"/>
          </w:tcPr>
          <w:p w14:paraId="71C29B06" w14:textId="77777777" w:rsidR="006C7C4A" w:rsidRPr="000740FC" w:rsidRDefault="006C7C4A" w:rsidP="00E91897">
            <w:pPr>
              <w:pStyle w:val="Tablebullets"/>
              <w:ind w:left="357" w:hanging="357"/>
              <w:cnfStyle w:val="000000100000" w:firstRow="0" w:lastRow="0" w:firstColumn="0" w:lastColumn="0" w:oddVBand="0" w:evenVBand="0" w:oddHBand="1" w:evenHBand="0" w:firstRowFirstColumn="0" w:firstRowLastColumn="0" w:lastRowFirstColumn="0" w:lastRowLastColumn="0"/>
            </w:pPr>
            <w:r w:rsidRPr="000740FC">
              <w:t xml:space="preserve">Reported returns generated by the “growth” investment option of the default MP fund, </w:t>
            </w:r>
            <w:proofErr w:type="spellStart"/>
            <w:r w:rsidRPr="000740FC">
              <w:t>VicSuper</w:t>
            </w:r>
            <w:proofErr w:type="spellEnd"/>
          </w:p>
        </w:tc>
        <w:tc>
          <w:tcPr>
            <w:tcW w:w="3834" w:type="dxa"/>
          </w:tcPr>
          <w:p w14:paraId="51C218D5" w14:textId="7C35A30B" w:rsidR="006C7C4A" w:rsidRPr="000740FC" w:rsidRDefault="006C7C4A" w:rsidP="00E91897">
            <w:pPr>
              <w:pStyle w:val="Tablebullets"/>
              <w:ind w:left="357" w:hanging="357"/>
              <w:cnfStyle w:val="000000100000" w:firstRow="0" w:lastRow="0" w:firstColumn="0" w:lastColumn="0" w:oddVBand="0" w:evenVBand="0" w:oddHBand="1" w:evenHBand="0" w:firstRowFirstColumn="0" w:firstRowLastColumn="0" w:lastRowFirstColumn="0" w:lastRowLastColumn="0"/>
            </w:pPr>
            <w:r w:rsidRPr="000740FC">
              <w:t>Based on an industry standard assumption of 6%</w:t>
            </w:r>
            <w:r w:rsidR="00B9135C">
              <w:t xml:space="preserve"> </w:t>
            </w:r>
            <w:r w:rsidR="009A02D6">
              <w:t xml:space="preserve">p.a. </w:t>
            </w:r>
            <w:r w:rsidRPr="000740FC">
              <w:t xml:space="preserve">(net of </w:t>
            </w:r>
            <w:r w:rsidR="00B02E1A">
              <w:t xml:space="preserve">investment </w:t>
            </w:r>
            <w:r w:rsidRPr="000740FC">
              <w:t>fees and tax)</w:t>
            </w:r>
          </w:p>
        </w:tc>
      </w:tr>
    </w:tbl>
    <w:p w14:paraId="0811F839" w14:textId="504C94F5" w:rsidR="006C7C4A" w:rsidRPr="000740FC" w:rsidRDefault="006C7C4A" w:rsidP="006C7C4A">
      <w:pPr>
        <w:pStyle w:val="Notesfortablesfigures"/>
      </w:pPr>
      <w:r w:rsidRPr="000740FC">
        <w:t xml:space="preserve">Notes: (a) Under the </w:t>
      </w:r>
      <w:r w:rsidRPr="000740FC">
        <w:rPr>
          <w:i/>
          <w:iCs/>
        </w:rPr>
        <w:t>Superannuation Guarantee (Administration) Act 1992</w:t>
      </w:r>
      <w:r w:rsidRPr="000740FC">
        <w:t xml:space="preserve"> (Cth), the </w:t>
      </w:r>
      <w:r>
        <w:t>S</w:t>
      </w:r>
      <w:r w:rsidR="425816A2">
        <w:t>G</w:t>
      </w:r>
      <w:r w:rsidRPr="000740FC">
        <w:t xml:space="preserve"> </w:t>
      </w:r>
      <w:r w:rsidR="33D36710">
        <w:t>percentage</w:t>
      </w:r>
      <w:r>
        <w:t xml:space="preserve"> </w:t>
      </w:r>
      <w:r w:rsidRPr="000740FC">
        <w:t xml:space="preserve">is to progressively increase to 12 per cent by 1 July 2025. The State makes contributions for existing MPs in the accumulation scheme equal to the </w:t>
      </w:r>
      <w:r>
        <w:t>S</w:t>
      </w:r>
      <w:r w:rsidR="336120F5">
        <w:t>G</w:t>
      </w:r>
      <w:r w:rsidRPr="000740FC">
        <w:t xml:space="preserve"> </w:t>
      </w:r>
      <w:r w:rsidR="1FE9E96F">
        <w:t>percentage</w:t>
      </w:r>
      <w:r>
        <w:t xml:space="preserve"> </w:t>
      </w:r>
      <w:r w:rsidRPr="000740FC">
        <w:t>plus 6 per cent.</w:t>
      </w:r>
    </w:p>
    <w:p w14:paraId="39D46A86" w14:textId="4CCB479F" w:rsidR="006C7C4A" w:rsidRPr="000740FC" w:rsidRDefault="006C7C4A" w:rsidP="006C7C4A">
      <w:pPr>
        <w:pStyle w:val="VIRTHeading3"/>
        <w:rPr>
          <w:lang w:val="en-AU"/>
        </w:rPr>
      </w:pPr>
      <w:r w:rsidRPr="000740FC">
        <w:rPr>
          <w:lang w:val="en-AU"/>
        </w:rPr>
        <w:t>Key assumptions</w:t>
      </w:r>
      <w:r w:rsidR="00297731">
        <w:rPr>
          <w:lang w:val="en-AU"/>
        </w:rPr>
        <w:t xml:space="preserve"> and methodologies</w:t>
      </w:r>
      <w:r w:rsidRPr="000740FC">
        <w:rPr>
          <w:lang w:val="en-AU"/>
        </w:rPr>
        <w:t xml:space="preserve"> to enable comparisons</w:t>
      </w:r>
    </w:p>
    <w:p w14:paraId="2507741E" w14:textId="5696E0C5" w:rsidR="006C7C4A" w:rsidRPr="000740FC" w:rsidRDefault="006C7C4A" w:rsidP="00B33183">
      <w:pPr>
        <w:pStyle w:val="Paragraph"/>
      </w:pPr>
      <w:r w:rsidRPr="000740FC">
        <w:t xml:space="preserve">To enable comparisons between the schemes, the modelling </w:t>
      </w:r>
      <w:r w:rsidR="00764487">
        <w:t xml:space="preserve">used several methodologies and </w:t>
      </w:r>
      <w:r w:rsidRPr="000740FC">
        <w:t>made a series of key assumptions regarding:</w:t>
      </w:r>
    </w:p>
    <w:p w14:paraId="29FE69C8" w14:textId="52B7A264" w:rsidR="006C7C4A" w:rsidRPr="000740FC" w:rsidRDefault="009A51D8" w:rsidP="006C7C4A">
      <w:pPr>
        <w:pStyle w:val="VIRTBulletpoints"/>
      </w:pPr>
      <w:r>
        <w:rPr>
          <w:i/>
          <w:iCs/>
        </w:rPr>
        <w:t>C</w:t>
      </w:r>
      <w:r w:rsidR="006C7C4A" w:rsidRPr="000740FC">
        <w:rPr>
          <w:i/>
          <w:iCs/>
        </w:rPr>
        <w:t>alculation of the expected benefit</w:t>
      </w:r>
      <w:r w:rsidR="006C7C4A" w:rsidRPr="000740FC">
        <w:t xml:space="preserve">: presented in </w:t>
      </w:r>
      <w:r w:rsidR="00B1678D">
        <w:t xml:space="preserve">June </w:t>
      </w:r>
      <w:r w:rsidR="006C7C4A" w:rsidRPr="000740FC">
        <w:t>2020 dollars, after</w:t>
      </w:r>
      <w:r w:rsidR="005675E4" w:rsidRPr="000740FC">
        <w:t>-</w:t>
      </w:r>
      <w:r w:rsidR="006C7C4A" w:rsidRPr="000740FC">
        <w:t xml:space="preserve">tax, representing the expected superannuation </w:t>
      </w:r>
      <w:r w:rsidR="007828EF">
        <w:t>benefit</w:t>
      </w:r>
      <w:r w:rsidR="006C7C4A" w:rsidRPr="000740FC">
        <w:t xml:space="preserve"> of an MP upon leaving the Parliament</w:t>
      </w:r>
      <w:r>
        <w:t>.</w:t>
      </w:r>
    </w:p>
    <w:p w14:paraId="202CF10E" w14:textId="06FA6D2D" w:rsidR="006C7C4A" w:rsidRPr="000740FC" w:rsidRDefault="009A51D8" w:rsidP="006C7C4A">
      <w:pPr>
        <w:pStyle w:val="VIRTBulletpoints"/>
      </w:pPr>
      <w:r>
        <w:rPr>
          <w:i/>
          <w:iCs/>
        </w:rPr>
        <w:t>V</w:t>
      </w:r>
      <w:r w:rsidR="0094524C">
        <w:rPr>
          <w:i/>
          <w:iCs/>
        </w:rPr>
        <w:t>alue of pension benefit</w:t>
      </w:r>
      <w:r w:rsidR="006C7C4A" w:rsidRPr="000740FC">
        <w:t xml:space="preserve">: </w:t>
      </w:r>
      <w:r w:rsidR="00127E02" w:rsidRPr="0059052A">
        <w:t xml:space="preserve">the expected future pension </w:t>
      </w:r>
      <w:r w:rsidR="00127E02">
        <w:t>payments are</w:t>
      </w:r>
      <w:r w:rsidR="00127E02" w:rsidRPr="0059052A">
        <w:t xml:space="preserve"> converted to a </w:t>
      </w:r>
      <w:r w:rsidR="00127E02">
        <w:t xml:space="preserve">present value in </w:t>
      </w:r>
      <w:r>
        <w:t xml:space="preserve">June </w:t>
      </w:r>
      <w:r w:rsidR="00127E02">
        <w:t xml:space="preserve">2020 dollars, after tax, </w:t>
      </w:r>
      <w:r w:rsidR="00127E02" w:rsidRPr="0059052A">
        <w:t xml:space="preserve">using a 6.5 per cent </w:t>
      </w:r>
      <w:r w:rsidR="00002F17">
        <w:t>p.a.</w:t>
      </w:r>
      <w:r w:rsidR="00127E02">
        <w:t xml:space="preserve"> </w:t>
      </w:r>
      <w:r w:rsidR="00127E02" w:rsidRPr="0059052A">
        <w:t>discount rate</w:t>
      </w:r>
      <w:r w:rsidR="00127E02">
        <w:t>. This represents</w:t>
      </w:r>
      <w:r w:rsidR="00127E02" w:rsidRPr="0059052A">
        <w:t xml:space="preserve"> the </w:t>
      </w:r>
      <w:r w:rsidR="00127E02">
        <w:t>amount which if</w:t>
      </w:r>
      <w:r w:rsidR="005A1B62">
        <w:t xml:space="preserve"> it was</w:t>
      </w:r>
      <w:r w:rsidR="00127E02">
        <w:t xml:space="preserve"> invested in 2020 and earned 6.5 per cent each year, would be expected to be enough to meet the future pension payments under the New Benefits Scheme rules</w:t>
      </w:r>
      <w:r>
        <w:t>.</w:t>
      </w:r>
    </w:p>
    <w:p w14:paraId="77285FED" w14:textId="1B5E7FEB" w:rsidR="006C7C4A" w:rsidRPr="000740FC" w:rsidRDefault="009A51D8" w:rsidP="006C7C4A">
      <w:pPr>
        <w:pStyle w:val="VIRTBulletpoints"/>
      </w:pPr>
      <w:r>
        <w:rPr>
          <w:i/>
          <w:iCs/>
        </w:rPr>
        <w:t>A</w:t>
      </w:r>
      <w:r w:rsidR="006C7C4A" w:rsidRPr="000740FC">
        <w:rPr>
          <w:i/>
          <w:iCs/>
        </w:rPr>
        <w:t xml:space="preserve">mount of </w:t>
      </w:r>
      <w:r w:rsidR="005675E4" w:rsidRPr="000740FC">
        <w:rPr>
          <w:i/>
          <w:iCs/>
        </w:rPr>
        <w:t xml:space="preserve">after-tax </w:t>
      </w:r>
      <w:r w:rsidR="006C7C4A" w:rsidRPr="000740FC">
        <w:rPr>
          <w:i/>
          <w:iCs/>
        </w:rPr>
        <w:t>superannuation contributions</w:t>
      </w:r>
      <w:r w:rsidR="006C7C4A" w:rsidRPr="000740FC">
        <w:t xml:space="preserve">: as MPs in the New Benefits Scheme are required to make after-tax contributions to the </w:t>
      </w:r>
      <w:r w:rsidR="00E177B2">
        <w:t>PCSF</w:t>
      </w:r>
      <w:r w:rsidR="006C7C4A" w:rsidRPr="000740FC">
        <w:t>, MPs in the accumulation scheme are assumed to make equivalent contributions to their superannuation fund</w:t>
      </w:r>
      <w:r w:rsidR="00245E32">
        <w:t xml:space="preserve"> to compare the schemes’ benefits on a like-for-like basis</w:t>
      </w:r>
      <w:r>
        <w:t>.</w:t>
      </w:r>
    </w:p>
    <w:p w14:paraId="62F50FFD" w14:textId="1A8F5102" w:rsidR="006C7C4A" w:rsidRPr="000740FC" w:rsidRDefault="009A51D8" w:rsidP="006C7C4A">
      <w:pPr>
        <w:pStyle w:val="VIRTBulletpoints"/>
      </w:pPr>
      <w:r>
        <w:rPr>
          <w:i/>
          <w:iCs/>
        </w:rPr>
        <w:t>T</w:t>
      </w:r>
      <w:r w:rsidR="006C7C4A" w:rsidRPr="000740FC">
        <w:rPr>
          <w:i/>
          <w:iCs/>
        </w:rPr>
        <w:t>reatment of invalidity and death benefits</w:t>
      </w:r>
      <w:r w:rsidR="006C7C4A" w:rsidRPr="000740FC">
        <w:t xml:space="preserve">: as the New Benefits Scheme </w:t>
      </w:r>
      <w:r w:rsidR="0058474F">
        <w:t>includes</w:t>
      </w:r>
      <w:r w:rsidR="006C7C4A" w:rsidRPr="000740FC">
        <w:t xml:space="preserve"> special rules for benefits provided in the event of an MP</w:t>
      </w:r>
      <w:r w:rsidR="00203283">
        <w:t>’</w:t>
      </w:r>
      <w:r w:rsidR="006C7C4A" w:rsidRPr="000740FC">
        <w:t>s invalidity or death, modelling of the accumulation scheme deducts the cost of taking equivalent invalidity and death insurance from the MP</w:t>
      </w:r>
      <w:r w:rsidR="00D32474">
        <w:t>’</w:t>
      </w:r>
      <w:r w:rsidR="006C7C4A" w:rsidRPr="000740FC">
        <w:t>s superannuation balance</w:t>
      </w:r>
      <w:r>
        <w:t>.</w:t>
      </w:r>
    </w:p>
    <w:p w14:paraId="6E7357B7" w14:textId="7807D02D" w:rsidR="006C7C4A" w:rsidRPr="000740FC" w:rsidRDefault="009A51D8" w:rsidP="006C7C4A">
      <w:pPr>
        <w:pStyle w:val="VIRTBulletpoints"/>
      </w:pPr>
      <w:r>
        <w:rPr>
          <w:i/>
          <w:iCs/>
        </w:rPr>
        <w:lastRenderedPageBreak/>
        <w:t>T</w:t>
      </w:r>
      <w:r w:rsidR="006C7C4A" w:rsidRPr="000740FC">
        <w:rPr>
          <w:i/>
          <w:iCs/>
        </w:rPr>
        <w:t>reatment of the separation payment</w:t>
      </w:r>
      <w:r w:rsidR="006C7C4A" w:rsidRPr="000740FC">
        <w:t xml:space="preserve">: the value of the separation payment (and of the former resettlement allowance) is included in the calculation of financial benefits for MPs in the accumulation scheme. </w:t>
      </w:r>
    </w:p>
    <w:p w14:paraId="59F8FC84" w14:textId="77777777" w:rsidR="006C7C4A" w:rsidRPr="000740FC" w:rsidRDefault="006C7C4A" w:rsidP="006C7C4A">
      <w:pPr>
        <w:pStyle w:val="VIRTHeading3"/>
        <w:rPr>
          <w:lang w:val="en-AU"/>
        </w:rPr>
      </w:pPr>
      <w:r w:rsidRPr="000740FC">
        <w:rPr>
          <w:lang w:val="en-AU"/>
        </w:rPr>
        <w:t>Other key assumptions and data</w:t>
      </w:r>
    </w:p>
    <w:p w14:paraId="3FFC49AA" w14:textId="4E3FA2D2" w:rsidR="006C7C4A" w:rsidRPr="000740FC" w:rsidRDefault="006C7C4A" w:rsidP="00B33183">
      <w:pPr>
        <w:pStyle w:val="Paragraphbeforeabulletlist"/>
      </w:pPr>
      <w:r w:rsidRPr="000740FC">
        <w:t>The modelling also took into account that pension eligibility requirements for MPs in the New Benefits Scheme vary depending on whether they leave the Parliament voluntarily or involuntarily.</w:t>
      </w:r>
    </w:p>
    <w:p w14:paraId="5260689D" w14:textId="4424D279" w:rsidR="0071322B" w:rsidRPr="000740FC" w:rsidRDefault="006C7C4A" w:rsidP="00B33183">
      <w:pPr>
        <w:pStyle w:val="Paragraphbeforeabulletlist"/>
      </w:pPr>
      <w:r w:rsidRPr="000740FC">
        <w:t xml:space="preserve">An MP is considered to </w:t>
      </w:r>
      <w:r w:rsidR="005675E4" w:rsidRPr="000740FC">
        <w:t xml:space="preserve">have left </w:t>
      </w:r>
      <w:r w:rsidRPr="000740FC">
        <w:t xml:space="preserve">the Parliament involuntarily if they are defeated at an election or </w:t>
      </w:r>
      <w:r w:rsidR="00BB1BBE" w:rsidRPr="000740FC">
        <w:t xml:space="preserve">are </w:t>
      </w:r>
      <w:r w:rsidR="00372DD0">
        <w:t xml:space="preserve">aged </w:t>
      </w:r>
      <w:r w:rsidRPr="000740FC">
        <w:t>at least 60 years when they leave the Parliament.</w:t>
      </w:r>
      <w:r w:rsidR="009E5994" w:rsidRPr="000740FC">
        <w:t xml:space="preserve"> In either of these circumstances, an MP is entitled to a pension if they have served for at least 8 years; otherwise, they are deemed to have retired voluntarily and must serve for at least 12 years to be eligible for the pension.</w:t>
      </w:r>
      <w:r w:rsidR="0071322B" w:rsidRPr="000740FC">
        <w:rPr>
          <w:rStyle w:val="FootnoteReference"/>
        </w:rPr>
        <w:footnoteReference w:id="58"/>
      </w:r>
      <w:r w:rsidRPr="000740FC">
        <w:t xml:space="preserve"> </w:t>
      </w:r>
    </w:p>
    <w:p w14:paraId="1C3B53B2" w14:textId="29251761" w:rsidR="006C7C4A" w:rsidRPr="000740FC" w:rsidRDefault="006C7C4A" w:rsidP="00B33183">
      <w:pPr>
        <w:pStyle w:val="Paragraphbeforeabulletlist"/>
      </w:pPr>
      <w:r w:rsidRPr="000740FC">
        <w:t>In practice, some MPs would have to serve longer than 8 years (possibly up to 12</w:t>
      </w:r>
      <w:r w:rsidR="00035C68">
        <w:t> </w:t>
      </w:r>
      <w:r w:rsidRPr="000740FC">
        <w:t>years) in order to leave the Parliament involuntarily and meet the eligibility requirements for the pension. This would occur if the MP had served less than 8</w:t>
      </w:r>
      <w:r w:rsidR="00035C68">
        <w:t> </w:t>
      </w:r>
      <w:r w:rsidRPr="000740FC">
        <w:t>years by the end of their second term. While Victoria moved to fixed parliamentary terms following reforms introduced in 2003,</w:t>
      </w:r>
      <w:r w:rsidRPr="000740FC">
        <w:rPr>
          <w:rStyle w:val="FootnoteReference"/>
        </w:rPr>
        <w:footnoteReference w:id="59"/>
      </w:r>
      <w:r w:rsidRPr="000740FC">
        <w:t xml:space="preserve"> terms are not exactly </w:t>
      </w:r>
      <w:r w:rsidR="00911894">
        <w:t>4</w:t>
      </w:r>
      <w:r w:rsidRPr="000740FC">
        <w:t xml:space="preserve"> years in length. As such, an MP who lost their seat after serving two terms could still fall short of the 8-year eligibility threshold.</w:t>
      </w:r>
      <w:r w:rsidRPr="000740FC">
        <w:rPr>
          <w:rStyle w:val="FootnoteReference"/>
        </w:rPr>
        <w:footnoteReference w:id="60"/>
      </w:r>
    </w:p>
    <w:p w14:paraId="2B06A723" w14:textId="7D844C14" w:rsidR="006C7C4A" w:rsidRPr="000740FC" w:rsidRDefault="006C7C4A" w:rsidP="00B33183">
      <w:pPr>
        <w:pStyle w:val="Paragraph"/>
      </w:pPr>
      <w:r w:rsidRPr="000740FC">
        <w:t xml:space="preserve">Outcomes for MPs </w:t>
      </w:r>
      <w:r w:rsidR="009537FA">
        <w:t>who</w:t>
      </w:r>
      <w:r w:rsidRPr="000740FC">
        <w:t xml:space="preserve"> served at least 12 years are not affected by the MP’s reason for leaving the Parliament.</w:t>
      </w:r>
    </w:p>
    <w:p w14:paraId="3946AA87" w14:textId="0DEB9367" w:rsidR="006C7C4A" w:rsidRPr="000740FC" w:rsidRDefault="006C7C4A" w:rsidP="00B33183">
      <w:pPr>
        <w:pStyle w:val="Paragraph"/>
      </w:pPr>
      <w:r w:rsidRPr="000740FC">
        <w:t xml:space="preserve">MPs in the New Benefits Scheme </w:t>
      </w:r>
      <w:r w:rsidR="00CE4D92">
        <w:t>who</w:t>
      </w:r>
      <w:r w:rsidRPr="000740FC">
        <w:t xml:space="preserve"> are eligible for the pension </w:t>
      </w:r>
      <w:r w:rsidR="001166A1" w:rsidRPr="000740FC">
        <w:t xml:space="preserve">can </w:t>
      </w:r>
      <w:r w:rsidRPr="000740FC">
        <w:t xml:space="preserve">choose to convert all </w:t>
      </w:r>
      <w:r w:rsidR="001166A1" w:rsidRPr="000740FC">
        <w:t xml:space="preserve">or part </w:t>
      </w:r>
      <w:r w:rsidRPr="000740FC">
        <w:t xml:space="preserve">of the pension into a lump sum. </w:t>
      </w:r>
      <w:r w:rsidR="00BB1BBE" w:rsidRPr="000740FC">
        <w:t xml:space="preserve">For </w:t>
      </w:r>
      <w:r w:rsidR="003C73B0">
        <w:t>comparative purposes</w:t>
      </w:r>
      <w:r w:rsidR="00BB1BBE" w:rsidRPr="000740FC">
        <w:t xml:space="preserve">, the </w:t>
      </w:r>
      <w:r w:rsidRPr="000740FC">
        <w:t xml:space="preserve">modelling </w:t>
      </w:r>
      <w:r w:rsidR="00BB1BBE" w:rsidRPr="000740FC">
        <w:t xml:space="preserve">assumes that the hypothetical </w:t>
      </w:r>
      <w:r w:rsidRPr="000740FC">
        <w:t>MP</w:t>
      </w:r>
      <w:r w:rsidRPr="000740FC" w:rsidDel="00BB1BBE">
        <w:t xml:space="preserve"> </w:t>
      </w:r>
      <w:r w:rsidR="001166A1" w:rsidRPr="000740FC">
        <w:t xml:space="preserve">takes </w:t>
      </w:r>
      <w:r w:rsidRPr="000740FC">
        <w:t>either the entirety of their benefit as a pension</w:t>
      </w:r>
      <w:r w:rsidR="001166A1" w:rsidRPr="000740FC">
        <w:t xml:space="preserve"> (provided they are eligible</w:t>
      </w:r>
      <w:r w:rsidR="12B9312C" w:rsidRPr="000740FC">
        <w:t>)</w:t>
      </w:r>
      <w:r w:rsidRPr="000740FC">
        <w:t xml:space="preserve"> or </w:t>
      </w:r>
      <w:r w:rsidR="001166A1" w:rsidRPr="000740FC">
        <w:t xml:space="preserve">commutes </w:t>
      </w:r>
      <w:r w:rsidRPr="000740FC">
        <w:t>the entire pension into a lump sum.</w:t>
      </w:r>
    </w:p>
    <w:p w14:paraId="59D7C5E2" w14:textId="77777777" w:rsidR="006C7C4A" w:rsidRPr="000740FC" w:rsidRDefault="006C7C4A" w:rsidP="00B33183">
      <w:pPr>
        <w:pStyle w:val="Parabeforeabulletlist"/>
      </w:pPr>
      <w:r w:rsidRPr="000740FC">
        <w:t xml:space="preserve">Finally, to help select scenarios that were representative of existing and former MPs, the Tribunal drew upon the following de-identified data provided by the </w:t>
      </w:r>
      <w:r w:rsidRPr="000740FC">
        <w:lastRenderedPageBreak/>
        <w:t>Department of Parliamentary Services about MPs who left and did not re-join the Parliament during the last ten years:</w:t>
      </w:r>
      <w:r w:rsidRPr="000740FC">
        <w:rPr>
          <w:rStyle w:val="FootnoteReference"/>
        </w:rPr>
        <w:footnoteReference w:id="61"/>
      </w:r>
    </w:p>
    <w:p w14:paraId="45CF59A6" w14:textId="7C86ABCF" w:rsidR="006C7C4A" w:rsidRPr="000740FC" w:rsidRDefault="006C7C4A" w:rsidP="006C7C4A">
      <w:pPr>
        <w:pStyle w:val="VIRTBulletpoints"/>
      </w:pPr>
      <w:r w:rsidRPr="000740FC">
        <w:t xml:space="preserve">age upon entering the Parliament (range: 26 – 62 years, average: 43 years) </w:t>
      </w:r>
    </w:p>
    <w:p w14:paraId="3EAF1A62" w14:textId="2D2C0B58" w:rsidR="006C7C4A" w:rsidRPr="000740FC" w:rsidRDefault="006C7C4A" w:rsidP="006C7C4A">
      <w:pPr>
        <w:pStyle w:val="VIRTBulletpoints"/>
      </w:pPr>
      <w:r w:rsidRPr="000740FC">
        <w:t>number of years served in the Parliament (range: 0.5 – 35 years, average: 12</w:t>
      </w:r>
      <w:r w:rsidR="00E959A2">
        <w:t> </w:t>
      </w:r>
      <w:r w:rsidRPr="000740FC">
        <w:t>years)</w:t>
      </w:r>
    </w:p>
    <w:p w14:paraId="5E93FCB6" w14:textId="4E0A1ADC" w:rsidR="006C7C4A" w:rsidRPr="000740FC" w:rsidRDefault="006C7C4A" w:rsidP="006C7C4A">
      <w:pPr>
        <w:pStyle w:val="VIRTBulletpoints"/>
      </w:pPr>
      <w:r w:rsidRPr="000740FC">
        <w:t>age upon leaving the Parliament (range: 30 – 74 years, average: 55 years)</w:t>
      </w:r>
    </w:p>
    <w:p w14:paraId="6E52CD86" w14:textId="5C82BE42" w:rsidR="006C7C4A" w:rsidRPr="000740FC" w:rsidRDefault="006C7C4A" w:rsidP="006C7C4A">
      <w:pPr>
        <w:pStyle w:val="VIRTBulletpoints"/>
      </w:pPr>
      <w:r w:rsidRPr="000740FC">
        <w:t xml:space="preserve">number of years (if any) in which they </w:t>
      </w:r>
      <w:r w:rsidR="000E3C0E">
        <w:t>held</w:t>
      </w:r>
      <w:r w:rsidRPr="000740FC">
        <w:t xml:space="preserve"> a </w:t>
      </w:r>
      <w:r w:rsidR="000E3C0E">
        <w:t xml:space="preserve">specified </w:t>
      </w:r>
      <w:r w:rsidRPr="000740FC">
        <w:t xml:space="preserve">parliamentary </w:t>
      </w:r>
      <w:r w:rsidR="000E3C0E">
        <w:t>office</w:t>
      </w:r>
      <w:r w:rsidRPr="000740FC">
        <w:t xml:space="preserve"> (range: 0 – 20 years</w:t>
      </w:r>
      <w:r w:rsidR="00D44352">
        <w:t>,</w:t>
      </w:r>
      <w:r w:rsidRPr="000740FC">
        <w:t xml:space="preserve"> average: 6)</w:t>
      </w:r>
      <w:r w:rsidRPr="000740FC">
        <w:rPr>
          <w:rStyle w:val="FootnoteReference"/>
        </w:rPr>
        <w:footnoteReference w:id="62"/>
      </w:r>
    </w:p>
    <w:p w14:paraId="79A36DBC" w14:textId="77777777" w:rsidR="006C7C4A" w:rsidRPr="000740FC" w:rsidRDefault="006C7C4A" w:rsidP="006C7C4A">
      <w:pPr>
        <w:pStyle w:val="VIRTBulletpoints"/>
      </w:pPr>
      <w:r w:rsidRPr="000740FC">
        <w:t>which specified parliamentary offices (if any) they held.</w:t>
      </w:r>
    </w:p>
    <w:p w14:paraId="0DB5C068" w14:textId="77777777" w:rsidR="006C7C4A" w:rsidRPr="000740FC" w:rsidRDefault="006C7C4A" w:rsidP="00B33183">
      <w:pPr>
        <w:pStyle w:val="Parabeforeabulletlist"/>
      </w:pPr>
      <w:r w:rsidRPr="000740FC">
        <w:t>Based on this data, a ‘base case’ or ‘representative MP’ scenario was constructed, whereby the representative MP entered Parliament at age 43, served for 12 years and did not hold a specified parliamentary office.</w:t>
      </w:r>
    </w:p>
    <w:p w14:paraId="10A31A0B" w14:textId="137D8839" w:rsidR="006C7C4A" w:rsidRPr="000740FC" w:rsidRDefault="006C7C4A" w:rsidP="006C7C4A">
      <w:pPr>
        <w:pStyle w:val="VIRTHeading2"/>
        <w:rPr>
          <w:lang w:val="en-AU"/>
        </w:rPr>
      </w:pPr>
      <w:bookmarkStart w:id="80" w:name="_Toc50990432"/>
      <w:bookmarkStart w:id="81" w:name="_Toc51234141"/>
      <w:r w:rsidRPr="000740FC">
        <w:rPr>
          <w:lang w:val="en-AU"/>
        </w:rPr>
        <w:t>5.2 Outcomes of modelling</w:t>
      </w:r>
      <w:bookmarkEnd w:id="80"/>
      <w:bookmarkEnd w:id="81"/>
    </w:p>
    <w:p w14:paraId="5C2ADDAE" w14:textId="01BFC4C7" w:rsidR="006C7C4A" w:rsidRPr="000740FC" w:rsidRDefault="006C7C4A" w:rsidP="00B33183">
      <w:pPr>
        <w:pStyle w:val="Parabeforeabulletlist"/>
      </w:pPr>
      <w:r w:rsidRPr="000740FC">
        <w:t xml:space="preserve">The Tribunal </w:t>
      </w:r>
      <w:r w:rsidR="00720A9C" w:rsidRPr="000740FC">
        <w:t xml:space="preserve">modelled the </w:t>
      </w:r>
      <w:r w:rsidRPr="000740FC">
        <w:t xml:space="preserve">following indicative hypothetical scenarios to understand how factors such as the age at which an MP enters </w:t>
      </w:r>
      <w:r w:rsidR="008B10D8">
        <w:t xml:space="preserve">the </w:t>
      </w:r>
      <w:r w:rsidRPr="000740FC">
        <w:t xml:space="preserve">Parliament and their length of service can affect </w:t>
      </w:r>
      <w:r w:rsidR="009D7182">
        <w:t xml:space="preserve">estimated </w:t>
      </w:r>
      <w:r w:rsidRPr="000740FC">
        <w:t>superannuation benefits:</w:t>
      </w:r>
    </w:p>
    <w:p w14:paraId="73873333" w14:textId="3C7F5DB0" w:rsidR="006C7C4A" w:rsidRPr="000740FC" w:rsidRDefault="006C7C4A" w:rsidP="006C7C4A">
      <w:pPr>
        <w:pStyle w:val="VIRTBulletpoints"/>
      </w:pPr>
      <w:r w:rsidRPr="000740FC">
        <w:rPr>
          <w:b/>
          <w:bCs/>
        </w:rPr>
        <w:t>a representative MP scenario:</w:t>
      </w:r>
      <w:r w:rsidRPr="000740FC">
        <w:t xml:space="preserve"> MP enters </w:t>
      </w:r>
      <w:r w:rsidR="00874700">
        <w:t xml:space="preserve">the </w:t>
      </w:r>
      <w:r w:rsidRPr="000740FC">
        <w:t>Parliament at age 43 and serves 12 years</w:t>
      </w:r>
      <w:r w:rsidR="008D4E8B">
        <w:t xml:space="preserve">, </w:t>
      </w:r>
      <w:r w:rsidR="008D4E8B" w:rsidRPr="005A1B62">
        <w:t xml:space="preserve">reflecting the average starting age and length of service of MPs </w:t>
      </w:r>
      <w:r w:rsidR="00CE4D92">
        <w:t>who</w:t>
      </w:r>
      <w:r w:rsidR="008D4E8B" w:rsidRPr="005A1B62">
        <w:t xml:space="preserve"> left the Parliament in the last ten years</w:t>
      </w:r>
    </w:p>
    <w:p w14:paraId="24C42750" w14:textId="7E53EBC3" w:rsidR="006C7C4A" w:rsidRPr="000740FC" w:rsidRDefault="006C7C4A" w:rsidP="006C7C4A">
      <w:pPr>
        <w:pStyle w:val="VIRTBulletpoints"/>
        <w:rPr>
          <w:b/>
          <w:bCs/>
        </w:rPr>
      </w:pPr>
      <w:r w:rsidRPr="000740FC">
        <w:rPr>
          <w:b/>
          <w:bCs/>
        </w:rPr>
        <w:t xml:space="preserve">an older, longer serving MP scenario: </w:t>
      </w:r>
      <w:r w:rsidRPr="000740FC">
        <w:t>MP enters at age 53 and serves 16 years (15 years for the backward-looking approach, as that i</w:t>
      </w:r>
      <w:r w:rsidR="00204B18">
        <w:t>s</w:t>
      </w:r>
      <w:r w:rsidRPr="000740FC">
        <w:t xml:space="preserve"> the maximum number of years that can be modelled)</w:t>
      </w:r>
    </w:p>
    <w:p w14:paraId="1424DE3D" w14:textId="77777777" w:rsidR="006C7C4A" w:rsidRPr="000740FC" w:rsidRDefault="006C7C4A" w:rsidP="006C7C4A">
      <w:pPr>
        <w:pStyle w:val="VIRTBulletpoints"/>
        <w:rPr>
          <w:b/>
          <w:bCs/>
        </w:rPr>
      </w:pPr>
      <w:r w:rsidRPr="000740FC">
        <w:rPr>
          <w:b/>
          <w:bCs/>
        </w:rPr>
        <w:t xml:space="preserve">an older, shorter serving MP scenario: </w:t>
      </w:r>
      <w:r w:rsidRPr="000740FC">
        <w:t>MP enters at age 53 and serves 8 years</w:t>
      </w:r>
    </w:p>
    <w:p w14:paraId="656E8A26" w14:textId="74889B90" w:rsidR="006C7C4A" w:rsidRPr="000740FC" w:rsidRDefault="006C7C4A" w:rsidP="006C7C4A">
      <w:pPr>
        <w:pStyle w:val="VIRTBulletpoints"/>
        <w:rPr>
          <w:b/>
          <w:bCs/>
        </w:rPr>
      </w:pPr>
      <w:r w:rsidRPr="000740FC">
        <w:rPr>
          <w:b/>
          <w:bCs/>
        </w:rPr>
        <w:t xml:space="preserve">a younger, longer serving MP scenario: </w:t>
      </w:r>
      <w:r w:rsidRPr="000740FC">
        <w:t>MP enters at age 33 and serves 16 years</w:t>
      </w:r>
      <w:r w:rsidR="00855C47">
        <w:t xml:space="preserve"> </w:t>
      </w:r>
      <w:r w:rsidR="00855C47" w:rsidRPr="000740FC">
        <w:t>(15 years for the backward-looking approach, as that i</w:t>
      </w:r>
      <w:r w:rsidR="00855C47">
        <w:t>s</w:t>
      </w:r>
      <w:r w:rsidR="00855C47" w:rsidRPr="000740FC">
        <w:t xml:space="preserve"> the maximum number of years that can be modelled)</w:t>
      </w:r>
    </w:p>
    <w:p w14:paraId="5CB6B24A" w14:textId="77777777" w:rsidR="006C7C4A" w:rsidRPr="000740FC" w:rsidRDefault="006C7C4A" w:rsidP="006C7C4A">
      <w:pPr>
        <w:pStyle w:val="VIRTBulletpoints"/>
      </w:pPr>
      <w:r w:rsidRPr="000740FC">
        <w:rPr>
          <w:b/>
          <w:bCs/>
        </w:rPr>
        <w:t>a younger, shorter serving MP scenario:</w:t>
      </w:r>
      <w:r w:rsidRPr="000740FC">
        <w:t xml:space="preserve"> MP enters at age 33 and serves 8 years</w:t>
      </w:r>
    </w:p>
    <w:p w14:paraId="67E29C98" w14:textId="0BA2A48C" w:rsidR="006C7C4A" w:rsidRPr="000740FC" w:rsidRDefault="006C7C4A" w:rsidP="006C7C4A">
      <w:pPr>
        <w:pStyle w:val="VIRTBulletpoints"/>
      </w:pPr>
      <w:r w:rsidRPr="000740FC">
        <w:rPr>
          <w:b/>
          <w:bCs/>
        </w:rPr>
        <w:t>a one</w:t>
      </w:r>
      <w:r w:rsidR="00986A5E">
        <w:rPr>
          <w:b/>
          <w:bCs/>
        </w:rPr>
        <w:t>-</w:t>
      </w:r>
      <w:r w:rsidRPr="000740FC">
        <w:rPr>
          <w:b/>
          <w:bCs/>
        </w:rPr>
        <w:t>term MP scenario:</w:t>
      </w:r>
      <w:r w:rsidRPr="000740FC">
        <w:t xml:space="preserve"> MP enters at age 43 serves for 4 years</w:t>
      </w:r>
    </w:p>
    <w:p w14:paraId="7B9E59A4" w14:textId="4600213C" w:rsidR="006C7C4A" w:rsidRPr="000740FC" w:rsidRDefault="006C7C4A" w:rsidP="006C7C4A">
      <w:pPr>
        <w:pStyle w:val="VIRTBulletpoints"/>
      </w:pPr>
      <w:r w:rsidRPr="000740FC">
        <w:rPr>
          <w:b/>
          <w:bCs/>
        </w:rPr>
        <w:t>an office holder scenario:</w:t>
      </w:r>
      <w:r w:rsidRPr="000740FC">
        <w:t xml:space="preserve"> MP joins at age 43 and serves </w:t>
      </w:r>
      <w:r w:rsidR="1DE3D653" w:rsidRPr="000740FC">
        <w:t>for</w:t>
      </w:r>
      <w:r w:rsidRPr="000740FC">
        <w:t xml:space="preserve"> 12 years, becoming a Minister half-way through their service.</w:t>
      </w:r>
    </w:p>
    <w:p w14:paraId="04E1F466" w14:textId="37C8437F" w:rsidR="006C7C4A" w:rsidRPr="000740FC" w:rsidRDefault="006C7C4A" w:rsidP="00B33183">
      <w:pPr>
        <w:pStyle w:val="Parabeforeabulletlist"/>
      </w:pPr>
      <w:r w:rsidRPr="000740FC">
        <w:lastRenderedPageBreak/>
        <w:t xml:space="preserve">The results indicate that the New Benefits Scheme provides </w:t>
      </w:r>
      <w:r w:rsidR="75138562" w:rsidRPr="005A1B62">
        <w:rPr>
          <w:rFonts w:eastAsia="Calibri Light" w:cs="Calibri Light"/>
          <w:szCs w:val="26"/>
        </w:rPr>
        <w:t>a significantly greater</w:t>
      </w:r>
      <w:r w:rsidRPr="005A1B62">
        <w:rPr>
          <w:rFonts w:eastAsia="Calibri Light" w:cs="Calibri Light"/>
          <w:szCs w:val="26"/>
        </w:rPr>
        <w:t xml:space="preserve"> superannuation </w:t>
      </w:r>
      <w:r w:rsidR="005A1B62">
        <w:rPr>
          <w:rFonts w:eastAsia="Calibri Light" w:cs="Calibri Light"/>
          <w:szCs w:val="26"/>
        </w:rPr>
        <w:t xml:space="preserve">benefit </w:t>
      </w:r>
      <w:r w:rsidRPr="000740FC">
        <w:t xml:space="preserve">than the accumulation scheme for almost all scenarios modelled. The relative difference in outcomes between the schemes is particularly pronounced in the hypothetical examples where MPs leave involuntarily </w:t>
      </w:r>
      <w:r w:rsidR="00C74C0B">
        <w:t xml:space="preserve">having served </w:t>
      </w:r>
      <w:r w:rsidRPr="000740FC">
        <w:t xml:space="preserve">at least 8 years (and therefore </w:t>
      </w:r>
      <w:r w:rsidR="00C34882">
        <w:t xml:space="preserve">are </w:t>
      </w:r>
      <w:r w:rsidRPr="000740FC">
        <w:t>eligible for a pension under the New Benefits Scheme). The relative difference is less pronounced in examples where MPs served for longer periods (e.g. 16 years)</w:t>
      </w:r>
      <w:r w:rsidR="00E1383B">
        <w:t xml:space="preserve"> as the benefits provided by the accumulation scheme </w:t>
      </w:r>
      <w:r w:rsidR="0019361E">
        <w:t>reflect</w:t>
      </w:r>
      <w:r w:rsidR="00E1383B">
        <w:t xml:space="preserve"> compounding investment returns</w:t>
      </w:r>
      <w:r w:rsidRPr="000740FC">
        <w:t>.</w:t>
      </w:r>
    </w:p>
    <w:p w14:paraId="6B699E6E" w14:textId="77777777" w:rsidR="006C7C4A" w:rsidRPr="000740FC" w:rsidRDefault="006C7C4A" w:rsidP="00B33183">
      <w:pPr>
        <w:pStyle w:val="Paragraph"/>
      </w:pPr>
      <w:r w:rsidRPr="000740FC">
        <w:t>These results hold for both the backward- and forward-looking scenarios. For example, for the representative MP scenario:</w:t>
      </w:r>
    </w:p>
    <w:p w14:paraId="4DEFD6B3" w14:textId="608BB0D2" w:rsidR="006C7C4A" w:rsidRPr="000740FC" w:rsidRDefault="006C7C4A" w:rsidP="006C7C4A">
      <w:pPr>
        <w:pStyle w:val="VIRTBulletpoints"/>
      </w:pPr>
      <w:r w:rsidRPr="000740FC">
        <w:t>in the backward</w:t>
      </w:r>
      <w:r w:rsidR="00CB6693" w:rsidRPr="000740FC">
        <w:t>-</w:t>
      </w:r>
      <w:r w:rsidRPr="000740FC">
        <w:t xml:space="preserve">looking approach, the </w:t>
      </w:r>
      <w:r w:rsidR="009D7182">
        <w:t xml:space="preserve">estimated </w:t>
      </w:r>
      <w:r w:rsidR="00E5553A">
        <w:t>accumulation scheme benefit</w:t>
      </w:r>
      <w:r w:rsidRPr="000740FC">
        <w:t xml:space="preserve"> is around $0.5</w:t>
      </w:r>
      <w:r w:rsidR="000568C1">
        <w:t>2</w:t>
      </w:r>
      <w:r w:rsidRPr="000740FC">
        <w:t xml:space="preserve"> million, whereas the </w:t>
      </w:r>
      <w:r w:rsidR="00294557" w:rsidRPr="000740FC">
        <w:t xml:space="preserve">New Benefits Scheme </w:t>
      </w:r>
      <w:r w:rsidRPr="000740FC">
        <w:t>lump sum</w:t>
      </w:r>
      <w:r w:rsidR="00E5553A">
        <w:t xml:space="preserve"> benefit</w:t>
      </w:r>
      <w:r w:rsidRPr="000740FC">
        <w:t xml:space="preserve"> is around $0.96</w:t>
      </w:r>
      <w:r w:rsidR="007E0437">
        <w:t xml:space="preserve"> </w:t>
      </w:r>
      <w:r w:rsidRPr="000740FC">
        <w:t>m</w:t>
      </w:r>
      <w:r w:rsidR="007E0437">
        <w:t>illion</w:t>
      </w:r>
      <w:r w:rsidRPr="000740FC">
        <w:t xml:space="preserve"> (or around 84 per cent higher) and the </w:t>
      </w:r>
      <w:r w:rsidR="009D7182">
        <w:t xml:space="preserve">estimated </w:t>
      </w:r>
      <w:r w:rsidR="00294557" w:rsidRPr="000740FC">
        <w:t xml:space="preserve">New Benefits Scheme </w:t>
      </w:r>
      <w:r w:rsidRPr="000740FC">
        <w:t>pension</w:t>
      </w:r>
      <w:r w:rsidR="00813D21">
        <w:t xml:space="preserve"> benefit</w:t>
      </w:r>
      <w:r w:rsidRPr="000740FC">
        <w:t xml:space="preserve"> is around $2.</w:t>
      </w:r>
      <w:r w:rsidR="001373D2">
        <w:t>3</w:t>
      </w:r>
      <w:r w:rsidRPr="000740FC">
        <w:t>4 million (or around 350 per cent higher)</w:t>
      </w:r>
    </w:p>
    <w:p w14:paraId="050C6ADF" w14:textId="734989CE" w:rsidR="006C7C4A" w:rsidRPr="000740FC" w:rsidRDefault="006C7C4A" w:rsidP="006C7C4A">
      <w:pPr>
        <w:pStyle w:val="VIRTBulletpoints"/>
      </w:pPr>
      <w:r w:rsidRPr="000740FC">
        <w:t>in the forward</w:t>
      </w:r>
      <w:r w:rsidR="00CB6693" w:rsidRPr="000740FC">
        <w:t>-</w:t>
      </w:r>
      <w:r w:rsidRPr="000740FC">
        <w:t xml:space="preserve">looking approach, the </w:t>
      </w:r>
      <w:r w:rsidR="009D7182">
        <w:t xml:space="preserve">estimated </w:t>
      </w:r>
      <w:r w:rsidRPr="000740FC">
        <w:t>accumulation scheme</w:t>
      </w:r>
      <w:r w:rsidR="00813D21">
        <w:t xml:space="preserve"> benefit</w:t>
      </w:r>
      <w:r w:rsidRPr="000740FC">
        <w:t xml:space="preserve"> is around $0.7</w:t>
      </w:r>
      <w:r w:rsidR="00A84B7C">
        <w:t>0</w:t>
      </w:r>
      <w:r w:rsidRPr="000740FC">
        <w:t xml:space="preserve"> million, whereas the </w:t>
      </w:r>
      <w:r w:rsidR="009D7182">
        <w:t xml:space="preserve">estimated </w:t>
      </w:r>
      <w:r w:rsidR="00294557" w:rsidRPr="000740FC">
        <w:t xml:space="preserve">New Benefits Scheme </w:t>
      </w:r>
      <w:r w:rsidRPr="000740FC">
        <w:t>lump sum</w:t>
      </w:r>
      <w:r w:rsidR="00813D21">
        <w:t xml:space="preserve"> benefit</w:t>
      </w:r>
      <w:r w:rsidRPr="000740FC">
        <w:t xml:space="preserve"> is around $1.</w:t>
      </w:r>
      <w:r w:rsidR="001E5C08">
        <w:t xml:space="preserve">09 </w:t>
      </w:r>
      <w:r w:rsidRPr="000740FC">
        <w:t>m</w:t>
      </w:r>
      <w:r w:rsidR="001E5C08">
        <w:t>illion</w:t>
      </w:r>
      <w:r w:rsidRPr="000740FC">
        <w:t xml:space="preserve"> (or around 55 per cent higher) and the </w:t>
      </w:r>
      <w:r w:rsidR="009D7182">
        <w:t xml:space="preserve">estimated </w:t>
      </w:r>
      <w:r w:rsidR="00294557" w:rsidRPr="000740FC">
        <w:t xml:space="preserve">New Benefits Scheme </w:t>
      </w:r>
      <w:r w:rsidRPr="000740FC">
        <w:t>pension</w:t>
      </w:r>
      <w:r w:rsidR="00813D21">
        <w:t xml:space="preserve"> benefit</w:t>
      </w:r>
      <w:r w:rsidRPr="000740FC">
        <w:t xml:space="preserve"> is around $</w:t>
      </w:r>
      <w:r w:rsidR="001E5C08">
        <w:t>2.96</w:t>
      </w:r>
      <w:r w:rsidRPr="000740FC">
        <w:t xml:space="preserve"> million (or around 320 per cent higher)</w:t>
      </w:r>
      <w:r w:rsidR="00AF3CD5">
        <w:t>.</w:t>
      </w:r>
    </w:p>
    <w:p w14:paraId="486C9852" w14:textId="3781F2AB" w:rsidR="006C7C4A" w:rsidRPr="000740FC" w:rsidRDefault="006C7C4A" w:rsidP="00B33183">
      <w:pPr>
        <w:pStyle w:val="Paragraph"/>
      </w:pPr>
      <w:r w:rsidRPr="000740FC">
        <w:t>The disparity between the schemes widens where an MP holds a specified parliamentary office, or</w:t>
      </w:r>
      <w:r w:rsidR="00905149" w:rsidRPr="000740FC">
        <w:t xml:space="preserve"> once</w:t>
      </w:r>
      <w:r w:rsidRPr="000740FC">
        <w:t xml:space="preserve"> they have served the minimum number of years required to be eligible for the pension (8 years assuming involuntary exit). </w:t>
      </w:r>
    </w:p>
    <w:p w14:paraId="091C5B2F" w14:textId="469DA0F4" w:rsidR="005E20EA" w:rsidRPr="000740FC" w:rsidRDefault="006C7C4A" w:rsidP="00B33183">
      <w:pPr>
        <w:pStyle w:val="Parabeforeabulletlist"/>
      </w:pPr>
      <w:r w:rsidRPr="000740FC">
        <w:t>The results of both the backward-</w:t>
      </w:r>
      <w:r w:rsidR="00CB6693" w:rsidRPr="000740FC">
        <w:t xml:space="preserve"> </w:t>
      </w:r>
      <w:r w:rsidRPr="000740FC">
        <w:t xml:space="preserve">and forward-looking scenarios are summarised in tables </w:t>
      </w:r>
      <w:r w:rsidR="00E91897">
        <w:t>5.2</w:t>
      </w:r>
      <w:r w:rsidRPr="000740FC">
        <w:t xml:space="preserve"> and </w:t>
      </w:r>
      <w:r w:rsidR="00E91897">
        <w:t>5.3</w:t>
      </w:r>
      <w:r w:rsidR="00635F72">
        <w:t xml:space="preserve"> (overleaf)</w:t>
      </w:r>
      <w:r w:rsidRPr="000740FC">
        <w:t xml:space="preserve">. </w:t>
      </w:r>
    </w:p>
    <w:p w14:paraId="5C7E60B9" w14:textId="77777777" w:rsidR="005E20EA" w:rsidRPr="000740FC" w:rsidRDefault="005E20EA">
      <w:pPr>
        <w:spacing w:after="80"/>
        <w:rPr>
          <w:rFonts w:ascii="Calibri Light" w:eastAsia="Rockwell" w:hAnsi="Calibri Light" w:cs="Times New Roman (Body CS)"/>
          <w:bCs/>
          <w:color w:val="4D4D4D" w:themeColor="accent6"/>
          <w:sz w:val="26"/>
          <w:szCs w:val="44"/>
        </w:rPr>
      </w:pPr>
      <w:r w:rsidRPr="000740FC">
        <w:br w:type="page"/>
      </w:r>
    </w:p>
    <w:p w14:paraId="5936DFF0" w14:textId="6B859185" w:rsidR="006C7C4A" w:rsidRPr="000740FC" w:rsidRDefault="006C7C4A" w:rsidP="006C7C4A">
      <w:pPr>
        <w:pStyle w:val="Tableheading"/>
      </w:pPr>
      <w:r w:rsidRPr="000740FC">
        <w:lastRenderedPageBreak/>
        <w:t xml:space="preserve">Table </w:t>
      </w:r>
      <w:r w:rsidR="00E91897">
        <w:t>5.2</w:t>
      </w:r>
      <w:r w:rsidRPr="000740FC">
        <w:t xml:space="preserve">: estimated superannuation outcomes for </w:t>
      </w:r>
      <w:r w:rsidR="00A4688B" w:rsidRPr="000740FC">
        <w:t>hypothetical</w:t>
      </w:r>
      <w:r w:rsidRPr="000740FC">
        <w:t xml:space="preserve"> MPs </w:t>
      </w:r>
      <w:r w:rsidR="009537FA">
        <w:t>who</w:t>
      </w:r>
      <w:r w:rsidRPr="000740FC">
        <w:t xml:space="preserve"> joined the Parliament on 1 July 2004</w:t>
      </w:r>
    </w:p>
    <w:tbl>
      <w:tblPr>
        <w:tblStyle w:val="ListTable3-Accent2"/>
        <w:tblW w:w="8500" w:type="dxa"/>
        <w:tblLook w:val="04A0" w:firstRow="1" w:lastRow="0" w:firstColumn="1" w:lastColumn="0" w:noHBand="0" w:noVBand="1"/>
      </w:tblPr>
      <w:tblGrid>
        <w:gridCol w:w="1843"/>
        <w:gridCol w:w="1701"/>
        <w:gridCol w:w="2410"/>
        <w:gridCol w:w="2546"/>
      </w:tblGrid>
      <w:tr w:rsidR="006C7C4A" w:rsidRPr="000740FC" w14:paraId="15EF739F" w14:textId="77777777" w:rsidTr="650C5ED4">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1843" w:type="dxa"/>
          </w:tcPr>
          <w:p w14:paraId="2939EC88" w14:textId="77777777" w:rsidR="006C7C4A" w:rsidRPr="000740FC" w:rsidRDefault="006C7C4A" w:rsidP="00920ECD">
            <w:pPr>
              <w:pStyle w:val="Tableheaderrow"/>
              <w:jc w:val="left"/>
              <w:rPr>
                <w:b/>
                <w:bCs/>
              </w:rPr>
            </w:pPr>
            <w:r w:rsidRPr="000740FC">
              <w:rPr>
                <w:rFonts w:eastAsiaTheme="minorEastAsia" w:cs="Times New Roman (Body CS)"/>
                <w:szCs w:val="44"/>
              </w:rPr>
              <w:t xml:space="preserve"> </w:t>
            </w:r>
            <w:r w:rsidRPr="000740FC">
              <w:rPr>
                <w:b/>
                <w:bCs/>
              </w:rPr>
              <w:t>Example</w:t>
            </w:r>
          </w:p>
        </w:tc>
        <w:tc>
          <w:tcPr>
            <w:tcW w:w="6657" w:type="dxa"/>
            <w:gridSpan w:val="3"/>
          </w:tcPr>
          <w:p w14:paraId="2E33D7ED" w14:textId="48D5B10D" w:rsidR="006C7C4A" w:rsidRPr="000740FC" w:rsidRDefault="006C7C4A" w:rsidP="003C1F1A">
            <w:pPr>
              <w:pStyle w:val="Tableheaderrow"/>
              <w:cnfStyle w:val="100000000000" w:firstRow="1" w:lastRow="0" w:firstColumn="0" w:lastColumn="0" w:oddVBand="0" w:evenVBand="0" w:oddHBand="0" w:evenHBand="0" w:firstRowFirstColumn="0" w:firstRowLastColumn="0" w:lastRowFirstColumn="0" w:lastRowLastColumn="0"/>
              <w:rPr>
                <w:b/>
                <w:bCs/>
              </w:rPr>
            </w:pPr>
            <w:r w:rsidRPr="000740FC">
              <w:rPr>
                <w:b/>
                <w:bCs/>
              </w:rPr>
              <w:t>Outcome ($</w:t>
            </w:r>
            <w:r w:rsidR="00775746" w:rsidRPr="000740FC">
              <w:rPr>
                <w:b/>
                <w:bCs/>
              </w:rPr>
              <w:t>m</w:t>
            </w:r>
            <w:r w:rsidRPr="000740FC">
              <w:rPr>
                <w:b/>
                <w:bCs/>
              </w:rPr>
              <w:t>, June 2020 dollars)</w:t>
            </w:r>
            <w:r w:rsidRPr="000740FC">
              <w:rPr>
                <w:b/>
                <w:bCs/>
                <w:vertAlign w:val="superscript"/>
              </w:rPr>
              <w:t>(a</w:t>
            </w:r>
            <w:r w:rsidRPr="000740FC">
              <w:rPr>
                <w:b/>
                <w:vertAlign w:val="superscript"/>
              </w:rPr>
              <w:t>)</w:t>
            </w:r>
          </w:p>
        </w:tc>
      </w:tr>
      <w:tr w:rsidR="006C7C4A" w:rsidRPr="000740FC" w14:paraId="21E2DF70" w14:textId="77777777" w:rsidTr="00D51F2C">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100" w:firstRow="0" w:lastRow="0" w:firstColumn="1" w:lastColumn="0" w:oddVBand="0" w:evenVBand="0" w:oddHBand="0" w:evenHBand="0" w:firstRowFirstColumn="1" w:firstRowLastColumn="0" w:lastRowFirstColumn="0" w:lastRowLastColumn="0"/>
            <w:tcW w:w="1843" w:type="dxa"/>
          </w:tcPr>
          <w:p w14:paraId="1E334A0B" w14:textId="77777777" w:rsidR="006C7C4A" w:rsidRPr="000740FC" w:rsidRDefault="006C7C4A" w:rsidP="003C1F1A">
            <w:pPr>
              <w:pStyle w:val="Tableheaderrow"/>
            </w:pPr>
          </w:p>
        </w:tc>
        <w:tc>
          <w:tcPr>
            <w:tcW w:w="1701" w:type="dxa"/>
            <w:vMerge w:val="restart"/>
            <w:vAlign w:val="bottom"/>
          </w:tcPr>
          <w:p w14:paraId="30AC5313" w14:textId="77777777" w:rsidR="006C7C4A" w:rsidRPr="000740FC" w:rsidRDefault="006C7C4A" w:rsidP="00D51F2C">
            <w:pPr>
              <w:pStyle w:val="Tableheaderrow"/>
              <w:jc w:val="right"/>
              <w:cnfStyle w:val="100000000000" w:firstRow="1" w:lastRow="0" w:firstColumn="0" w:lastColumn="0" w:oddVBand="0" w:evenVBand="0" w:oddHBand="0" w:evenHBand="0" w:firstRowFirstColumn="0" w:firstRowLastColumn="0" w:lastRowFirstColumn="0" w:lastRowLastColumn="0"/>
              <w:rPr>
                <w:b/>
                <w:bCs/>
              </w:rPr>
            </w:pPr>
            <w:r w:rsidRPr="000740FC">
              <w:rPr>
                <w:b/>
                <w:bCs/>
              </w:rPr>
              <w:t>Accumulation scheme</w:t>
            </w:r>
          </w:p>
        </w:tc>
        <w:tc>
          <w:tcPr>
            <w:tcW w:w="4956" w:type="dxa"/>
            <w:gridSpan w:val="2"/>
          </w:tcPr>
          <w:p w14:paraId="5DFBD9E4" w14:textId="1D870E9E" w:rsidR="006C7C4A" w:rsidRPr="000740FC" w:rsidRDefault="006C7C4A" w:rsidP="003C1F1A">
            <w:pPr>
              <w:pStyle w:val="Tableheaderrow"/>
              <w:cnfStyle w:val="100000000000" w:firstRow="1" w:lastRow="0" w:firstColumn="0" w:lastColumn="0" w:oddVBand="0" w:evenVBand="0" w:oddHBand="0" w:evenHBand="0" w:firstRowFirstColumn="0" w:firstRowLastColumn="0" w:lastRowFirstColumn="0" w:lastRowLastColumn="0"/>
            </w:pPr>
            <w:r w:rsidRPr="000740FC">
              <w:rPr>
                <w:b/>
                <w:bCs/>
              </w:rPr>
              <w:t>New Benefits Scheme</w:t>
            </w:r>
            <w:r w:rsidR="00A12251" w:rsidRPr="00A12251">
              <w:rPr>
                <w:b/>
                <w:bCs/>
                <w:vertAlign w:val="superscript"/>
              </w:rPr>
              <w:t>(b)</w:t>
            </w:r>
          </w:p>
        </w:tc>
      </w:tr>
      <w:tr w:rsidR="006C7C4A" w:rsidRPr="000740FC" w14:paraId="78352C1B" w14:textId="77777777" w:rsidTr="650C5ED4">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100" w:firstRow="0" w:lastRow="0" w:firstColumn="1" w:lastColumn="0" w:oddVBand="0" w:evenVBand="0" w:oddHBand="0" w:evenHBand="0" w:firstRowFirstColumn="1" w:firstRowLastColumn="0" w:lastRowFirstColumn="0" w:lastRowLastColumn="0"/>
            <w:tcW w:w="1843" w:type="dxa"/>
          </w:tcPr>
          <w:p w14:paraId="17A29CD6" w14:textId="77777777" w:rsidR="006C7C4A" w:rsidRPr="000740FC" w:rsidRDefault="006C7C4A" w:rsidP="003C1F1A">
            <w:pPr>
              <w:pStyle w:val="Tableheaderrow"/>
            </w:pPr>
          </w:p>
        </w:tc>
        <w:tc>
          <w:tcPr>
            <w:tcW w:w="1701" w:type="dxa"/>
            <w:vMerge/>
          </w:tcPr>
          <w:p w14:paraId="54678CB7" w14:textId="77777777" w:rsidR="006C7C4A" w:rsidRPr="000740FC" w:rsidRDefault="006C7C4A" w:rsidP="003C1F1A">
            <w:pPr>
              <w:pStyle w:val="Tableheaderrow"/>
              <w:cnfStyle w:val="100000000000" w:firstRow="1" w:lastRow="0" w:firstColumn="0" w:lastColumn="0" w:oddVBand="0" w:evenVBand="0" w:oddHBand="0" w:evenHBand="0" w:firstRowFirstColumn="0" w:firstRowLastColumn="0" w:lastRowFirstColumn="0" w:lastRowLastColumn="0"/>
            </w:pPr>
          </w:p>
        </w:tc>
        <w:tc>
          <w:tcPr>
            <w:tcW w:w="2410" w:type="dxa"/>
          </w:tcPr>
          <w:p w14:paraId="238E338E" w14:textId="77777777" w:rsidR="006C7C4A" w:rsidRPr="000740FC" w:rsidRDefault="006C7C4A" w:rsidP="00D51F2C">
            <w:pPr>
              <w:pStyle w:val="Tableheaderrow"/>
              <w:jc w:val="right"/>
              <w:cnfStyle w:val="100000000000" w:firstRow="1" w:lastRow="0" w:firstColumn="0" w:lastColumn="0" w:oddVBand="0" w:evenVBand="0" w:oddHBand="0" w:evenHBand="0" w:firstRowFirstColumn="0" w:firstRowLastColumn="0" w:lastRowFirstColumn="0" w:lastRowLastColumn="0"/>
              <w:rPr>
                <w:b/>
                <w:bCs/>
              </w:rPr>
            </w:pPr>
            <w:r w:rsidRPr="000740FC">
              <w:rPr>
                <w:b/>
                <w:bCs/>
              </w:rPr>
              <w:t>If wholly taken as a lump sum</w:t>
            </w:r>
          </w:p>
        </w:tc>
        <w:tc>
          <w:tcPr>
            <w:tcW w:w="2546" w:type="dxa"/>
          </w:tcPr>
          <w:p w14:paraId="215C97B8" w14:textId="77777777" w:rsidR="006C7C4A" w:rsidRPr="000740FC" w:rsidRDefault="006C7C4A" w:rsidP="00D51F2C">
            <w:pPr>
              <w:pStyle w:val="Tableheaderrow"/>
              <w:jc w:val="right"/>
              <w:cnfStyle w:val="100000000000" w:firstRow="1" w:lastRow="0" w:firstColumn="0" w:lastColumn="0" w:oddVBand="0" w:evenVBand="0" w:oddHBand="0" w:evenHBand="0" w:firstRowFirstColumn="0" w:firstRowLastColumn="0" w:lastRowFirstColumn="0" w:lastRowLastColumn="0"/>
              <w:rPr>
                <w:b/>
                <w:bCs/>
              </w:rPr>
            </w:pPr>
            <w:r w:rsidRPr="000740FC">
              <w:rPr>
                <w:b/>
                <w:bCs/>
              </w:rPr>
              <w:t>If wholly taken as a pension</w:t>
            </w:r>
          </w:p>
        </w:tc>
      </w:tr>
      <w:tr w:rsidR="006C7C4A" w:rsidRPr="000740FC" w14:paraId="62E40897" w14:textId="77777777" w:rsidTr="650C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AEA05D7" w14:textId="77777777" w:rsidR="006C7C4A" w:rsidRPr="000740FC" w:rsidRDefault="006C7C4A" w:rsidP="003C1F1A">
            <w:pPr>
              <w:pStyle w:val="Textinthetable"/>
              <w:rPr>
                <w:lang w:val="en-AU"/>
              </w:rPr>
            </w:pPr>
            <w:r w:rsidRPr="000740FC">
              <w:rPr>
                <w:lang w:val="en-AU"/>
              </w:rPr>
              <w:t>Representative MP</w:t>
            </w:r>
          </w:p>
        </w:tc>
        <w:tc>
          <w:tcPr>
            <w:tcW w:w="1701" w:type="dxa"/>
          </w:tcPr>
          <w:p w14:paraId="6EEED0A9" w14:textId="3AC40A90"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0.</w:t>
            </w:r>
            <w:r w:rsidR="006C7C4A" w:rsidRPr="000740FC">
              <w:rPr>
                <w:lang w:val="en-AU"/>
              </w:rPr>
              <w:t>52</w:t>
            </w:r>
            <w:r w:rsidR="006C7C4A" w:rsidRPr="000740FC">
              <w:rPr>
                <w:vertAlign w:val="superscript"/>
                <w:lang w:val="en-AU"/>
              </w:rPr>
              <w:t>(c)</w:t>
            </w:r>
          </w:p>
        </w:tc>
        <w:tc>
          <w:tcPr>
            <w:tcW w:w="2410" w:type="dxa"/>
          </w:tcPr>
          <w:p w14:paraId="5AC7CF24" w14:textId="0DD6157A"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0.</w:t>
            </w:r>
            <w:r w:rsidR="006C7C4A" w:rsidRPr="000740FC">
              <w:rPr>
                <w:lang w:val="en-AU"/>
              </w:rPr>
              <w:t>96</w:t>
            </w:r>
          </w:p>
        </w:tc>
        <w:tc>
          <w:tcPr>
            <w:tcW w:w="2546" w:type="dxa"/>
          </w:tcPr>
          <w:p w14:paraId="3E6279B6" w14:textId="690290A8"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2</w:t>
            </w:r>
            <w:r w:rsidR="00775746" w:rsidRPr="000740FC">
              <w:rPr>
                <w:lang w:val="en-AU"/>
              </w:rPr>
              <w:t>.</w:t>
            </w:r>
            <w:r w:rsidRPr="000740FC">
              <w:rPr>
                <w:lang w:val="en-AU"/>
              </w:rPr>
              <w:t>3</w:t>
            </w:r>
            <w:r w:rsidR="00B84D64" w:rsidRPr="000740FC">
              <w:rPr>
                <w:lang w:val="en-AU"/>
              </w:rPr>
              <w:t>4</w:t>
            </w:r>
          </w:p>
        </w:tc>
      </w:tr>
      <w:tr w:rsidR="006C7C4A" w:rsidRPr="000740FC" w14:paraId="33842842" w14:textId="77777777" w:rsidTr="650C5ED4">
        <w:tc>
          <w:tcPr>
            <w:cnfStyle w:val="001000000000" w:firstRow="0" w:lastRow="0" w:firstColumn="1" w:lastColumn="0" w:oddVBand="0" w:evenVBand="0" w:oddHBand="0" w:evenHBand="0" w:firstRowFirstColumn="0" w:firstRowLastColumn="0" w:lastRowFirstColumn="0" w:lastRowLastColumn="0"/>
            <w:tcW w:w="1843" w:type="dxa"/>
          </w:tcPr>
          <w:p w14:paraId="612A8203" w14:textId="77777777" w:rsidR="006C7C4A" w:rsidRPr="000740FC" w:rsidRDefault="006C7C4A" w:rsidP="003C1F1A">
            <w:pPr>
              <w:pStyle w:val="Textinthetable"/>
              <w:rPr>
                <w:lang w:val="en-AU"/>
              </w:rPr>
            </w:pPr>
            <w:r w:rsidRPr="000740FC">
              <w:rPr>
                <w:lang w:val="en-AU"/>
              </w:rPr>
              <w:t xml:space="preserve">Older, longer serving MP </w:t>
            </w:r>
          </w:p>
        </w:tc>
        <w:tc>
          <w:tcPr>
            <w:tcW w:w="1701" w:type="dxa"/>
          </w:tcPr>
          <w:p w14:paraId="36CAA247" w14:textId="227464BC"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68</w:t>
            </w:r>
            <w:r w:rsidR="006C7C4A" w:rsidRPr="000740FC">
              <w:rPr>
                <w:vertAlign w:val="superscript"/>
                <w:lang w:val="en-AU"/>
              </w:rPr>
              <w:t>(d)</w:t>
            </w:r>
          </w:p>
        </w:tc>
        <w:tc>
          <w:tcPr>
            <w:tcW w:w="2410" w:type="dxa"/>
          </w:tcPr>
          <w:p w14:paraId="16C05AEF" w14:textId="664942C2"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93</w:t>
            </w:r>
          </w:p>
        </w:tc>
        <w:tc>
          <w:tcPr>
            <w:tcW w:w="2546" w:type="dxa"/>
          </w:tcPr>
          <w:p w14:paraId="6C6D2DD5" w14:textId="2392EABD"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2</w:t>
            </w:r>
            <w:r w:rsidR="00775746" w:rsidRPr="000740FC">
              <w:rPr>
                <w:lang w:val="en-AU"/>
              </w:rPr>
              <w:t>.</w:t>
            </w:r>
            <w:r w:rsidRPr="000740FC">
              <w:rPr>
                <w:lang w:val="en-AU"/>
              </w:rPr>
              <w:t>3</w:t>
            </w:r>
            <w:r w:rsidR="00B84D64" w:rsidRPr="000740FC">
              <w:rPr>
                <w:lang w:val="en-AU"/>
              </w:rPr>
              <w:t>2</w:t>
            </w:r>
          </w:p>
        </w:tc>
      </w:tr>
      <w:tr w:rsidR="006C7C4A" w:rsidRPr="000740FC" w14:paraId="4314EBAE" w14:textId="77777777" w:rsidTr="650C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094AC2" w14:textId="77777777" w:rsidR="006C7C4A" w:rsidRPr="000740FC" w:rsidRDefault="006C7C4A" w:rsidP="003C1F1A">
            <w:pPr>
              <w:pStyle w:val="Textinthetable"/>
              <w:rPr>
                <w:lang w:val="en-AU"/>
              </w:rPr>
            </w:pPr>
            <w:r w:rsidRPr="000740FC">
              <w:rPr>
                <w:lang w:val="en-AU"/>
              </w:rPr>
              <w:t>Older, shorter serving MP</w:t>
            </w:r>
          </w:p>
        </w:tc>
        <w:tc>
          <w:tcPr>
            <w:tcW w:w="1701" w:type="dxa"/>
          </w:tcPr>
          <w:p w14:paraId="2F85EC10" w14:textId="56441B77"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1</w:t>
            </w:r>
            <w:r w:rsidR="00B84D64" w:rsidRPr="000740FC">
              <w:rPr>
                <w:lang w:val="en-AU"/>
              </w:rPr>
              <w:t>8</w:t>
            </w:r>
          </w:p>
        </w:tc>
        <w:tc>
          <w:tcPr>
            <w:tcW w:w="2410" w:type="dxa"/>
          </w:tcPr>
          <w:p w14:paraId="3FBDF7C1" w14:textId="0DDE9706"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81</w:t>
            </w:r>
          </w:p>
        </w:tc>
        <w:tc>
          <w:tcPr>
            <w:tcW w:w="2546" w:type="dxa"/>
          </w:tcPr>
          <w:p w14:paraId="75D68E10" w14:textId="2F547F26"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8</w:t>
            </w:r>
            <w:r w:rsidR="00B84D64" w:rsidRPr="000740FC">
              <w:rPr>
                <w:lang w:val="en-AU"/>
              </w:rPr>
              <w:t>9</w:t>
            </w:r>
          </w:p>
        </w:tc>
      </w:tr>
      <w:tr w:rsidR="006C7C4A" w:rsidRPr="000740FC" w14:paraId="0F20127A" w14:textId="77777777" w:rsidTr="650C5ED4">
        <w:tc>
          <w:tcPr>
            <w:cnfStyle w:val="001000000000" w:firstRow="0" w:lastRow="0" w:firstColumn="1" w:lastColumn="0" w:oddVBand="0" w:evenVBand="0" w:oddHBand="0" w:evenHBand="0" w:firstRowFirstColumn="0" w:firstRowLastColumn="0" w:lastRowFirstColumn="0" w:lastRowLastColumn="0"/>
            <w:tcW w:w="1843" w:type="dxa"/>
          </w:tcPr>
          <w:p w14:paraId="14A25365" w14:textId="77777777" w:rsidR="006C7C4A" w:rsidRPr="000740FC" w:rsidRDefault="006C7C4A" w:rsidP="003C1F1A">
            <w:pPr>
              <w:pStyle w:val="Textinthetable"/>
              <w:rPr>
                <w:lang w:val="en-AU"/>
              </w:rPr>
            </w:pPr>
            <w:r w:rsidRPr="000740FC">
              <w:rPr>
                <w:lang w:val="en-AU"/>
              </w:rPr>
              <w:t>Younger, longer serving MP</w:t>
            </w:r>
          </w:p>
        </w:tc>
        <w:tc>
          <w:tcPr>
            <w:tcW w:w="1701" w:type="dxa"/>
          </w:tcPr>
          <w:p w14:paraId="326613B9" w14:textId="579E9099"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77</w:t>
            </w:r>
            <w:r w:rsidR="006C7C4A" w:rsidRPr="000740FC">
              <w:rPr>
                <w:vertAlign w:val="superscript"/>
                <w:lang w:val="en-AU"/>
              </w:rPr>
              <w:t>(d)</w:t>
            </w:r>
          </w:p>
        </w:tc>
        <w:tc>
          <w:tcPr>
            <w:tcW w:w="2410" w:type="dxa"/>
          </w:tcPr>
          <w:p w14:paraId="110F655E" w14:textId="791E1578"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1</w:t>
            </w:r>
            <w:r w:rsidR="00775746" w:rsidRPr="000740FC">
              <w:rPr>
                <w:lang w:val="en-AU"/>
              </w:rPr>
              <w:t>.</w:t>
            </w:r>
            <w:r w:rsidR="00B84D64" w:rsidRPr="000740FC">
              <w:rPr>
                <w:lang w:val="en-AU"/>
              </w:rPr>
              <w:t>10</w:t>
            </w:r>
          </w:p>
        </w:tc>
        <w:tc>
          <w:tcPr>
            <w:tcW w:w="2546" w:type="dxa"/>
          </w:tcPr>
          <w:p w14:paraId="16B093BA" w14:textId="122A9F46"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2</w:t>
            </w:r>
            <w:r w:rsidR="00775746" w:rsidRPr="000740FC">
              <w:rPr>
                <w:lang w:val="en-AU"/>
              </w:rPr>
              <w:t>.</w:t>
            </w:r>
            <w:r w:rsidRPr="000740FC">
              <w:rPr>
                <w:lang w:val="en-AU"/>
              </w:rPr>
              <w:t>9</w:t>
            </w:r>
            <w:r w:rsidR="00B84D64" w:rsidRPr="000740FC">
              <w:rPr>
                <w:lang w:val="en-AU"/>
              </w:rPr>
              <w:t>2</w:t>
            </w:r>
          </w:p>
        </w:tc>
      </w:tr>
      <w:tr w:rsidR="006C7C4A" w:rsidRPr="000740FC" w14:paraId="6BF60336" w14:textId="77777777" w:rsidTr="650C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7185DF" w14:textId="77777777" w:rsidR="006C7C4A" w:rsidRPr="000740FC" w:rsidRDefault="006C7C4A" w:rsidP="003C1F1A">
            <w:pPr>
              <w:pStyle w:val="Textinthetable"/>
              <w:rPr>
                <w:lang w:val="en-AU"/>
              </w:rPr>
            </w:pPr>
            <w:r w:rsidRPr="000740FC">
              <w:rPr>
                <w:lang w:val="en-AU"/>
              </w:rPr>
              <w:t>Younger, shorter serving MP</w:t>
            </w:r>
          </w:p>
        </w:tc>
        <w:tc>
          <w:tcPr>
            <w:tcW w:w="1701" w:type="dxa"/>
          </w:tcPr>
          <w:p w14:paraId="0A2994A8" w14:textId="15576FC4"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23</w:t>
            </w:r>
          </w:p>
        </w:tc>
        <w:tc>
          <w:tcPr>
            <w:tcW w:w="2410" w:type="dxa"/>
          </w:tcPr>
          <w:p w14:paraId="78389FEF" w14:textId="315F288B"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 xml:space="preserve">Voluntary exit: </w:t>
            </w:r>
            <w:r w:rsidR="00AF7B61" w:rsidRPr="000740FC">
              <w:rPr>
                <w:lang w:val="en-AU"/>
              </w:rPr>
              <w:t>0.</w:t>
            </w:r>
            <w:r w:rsidR="007A5856">
              <w:rPr>
                <w:lang w:val="en-AU"/>
              </w:rPr>
              <w:t>29</w:t>
            </w:r>
          </w:p>
          <w:p w14:paraId="2F5C88CA" w14:textId="347C0247"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 xml:space="preserve">Involuntary exit: </w:t>
            </w:r>
            <w:r w:rsidR="00775746" w:rsidRPr="000740FC">
              <w:rPr>
                <w:lang w:val="en-AU"/>
              </w:rPr>
              <w:t>0.</w:t>
            </w:r>
            <w:r w:rsidRPr="000740FC">
              <w:rPr>
                <w:lang w:val="en-AU"/>
              </w:rPr>
              <w:t>81</w:t>
            </w:r>
          </w:p>
        </w:tc>
        <w:tc>
          <w:tcPr>
            <w:tcW w:w="2546" w:type="dxa"/>
          </w:tcPr>
          <w:p w14:paraId="0BF875B1" w14:textId="2AB49659"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 xml:space="preserve">Voluntary exit: </w:t>
            </w:r>
            <w:r w:rsidR="00AF7B61" w:rsidRPr="000740FC">
              <w:rPr>
                <w:lang w:val="en-AU"/>
              </w:rPr>
              <w:t>N/A</w:t>
            </w:r>
          </w:p>
          <w:p w14:paraId="55C7C5A4" w14:textId="1470286D"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Involuntary exit: 2</w:t>
            </w:r>
            <w:r w:rsidR="00775746" w:rsidRPr="000740FC">
              <w:rPr>
                <w:lang w:val="en-AU"/>
              </w:rPr>
              <w:t>.</w:t>
            </w:r>
            <w:r w:rsidRPr="000740FC">
              <w:rPr>
                <w:lang w:val="en-AU"/>
              </w:rPr>
              <w:t>23</w:t>
            </w:r>
          </w:p>
        </w:tc>
      </w:tr>
      <w:tr w:rsidR="006C7C4A" w:rsidRPr="000740FC" w14:paraId="59988951" w14:textId="77777777" w:rsidTr="650C5ED4">
        <w:tc>
          <w:tcPr>
            <w:cnfStyle w:val="001000000000" w:firstRow="0" w:lastRow="0" w:firstColumn="1" w:lastColumn="0" w:oddVBand="0" w:evenVBand="0" w:oddHBand="0" w:evenHBand="0" w:firstRowFirstColumn="0" w:firstRowLastColumn="0" w:lastRowFirstColumn="0" w:lastRowLastColumn="0"/>
            <w:tcW w:w="1843" w:type="dxa"/>
          </w:tcPr>
          <w:p w14:paraId="57E61844" w14:textId="09216136" w:rsidR="006C7C4A" w:rsidRPr="000740FC" w:rsidRDefault="006C7C4A" w:rsidP="003C1F1A">
            <w:pPr>
              <w:pStyle w:val="Textinthetable"/>
              <w:rPr>
                <w:lang w:val="en-AU"/>
              </w:rPr>
            </w:pPr>
            <w:r w:rsidRPr="000740FC">
              <w:rPr>
                <w:lang w:val="en-AU"/>
              </w:rPr>
              <w:t>One</w:t>
            </w:r>
            <w:r w:rsidR="00986A5E">
              <w:rPr>
                <w:lang w:val="en-AU"/>
              </w:rPr>
              <w:t>-</w:t>
            </w:r>
            <w:r w:rsidRPr="000740FC">
              <w:rPr>
                <w:lang w:val="en-AU"/>
              </w:rPr>
              <w:t>term MP</w:t>
            </w:r>
          </w:p>
        </w:tc>
        <w:tc>
          <w:tcPr>
            <w:tcW w:w="1701" w:type="dxa"/>
          </w:tcPr>
          <w:p w14:paraId="313DC70A" w14:textId="58BAE049"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1</w:t>
            </w:r>
            <w:r w:rsidR="00B84D64" w:rsidRPr="000740FC">
              <w:rPr>
                <w:lang w:val="en-AU"/>
              </w:rPr>
              <w:t>2</w:t>
            </w:r>
          </w:p>
        </w:tc>
        <w:tc>
          <w:tcPr>
            <w:tcW w:w="2410" w:type="dxa"/>
          </w:tcPr>
          <w:p w14:paraId="2A099869" w14:textId="2AA32DDF"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 xml:space="preserve">Voluntary exit: </w:t>
            </w:r>
            <w:r w:rsidR="0081374D" w:rsidRPr="000740FC">
              <w:rPr>
                <w:lang w:val="en-AU"/>
              </w:rPr>
              <w:t>0.1</w:t>
            </w:r>
            <w:r w:rsidR="006B114B">
              <w:rPr>
                <w:lang w:val="en-AU"/>
              </w:rPr>
              <w:t>5</w:t>
            </w:r>
          </w:p>
          <w:p w14:paraId="4D28BC73" w14:textId="315D5120"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 xml:space="preserve">Involuntary exit: </w:t>
            </w:r>
            <w:r w:rsidR="00775746" w:rsidRPr="000740FC">
              <w:rPr>
                <w:lang w:val="en-AU"/>
              </w:rPr>
              <w:t>0.</w:t>
            </w:r>
            <w:r w:rsidRPr="000740FC">
              <w:rPr>
                <w:lang w:val="en-AU"/>
              </w:rPr>
              <w:t>23</w:t>
            </w:r>
          </w:p>
        </w:tc>
        <w:tc>
          <w:tcPr>
            <w:tcW w:w="2546" w:type="dxa"/>
          </w:tcPr>
          <w:p w14:paraId="2ED26C7B" w14:textId="77777777"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N/A</w:t>
            </w:r>
          </w:p>
        </w:tc>
      </w:tr>
      <w:tr w:rsidR="006C7C4A" w:rsidRPr="000740FC" w14:paraId="0385C713" w14:textId="77777777" w:rsidTr="650C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D8D213" w14:textId="77777777" w:rsidR="006C7C4A" w:rsidRPr="000740FC" w:rsidRDefault="006C7C4A" w:rsidP="003C1F1A">
            <w:pPr>
              <w:pStyle w:val="Textinthetable"/>
              <w:rPr>
                <w:lang w:val="en-AU"/>
              </w:rPr>
            </w:pPr>
            <w:r w:rsidRPr="000740FC">
              <w:rPr>
                <w:lang w:val="en-AU"/>
              </w:rPr>
              <w:t>Office holder</w:t>
            </w:r>
          </w:p>
        </w:tc>
        <w:tc>
          <w:tcPr>
            <w:tcW w:w="1701" w:type="dxa"/>
          </w:tcPr>
          <w:p w14:paraId="58000116" w14:textId="3CD7489A" w:rsidR="006C7C4A" w:rsidRPr="000740FC" w:rsidRDefault="37FCE2D3"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2CECD63B" w:rsidRPr="000740FC">
              <w:rPr>
                <w:lang w:val="en-AU"/>
              </w:rPr>
              <w:t>70</w:t>
            </w:r>
            <w:r w:rsidR="006C7C4A" w:rsidRPr="000740FC">
              <w:rPr>
                <w:vertAlign w:val="superscript"/>
                <w:lang w:val="en-AU"/>
              </w:rPr>
              <w:t>(c)</w:t>
            </w:r>
          </w:p>
        </w:tc>
        <w:tc>
          <w:tcPr>
            <w:tcW w:w="2410" w:type="dxa"/>
          </w:tcPr>
          <w:p w14:paraId="13368F33" w14:textId="2A092020"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41</w:t>
            </w:r>
          </w:p>
        </w:tc>
        <w:tc>
          <w:tcPr>
            <w:tcW w:w="2546" w:type="dxa"/>
          </w:tcPr>
          <w:p w14:paraId="2F2041B7" w14:textId="3B223FD8"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3</w:t>
            </w:r>
            <w:r w:rsidR="37FCE2D3" w:rsidRPr="000740FC">
              <w:rPr>
                <w:lang w:val="en-AU"/>
              </w:rPr>
              <w:t>.</w:t>
            </w:r>
            <w:r w:rsidRPr="000740FC">
              <w:rPr>
                <w:lang w:val="en-AU"/>
              </w:rPr>
              <w:t>3</w:t>
            </w:r>
            <w:r w:rsidR="2CECD63B" w:rsidRPr="000740FC">
              <w:rPr>
                <w:lang w:val="en-AU"/>
              </w:rPr>
              <w:t>1</w:t>
            </w:r>
          </w:p>
        </w:tc>
      </w:tr>
    </w:tbl>
    <w:p w14:paraId="3E32E338" w14:textId="115589FD" w:rsidR="006C7C4A" w:rsidRPr="000740FC" w:rsidRDefault="006C7C4A" w:rsidP="006C7C4A">
      <w:pPr>
        <w:pStyle w:val="Notesfortablesfigures"/>
      </w:pPr>
      <w:r w:rsidRPr="000740FC">
        <w:t>Notes: (a) Commonwealth grandfathering arrangements reduce the tax liability of existing MPs in the New Benefits Scheme. The effect of these arrangements have been taken into account to calculate these outputs</w:t>
      </w:r>
      <w:r w:rsidR="00390511">
        <w:t>.</w:t>
      </w:r>
      <w:r w:rsidRPr="000740FC">
        <w:t xml:space="preserve"> (b) </w:t>
      </w:r>
      <w:r w:rsidR="00390511">
        <w:t>I</w:t>
      </w:r>
      <w:r w:rsidRPr="000740FC">
        <w:t xml:space="preserve">f the MP served less than 12 years and was </w:t>
      </w:r>
      <w:r w:rsidR="00D05933">
        <w:t>aged</w:t>
      </w:r>
      <w:r w:rsidRPr="000740FC">
        <w:t xml:space="preserve"> less than 60 years when they left the Parliament, their </w:t>
      </w:r>
      <w:r w:rsidR="00BF60EE">
        <w:t>benefit</w:t>
      </w:r>
      <w:r w:rsidRPr="000740FC">
        <w:t xml:space="preserve"> differs depending on whether they left voluntarily or involuntarily (MPs </w:t>
      </w:r>
      <w:r w:rsidR="009537FA">
        <w:t>who</w:t>
      </w:r>
      <w:r w:rsidRPr="000740FC">
        <w:t xml:space="preserve"> are </w:t>
      </w:r>
      <w:r w:rsidR="00D05933">
        <w:t>aged</w:t>
      </w:r>
      <w:r w:rsidRPr="000740FC">
        <w:t xml:space="preserve"> at least 60 years are deemed to leave involuntarily)</w:t>
      </w:r>
      <w:r w:rsidR="00741E8E">
        <w:t>.</w:t>
      </w:r>
      <w:r w:rsidRPr="000740FC">
        <w:t xml:space="preserve"> (c) </w:t>
      </w:r>
      <w:r w:rsidR="004009CA">
        <w:t>I</w:t>
      </w:r>
      <w:r w:rsidRPr="000740FC">
        <w:t xml:space="preserve">ncludes the resettlement allowance, which was provided to MPs </w:t>
      </w:r>
      <w:r w:rsidR="009537FA">
        <w:t>who</w:t>
      </w:r>
      <w:r w:rsidRPr="000740FC">
        <w:t xml:space="preserve"> left the Parliament from </w:t>
      </w:r>
      <w:r w:rsidR="00E4762F">
        <w:br/>
      </w:r>
      <w:r w:rsidRPr="000740FC">
        <w:t>1 July 2013, subject to eligibility requirements</w:t>
      </w:r>
      <w:r w:rsidR="004009CA">
        <w:t>.</w:t>
      </w:r>
      <w:r w:rsidRPr="000740FC">
        <w:t xml:space="preserve"> (d) </w:t>
      </w:r>
      <w:r w:rsidR="004009CA">
        <w:t>I</w:t>
      </w:r>
      <w:r w:rsidRPr="000740FC">
        <w:t xml:space="preserve">ncludes the separation payment, which replaced the resettlement allowance and was provided to MPs </w:t>
      </w:r>
      <w:r w:rsidR="009537FA">
        <w:t>who</w:t>
      </w:r>
      <w:r w:rsidRPr="000740FC">
        <w:t xml:space="preserve"> left the Parliament from 29 October 2018, subject to eligibility requirements.</w:t>
      </w:r>
    </w:p>
    <w:p w14:paraId="224B9B66" w14:textId="77777777" w:rsidR="007B273F" w:rsidRPr="008D6018" w:rsidRDefault="007B273F" w:rsidP="007B273F">
      <w:pPr>
        <w:pStyle w:val="Footnotes"/>
      </w:pPr>
      <w:r>
        <w:t>Source: PwC modelling.</w:t>
      </w:r>
    </w:p>
    <w:p w14:paraId="4143A17A" w14:textId="22AE032F" w:rsidR="00EE55B2" w:rsidRPr="000740FC" w:rsidRDefault="006C7C4A" w:rsidP="00B33183">
      <w:pPr>
        <w:pStyle w:val="Paragraph"/>
      </w:pPr>
      <w:r w:rsidRPr="000740FC">
        <w:t>Results using the forward-looking approach are show</w:t>
      </w:r>
      <w:r w:rsidR="000C134C">
        <w:t>n</w:t>
      </w:r>
      <w:r w:rsidRPr="000740FC">
        <w:t xml:space="preserve"> in table </w:t>
      </w:r>
      <w:r w:rsidR="00EC14D8">
        <w:t>5.3</w:t>
      </w:r>
      <w:r w:rsidR="00635F72">
        <w:t xml:space="preserve"> (overleaf)</w:t>
      </w:r>
      <w:r w:rsidRPr="000740FC">
        <w:t xml:space="preserve">. The Tribunal used those results to understand the relative benefits of the schemes based on their current rules. </w:t>
      </w:r>
      <w:r w:rsidR="00EE55B2" w:rsidRPr="000740FC">
        <w:br w:type="page"/>
      </w:r>
    </w:p>
    <w:p w14:paraId="5F7BB888" w14:textId="1F1B00ED" w:rsidR="006C7C4A" w:rsidRPr="000740FC" w:rsidRDefault="006C7C4A" w:rsidP="00920ECD">
      <w:pPr>
        <w:pStyle w:val="Tableheading"/>
      </w:pPr>
      <w:r w:rsidRPr="000740FC">
        <w:lastRenderedPageBreak/>
        <w:t xml:space="preserve">Table </w:t>
      </w:r>
      <w:r w:rsidR="00E91897">
        <w:t>5.3</w:t>
      </w:r>
      <w:r w:rsidRPr="000740FC">
        <w:t xml:space="preserve">: estimated superannuation outcomes for </w:t>
      </w:r>
      <w:r w:rsidR="00A4688B" w:rsidRPr="000740FC">
        <w:t>hypothetical</w:t>
      </w:r>
      <w:r w:rsidRPr="000740FC">
        <w:t xml:space="preserve"> MPs </w:t>
      </w:r>
      <w:r w:rsidR="009537FA">
        <w:t>who</w:t>
      </w:r>
      <w:r w:rsidRPr="000740FC">
        <w:t xml:space="preserve"> joined the Parliament on 1 July 2020</w:t>
      </w:r>
    </w:p>
    <w:tbl>
      <w:tblPr>
        <w:tblStyle w:val="ListTable3-Accent2"/>
        <w:tblW w:w="8500" w:type="dxa"/>
        <w:tblLook w:val="04A0" w:firstRow="1" w:lastRow="0" w:firstColumn="1" w:lastColumn="0" w:noHBand="0" w:noVBand="1"/>
      </w:tblPr>
      <w:tblGrid>
        <w:gridCol w:w="1843"/>
        <w:gridCol w:w="1701"/>
        <w:gridCol w:w="2410"/>
        <w:gridCol w:w="2546"/>
      </w:tblGrid>
      <w:tr w:rsidR="0053166A" w:rsidRPr="000740FC" w14:paraId="35FC7920" w14:textId="77777777" w:rsidTr="005C32F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843" w:type="dxa"/>
            <w:vMerge w:val="restart"/>
          </w:tcPr>
          <w:p w14:paraId="28631831" w14:textId="77777777" w:rsidR="0053166A" w:rsidRPr="005C32F4" w:rsidRDefault="0053166A" w:rsidP="005C32F4">
            <w:pPr>
              <w:pStyle w:val="Textinthetable"/>
              <w:rPr>
                <w:color w:val="FFFFFF" w:themeColor="background1"/>
              </w:rPr>
            </w:pPr>
            <w:r w:rsidRPr="005C32F4">
              <w:rPr>
                <w:color w:val="FFFFFF" w:themeColor="background1"/>
              </w:rPr>
              <w:t>Example</w:t>
            </w:r>
          </w:p>
        </w:tc>
        <w:tc>
          <w:tcPr>
            <w:tcW w:w="6657" w:type="dxa"/>
            <w:gridSpan w:val="3"/>
          </w:tcPr>
          <w:p w14:paraId="7CA3E105" w14:textId="22F6F975" w:rsidR="0053166A" w:rsidRPr="005C32F4" w:rsidRDefault="0053166A" w:rsidP="005C32F4">
            <w:pPr>
              <w:pStyle w:val="Textinthe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C32F4">
              <w:rPr>
                <w:color w:val="FFFFFF" w:themeColor="background1"/>
              </w:rPr>
              <w:t>Outcome ($m, June 2020 dollars)</w:t>
            </w:r>
            <w:r w:rsidR="00D32E75" w:rsidRPr="00D32E75">
              <w:rPr>
                <w:color w:val="FFFFFF" w:themeColor="background1"/>
                <w:vertAlign w:val="superscript"/>
              </w:rPr>
              <w:t>(a</w:t>
            </w:r>
            <w:r w:rsidRPr="00D32E75">
              <w:rPr>
                <w:color w:val="FFFFFF" w:themeColor="background1"/>
                <w:vertAlign w:val="superscript"/>
              </w:rPr>
              <w:t>)</w:t>
            </w:r>
          </w:p>
        </w:tc>
      </w:tr>
      <w:tr w:rsidR="0053166A" w:rsidRPr="000740FC" w14:paraId="542C9EDE" w14:textId="77777777" w:rsidTr="005C32F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148A5D" w:themeFill="accent2"/>
          </w:tcPr>
          <w:p w14:paraId="31BF814A" w14:textId="77777777" w:rsidR="0053166A" w:rsidRPr="005C32F4" w:rsidRDefault="0053166A" w:rsidP="005C32F4">
            <w:pPr>
              <w:pStyle w:val="Textinthetable"/>
              <w:rPr>
                <w:b/>
                <w:color w:val="FFFFFF" w:themeColor="background1"/>
              </w:rPr>
            </w:pPr>
          </w:p>
        </w:tc>
        <w:tc>
          <w:tcPr>
            <w:tcW w:w="1701" w:type="dxa"/>
            <w:vMerge w:val="restart"/>
            <w:shd w:val="clear" w:color="auto" w:fill="148A5D" w:themeFill="accent2"/>
            <w:vAlign w:val="bottom"/>
          </w:tcPr>
          <w:p w14:paraId="1ACFC45C" w14:textId="3D8A6D85" w:rsidR="0053166A" w:rsidRPr="005C32F4" w:rsidRDefault="0053166A" w:rsidP="005C32F4">
            <w:pPr>
              <w:pStyle w:val="Textinthetable"/>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C32F4">
              <w:rPr>
                <w:b/>
                <w:bCs/>
                <w:color w:val="FFFFFF" w:themeColor="background1"/>
              </w:rPr>
              <w:t>Accumulation</w:t>
            </w:r>
            <w:r w:rsidR="005C32F4">
              <w:rPr>
                <w:b/>
                <w:bCs/>
                <w:color w:val="FFFFFF" w:themeColor="background1"/>
              </w:rPr>
              <w:br/>
              <w:t>s</w:t>
            </w:r>
            <w:r w:rsidRPr="005C32F4">
              <w:rPr>
                <w:b/>
                <w:bCs/>
                <w:color w:val="FFFFFF" w:themeColor="background1"/>
              </w:rPr>
              <w:t>cheme</w:t>
            </w:r>
          </w:p>
        </w:tc>
        <w:tc>
          <w:tcPr>
            <w:tcW w:w="4956" w:type="dxa"/>
            <w:gridSpan w:val="2"/>
            <w:shd w:val="clear" w:color="auto" w:fill="148A5D" w:themeFill="accent2"/>
          </w:tcPr>
          <w:p w14:paraId="0F83F3CC" w14:textId="4B2CDA69" w:rsidR="0053166A" w:rsidRPr="005C32F4" w:rsidRDefault="0053166A" w:rsidP="005C32F4">
            <w:pPr>
              <w:pStyle w:val="Textinthetable"/>
              <w:jc w:val="center"/>
              <w:cnfStyle w:val="000000100000" w:firstRow="0" w:lastRow="0" w:firstColumn="0" w:lastColumn="0" w:oddVBand="0" w:evenVBand="0" w:oddHBand="1" w:evenHBand="0" w:firstRowFirstColumn="0" w:firstRowLastColumn="0" w:lastRowFirstColumn="0" w:lastRowLastColumn="0"/>
              <w:rPr>
                <w:b/>
                <w:bCs/>
                <w:color w:val="FFFFFF" w:themeColor="background1"/>
                <w:vertAlign w:val="superscript"/>
              </w:rPr>
            </w:pPr>
            <w:r w:rsidRPr="005C32F4">
              <w:rPr>
                <w:b/>
                <w:bCs/>
                <w:color w:val="FFFFFF" w:themeColor="background1"/>
              </w:rPr>
              <w:t>New Benefits Scheme</w:t>
            </w:r>
            <w:r w:rsidRPr="005C32F4">
              <w:rPr>
                <w:b/>
                <w:bCs/>
                <w:color w:val="FFFFFF" w:themeColor="background1"/>
                <w:vertAlign w:val="superscript"/>
              </w:rPr>
              <w:t>(</w:t>
            </w:r>
            <w:r w:rsidR="00D32E75" w:rsidRPr="00D32E75">
              <w:rPr>
                <w:b/>
                <w:bCs/>
                <w:color w:val="FFFFFF" w:themeColor="background1"/>
                <w:vertAlign w:val="superscript"/>
              </w:rPr>
              <w:t>b</w:t>
            </w:r>
            <w:r w:rsidRPr="005C32F4">
              <w:rPr>
                <w:b/>
                <w:bCs/>
                <w:color w:val="FFFFFF" w:themeColor="background1"/>
                <w:vertAlign w:val="superscript"/>
              </w:rPr>
              <w:t>)</w:t>
            </w:r>
          </w:p>
        </w:tc>
      </w:tr>
      <w:tr w:rsidR="0053166A" w:rsidRPr="000740FC" w14:paraId="2744090C" w14:textId="77777777" w:rsidTr="005C32F4">
        <w:trPr>
          <w:trHeight w:val="425"/>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148A5D" w:themeFill="accent2"/>
          </w:tcPr>
          <w:p w14:paraId="4ED7889C" w14:textId="77777777" w:rsidR="0053166A" w:rsidRPr="005C32F4" w:rsidRDefault="0053166A" w:rsidP="005C32F4">
            <w:pPr>
              <w:pStyle w:val="Textinthetable"/>
              <w:rPr>
                <w:b/>
                <w:color w:val="FFFFFF" w:themeColor="background1"/>
              </w:rPr>
            </w:pPr>
          </w:p>
        </w:tc>
        <w:tc>
          <w:tcPr>
            <w:tcW w:w="1701" w:type="dxa"/>
            <w:vMerge/>
            <w:shd w:val="clear" w:color="auto" w:fill="148A5D" w:themeFill="accent2"/>
          </w:tcPr>
          <w:p w14:paraId="3DA099F8" w14:textId="77777777" w:rsidR="0053166A" w:rsidRPr="005C32F4" w:rsidRDefault="0053166A" w:rsidP="005C32F4">
            <w:pPr>
              <w:pStyle w:val="Textinthetable"/>
              <w:cnfStyle w:val="000000000000" w:firstRow="0" w:lastRow="0" w:firstColumn="0" w:lastColumn="0" w:oddVBand="0" w:evenVBand="0" w:oddHBand="0" w:evenHBand="0" w:firstRowFirstColumn="0" w:firstRowLastColumn="0" w:lastRowFirstColumn="0" w:lastRowLastColumn="0"/>
              <w:rPr>
                <w:b/>
                <w:bCs/>
                <w:color w:val="FFFFFF" w:themeColor="background1"/>
              </w:rPr>
            </w:pPr>
          </w:p>
        </w:tc>
        <w:tc>
          <w:tcPr>
            <w:tcW w:w="2410" w:type="dxa"/>
            <w:shd w:val="clear" w:color="auto" w:fill="148A5D" w:themeFill="accent2"/>
          </w:tcPr>
          <w:p w14:paraId="553F9C01" w14:textId="77777777" w:rsidR="0053166A" w:rsidRPr="005C32F4" w:rsidRDefault="0053166A" w:rsidP="005C32F4">
            <w:pPr>
              <w:pStyle w:val="Textinthetable"/>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5C32F4">
              <w:rPr>
                <w:b/>
                <w:bCs/>
                <w:color w:val="FFFFFF" w:themeColor="background1"/>
              </w:rPr>
              <w:t xml:space="preserve">If wholly taken as a </w:t>
            </w:r>
            <w:r w:rsidRPr="005C32F4">
              <w:rPr>
                <w:b/>
                <w:bCs/>
                <w:color w:val="FFFFFF" w:themeColor="background1"/>
              </w:rPr>
              <w:br/>
              <w:t>lump sum</w:t>
            </w:r>
          </w:p>
        </w:tc>
        <w:tc>
          <w:tcPr>
            <w:tcW w:w="2546" w:type="dxa"/>
            <w:shd w:val="clear" w:color="auto" w:fill="148A5D" w:themeFill="accent2"/>
          </w:tcPr>
          <w:p w14:paraId="0450B533" w14:textId="77777777" w:rsidR="0053166A" w:rsidRPr="005C32F4" w:rsidRDefault="0053166A" w:rsidP="005C32F4">
            <w:pPr>
              <w:pStyle w:val="Textinthetable"/>
              <w:jc w:val="righ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5C32F4">
              <w:rPr>
                <w:b/>
                <w:bCs/>
                <w:color w:val="FFFFFF" w:themeColor="background1"/>
              </w:rPr>
              <w:t>If wholly taken as a pension</w:t>
            </w:r>
          </w:p>
        </w:tc>
      </w:tr>
      <w:tr w:rsidR="006C7C4A" w:rsidRPr="000740FC" w14:paraId="3C5C2BDC" w14:textId="77777777" w:rsidTr="00531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1BC894" w14:textId="3855DB4F" w:rsidR="006C7C4A" w:rsidRPr="000740FC" w:rsidRDefault="002469C3" w:rsidP="003C1F1A">
            <w:pPr>
              <w:pStyle w:val="Textinthetable"/>
              <w:rPr>
                <w:lang w:val="en-AU"/>
              </w:rPr>
            </w:pPr>
            <w:r w:rsidRPr="000740FC">
              <w:rPr>
                <w:lang w:val="en-AU"/>
              </w:rPr>
              <w:t>Representative</w:t>
            </w:r>
            <w:r w:rsidR="006C7C4A" w:rsidRPr="000740FC">
              <w:rPr>
                <w:lang w:val="en-AU"/>
              </w:rPr>
              <w:t xml:space="preserve"> MP</w:t>
            </w:r>
          </w:p>
        </w:tc>
        <w:tc>
          <w:tcPr>
            <w:tcW w:w="1701" w:type="dxa"/>
          </w:tcPr>
          <w:p w14:paraId="5CEAD0F2" w14:textId="50203CBA"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70</w:t>
            </w:r>
          </w:p>
        </w:tc>
        <w:tc>
          <w:tcPr>
            <w:tcW w:w="2410" w:type="dxa"/>
          </w:tcPr>
          <w:p w14:paraId="375EC56E" w14:textId="7FC69058"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09</w:t>
            </w:r>
          </w:p>
        </w:tc>
        <w:tc>
          <w:tcPr>
            <w:tcW w:w="2546" w:type="dxa"/>
          </w:tcPr>
          <w:p w14:paraId="49C8EDEB" w14:textId="7F9C8BEE"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2</w:t>
            </w:r>
            <w:r w:rsidR="00775746" w:rsidRPr="000740FC">
              <w:rPr>
                <w:lang w:val="en-AU"/>
              </w:rPr>
              <w:t>.</w:t>
            </w:r>
            <w:r w:rsidRPr="000740FC">
              <w:rPr>
                <w:lang w:val="en-AU"/>
              </w:rPr>
              <w:t>9</w:t>
            </w:r>
            <w:r w:rsidR="00B84D64" w:rsidRPr="000740FC">
              <w:rPr>
                <w:lang w:val="en-AU"/>
              </w:rPr>
              <w:t>6</w:t>
            </w:r>
          </w:p>
        </w:tc>
      </w:tr>
      <w:tr w:rsidR="006C7C4A" w:rsidRPr="000740FC" w14:paraId="0D2C70F1" w14:textId="77777777" w:rsidTr="0053166A">
        <w:tc>
          <w:tcPr>
            <w:cnfStyle w:val="001000000000" w:firstRow="0" w:lastRow="0" w:firstColumn="1" w:lastColumn="0" w:oddVBand="0" w:evenVBand="0" w:oddHBand="0" w:evenHBand="0" w:firstRowFirstColumn="0" w:firstRowLastColumn="0" w:lastRowFirstColumn="0" w:lastRowLastColumn="0"/>
            <w:tcW w:w="1843" w:type="dxa"/>
          </w:tcPr>
          <w:p w14:paraId="370B6872" w14:textId="77777777" w:rsidR="006C7C4A" w:rsidRPr="000740FC" w:rsidRDefault="006C7C4A" w:rsidP="003C1F1A">
            <w:pPr>
              <w:pStyle w:val="Textinthetable"/>
              <w:rPr>
                <w:lang w:val="en-AU"/>
              </w:rPr>
            </w:pPr>
            <w:r w:rsidRPr="000740FC">
              <w:rPr>
                <w:lang w:val="en-AU"/>
              </w:rPr>
              <w:t>Older, longer serving MP</w:t>
            </w:r>
          </w:p>
        </w:tc>
        <w:tc>
          <w:tcPr>
            <w:tcW w:w="1701" w:type="dxa"/>
          </w:tcPr>
          <w:p w14:paraId="4BB2A8DE" w14:textId="33B1355A"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9</w:t>
            </w:r>
            <w:r w:rsidR="00B84D64" w:rsidRPr="000740FC">
              <w:rPr>
                <w:lang w:val="en-AU"/>
              </w:rPr>
              <w:t>3</w:t>
            </w:r>
          </w:p>
        </w:tc>
        <w:tc>
          <w:tcPr>
            <w:tcW w:w="2410" w:type="dxa"/>
          </w:tcPr>
          <w:p w14:paraId="2005231E" w14:textId="1057A05B"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1</w:t>
            </w:r>
            <w:r w:rsidR="37FCE2D3" w:rsidRPr="000740FC">
              <w:rPr>
                <w:lang w:val="en-AU"/>
              </w:rPr>
              <w:t>.</w:t>
            </w:r>
            <w:r w:rsidRPr="000740FC">
              <w:rPr>
                <w:lang w:val="en-AU"/>
              </w:rPr>
              <w:t>01</w:t>
            </w:r>
          </w:p>
        </w:tc>
        <w:tc>
          <w:tcPr>
            <w:tcW w:w="2546" w:type="dxa"/>
          </w:tcPr>
          <w:p w14:paraId="002100E8" w14:textId="0CAF6AB3"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2</w:t>
            </w:r>
            <w:r w:rsidR="00775746" w:rsidRPr="000740FC">
              <w:rPr>
                <w:lang w:val="en-AU"/>
              </w:rPr>
              <w:t>.</w:t>
            </w:r>
            <w:r w:rsidRPr="000740FC">
              <w:rPr>
                <w:lang w:val="en-AU"/>
              </w:rPr>
              <w:t>86</w:t>
            </w:r>
          </w:p>
        </w:tc>
      </w:tr>
      <w:tr w:rsidR="006C7C4A" w:rsidRPr="000740FC" w14:paraId="7F036C0A" w14:textId="77777777" w:rsidTr="00531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F58AEA" w14:textId="77777777" w:rsidR="006C7C4A" w:rsidRPr="000740FC" w:rsidRDefault="006C7C4A" w:rsidP="003C1F1A">
            <w:pPr>
              <w:pStyle w:val="Textinthetable"/>
              <w:rPr>
                <w:lang w:val="en-AU"/>
              </w:rPr>
            </w:pPr>
            <w:r w:rsidRPr="000740FC">
              <w:rPr>
                <w:lang w:val="en-AU"/>
              </w:rPr>
              <w:t>Older, shorter serving MP</w:t>
            </w:r>
          </w:p>
        </w:tc>
        <w:tc>
          <w:tcPr>
            <w:tcW w:w="1701" w:type="dxa"/>
          </w:tcPr>
          <w:p w14:paraId="72DF3885" w14:textId="409D0BE0"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3</w:t>
            </w:r>
            <w:r w:rsidR="00B84D64" w:rsidRPr="000740FC">
              <w:rPr>
                <w:lang w:val="en-AU"/>
              </w:rPr>
              <w:t>8</w:t>
            </w:r>
          </w:p>
        </w:tc>
        <w:tc>
          <w:tcPr>
            <w:tcW w:w="2410" w:type="dxa"/>
          </w:tcPr>
          <w:p w14:paraId="78882B3E" w14:textId="63DD68B7"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8</w:t>
            </w:r>
            <w:r w:rsidR="00B84D64" w:rsidRPr="000740FC">
              <w:rPr>
                <w:lang w:val="en-AU"/>
              </w:rPr>
              <w:t>9</w:t>
            </w:r>
          </w:p>
        </w:tc>
        <w:tc>
          <w:tcPr>
            <w:tcW w:w="2546" w:type="dxa"/>
          </w:tcPr>
          <w:p w14:paraId="1AEFDD24" w14:textId="4007143D"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2</w:t>
            </w:r>
            <w:r w:rsidR="00775746" w:rsidRPr="000740FC">
              <w:rPr>
                <w:lang w:val="en-AU"/>
              </w:rPr>
              <w:t>.</w:t>
            </w:r>
            <w:r w:rsidRPr="000740FC">
              <w:rPr>
                <w:lang w:val="en-AU"/>
              </w:rPr>
              <w:t>24</w:t>
            </w:r>
          </w:p>
        </w:tc>
      </w:tr>
      <w:tr w:rsidR="006C7C4A" w:rsidRPr="000740FC" w14:paraId="6A308483" w14:textId="77777777" w:rsidTr="0053166A">
        <w:tc>
          <w:tcPr>
            <w:cnfStyle w:val="001000000000" w:firstRow="0" w:lastRow="0" w:firstColumn="1" w:lastColumn="0" w:oddVBand="0" w:evenVBand="0" w:oddHBand="0" w:evenHBand="0" w:firstRowFirstColumn="0" w:firstRowLastColumn="0" w:lastRowFirstColumn="0" w:lastRowLastColumn="0"/>
            <w:tcW w:w="1843" w:type="dxa"/>
          </w:tcPr>
          <w:p w14:paraId="4154C427" w14:textId="77777777" w:rsidR="006C7C4A" w:rsidRPr="000740FC" w:rsidRDefault="006C7C4A" w:rsidP="003C1F1A">
            <w:pPr>
              <w:pStyle w:val="Textinthetable"/>
              <w:rPr>
                <w:lang w:val="en-AU"/>
              </w:rPr>
            </w:pPr>
            <w:r w:rsidRPr="000740FC">
              <w:rPr>
                <w:lang w:val="en-AU"/>
              </w:rPr>
              <w:t>Younger, longer serving MP</w:t>
            </w:r>
          </w:p>
        </w:tc>
        <w:tc>
          <w:tcPr>
            <w:tcW w:w="1701" w:type="dxa"/>
          </w:tcPr>
          <w:p w14:paraId="6BF5E435" w14:textId="6AA0473E"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03</w:t>
            </w:r>
          </w:p>
        </w:tc>
        <w:tc>
          <w:tcPr>
            <w:tcW w:w="2410" w:type="dxa"/>
          </w:tcPr>
          <w:p w14:paraId="5340AF80" w14:textId="21DA029F"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3</w:t>
            </w:r>
            <w:r w:rsidR="00B84D64" w:rsidRPr="000740FC">
              <w:rPr>
                <w:lang w:val="en-AU"/>
              </w:rPr>
              <w:t>1</w:t>
            </w:r>
          </w:p>
        </w:tc>
        <w:tc>
          <w:tcPr>
            <w:tcW w:w="2546" w:type="dxa"/>
          </w:tcPr>
          <w:p w14:paraId="7399B137" w14:textId="43A35338"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3</w:t>
            </w:r>
            <w:r w:rsidR="00775746" w:rsidRPr="000740FC">
              <w:rPr>
                <w:lang w:val="en-AU"/>
              </w:rPr>
              <w:t>.</w:t>
            </w:r>
            <w:r w:rsidRPr="000740FC">
              <w:rPr>
                <w:lang w:val="en-AU"/>
              </w:rPr>
              <w:t>64</w:t>
            </w:r>
          </w:p>
        </w:tc>
      </w:tr>
      <w:tr w:rsidR="006C7C4A" w:rsidRPr="000740FC" w14:paraId="78AB1560" w14:textId="77777777" w:rsidTr="00531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588767" w14:textId="77777777" w:rsidR="006C7C4A" w:rsidRPr="000740FC" w:rsidRDefault="006C7C4A" w:rsidP="003C1F1A">
            <w:pPr>
              <w:pStyle w:val="Textinthetable"/>
              <w:rPr>
                <w:lang w:val="en-AU"/>
              </w:rPr>
            </w:pPr>
            <w:r w:rsidRPr="000740FC">
              <w:rPr>
                <w:lang w:val="en-AU"/>
              </w:rPr>
              <w:t>Younger, shorter serving MP</w:t>
            </w:r>
          </w:p>
        </w:tc>
        <w:tc>
          <w:tcPr>
            <w:tcW w:w="1701" w:type="dxa"/>
          </w:tcPr>
          <w:p w14:paraId="794F773F" w14:textId="6BBC73CB"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46</w:t>
            </w:r>
          </w:p>
        </w:tc>
        <w:tc>
          <w:tcPr>
            <w:tcW w:w="2410" w:type="dxa"/>
          </w:tcPr>
          <w:p w14:paraId="789E9D40" w14:textId="1BF40AC2"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 xml:space="preserve">Voluntary exit: </w:t>
            </w:r>
            <w:r w:rsidR="00775746" w:rsidRPr="000740FC">
              <w:rPr>
                <w:lang w:val="en-AU"/>
              </w:rPr>
              <w:t>0.</w:t>
            </w:r>
            <w:r w:rsidRPr="000740FC">
              <w:rPr>
                <w:lang w:val="en-AU"/>
              </w:rPr>
              <w:t>2</w:t>
            </w:r>
            <w:r w:rsidR="00B84D64" w:rsidRPr="000740FC">
              <w:rPr>
                <w:lang w:val="en-AU"/>
              </w:rPr>
              <w:t>7</w:t>
            </w:r>
          </w:p>
          <w:p w14:paraId="780399B5" w14:textId="7C4D8552"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 xml:space="preserve">Involuntary exit: </w:t>
            </w:r>
            <w:r w:rsidR="00775746" w:rsidRPr="000740FC">
              <w:rPr>
                <w:lang w:val="en-AU"/>
              </w:rPr>
              <w:t>0.</w:t>
            </w:r>
            <w:r w:rsidRPr="000740FC">
              <w:rPr>
                <w:lang w:val="en-AU"/>
              </w:rPr>
              <w:t>8</w:t>
            </w:r>
            <w:r w:rsidR="00B84D64" w:rsidRPr="000740FC">
              <w:rPr>
                <w:lang w:val="en-AU"/>
              </w:rPr>
              <w:t>9</w:t>
            </w:r>
          </w:p>
        </w:tc>
        <w:tc>
          <w:tcPr>
            <w:tcW w:w="2546" w:type="dxa"/>
          </w:tcPr>
          <w:p w14:paraId="3D2C9F87" w14:textId="45009A9E"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Voluntary exit: N/A</w:t>
            </w:r>
          </w:p>
          <w:p w14:paraId="73F0D1BC" w14:textId="433874BE"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iCs/>
                <w:lang w:val="en-AU"/>
              </w:rPr>
            </w:pPr>
            <w:r w:rsidRPr="000740FC">
              <w:rPr>
                <w:lang w:val="en-AU"/>
              </w:rPr>
              <w:t>Involuntary exit: 2</w:t>
            </w:r>
            <w:r w:rsidR="00775746" w:rsidRPr="000740FC">
              <w:rPr>
                <w:lang w:val="en-AU"/>
              </w:rPr>
              <w:t>.</w:t>
            </w:r>
            <w:r w:rsidRPr="000740FC">
              <w:rPr>
                <w:lang w:val="en-AU"/>
              </w:rPr>
              <w:t>52</w:t>
            </w:r>
          </w:p>
        </w:tc>
      </w:tr>
      <w:tr w:rsidR="006C7C4A" w:rsidRPr="000740FC" w14:paraId="74DFE10A" w14:textId="77777777" w:rsidTr="0053166A">
        <w:tc>
          <w:tcPr>
            <w:cnfStyle w:val="001000000000" w:firstRow="0" w:lastRow="0" w:firstColumn="1" w:lastColumn="0" w:oddVBand="0" w:evenVBand="0" w:oddHBand="0" w:evenHBand="0" w:firstRowFirstColumn="0" w:firstRowLastColumn="0" w:lastRowFirstColumn="0" w:lastRowLastColumn="0"/>
            <w:tcW w:w="1843" w:type="dxa"/>
          </w:tcPr>
          <w:p w14:paraId="565FFC49" w14:textId="3447ECC6" w:rsidR="006C7C4A" w:rsidRPr="000740FC" w:rsidRDefault="006C7C4A" w:rsidP="003C1F1A">
            <w:pPr>
              <w:pStyle w:val="Textinthetable"/>
              <w:rPr>
                <w:lang w:val="en-AU"/>
              </w:rPr>
            </w:pPr>
            <w:r w:rsidRPr="000740FC">
              <w:rPr>
                <w:lang w:val="en-AU"/>
              </w:rPr>
              <w:t>One</w:t>
            </w:r>
            <w:r w:rsidR="00986A5E">
              <w:rPr>
                <w:lang w:val="en-AU"/>
              </w:rPr>
              <w:t>-</w:t>
            </w:r>
            <w:r w:rsidRPr="000740FC">
              <w:rPr>
                <w:lang w:val="en-AU"/>
              </w:rPr>
              <w:t>term MP</w:t>
            </w:r>
          </w:p>
        </w:tc>
        <w:tc>
          <w:tcPr>
            <w:tcW w:w="1701" w:type="dxa"/>
          </w:tcPr>
          <w:p w14:paraId="3B5E5277" w14:textId="020349EB" w:rsidR="006C7C4A" w:rsidRPr="000740FC" w:rsidRDefault="00775746"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0.</w:t>
            </w:r>
            <w:r w:rsidR="006C7C4A" w:rsidRPr="000740FC">
              <w:rPr>
                <w:lang w:val="en-AU"/>
              </w:rPr>
              <w:t>20</w:t>
            </w:r>
          </w:p>
        </w:tc>
        <w:tc>
          <w:tcPr>
            <w:tcW w:w="2410" w:type="dxa"/>
          </w:tcPr>
          <w:p w14:paraId="2C8E5FD2" w14:textId="67E37297"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 xml:space="preserve">Voluntary exit: </w:t>
            </w:r>
            <w:r w:rsidR="00775746" w:rsidRPr="000740FC">
              <w:rPr>
                <w:lang w:val="en-AU"/>
              </w:rPr>
              <w:t>0.</w:t>
            </w:r>
            <w:r w:rsidRPr="000740FC">
              <w:rPr>
                <w:lang w:val="en-AU"/>
              </w:rPr>
              <w:t>14</w:t>
            </w:r>
          </w:p>
          <w:p w14:paraId="6CFEC4CB" w14:textId="7C1064B2"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 xml:space="preserve">Involuntary exit: </w:t>
            </w:r>
            <w:r w:rsidR="00775746" w:rsidRPr="000740FC">
              <w:rPr>
                <w:lang w:val="en-AU"/>
              </w:rPr>
              <w:t>0.</w:t>
            </w:r>
            <w:r w:rsidRPr="000740FC">
              <w:rPr>
                <w:lang w:val="en-AU"/>
              </w:rPr>
              <w:t>23</w:t>
            </w:r>
          </w:p>
        </w:tc>
        <w:tc>
          <w:tcPr>
            <w:tcW w:w="2546" w:type="dxa"/>
          </w:tcPr>
          <w:p w14:paraId="04D080DB" w14:textId="77777777"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r w:rsidRPr="000740FC">
              <w:rPr>
                <w:lang w:val="en-AU"/>
              </w:rPr>
              <w:t>N/A</w:t>
            </w:r>
          </w:p>
          <w:p w14:paraId="4DEC149E" w14:textId="77777777" w:rsidR="006C7C4A" w:rsidRPr="000740FC" w:rsidRDefault="006C7C4A" w:rsidP="003C1F1A">
            <w:pPr>
              <w:pStyle w:val="Textinthetable"/>
              <w:jc w:val="right"/>
              <w:cnfStyle w:val="000000000000" w:firstRow="0" w:lastRow="0" w:firstColumn="0" w:lastColumn="0" w:oddVBand="0" w:evenVBand="0" w:oddHBand="0" w:evenHBand="0" w:firstRowFirstColumn="0" w:firstRowLastColumn="0" w:lastRowFirstColumn="0" w:lastRowLastColumn="0"/>
              <w:rPr>
                <w:lang w:val="en-AU"/>
              </w:rPr>
            </w:pPr>
          </w:p>
        </w:tc>
      </w:tr>
      <w:tr w:rsidR="006C7C4A" w:rsidRPr="000740FC" w14:paraId="59CC54D2" w14:textId="77777777" w:rsidTr="00531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C92F33" w14:textId="77777777" w:rsidR="006C7C4A" w:rsidRPr="000740FC" w:rsidRDefault="006C7C4A" w:rsidP="003C1F1A">
            <w:pPr>
              <w:pStyle w:val="Textinthetable"/>
              <w:rPr>
                <w:lang w:val="en-AU"/>
              </w:rPr>
            </w:pPr>
            <w:r w:rsidRPr="000740FC">
              <w:rPr>
                <w:lang w:val="en-AU"/>
              </w:rPr>
              <w:t>Office holder</w:t>
            </w:r>
          </w:p>
        </w:tc>
        <w:tc>
          <w:tcPr>
            <w:tcW w:w="1701" w:type="dxa"/>
          </w:tcPr>
          <w:p w14:paraId="00248708" w14:textId="17612806" w:rsidR="006C7C4A" w:rsidRPr="000740FC" w:rsidRDefault="00775746"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0.</w:t>
            </w:r>
            <w:r w:rsidR="006C7C4A" w:rsidRPr="000740FC">
              <w:rPr>
                <w:lang w:val="en-AU"/>
              </w:rPr>
              <w:t>9</w:t>
            </w:r>
            <w:r w:rsidR="00B84D64" w:rsidRPr="000740FC">
              <w:rPr>
                <w:lang w:val="en-AU"/>
              </w:rPr>
              <w:t>2</w:t>
            </w:r>
          </w:p>
        </w:tc>
        <w:tc>
          <w:tcPr>
            <w:tcW w:w="2410" w:type="dxa"/>
          </w:tcPr>
          <w:p w14:paraId="145CE6AC" w14:textId="05491E4A"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1</w:t>
            </w:r>
            <w:r w:rsidR="00775746" w:rsidRPr="000740FC">
              <w:rPr>
                <w:lang w:val="en-AU"/>
              </w:rPr>
              <w:t>.</w:t>
            </w:r>
            <w:r w:rsidRPr="000740FC">
              <w:rPr>
                <w:lang w:val="en-AU"/>
              </w:rPr>
              <w:t>33</w:t>
            </w:r>
          </w:p>
        </w:tc>
        <w:tc>
          <w:tcPr>
            <w:tcW w:w="2546" w:type="dxa"/>
          </w:tcPr>
          <w:p w14:paraId="4B0A00C5" w14:textId="611BA185" w:rsidR="006C7C4A" w:rsidRPr="000740FC" w:rsidRDefault="006C7C4A" w:rsidP="003C1F1A">
            <w:pPr>
              <w:pStyle w:val="Textinthetable"/>
              <w:jc w:val="right"/>
              <w:cnfStyle w:val="000000100000" w:firstRow="0" w:lastRow="0" w:firstColumn="0" w:lastColumn="0" w:oddVBand="0" w:evenVBand="0" w:oddHBand="1" w:evenHBand="0" w:firstRowFirstColumn="0" w:firstRowLastColumn="0" w:lastRowFirstColumn="0" w:lastRowLastColumn="0"/>
              <w:rPr>
                <w:lang w:val="en-AU"/>
              </w:rPr>
            </w:pPr>
            <w:r w:rsidRPr="000740FC">
              <w:rPr>
                <w:lang w:val="en-AU"/>
              </w:rPr>
              <w:t>3</w:t>
            </w:r>
            <w:r w:rsidR="00775746" w:rsidRPr="000740FC">
              <w:rPr>
                <w:lang w:val="en-AU"/>
              </w:rPr>
              <w:t>.</w:t>
            </w:r>
            <w:r w:rsidRPr="000740FC">
              <w:rPr>
                <w:lang w:val="en-AU"/>
              </w:rPr>
              <w:t>9</w:t>
            </w:r>
            <w:r w:rsidR="00B84D64" w:rsidRPr="000740FC">
              <w:rPr>
                <w:lang w:val="en-AU"/>
              </w:rPr>
              <w:t>6</w:t>
            </w:r>
          </w:p>
        </w:tc>
      </w:tr>
    </w:tbl>
    <w:p w14:paraId="0EDEE4BE" w14:textId="5615B8FF" w:rsidR="006C7C4A" w:rsidRPr="000740FC" w:rsidRDefault="006C7C4A" w:rsidP="006C7C4A">
      <w:pPr>
        <w:pStyle w:val="Notesfortablesfigures"/>
      </w:pPr>
      <w:r w:rsidRPr="000740FC">
        <w:t>Notes: (a) Commonwealth grandfathering arrangements reduce the tax liability of existing MPs in the New Benefits Scheme. As these arrangements typically only apply where a defined benefit account was opened prior to 12 May 2009, these results have been calculated on the basis that these arrangements would not apply</w:t>
      </w:r>
      <w:r w:rsidR="00633AC5">
        <w:t>.</w:t>
      </w:r>
      <w:r w:rsidRPr="000740FC">
        <w:t xml:space="preserve"> (b) </w:t>
      </w:r>
      <w:r w:rsidR="00633AC5">
        <w:t>I</w:t>
      </w:r>
      <w:r w:rsidRPr="000740FC">
        <w:t xml:space="preserve">f the MP served less than 12 years and was </w:t>
      </w:r>
      <w:r w:rsidR="00286CA2">
        <w:t>aged</w:t>
      </w:r>
      <w:r w:rsidRPr="000740FC">
        <w:t xml:space="preserve"> less than 60 years when they left the Parliament, their </w:t>
      </w:r>
      <w:r w:rsidR="00BF60EE">
        <w:t>benefit</w:t>
      </w:r>
      <w:r w:rsidRPr="000740FC">
        <w:t xml:space="preserve"> differs depending on whether they left voluntarily or involuntarily (MPs </w:t>
      </w:r>
      <w:r w:rsidR="009537FA">
        <w:t>who</w:t>
      </w:r>
      <w:r w:rsidRPr="000740FC">
        <w:t xml:space="preserve"> are </w:t>
      </w:r>
      <w:r w:rsidR="0027720B">
        <w:t>aged</w:t>
      </w:r>
      <w:r w:rsidRPr="000740FC">
        <w:t xml:space="preserve"> at least 60 years are deemed to leave involuntarily).</w:t>
      </w:r>
    </w:p>
    <w:p w14:paraId="782DEAC9" w14:textId="162736BD" w:rsidR="008D6018" w:rsidRPr="008D6018" w:rsidRDefault="008D6018" w:rsidP="008D6018">
      <w:pPr>
        <w:pStyle w:val="Footnotes"/>
      </w:pPr>
      <w:r>
        <w:t xml:space="preserve">Source: </w:t>
      </w:r>
      <w:r w:rsidR="007B273F">
        <w:t>PwC modelling.</w:t>
      </w:r>
    </w:p>
    <w:p w14:paraId="6E22B276" w14:textId="39859C79" w:rsidR="006C7C4A" w:rsidRPr="000740FC" w:rsidRDefault="006C7C4A" w:rsidP="00B33183">
      <w:pPr>
        <w:pStyle w:val="Paragraph"/>
      </w:pPr>
      <w:r w:rsidRPr="000740FC">
        <w:t>Outcomes for MPs in the accumulation scheme are higher using the forward</w:t>
      </w:r>
      <w:r w:rsidR="007E6B37">
        <w:noBreakHyphen/>
      </w:r>
      <w:r w:rsidRPr="000740FC">
        <w:t>looking approach than for the backward-looking approach, and closer to outcomes provided by the New Benefits Scheme. This demonstrates that changes to the accumulation scheme over time, in particular the increase to the contribution rate in 2013 and the introduction of the resettlement allowance/separation payment, have helped to bridge the gap between the schemes.</w:t>
      </w:r>
    </w:p>
    <w:p w14:paraId="25795E63" w14:textId="7499BA7D" w:rsidR="00404F2C" w:rsidRPr="000740FC" w:rsidRDefault="00404F2C" w:rsidP="00B33183">
      <w:pPr>
        <w:pStyle w:val="Paragraph"/>
      </w:pPr>
      <w:r w:rsidRPr="000740FC">
        <w:t>The extent to which the gap has been bridged varies according to the scenario analysed:</w:t>
      </w:r>
    </w:p>
    <w:p w14:paraId="489436D6" w14:textId="3DC8718C" w:rsidR="00404F2C" w:rsidRPr="000740FC" w:rsidRDefault="00404F2C" w:rsidP="00F36396">
      <w:pPr>
        <w:pStyle w:val="VIRTBulletpoints"/>
      </w:pPr>
      <w:r w:rsidRPr="000D5F77">
        <w:rPr>
          <w:i/>
        </w:rPr>
        <w:t>representative MP</w:t>
      </w:r>
      <w:r w:rsidRPr="000740FC">
        <w:t xml:space="preserve">: </w:t>
      </w:r>
      <w:r w:rsidR="002774D6">
        <w:t xml:space="preserve">assuming the benefit is taken as a pension, </w:t>
      </w:r>
      <w:r w:rsidRPr="000740FC">
        <w:t xml:space="preserve">the New Benefits Scheme provides a 320 per cent greater </w:t>
      </w:r>
      <w:r w:rsidR="00F36396" w:rsidRPr="000740FC">
        <w:t xml:space="preserve">benefit </w:t>
      </w:r>
      <w:r w:rsidRPr="000740FC">
        <w:t>than the accumulation scheme in the forward-looking scenario, compared to 3</w:t>
      </w:r>
      <w:r w:rsidR="00F36396" w:rsidRPr="000740FC">
        <w:t>48</w:t>
      </w:r>
      <w:r w:rsidR="00495820">
        <w:t> </w:t>
      </w:r>
      <w:r w:rsidRPr="000740FC">
        <w:t>per</w:t>
      </w:r>
      <w:r w:rsidR="00495820">
        <w:t> </w:t>
      </w:r>
      <w:r w:rsidRPr="000740FC">
        <w:t>cent in the backward-looking scenario</w:t>
      </w:r>
    </w:p>
    <w:p w14:paraId="0C942935" w14:textId="1E180D5F" w:rsidR="00404F2C" w:rsidRPr="000740FC" w:rsidRDefault="00404F2C" w:rsidP="00F36396">
      <w:pPr>
        <w:pStyle w:val="VIRTBulletpoints"/>
      </w:pPr>
      <w:r w:rsidRPr="000D5F77">
        <w:rPr>
          <w:i/>
        </w:rPr>
        <w:t>one-term MP</w:t>
      </w:r>
      <w:r w:rsidRPr="000740FC">
        <w:t xml:space="preserve">: the </w:t>
      </w:r>
      <w:r w:rsidR="00F36396" w:rsidRPr="000740FC">
        <w:t>New Benefits Scheme provides a 13 per cent greater benefit than the accumulation scheme in the forward-looking scenario, compared to 97 per cent in the backward-looking scenario.</w:t>
      </w:r>
    </w:p>
    <w:p w14:paraId="399F5067" w14:textId="5703C1D4" w:rsidR="00F36396" w:rsidRPr="000740FC" w:rsidRDefault="00F36396" w:rsidP="00B33183">
      <w:pPr>
        <w:pStyle w:val="Paragraph"/>
      </w:pPr>
      <w:r w:rsidRPr="000740FC">
        <w:t xml:space="preserve">These differences are illustrated by figure </w:t>
      </w:r>
      <w:r w:rsidR="00E91897">
        <w:t>5.1</w:t>
      </w:r>
      <w:r w:rsidRPr="000740FC">
        <w:t>.</w:t>
      </w:r>
    </w:p>
    <w:p w14:paraId="442549C9" w14:textId="5FA900D1" w:rsidR="006C7C4A" w:rsidRPr="000740FC" w:rsidRDefault="006C7C4A" w:rsidP="650C5ED4">
      <w:pPr>
        <w:pStyle w:val="Figureheading"/>
      </w:pPr>
      <w:r w:rsidRPr="000740FC">
        <w:lastRenderedPageBreak/>
        <w:t xml:space="preserve">Figure </w:t>
      </w:r>
      <w:r w:rsidR="00E91897">
        <w:t>5.1</w:t>
      </w:r>
      <w:r w:rsidRPr="000740FC">
        <w:t>: difference in benefits between accumulation scheme and New Benefits Scheme for backward- and forward-looking approaches</w:t>
      </w:r>
      <w:r w:rsidR="00404F2C" w:rsidRPr="000740FC">
        <w:t>, assuming involuntary exit</w:t>
      </w:r>
    </w:p>
    <w:p w14:paraId="658C73AB" w14:textId="324341E6" w:rsidR="006C7C4A" w:rsidRPr="000740FC" w:rsidRDefault="0065765D" w:rsidP="00B33183">
      <w:pPr>
        <w:pStyle w:val="Paragraph"/>
      </w:pPr>
      <w:r>
        <w:rPr>
          <w:noProof/>
        </w:rPr>
        <w:drawing>
          <wp:inline distT="0" distB="0" distL="0" distR="0" wp14:anchorId="2751D09D" wp14:editId="31025A19">
            <wp:extent cx="5017135" cy="2707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7135" cy="2707005"/>
                    </a:xfrm>
                    <a:prstGeom prst="rect">
                      <a:avLst/>
                    </a:prstGeom>
                    <a:noFill/>
                  </pic:spPr>
                </pic:pic>
              </a:graphicData>
            </a:graphic>
          </wp:inline>
        </w:drawing>
      </w:r>
    </w:p>
    <w:p w14:paraId="463DC273" w14:textId="5F80681F" w:rsidR="0039116F" w:rsidRDefault="0090608E" w:rsidP="000E6A78">
      <w:pPr>
        <w:pStyle w:val="Notesfortablesfigures"/>
      </w:pPr>
      <w:r w:rsidRPr="589A77DE">
        <w:t>Note</w:t>
      </w:r>
      <w:r w:rsidR="0065765D">
        <w:t>s</w:t>
      </w:r>
      <w:r w:rsidRPr="589A77DE">
        <w:t xml:space="preserve">: </w:t>
      </w:r>
      <w:r w:rsidR="00A674B1">
        <w:t>Rep. = Representative MP</w:t>
      </w:r>
      <w:r w:rsidR="00A45BBD">
        <w:t xml:space="preserve"> scenario</w:t>
      </w:r>
      <w:r w:rsidR="00A674B1">
        <w:t>.</w:t>
      </w:r>
      <w:r w:rsidRPr="589A77DE">
        <w:t xml:space="preserve"> </w:t>
      </w:r>
      <w:r w:rsidR="00BA21DC" w:rsidRPr="589A77DE">
        <w:t>Benefit</w:t>
      </w:r>
      <w:r w:rsidRPr="589A77DE">
        <w:t xml:space="preserve"> for New Benefit</w:t>
      </w:r>
      <w:r w:rsidR="00BA21DC" w:rsidRPr="589A77DE">
        <w:t>s</w:t>
      </w:r>
      <w:r w:rsidRPr="589A77DE">
        <w:t xml:space="preserve"> Scheme shown assu</w:t>
      </w:r>
      <w:r w:rsidR="00BA21DC" w:rsidRPr="589A77DE">
        <w:t xml:space="preserve">mes </w:t>
      </w:r>
      <w:r w:rsidR="008A3F53" w:rsidRPr="589A77DE">
        <w:t>it is taken as a pension</w:t>
      </w:r>
      <w:r w:rsidR="00C45685" w:rsidRPr="589A77DE">
        <w:t xml:space="preserve"> in all scenar</w:t>
      </w:r>
      <w:r w:rsidR="002C60AD" w:rsidRPr="589A77DE">
        <w:t xml:space="preserve">ios, </w:t>
      </w:r>
      <w:r w:rsidR="000A7F77">
        <w:t xml:space="preserve">with the exception of </w:t>
      </w:r>
      <w:r w:rsidR="002C60AD" w:rsidRPr="589A77DE">
        <w:t xml:space="preserve">the one-term scenario as the eligibility </w:t>
      </w:r>
      <w:r w:rsidR="00CF5BEA" w:rsidRPr="589A77DE">
        <w:t>criteria for receiving a pension are not met in that scenario.</w:t>
      </w:r>
    </w:p>
    <w:p w14:paraId="67CF2284" w14:textId="22499517" w:rsidR="00DB57DF" w:rsidRDefault="008D6018" w:rsidP="000E6A78">
      <w:pPr>
        <w:pStyle w:val="Notesfortablesfigures"/>
      </w:pPr>
      <w:r>
        <w:t xml:space="preserve">Source: </w:t>
      </w:r>
      <w:r w:rsidRPr="008D6018">
        <w:t>Tribunal calculations based on PwC modelling.</w:t>
      </w:r>
    </w:p>
    <w:p w14:paraId="583E442E" w14:textId="4FBE712D" w:rsidR="006C7C4A" w:rsidRPr="000740FC" w:rsidRDefault="006C7C4A" w:rsidP="00B33183">
      <w:pPr>
        <w:pStyle w:val="Paragraph"/>
      </w:pPr>
      <w:r w:rsidRPr="000740FC">
        <w:t xml:space="preserve">However, the results indicate that there are some circumstances where the accumulation scheme </w:t>
      </w:r>
      <w:r w:rsidR="00404F2C" w:rsidRPr="000740FC">
        <w:t xml:space="preserve">may </w:t>
      </w:r>
      <w:r w:rsidRPr="000740FC">
        <w:t xml:space="preserve">provide a greater superannuation </w:t>
      </w:r>
      <w:r w:rsidR="00BF60EE">
        <w:t>benefit.</w:t>
      </w:r>
      <w:r w:rsidRPr="000740FC">
        <w:t xml:space="preserve"> </w:t>
      </w:r>
      <w:r w:rsidR="001A275A">
        <w:t>F</w:t>
      </w:r>
      <w:r w:rsidRPr="000740FC">
        <w:t>or example</w:t>
      </w:r>
      <w:r w:rsidR="007F59FA">
        <w:t>,</w:t>
      </w:r>
      <w:r w:rsidRPr="000740FC">
        <w:t xml:space="preserve"> </w:t>
      </w:r>
      <w:r w:rsidR="002D52A3">
        <w:t>this is the case</w:t>
      </w:r>
      <w:r w:rsidRPr="000740FC">
        <w:t xml:space="preserve"> for MPs </w:t>
      </w:r>
      <w:r w:rsidR="009537FA">
        <w:t>who</w:t>
      </w:r>
      <w:r w:rsidRPr="000740FC">
        <w:t xml:space="preserve"> leave</w:t>
      </w:r>
      <w:r w:rsidR="00404F2C" w:rsidRPr="000740FC">
        <w:t xml:space="preserve"> the Parliament</w:t>
      </w:r>
      <w:r w:rsidRPr="000740FC">
        <w:t xml:space="preserve"> voluntarily and serve less than 12 years</w:t>
      </w:r>
      <w:r w:rsidR="00A02509" w:rsidRPr="000740FC">
        <w:t xml:space="preserve"> </w:t>
      </w:r>
      <w:r w:rsidR="007F59FA">
        <w:t>(</w:t>
      </w:r>
      <w:r w:rsidR="00A02509" w:rsidRPr="000740FC">
        <w:t xml:space="preserve">table </w:t>
      </w:r>
      <w:r w:rsidR="00A02509">
        <w:t>5.3</w:t>
      </w:r>
      <w:r w:rsidR="00B35BBA">
        <w:t xml:space="preserve"> above</w:t>
      </w:r>
      <w:r w:rsidR="007F59FA">
        <w:t>)</w:t>
      </w:r>
      <w:r w:rsidRPr="000740FC">
        <w:t>.</w:t>
      </w:r>
    </w:p>
    <w:p w14:paraId="52B8291F" w14:textId="6F9A13F3" w:rsidR="006C7C4A" w:rsidRPr="000740FC" w:rsidRDefault="006C7C4A" w:rsidP="00B33183">
      <w:pPr>
        <w:pStyle w:val="Paragraph"/>
      </w:pPr>
      <w:r w:rsidRPr="000740FC">
        <w:t>These results are provided for illustrative purposes only, and were calculated using a range of modelling assumptions explained above. They should not be taken to represent the actual or possible superannuation outcomes of particular MPs serving in the Parliament.</w:t>
      </w:r>
    </w:p>
    <w:p w14:paraId="482E3003" w14:textId="77777777" w:rsidR="00E959A2" w:rsidRDefault="00E959A2" w:rsidP="006C7C4A">
      <w:pPr>
        <w:pStyle w:val="VIRTHeading2"/>
        <w:rPr>
          <w:lang w:val="en-AU"/>
        </w:rPr>
      </w:pPr>
      <w:bookmarkStart w:id="82" w:name="_Toc50990433"/>
      <w:bookmarkStart w:id="83" w:name="_Toc51234142"/>
      <w:r>
        <w:rPr>
          <w:lang w:val="en-AU"/>
        </w:rPr>
        <w:br w:type="page"/>
      </w:r>
    </w:p>
    <w:p w14:paraId="7E0E7E66" w14:textId="41D29F18" w:rsidR="006C7C4A" w:rsidRPr="000740FC" w:rsidRDefault="006C7C4A" w:rsidP="006C7C4A">
      <w:pPr>
        <w:pStyle w:val="VIRTHeading2"/>
        <w:rPr>
          <w:lang w:val="en-AU"/>
        </w:rPr>
      </w:pPr>
      <w:r w:rsidRPr="000740FC">
        <w:rPr>
          <w:lang w:val="en-AU"/>
        </w:rPr>
        <w:lastRenderedPageBreak/>
        <w:t xml:space="preserve">5.3 </w:t>
      </w:r>
      <w:r w:rsidR="76C7634A" w:rsidRPr="003D5CFB">
        <w:rPr>
          <w:lang w:val="en-AU"/>
        </w:rPr>
        <w:t>E</w:t>
      </w:r>
      <w:r w:rsidRPr="003D5CFB">
        <w:rPr>
          <w:lang w:val="en-AU"/>
        </w:rPr>
        <w:t xml:space="preserve">ffect of particular variables on </w:t>
      </w:r>
      <w:r w:rsidR="003D5CFB" w:rsidRPr="003D5CFB">
        <w:rPr>
          <w:lang w:val="en-AU"/>
        </w:rPr>
        <w:t>benefits</w:t>
      </w:r>
      <w:bookmarkEnd w:id="82"/>
      <w:bookmarkEnd w:id="83"/>
    </w:p>
    <w:p w14:paraId="0D13FDBA" w14:textId="464068FF" w:rsidR="006C7C4A" w:rsidRPr="000740FC" w:rsidRDefault="006C7C4A" w:rsidP="00B33183">
      <w:pPr>
        <w:pStyle w:val="Paragraph"/>
      </w:pPr>
      <w:r w:rsidRPr="000740FC">
        <w:t xml:space="preserve">PwC’s modelling shows that the difference in </w:t>
      </w:r>
      <w:r w:rsidR="003D5CFB">
        <w:t>benefits</w:t>
      </w:r>
      <w:r w:rsidRPr="000740FC">
        <w:t xml:space="preserve"> provided by the schemes is affected by several factors. Some key factors are:</w:t>
      </w:r>
    </w:p>
    <w:p w14:paraId="52F986FC" w14:textId="77777777" w:rsidR="006C7C4A" w:rsidRPr="000740FC" w:rsidRDefault="006C7C4A" w:rsidP="006C7C4A">
      <w:pPr>
        <w:pStyle w:val="VIRTBulletpoints"/>
      </w:pPr>
      <w:r w:rsidRPr="000740FC">
        <w:t>the length of the MP’s service in the Parliament</w:t>
      </w:r>
    </w:p>
    <w:p w14:paraId="49BC5726" w14:textId="77777777" w:rsidR="006C7C4A" w:rsidRPr="000740FC" w:rsidRDefault="006C7C4A" w:rsidP="006C7C4A">
      <w:pPr>
        <w:pStyle w:val="VIRTBulletpoints"/>
      </w:pPr>
      <w:r w:rsidRPr="000740FC">
        <w:t>the age at which an MP joins the Parliament</w:t>
      </w:r>
    </w:p>
    <w:p w14:paraId="59683255" w14:textId="305DD170" w:rsidR="006C7C4A" w:rsidRPr="000740FC" w:rsidRDefault="006C7C4A" w:rsidP="006C7C4A">
      <w:pPr>
        <w:pStyle w:val="VIRTBulletpoints"/>
      </w:pPr>
      <w:r w:rsidRPr="000740FC">
        <w:t xml:space="preserve">the rate at which investments generate returns. </w:t>
      </w:r>
    </w:p>
    <w:p w14:paraId="0D5FC571" w14:textId="77777777" w:rsidR="006C7C4A" w:rsidRPr="000740FC" w:rsidRDefault="006C7C4A" w:rsidP="00B33183">
      <w:pPr>
        <w:pStyle w:val="Paragraph"/>
      </w:pPr>
      <w:r w:rsidRPr="000740FC">
        <w:t>The remainder of this chapter examines how these matters affect relative outcomes between the schemes.</w:t>
      </w:r>
    </w:p>
    <w:p w14:paraId="2E263C5F" w14:textId="77777777" w:rsidR="006C7C4A" w:rsidRPr="000740FC" w:rsidRDefault="006C7C4A" w:rsidP="006C7C4A">
      <w:pPr>
        <w:pStyle w:val="VIRTHeading3"/>
        <w:rPr>
          <w:lang w:val="en-AU"/>
        </w:rPr>
      </w:pPr>
      <w:r w:rsidRPr="000740FC">
        <w:rPr>
          <w:lang w:val="en-AU"/>
        </w:rPr>
        <w:t>Length of an MP’s service</w:t>
      </w:r>
    </w:p>
    <w:p w14:paraId="0BE6C475" w14:textId="31BE4B81" w:rsidR="006C7C4A" w:rsidRPr="000740FC" w:rsidRDefault="006C7C4A" w:rsidP="00B33183">
      <w:pPr>
        <w:pStyle w:val="Paragraph"/>
        <w:rPr>
          <w:rStyle w:val="normaltextrun"/>
          <w:rFonts w:cs="Calibri Light"/>
          <w:color w:val="4D4D4D"/>
          <w:shd w:val="clear" w:color="auto" w:fill="FFFFFF"/>
        </w:rPr>
      </w:pPr>
      <w:r w:rsidRPr="000740FC">
        <w:rPr>
          <w:lang w:eastAsia="en-AU"/>
        </w:rPr>
        <w:t>The total superannuation benefit provided to MPs in the accumulation scheme will generally increase in proportion to the time they serve in the Parliament, although their overall superannuation balance may be adversely affected by negative investment returns in some years.</w:t>
      </w:r>
    </w:p>
    <w:p w14:paraId="2EBFA369" w14:textId="670DF153" w:rsidR="00344C03" w:rsidRPr="000740FC" w:rsidRDefault="006C7C4A" w:rsidP="00B33183">
      <w:pPr>
        <w:pStyle w:val="Paragraph"/>
        <w:rPr>
          <w:rStyle w:val="normaltextrun"/>
          <w:rFonts w:cs="Calibri Light"/>
          <w:color w:val="4D4D4D"/>
          <w:shd w:val="clear" w:color="auto" w:fill="FFFFFF"/>
        </w:rPr>
      </w:pPr>
      <w:r w:rsidRPr="000740FC">
        <w:rPr>
          <w:rStyle w:val="normaltextrun"/>
          <w:rFonts w:cs="Calibri Light"/>
        </w:rPr>
        <w:t>The relationship between length of service and the size of the superannuation benefit is not as straightforward for the New Benefits Scheme.</w:t>
      </w:r>
      <w:r w:rsidR="004E3677" w:rsidRPr="000740FC">
        <w:rPr>
          <w:rStyle w:val="normaltextrun"/>
          <w:rFonts w:cs="Calibri Light"/>
          <w:color w:val="4D4D4D"/>
          <w:shd w:val="clear" w:color="auto" w:fill="FFFFFF"/>
        </w:rPr>
        <w:t xml:space="preserve"> </w:t>
      </w:r>
    </w:p>
    <w:p w14:paraId="4F158981" w14:textId="6E756627" w:rsidR="00FF2B62" w:rsidRPr="000740FC" w:rsidRDefault="004E3677" w:rsidP="00B33183">
      <w:pPr>
        <w:pStyle w:val="Paragraph"/>
        <w:rPr>
          <w:rStyle w:val="normaltextrun"/>
          <w:rFonts w:cs="Calibri Light"/>
          <w:color w:val="4D4D4D"/>
          <w:shd w:val="clear" w:color="auto" w:fill="FFFFFF"/>
        </w:rPr>
      </w:pPr>
      <w:r w:rsidRPr="000740FC">
        <w:rPr>
          <w:rStyle w:val="normaltextrun"/>
          <w:rFonts w:cs="Calibri Light"/>
          <w:color w:val="4D4D4D"/>
          <w:shd w:val="clear" w:color="auto" w:fill="FFFFFF"/>
        </w:rPr>
        <w:t xml:space="preserve">On the one hand, the size of the benefit increases significantly once the MP has served for long enough to be eligible for the pension (either 8 or 12 years, depending on whether they leave the Parliament </w:t>
      </w:r>
      <w:r w:rsidR="002E54E4" w:rsidRPr="589A77DE">
        <w:rPr>
          <w:rStyle w:val="normaltextrun"/>
          <w:rFonts w:cs="Calibri Light"/>
        </w:rPr>
        <w:t>in</w:t>
      </w:r>
      <w:r w:rsidRPr="000740FC">
        <w:rPr>
          <w:rStyle w:val="normaltextrun"/>
          <w:rFonts w:cs="Calibri Light"/>
          <w:color w:val="4D4D4D"/>
          <w:shd w:val="clear" w:color="auto" w:fill="FFFFFF"/>
        </w:rPr>
        <w:t>voluntarily or voluntarily</w:t>
      </w:r>
      <w:r w:rsidR="00344C03" w:rsidRPr="000740FC">
        <w:rPr>
          <w:rStyle w:val="normaltextrun"/>
          <w:rFonts w:cs="Calibri Light"/>
          <w:color w:val="4D4D4D"/>
          <w:shd w:val="clear" w:color="auto" w:fill="FFFFFF"/>
        </w:rPr>
        <w:t>, respectively</w:t>
      </w:r>
      <w:r w:rsidRPr="000740FC">
        <w:rPr>
          <w:rStyle w:val="normaltextrun"/>
          <w:rFonts w:cs="Calibri Light"/>
          <w:color w:val="4D4D4D"/>
          <w:shd w:val="clear" w:color="auto" w:fill="FFFFFF"/>
        </w:rPr>
        <w:t>). On the other hand</w:t>
      </w:r>
      <w:r w:rsidR="006C7C4A" w:rsidRPr="000740FC">
        <w:rPr>
          <w:rStyle w:val="normaltextrun"/>
          <w:rFonts w:cs="Calibri Light"/>
          <w:color w:val="4D4D4D"/>
          <w:shd w:val="clear" w:color="auto" w:fill="FFFFFF"/>
        </w:rPr>
        <w:t>, the longer an MP serves in the Parliament, the fewer years they will receive the pension after they leave.</w:t>
      </w:r>
      <w:r w:rsidR="006C7C4A" w:rsidRPr="000740FC">
        <w:rPr>
          <w:rStyle w:val="normaltextrun"/>
          <w:rFonts w:cs="Calibri Light"/>
        </w:rPr>
        <w:t xml:space="preserve"> This means that their potential </w:t>
      </w:r>
      <w:r w:rsidR="006C7C4A" w:rsidRPr="000740FC">
        <w:rPr>
          <w:rStyle w:val="normaltextrun"/>
          <w:rFonts w:cs="Calibri Light"/>
          <w:color w:val="4D4D4D"/>
          <w:shd w:val="clear" w:color="auto" w:fill="FFFFFF"/>
        </w:rPr>
        <w:t>superannuation benefit will start to decrease if they remain in the Parl</w:t>
      </w:r>
      <w:r w:rsidR="006C7C4A" w:rsidRPr="000740FC">
        <w:rPr>
          <w:rStyle w:val="normaltextrun"/>
          <w:rFonts w:cs="Calibri Light"/>
        </w:rPr>
        <w:t>iament after they have accrued their maximum level of benefit</w:t>
      </w:r>
      <w:r w:rsidR="006C7C4A" w:rsidRPr="000740FC">
        <w:rPr>
          <w:rStyle w:val="normaltextrun"/>
          <w:rFonts w:cs="Calibri Light"/>
          <w:color w:val="4D4D4D"/>
          <w:shd w:val="clear" w:color="auto" w:fill="FFFFFF"/>
        </w:rPr>
        <w:t>.</w:t>
      </w:r>
      <w:r w:rsidR="00344C03" w:rsidRPr="000740FC">
        <w:rPr>
          <w:rStyle w:val="FootnoteReference"/>
          <w:rFonts w:cs="Calibri Light"/>
          <w:color w:val="4D4D4D"/>
          <w:shd w:val="clear" w:color="auto" w:fill="FFFFFF"/>
        </w:rPr>
        <w:footnoteReference w:id="63"/>
      </w:r>
      <w:r w:rsidR="006C7C4A" w:rsidRPr="000740FC">
        <w:rPr>
          <w:rStyle w:val="normaltextrun"/>
          <w:rFonts w:cs="Calibri Light"/>
          <w:color w:val="4D4D4D"/>
          <w:shd w:val="clear" w:color="auto" w:fill="FFFFFF"/>
        </w:rPr>
        <w:t xml:space="preserve"> For an MP </w:t>
      </w:r>
      <w:r w:rsidR="00DA2A88" w:rsidRPr="000740FC">
        <w:rPr>
          <w:rStyle w:val="normaltextrun"/>
          <w:rFonts w:cs="Calibri Light"/>
          <w:color w:val="4D4D4D"/>
          <w:shd w:val="clear" w:color="auto" w:fill="FFFFFF"/>
        </w:rPr>
        <w:t>who</w:t>
      </w:r>
      <w:r w:rsidR="006C7C4A" w:rsidRPr="000740FC">
        <w:rPr>
          <w:rStyle w:val="normaltextrun"/>
          <w:rFonts w:cs="Calibri Light"/>
          <w:color w:val="4D4D4D"/>
          <w:shd w:val="clear" w:color="auto" w:fill="FFFFFF"/>
        </w:rPr>
        <w:t xml:space="preserve"> enters the Parliament at age 43, this will occur after 18 years of service. </w:t>
      </w:r>
    </w:p>
    <w:p w14:paraId="669FAD29" w14:textId="647C3C4B" w:rsidR="006C7C4A" w:rsidRPr="000740FC" w:rsidRDefault="00FF2B62" w:rsidP="00B33183">
      <w:pPr>
        <w:pStyle w:val="Paragraph"/>
        <w:rPr>
          <w:rStyle w:val="normaltextrun"/>
          <w:rFonts w:cs="Calibri Light"/>
          <w:color w:val="4D4D4D"/>
          <w:shd w:val="clear" w:color="auto" w:fill="FFFFFF"/>
        </w:rPr>
      </w:pPr>
      <w:r w:rsidRPr="000740FC">
        <w:rPr>
          <w:rStyle w:val="normaltextrun"/>
          <w:rFonts w:cs="Calibri Light"/>
          <w:color w:val="4D4D4D"/>
          <w:shd w:val="clear" w:color="auto" w:fill="FFFFFF"/>
        </w:rPr>
        <w:t xml:space="preserve">This suggests that </w:t>
      </w:r>
      <w:r w:rsidRPr="000740FC">
        <w:rPr>
          <w:rStyle w:val="normaltextrun"/>
          <w:rFonts w:cs="Calibri Light"/>
        </w:rPr>
        <w:t>an MP who serves for an extended period of time</w:t>
      </w:r>
      <w:r w:rsidRPr="000740FC">
        <w:rPr>
          <w:rStyle w:val="normaltextrun"/>
          <w:rFonts w:cs="Calibri Light"/>
          <w:color w:val="4D4D4D"/>
          <w:shd w:val="clear" w:color="auto" w:fill="FFFFFF"/>
        </w:rPr>
        <w:t xml:space="preserve"> (i.e. more than 30 years) might receive a greater benefit as a member of the accumulation scheme</w:t>
      </w:r>
      <w:r w:rsidR="008D5FDB" w:rsidRPr="000740FC">
        <w:rPr>
          <w:rStyle w:val="normaltextrun"/>
          <w:rFonts w:cs="Calibri Light"/>
          <w:color w:val="4D4D4D"/>
          <w:shd w:val="clear" w:color="auto" w:fill="FFFFFF"/>
        </w:rPr>
        <w:t>, depending on other factors such as age and investment returns</w:t>
      </w:r>
      <w:r w:rsidRPr="000740FC">
        <w:rPr>
          <w:rStyle w:val="normaltextrun"/>
          <w:rFonts w:cs="Calibri Light"/>
          <w:color w:val="4D4D4D"/>
          <w:shd w:val="clear" w:color="auto" w:fill="FFFFFF"/>
        </w:rPr>
        <w:t xml:space="preserve">. However, </w:t>
      </w:r>
      <w:r w:rsidR="008D5FDB" w:rsidRPr="000740FC">
        <w:rPr>
          <w:rStyle w:val="normaltextrun"/>
          <w:rFonts w:cs="Calibri Light"/>
          <w:color w:val="4D4D4D"/>
          <w:shd w:val="clear" w:color="auto" w:fill="FFFFFF"/>
        </w:rPr>
        <w:t xml:space="preserve">the Tribunal decided not to model such an example as it is uncommon </w:t>
      </w:r>
      <w:r w:rsidR="008D5FDB" w:rsidRPr="000740FC">
        <w:rPr>
          <w:rStyle w:val="normaltextrun"/>
          <w:rFonts w:cs="Calibri Light"/>
          <w:color w:val="4D4D4D"/>
          <w:shd w:val="clear" w:color="auto" w:fill="FFFFFF"/>
        </w:rPr>
        <w:lastRenderedPageBreak/>
        <w:t>for an MP to remain in the Parliament for this long,</w:t>
      </w:r>
      <w:r w:rsidR="00D825E8" w:rsidRPr="000740FC">
        <w:rPr>
          <w:rStyle w:val="FootnoteReference"/>
          <w:rFonts w:cs="Calibri Light"/>
          <w:color w:val="4D4D4D"/>
          <w:shd w:val="clear" w:color="auto" w:fill="FFFFFF"/>
        </w:rPr>
        <w:footnoteReference w:id="64"/>
      </w:r>
      <w:r w:rsidR="008D5FDB" w:rsidRPr="000740FC">
        <w:rPr>
          <w:rStyle w:val="normaltextrun"/>
          <w:rFonts w:cs="Calibri Light"/>
          <w:color w:val="4D4D4D"/>
          <w:shd w:val="clear" w:color="auto" w:fill="FFFFFF"/>
        </w:rPr>
        <w:t xml:space="preserve"> and would therefore not serve as a realistic point of comparison. </w:t>
      </w:r>
    </w:p>
    <w:p w14:paraId="16C2F675" w14:textId="2D3F6DAE" w:rsidR="006C7C4A" w:rsidRPr="000740FC" w:rsidRDefault="006C7C4A" w:rsidP="00B33183">
      <w:pPr>
        <w:pStyle w:val="Paragraph"/>
        <w:rPr>
          <w:rStyle w:val="normaltextrun"/>
          <w:rFonts w:cs="Calibri Light"/>
          <w:color w:val="4D4D4D"/>
          <w:shd w:val="clear" w:color="auto" w:fill="FFFFFF"/>
        </w:rPr>
      </w:pPr>
      <w:r w:rsidRPr="000740FC">
        <w:rPr>
          <w:rStyle w:val="normaltextrun"/>
          <w:rFonts w:cs="Calibri Light"/>
          <w:color w:val="4D4D4D"/>
          <w:shd w:val="clear" w:color="auto" w:fill="FFFFFF"/>
        </w:rPr>
        <w:t xml:space="preserve">Figure </w:t>
      </w:r>
      <w:r w:rsidR="00E91897">
        <w:rPr>
          <w:rStyle w:val="normaltextrun"/>
          <w:rFonts w:cs="Calibri Light"/>
          <w:color w:val="4D4D4D"/>
          <w:shd w:val="clear" w:color="auto" w:fill="FFFFFF"/>
        </w:rPr>
        <w:t>5.2</w:t>
      </w:r>
      <w:r w:rsidRPr="000740FC">
        <w:rPr>
          <w:rStyle w:val="normaltextrun"/>
          <w:rFonts w:cs="Calibri Light"/>
          <w:color w:val="4D4D4D"/>
          <w:shd w:val="clear" w:color="auto" w:fill="FFFFFF"/>
        </w:rPr>
        <w:t xml:space="preserve"> shows the </w:t>
      </w:r>
      <w:r w:rsidR="00662DEA">
        <w:rPr>
          <w:rStyle w:val="normaltextrun"/>
          <w:rFonts w:cs="Calibri Light"/>
          <w:color w:val="4D4D4D"/>
          <w:shd w:val="clear" w:color="auto" w:fill="FFFFFF"/>
        </w:rPr>
        <w:t>estimated</w:t>
      </w:r>
      <w:r w:rsidRPr="000740FC">
        <w:rPr>
          <w:rStyle w:val="normaltextrun"/>
          <w:rFonts w:cs="Calibri Light"/>
          <w:color w:val="4D4D4D"/>
          <w:shd w:val="clear" w:color="auto" w:fill="FFFFFF"/>
        </w:rPr>
        <w:t xml:space="preserve"> superannuation benefit of a</w:t>
      </w:r>
      <w:r w:rsidR="009162CC" w:rsidRPr="000740FC">
        <w:rPr>
          <w:rStyle w:val="normaltextrun"/>
          <w:rFonts w:cs="Calibri Light"/>
          <w:color w:val="4D4D4D"/>
          <w:shd w:val="clear" w:color="auto" w:fill="FFFFFF"/>
        </w:rPr>
        <w:t>n</w:t>
      </w:r>
      <w:r w:rsidRPr="000740FC">
        <w:rPr>
          <w:rStyle w:val="normaltextrun"/>
          <w:rFonts w:cs="Calibri Light"/>
          <w:color w:val="4D4D4D"/>
          <w:shd w:val="clear" w:color="auto" w:fill="FFFFFF"/>
        </w:rPr>
        <w:t xml:space="preserve"> MP </w:t>
      </w:r>
      <w:r w:rsidR="003B2B37">
        <w:rPr>
          <w:rStyle w:val="normaltextrun"/>
          <w:rFonts w:cs="Calibri Light"/>
          <w:color w:val="4D4D4D"/>
          <w:shd w:val="clear" w:color="auto" w:fill="FFFFFF"/>
        </w:rPr>
        <w:t>who</w:t>
      </w:r>
      <w:r w:rsidRPr="000740FC">
        <w:rPr>
          <w:rStyle w:val="normaltextrun"/>
          <w:rFonts w:cs="Calibri Light"/>
          <w:color w:val="4D4D4D"/>
          <w:shd w:val="clear" w:color="auto" w:fill="FFFFFF"/>
        </w:rPr>
        <w:t xml:space="preserve"> joined the Parliament at age 43 on 1 July 2020 and left involuntarily, depending on their length of their service and the superannuation scheme they were a member of (assuming the New Benefits Scheme had remained open). </w:t>
      </w:r>
      <w:r w:rsidR="00620452" w:rsidRPr="000740FC">
        <w:rPr>
          <w:rStyle w:val="normaltextrun"/>
          <w:rFonts w:cs="Calibri Light"/>
          <w:color w:val="4D4D4D"/>
          <w:shd w:val="clear" w:color="auto" w:fill="FFFFFF"/>
        </w:rPr>
        <w:t xml:space="preserve">The bars at the bottom of </w:t>
      </w:r>
      <w:r w:rsidR="00B128E6" w:rsidRPr="000740FC">
        <w:rPr>
          <w:rStyle w:val="normaltextrun"/>
          <w:rFonts w:cs="Calibri Light"/>
          <w:color w:val="4D4D4D"/>
          <w:shd w:val="clear" w:color="auto" w:fill="FFFFFF"/>
        </w:rPr>
        <w:t>f</w:t>
      </w:r>
      <w:r w:rsidR="00620452" w:rsidRPr="000740FC">
        <w:rPr>
          <w:rStyle w:val="normaltextrun"/>
          <w:rFonts w:cs="Calibri Light"/>
          <w:color w:val="4D4D4D"/>
          <w:shd w:val="clear" w:color="auto" w:fill="FFFFFF"/>
        </w:rPr>
        <w:t xml:space="preserve">igure </w:t>
      </w:r>
      <w:r w:rsidR="00E91897">
        <w:rPr>
          <w:rStyle w:val="normaltextrun"/>
          <w:rFonts w:cs="Calibri Light"/>
          <w:color w:val="4D4D4D"/>
          <w:shd w:val="clear" w:color="auto" w:fill="FFFFFF"/>
        </w:rPr>
        <w:t>5.2</w:t>
      </w:r>
      <w:r w:rsidR="00620452" w:rsidRPr="000740FC">
        <w:rPr>
          <w:rStyle w:val="normaltextrun"/>
          <w:rFonts w:cs="Calibri Light"/>
          <w:color w:val="4D4D4D"/>
          <w:shd w:val="clear" w:color="auto" w:fill="FFFFFF"/>
        </w:rPr>
        <w:t xml:space="preserve"> (which </w:t>
      </w:r>
      <w:r w:rsidR="00B128E6" w:rsidRPr="000740FC">
        <w:rPr>
          <w:rStyle w:val="normaltextrun"/>
          <w:rFonts w:cs="Calibri Light"/>
          <w:color w:val="4D4D4D"/>
          <w:shd w:val="clear" w:color="auto" w:fill="FFFFFF"/>
        </w:rPr>
        <w:t>relate</w:t>
      </w:r>
      <w:r w:rsidR="00620452" w:rsidRPr="000740FC">
        <w:rPr>
          <w:rStyle w:val="normaltextrun"/>
          <w:rFonts w:cs="Calibri Light"/>
          <w:color w:val="4D4D4D"/>
          <w:shd w:val="clear" w:color="auto" w:fill="FFFFFF"/>
        </w:rPr>
        <w:t xml:space="preserve"> to the vertical axis to the right of the figure) show the proportion of MPs </w:t>
      </w:r>
      <w:r w:rsidR="005339AD" w:rsidRPr="000740FC">
        <w:rPr>
          <w:rStyle w:val="normaltextrun"/>
          <w:rFonts w:cs="Calibri Light"/>
          <w:color w:val="4D4D4D"/>
          <w:shd w:val="clear" w:color="auto" w:fill="FFFFFF"/>
        </w:rPr>
        <w:t xml:space="preserve">(out of those </w:t>
      </w:r>
      <w:r w:rsidR="00620452" w:rsidRPr="000740FC">
        <w:rPr>
          <w:rStyle w:val="normaltextrun"/>
          <w:rFonts w:cs="Calibri Light"/>
          <w:color w:val="4D4D4D"/>
          <w:shd w:val="clear" w:color="auto" w:fill="FFFFFF"/>
        </w:rPr>
        <w:t>who le</w:t>
      </w:r>
      <w:r w:rsidR="00D30B56" w:rsidRPr="000740FC">
        <w:rPr>
          <w:rStyle w:val="normaltextrun"/>
          <w:rFonts w:cs="Calibri Light"/>
        </w:rPr>
        <w:t>ft</w:t>
      </w:r>
      <w:r w:rsidR="005058BD" w:rsidRPr="000740FC">
        <w:rPr>
          <w:rStyle w:val="normaltextrun"/>
          <w:rFonts w:cs="Calibri Light"/>
        </w:rPr>
        <w:t xml:space="preserve"> the Parliament in the last 10 years</w:t>
      </w:r>
      <w:r w:rsidR="005339AD" w:rsidRPr="000740FC">
        <w:rPr>
          <w:rStyle w:val="normaltextrun"/>
          <w:rFonts w:cs="Calibri Light"/>
        </w:rPr>
        <w:t>)</w:t>
      </w:r>
      <w:r w:rsidR="005058BD" w:rsidRPr="000740FC">
        <w:rPr>
          <w:rStyle w:val="normaltextrun"/>
          <w:rFonts w:cs="Calibri Light"/>
        </w:rPr>
        <w:t xml:space="preserve"> </w:t>
      </w:r>
      <w:r w:rsidR="003B2B37">
        <w:rPr>
          <w:rStyle w:val="normaltextrun"/>
          <w:rFonts w:cs="Calibri Light"/>
        </w:rPr>
        <w:t>who</w:t>
      </w:r>
      <w:r w:rsidR="005058BD" w:rsidRPr="000740FC">
        <w:rPr>
          <w:rStyle w:val="normaltextrun"/>
          <w:rFonts w:cs="Calibri Light"/>
        </w:rPr>
        <w:t xml:space="preserve"> left</w:t>
      </w:r>
      <w:r w:rsidR="00620452" w:rsidRPr="000740FC">
        <w:rPr>
          <w:rStyle w:val="normaltextrun"/>
          <w:rFonts w:cs="Calibri Light"/>
          <w:color w:val="4D4D4D"/>
          <w:shd w:val="clear" w:color="auto" w:fill="FFFFFF"/>
        </w:rPr>
        <w:t xml:space="preserve"> after </w:t>
      </w:r>
      <w:r w:rsidR="00E01245" w:rsidRPr="000740FC">
        <w:rPr>
          <w:rStyle w:val="normaltextrun"/>
          <w:rFonts w:cs="Calibri Light"/>
          <w:color w:val="4D4D4D"/>
          <w:shd w:val="clear" w:color="auto" w:fill="FFFFFF"/>
        </w:rPr>
        <w:t>serving</w:t>
      </w:r>
      <w:r w:rsidR="00B128E6" w:rsidRPr="000740FC">
        <w:rPr>
          <w:rStyle w:val="normaltextrun"/>
          <w:rFonts w:cs="Calibri Light"/>
          <w:color w:val="4D4D4D"/>
          <w:shd w:val="clear" w:color="auto" w:fill="FFFFFF"/>
        </w:rPr>
        <w:t xml:space="preserve"> for a given number of years.</w:t>
      </w:r>
      <w:r w:rsidR="00E01245" w:rsidRPr="000740FC">
        <w:rPr>
          <w:rStyle w:val="FootnoteReference"/>
          <w:rFonts w:cs="Calibri Light"/>
          <w:color w:val="4D4D4D"/>
          <w:shd w:val="clear" w:color="auto" w:fill="FFFFFF"/>
        </w:rPr>
        <w:footnoteReference w:id="65"/>
      </w:r>
    </w:p>
    <w:p w14:paraId="4C1F52A8" w14:textId="558EC48C" w:rsidR="006C7C4A" w:rsidRPr="000740FC" w:rsidRDefault="006C7C4A" w:rsidP="650C5ED4">
      <w:pPr>
        <w:pStyle w:val="Figureheading"/>
        <w:rPr>
          <w:noProof/>
        </w:rPr>
      </w:pPr>
      <w:r w:rsidRPr="000740FC">
        <w:rPr>
          <w:noProof/>
        </w:rPr>
        <w:t xml:space="preserve">Figure </w:t>
      </w:r>
      <w:r w:rsidR="00E91897">
        <w:rPr>
          <w:noProof/>
        </w:rPr>
        <w:t>5.2</w:t>
      </w:r>
      <w:r w:rsidRPr="000740FC">
        <w:rPr>
          <w:noProof/>
        </w:rPr>
        <w:t xml:space="preserve">: </w:t>
      </w:r>
      <w:r w:rsidR="00742411">
        <w:rPr>
          <w:noProof/>
        </w:rPr>
        <w:t>e</w:t>
      </w:r>
      <w:r w:rsidR="009C2A7F">
        <w:rPr>
          <w:noProof/>
        </w:rPr>
        <w:t xml:space="preserve">ffect of years served on </w:t>
      </w:r>
      <w:r w:rsidR="00241FA8">
        <w:rPr>
          <w:noProof/>
        </w:rPr>
        <w:t xml:space="preserve">estimated </w:t>
      </w:r>
      <w:r w:rsidRPr="000740FC">
        <w:rPr>
          <w:noProof/>
        </w:rPr>
        <w:t>superannuation benefit</w:t>
      </w:r>
    </w:p>
    <w:p w14:paraId="6AEEA984" w14:textId="110B3A4F" w:rsidR="00CE2199" w:rsidRPr="000740FC" w:rsidRDefault="00A51E60" w:rsidP="650C5ED4">
      <w:pPr>
        <w:pStyle w:val="Figureheading"/>
        <w:rPr>
          <w:noProof/>
        </w:rPr>
      </w:pPr>
      <w:r>
        <w:rPr>
          <w:noProof/>
        </w:rPr>
        <w:drawing>
          <wp:inline distT="0" distB="0" distL="0" distR="0" wp14:anchorId="6EC241BD" wp14:editId="27A2CD04">
            <wp:extent cx="5407660" cy="3633470"/>
            <wp:effectExtent l="0" t="0" r="2540" b="5080"/>
            <wp:docPr id="2031193024" name="Picture 20311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7660" cy="3633470"/>
                    </a:xfrm>
                    <a:prstGeom prst="rect">
                      <a:avLst/>
                    </a:prstGeom>
                    <a:noFill/>
                  </pic:spPr>
                </pic:pic>
              </a:graphicData>
            </a:graphic>
          </wp:inline>
        </w:drawing>
      </w:r>
    </w:p>
    <w:p w14:paraId="5DAA0FF5" w14:textId="6C6748B9" w:rsidR="00241FA8" w:rsidRDefault="00241FA8" w:rsidP="00BF225F">
      <w:pPr>
        <w:pStyle w:val="Sourcefortablesandfigures"/>
      </w:pPr>
      <w:r>
        <w:t>Note:</w:t>
      </w:r>
      <w:r w:rsidR="002749B8">
        <w:t xml:space="preserve"> Results are shown for a hypothetical MP</w:t>
      </w:r>
      <w:r>
        <w:t xml:space="preserve"> </w:t>
      </w:r>
      <w:r w:rsidR="002749B8" w:rsidRPr="002749B8">
        <w:t>who joined the Parliament on 1 July 2020 aged 43 years, assuming involuntary exit</w:t>
      </w:r>
      <w:r w:rsidR="002749B8">
        <w:t>.</w:t>
      </w:r>
    </w:p>
    <w:p w14:paraId="3E7BD382" w14:textId="1117EB49" w:rsidR="00BF225F" w:rsidRDefault="00BF225F" w:rsidP="00BF225F">
      <w:pPr>
        <w:pStyle w:val="Sourcefortablesandfigures"/>
      </w:pPr>
      <w:r>
        <w:t xml:space="preserve">Source: </w:t>
      </w:r>
      <w:r w:rsidR="002F279E">
        <w:t>Tribunal calculations based on PwC modelling</w:t>
      </w:r>
      <w:r w:rsidR="00A02201">
        <w:t>.</w:t>
      </w:r>
    </w:p>
    <w:p w14:paraId="57BAE5B1" w14:textId="509D52BC" w:rsidR="006C7C4A" w:rsidRPr="000740FC" w:rsidRDefault="006C7C4A" w:rsidP="006C7C4A">
      <w:pPr>
        <w:pStyle w:val="VIRTHeading3"/>
        <w:rPr>
          <w:lang w:val="en-AU"/>
        </w:rPr>
      </w:pPr>
      <w:r w:rsidRPr="000740FC">
        <w:rPr>
          <w:lang w:val="en-AU"/>
        </w:rPr>
        <w:t>The age at which an MP joins the Parliament</w:t>
      </w:r>
    </w:p>
    <w:p w14:paraId="380A98EF" w14:textId="34BFB266" w:rsidR="006C7C4A" w:rsidRPr="000740FC" w:rsidRDefault="006C7C4A" w:rsidP="00B33183">
      <w:pPr>
        <w:pStyle w:val="Paragraph"/>
      </w:pPr>
      <w:r w:rsidRPr="000740FC">
        <w:t>Subject to eligibility requirements, former MPs in the New Benefits Scheme may receive a pension as soon as they leave the Parliament.</w:t>
      </w:r>
      <w:r w:rsidRPr="000740FC">
        <w:rPr>
          <w:rStyle w:val="FootnoteReference"/>
        </w:rPr>
        <w:footnoteReference w:id="66"/>
      </w:r>
      <w:r w:rsidRPr="000740FC">
        <w:t xml:space="preserve"> Typically, the older an individual is, the fewer years into the future they are expected to live. For that </w:t>
      </w:r>
      <w:r w:rsidRPr="000740FC">
        <w:lastRenderedPageBreak/>
        <w:t xml:space="preserve">reason, the estimated value of the pension benefit is inversely correlated to </w:t>
      </w:r>
      <w:r w:rsidR="00862B1A">
        <w:t>an</w:t>
      </w:r>
      <w:r w:rsidRPr="000740FC">
        <w:t xml:space="preserve"> MP’s age.</w:t>
      </w:r>
    </w:p>
    <w:p w14:paraId="0999D64E" w14:textId="1C12B260" w:rsidR="006C7C4A" w:rsidRPr="000740FC" w:rsidRDefault="006C7C4A" w:rsidP="00B33183">
      <w:pPr>
        <w:pStyle w:val="Paragraph"/>
      </w:pPr>
      <w:r w:rsidRPr="000740FC">
        <w:t xml:space="preserve">In comparison, the value of superannuation </w:t>
      </w:r>
      <w:r w:rsidR="0007283C">
        <w:t>benefit</w:t>
      </w:r>
      <w:r w:rsidRPr="000740FC">
        <w:t xml:space="preserve"> provided by the accumulation scheme is largely unaffected by </w:t>
      </w:r>
      <w:r w:rsidR="008F7B3F">
        <w:t>an</w:t>
      </w:r>
      <w:r w:rsidRPr="000740FC">
        <w:t xml:space="preserve"> MP’s age.</w:t>
      </w:r>
      <w:r w:rsidRPr="000740FC">
        <w:rPr>
          <w:rStyle w:val="FootnoteReference"/>
        </w:rPr>
        <w:footnoteReference w:id="67"/>
      </w:r>
    </w:p>
    <w:p w14:paraId="6DBF1AC4" w14:textId="04FC31A1" w:rsidR="006C7C4A" w:rsidRPr="000740FC" w:rsidRDefault="00A51E60" w:rsidP="00B33183">
      <w:pPr>
        <w:pStyle w:val="Paragraph"/>
      </w:pPr>
      <w:r>
        <w:t>T</w:t>
      </w:r>
      <w:r w:rsidR="006C7C4A" w:rsidRPr="000740FC">
        <w:t xml:space="preserve">he difference in the value of the pension </w:t>
      </w:r>
      <w:r w:rsidR="003F1EF9">
        <w:t>benefit</w:t>
      </w:r>
      <w:r w:rsidR="006C7C4A" w:rsidRPr="000740FC">
        <w:t xml:space="preserve"> provided by the New Benefits Scheme and the superannuation </w:t>
      </w:r>
      <w:r w:rsidR="003F1EF9">
        <w:t>benefit</w:t>
      </w:r>
      <w:r w:rsidR="006C7C4A" w:rsidRPr="000740FC">
        <w:t xml:space="preserve"> provided by the accumulation scheme is smaller for MPs </w:t>
      </w:r>
      <w:r w:rsidR="00044290">
        <w:t>who</w:t>
      </w:r>
      <w:r w:rsidR="006C7C4A" w:rsidRPr="000740FC">
        <w:t xml:space="preserve"> join at an older age, assuming the length of service stays the same</w:t>
      </w:r>
      <w:r>
        <w:t xml:space="preserve"> (figure 5.3)</w:t>
      </w:r>
      <w:r w:rsidR="006C7C4A" w:rsidRPr="000740FC">
        <w:t xml:space="preserve">. </w:t>
      </w:r>
    </w:p>
    <w:p w14:paraId="5772C664" w14:textId="7F71B25D" w:rsidR="006C7C4A" w:rsidRPr="000740FC" w:rsidRDefault="006C7C4A" w:rsidP="006C7C4A">
      <w:pPr>
        <w:pStyle w:val="Figuretitle"/>
        <w:rPr>
          <w:lang w:val="en-AU"/>
        </w:rPr>
      </w:pPr>
      <w:r w:rsidRPr="000740FC">
        <w:rPr>
          <w:lang w:val="en-AU"/>
        </w:rPr>
        <w:t xml:space="preserve">Figure </w:t>
      </w:r>
      <w:r w:rsidR="00E91897">
        <w:rPr>
          <w:lang w:val="en-AU"/>
        </w:rPr>
        <w:t>5.3</w:t>
      </w:r>
      <w:r w:rsidRPr="000740FC">
        <w:rPr>
          <w:lang w:val="en-AU"/>
        </w:rPr>
        <w:t xml:space="preserve">: effect of starting age on estimated </w:t>
      </w:r>
      <w:r w:rsidR="00A51E60">
        <w:rPr>
          <w:lang w:val="en-AU"/>
        </w:rPr>
        <w:t>superannuation benefit</w:t>
      </w:r>
      <w:r w:rsidRPr="000740FC">
        <w:rPr>
          <w:lang w:val="en-AU"/>
        </w:rPr>
        <w:t xml:space="preserve"> </w:t>
      </w:r>
    </w:p>
    <w:p w14:paraId="6931C776" w14:textId="26CCEC33" w:rsidR="006C7C4A" w:rsidRPr="001A527D" w:rsidRDefault="001A527D" w:rsidP="006C7C4A">
      <w:pPr>
        <w:pStyle w:val="VIRTheading40"/>
        <w:rPr>
          <w:b w:val="0"/>
          <w:bCs/>
        </w:rPr>
      </w:pPr>
      <w:r>
        <w:rPr>
          <w:noProof/>
        </w:rPr>
        <w:drawing>
          <wp:inline distT="0" distB="0" distL="0" distR="0" wp14:anchorId="5322FA55" wp14:editId="71531242">
            <wp:extent cx="5407661" cy="3005455"/>
            <wp:effectExtent l="0" t="0" r="2540" b="4445"/>
            <wp:docPr id="2031193030" name="Picture 203119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193030"/>
                    <pic:cNvPicPr/>
                  </pic:nvPicPr>
                  <pic:blipFill>
                    <a:blip r:embed="rId65">
                      <a:extLst>
                        <a:ext uri="{28A0092B-C50C-407E-A947-70E740481C1C}">
                          <a14:useLocalDpi xmlns:a14="http://schemas.microsoft.com/office/drawing/2010/main" val="0"/>
                        </a:ext>
                      </a:extLst>
                    </a:blip>
                    <a:stretch>
                      <a:fillRect/>
                    </a:stretch>
                  </pic:blipFill>
                  <pic:spPr>
                    <a:xfrm>
                      <a:off x="0" y="0"/>
                      <a:ext cx="5407661" cy="3005455"/>
                    </a:xfrm>
                    <a:prstGeom prst="rect">
                      <a:avLst/>
                    </a:prstGeom>
                  </pic:spPr>
                </pic:pic>
              </a:graphicData>
            </a:graphic>
          </wp:inline>
        </w:drawing>
      </w:r>
    </w:p>
    <w:p w14:paraId="00CAA0E1" w14:textId="18359FBB" w:rsidR="00A02201" w:rsidRDefault="00A02201" w:rsidP="000E6A78">
      <w:pPr>
        <w:pStyle w:val="Notesfortablesfigures"/>
      </w:pPr>
      <w:r>
        <w:t xml:space="preserve">Source: </w:t>
      </w:r>
      <w:r w:rsidR="00693507">
        <w:t xml:space="preserve">Tribunal calculations based on </w:t>
      </w:r>
      <w:r>
        <w:t>PwC modelling.</w:t>
      </w:r>
    </w:p>
    <w:p w14:paraId="35BDF19B" w14:textId="0E93E2F2" w:rsidR="006C7C4A" w:rsidRPr="000740FC" w:rsidRDefault="006C7C4A" w:rsidP="006C7C4A">
      <w:pPr>
        <w:pStyle w:val="VIRTHeading3"/>
        <w:rPr>
          <w:lang w:val="en-AU"/>
        </w:rPr>
      </w:pPr>
      <w:r w:rsidRPr="000740FC">
        <w:rPr>
          <w:lang w:val="en-AU"/>
        </w:rPr>
        <w:t>Rate of at which investments generate returns</w:t>
      </w:r>
    </w:p>
    <w:p w14:paraId="52EA84D3" w14:textId="0F540145" w:rsidR="006C7C4A" w:rsidRPr="000740FC" w:rsidRDefault="006C7C4A" w:rsidP="00B33183">
      <w:pPr>
        <w:pStyle w:val="Parabeforeabulletlist"/>
      </w:pPr>
      <w:r w:rsidRPr="000740FC">
        <w:t>The modelling for the forward-looking scenario assumed</w:t>
      </w:r>
      <w:r w:rsidRPr="000740FC" w:rsidDel="00C70A88">
        <w:t xml:space="preserve"> </w:t>
      </w:r>
      <w:r w:rsidRPr="000740FC">
        <w:t xml:space="preserve">that future investment returns averaged 6 per cent </w:t>
      </w:r>
      <w:r w:rsidR="00002F17">
        <w:t>p.a.</w:t>
      </w:r>
      <w:r w:rsidRPr="000740FC">
        <w:t xml:space="preserve"> (net of </w:t>
      </w:r>
      <w:r w:rsidR="0055796A">
        <w:t xml:space="preserve">investment </w:t>
      </w:r>
      <w:r w:rsidRPr="000740FC">
        <w:t xml:space="preserve">fees and tax). This is based on industry standard assumptions used by the Australian Securities and Investments Commission’s </w:t>
      </w:r>
      <w:r w:rsidR="002943B5">
        <w:t>(ASIC)</w:t>
      </w:r>
      <w:r w:rsidRPr="000740FC">
        <w:t xml:space="preserve"> </w:t>
      </w:r>
      <w:proofErr w:type="spellStart"/>
      <w:r w:rsidRPr="000740FC">
        <w:t>Money</w:t>
      </w:r>
      <w:r w:rsidR="00726001">
        <w:t>s</w:t>
      </w:r>
      <w:r w:rsidRPr="000740FC">
        <w:t>mart</w:t>
      </w:r>
      <w:proofErr w:type="spellEnd"/>
      <w:r w:rsidRPr="000740FC">
        <w:t xml:space="preserve"> </w:t>
      </w:r>
      <w:r w:rsidR="00A234D0">
        <w:t>su</w:t>
      </w:r>
      <w:r w:rsidR="008D713E">
        <w:t xml:space="preserve">perannuation </w:t>
      </w:r>
      <w:r w:rsidRPr="000740FC">
        <w:t>calculator.</w:t>
      </w:r>
      <w:r w:rsidRPr="000740FC">
        <w:rPr>
          <w:rStyle w:val="FootnoteReference"/>
        </w:rPr>
        <w:footnoteReference w:id="68"/>
      </w:r>
      <w:r w:rsidRPr="000740FC">
        <w:t xml:space="preserve"> </w:t>
      </w:r>
    </w:p>
    <w:p w14:paraId="09F6715E" w14:textId="77777777" w:rsidR="006C7C4A" w:rsidRPr="000740FC" w:rsidRDefault="006C7C4A" w:rsidP="00B33183">
      <w:pPr>
        <w:pStyle w:val="Parabeforeabulletlist"/>
      </w:pPr>
      <w:r w:rsidRPr="000740FC">
        <w:t xml:space="preserve">Outcomes for MPs in the accumulation scheme are positively correlated with the returns generated by their fund. If investment returns were higher than 6 per cent, outcomes for the MPs in the accumulation scheme would be higher than shown </w:t>
      </w:r>
      <w:r w:rsidRPr="000740FC">
        <w:lastRenderedPageBreak/>
        <w:t>in the examples above, and the difference in outcomes provided by the schemes would be smaller. Conversely, if investment returns were lower than 6 per cent, the difference in outcomes between the schemes would be more pronounced.</w:t>
      </w:r>
    </w:p>
    <w:p w14:paraId="4E67C70A" w14:textId="18D23814" w:rsidR="006C7C4A" w:rsidRPr="000740FC" w:rsidRDefault="006C7C4A" w:rsidP="00B33183">
      <w:pPr>
        <w:pStyle w:val="Paragraph"/>
        <w:rPr>
          <w:rStyle w:val="normaltextrun"/>
          <w:rFonts w:cs="Calibri Light"/>
          <w:color w:val="4D4D4D"/>
          <w:szCs w:val="26"/>
          <w:shd w:val="clear" w:color="auto" w:fill="FFFFFF"/>
        </w:rPr>
      </w:pPr>
      <w:r w:rsidRPr="000740FC">
        <w:t xml:space="preserve">Figure </w:t>
      </w:r>
      <w:r w:rsidR="00E91897">
        <w:t>5.4</w:t>
      </w:r>
      <w:r w:rsidRPr="000740FC">
        <w:t xml:space="preserve"> shows how changing the assumed investment return rate affects the difference in outcomes for a hypothetical MP </w:t>
      </w:r>
      <w:r w:rsidR="00CE4D92">
        <w:t>who</w:t>
      </w:r>
      <w:r w:rsidRPr="000740FC">
        <w:t xml:space="preserve"> joined the Parliament </w:t>
      </w:r>
      <w:r w:rsidRPr="000740FC">
        <w:rPr>
          <w:rStyle w:val="normaltextrun"/>
          <w:rFonts w:cs="Calibri Light"/>
          <w:color w:val="4D4D4D"/>
          <w:szCs w:val="26"/>
          <w:shd w:val="clear" w:color="auto" w:fill="FFFFFF"/>
        </w:rPr>
        <w:t>at age 43 on 1 July 2020 and left involuntarily after 12 years.</w:t>
      </w:r>
    </w:p>
    <w:p w14:paraId="7E4BA4B1" w14:textId="034F5BA8" w:rsidR="006C7C4A" w:rsidRPr="000740FC" w:rsidRDefault="006C7C4A" w:rsidP="006C7C4A">
      <w:pPr>
        <w:pStyle w:val="Figuretitle"/>
        <w:rPr>
          <w:lang w:val="en-AU"/>
        </w:rPr>
      </w:pPr>
      <w:r w:rsidRPr="000740FC">
        <w:rPr>
          <w:lang w:val="en-AU"/>
        </w:rPr>
        <w:t xml:space="preserve">Figure </w:t>
      </w:r>
      <w:r w:rsidR="00E91897">
        <w:rPr>
          <w:lang w:val="en-AU"/>
        </w:rPr>
        <w:t>5.4</w:t>
      </w:r>
      <w:r w:rsidRPr="000740FC">
        <w:rPr>
          <w:lang w:val="en-AU"/>
        </w:rPr>
        <w:t xml:space="preserve">: effect of investment returns on </w:t>
      </w:r>
      <w:r w:rsidR="0095141C">
        <w:rPr>
          <w:lang w:val="en-AU"/>
        </w:rPr>
        <w:t>estimated superannuation benefits</w:t>
      </w:r>
    </w:p>
    <w:p w14:paraId="36FA273E" w14:textId="7D4000E3" w:rsidR="006C7C4A" w:rsidRPr="000740FC" w:rsidRDefault="00066277" w:rsidP="00B33183">
      <w:pPr>
        <w:pStyle w:val="Paragraph"/>
      </w:pPr>
      <w:r>
        <w:rPr>
          <w:noProof/>
        </w:rPr>
        <w:drawing>
          <wp:inline distT="0" distB="0" distL="0" distR="0" wp14:anchorId="6C199F41" wp14:editId="2E743A5B">
            <wp:extent cx="5407660" cy="2920365"/>
            <wp:effectExtent l="0" t="0" r="2540" b="0"/>
            <wp:docPr id="2031193032" name="Picture 203119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7660" cy="2920365"/>
                    </a:xfrm>
                    <a:prstGeom prst="rect">
                      <a:avLst/>
                    </a:prstGeom>
                    <a:noFill/>
                  </pic:spPr>
                </pic:pic>
              </a:graphicData>
            </a:graphic>
          </wp:inline>
        </w:drawing>
      </w:r>
    </w:p>
    <w:p w14:paraId="28FF7E2A" w14:textId="6D767F57" w:rsidR="0095141C" w:rsidRDefault="0095141C" w:rsidP="00A02201">
      <w:pPr>
        <w:pStyle w:val="Sourcefortablesandfigures"/>
      </w:pPr>
      <w:r>
        <w:t xml:space="preserve">Note: Results shown are the </w:t>
      </w:r>
      <w:r w:rsidRPr="000740FC">
        <w:t xml:space="preserve">difference in </w:t>
      </w:r>
      <w:r>
        <w:t>benefits</w:t>
      </w:r>
      <w:r w:rsidRPr="000740FC">
        <w:t xml:space="preserve"> provided by the New Benefits Scheme and accumulation scheme, for a hypothetical MP </w:t>
      </w:r>
      <w:r>
        <w:t>who</w:t>
      </w:r>
      <w:r w:rsidRPr="000740FC">
        <w:t xml:space="preserve"> joined the Parliament at age 43 on 1 July 2020 and left involuntarily after 12 years</w:t>
      </w:r>
      <w:r>
        <w:t>.</w:t>
      </w:r>
    </w:p>
    <w:p w14:paraId="1D2E2D52" w14:textId="167BDDFA" w:rsidR="00A02201" w:rsidRDefault="00A02201" w:rsidP="00A02201">
      <w:pPr>
        <w:pStyle w:val="Sourcefortablesandfigures"/>
      </w:pPr>
      <w:r>
        <w:t>Source:</w:t>
      </w:r>
      <w:r w:rsidR="000C1F16">
        <w:t xml:space="preserve"> Tribunal calculations based on</w:t>
      </w:r>
      <w:r>
        <w:t xml:space="preserve"> PwC modelling.</w:t>
      </w:r>
    </w:p>
    <w:p w14:paraId="03A5C36F" w14:textId="7521B969" w:rsidR="00A23E7F" w:rsidRPr="000740FC" w:rsidRDefault="003B654E" w:rsidP="0017754B">
      <w:pPr>
        <w:pStyle w:val="VIRTHeading2"/>
      </w:pPr>
      <w:bookmarkStart w:id="84" w:name="_Toc50990434"/>
      <w:bookmarkStart w:id="85" w:name="_Toc51234143"/>
      <w:r w:rsidRPr="000740FC">
        <w:t xml:space="preserve">5.4 </w:t>
      </w:r>
      <w:r w:rsidR="00A23E7F" w:rsidRPr="000740FC">
        <w:t>Summary</w:t>
      </w:r>
      <w:bookmarkEnd w:id="84"/>
      <w:bookmarkEnd w:id="85"/>
    </w:p>
    <w:p w14:paraId="09ECBED3" w14:textId="59EE4117" w:rsidR="00A23E7F" w:rsidRPr="000740FC" w:rsidRDefault="00A23E7F" w:rsidP="00B33183">
      <w:pPr>
        <w:pStyle w:val="Paragraph"/>
      </w:pPr>
      <w:r w:rsidRPr="000740FC">
        <w:t xml:space="preserve">The results of the modelling undertaken by PwC show that the New Benefits Scheme provides a significantly greater superannuation </w:t>
      </w:r>
      <w:r w:rsidR="00F909E7">
        <w:t>benefit</w:t>
      </w:r>
      <w:r w:rsidRPr="000740FC">
        <w:t xml:space="preserve"> than the accumulation scheme in most circumstances. This is the case for both the backward- and forward-looking scenarios. The difference is most pronounced once an MP has served for long enough to be eligible for a pension (8 years assuming involuntary exit). </w:t>
      </w:r>
    </w:p>
    <w:p w14:paraId="53BC53FA" w14:textId="7AC6A7C5" w:rsidR="00A23E7F" w:rsidRPr="000740FC" w:rsidRDefault="00A23E7F" w:rsidP="00B33183">
      <w:pPr>
        <w:pStyle w:val="Paragraph"/>
      </w:pPr>
      <w:r w:rsidRPr="000740FC">
        <w:t>The results also show that changes to the superannuation arrangements, in particular the 2013 changes to the accumulation</w:t>
      </w:r>
      <w:r w:rsidR="0064416E" w:rsidRPr="000740FC">
        <w:t xml:space="preserve"> </w:t>
      </w:r>
      <w:r w:rsidRPr="000740FC">
        <w:t>scheme, have reduced the difference in benefits between the scheme</w:t>
      </w:r>
      <w:r w:rsidR="0014615B" w:rsidRPr="000740FC">
        <w:t>s</w:t>
      </w:r>
      <w:r w:rsidRPr="000740FC">
        <w:t>.</w:t>
      </w:r>
    </w:p>
    <w:p w14:paraId="5445B04B" w14:textId="31BE4B81" w:rsidR="004B2668" w:rsidRPr="000740FC" w:rsidRDefault="00A23E7F" w:rsidP="00B33183">
      <w:pPr>
        <w:pStyle w:val="Paragraph"/>
      </w:pPr>
      <w:r w:rsidRPr="000740FC">
        <w:lastRenderedPageBreak/>
        <w:t xml:space="preserve">Finally, </w:t>
      </w:r>
      <w:r w:rsidR="009140F1" w:rsidRPr="000740FC">
        <w:t>the modelling shows how factors such as length of service, the age at which an MP enters the Parliament and investment returns influence the size of the superannuation benefit and the relativity between the two schemes.</w:t>
      </w:r>
    </w:p>
    <w:p w14:paraId="45D48CA0" w14:textId="4B052E02" w:rsidR="005A1B62" w:rsidRDefault="003B654E" w:rsidP="00B33183">
      <w:pPr>
        <w:pStyle w:val="Paragraph"/>
      </w:pPr>
      <w:r w:rsidRPr="000740FC">
        <w:t xml:space="preserve">These findings demonstrate that there </w:t>
      </w:r>
      <w:r w:rsidR="596DE2FE" w:rsidRPr="000740FC">
        <w:t>remains</w:t>
      </w:r>
      <w:r w:rsidRPr="000740FC">
        <w:t xml:space="preserve"> considerable inequality between the New Benefits Scheme and the accumulation scheme with regard to the level of benefits each provides</w:t>
      </w:r>
      <w:r w:rsidR="0329D114" w:rsidRPr="000740FC">
        <w:t>.</w:t>
      </w:r>
    </w:p>
    <w:p w14:paraId="0623BF1A" w14:textId="23109150" w:rsidR="005A1B62" w:rsidRPr="000740FC" w:rsidRDefault="005A1B62" w:rsidP="005A1B62">
      <w:pPr>
        <w:pStyle w:val="Paragraph"/>
        <w:sectPr w:rsidR="005A1B62" w:rsidRPr="000740FC" w:rsidSect="0052634F">
          <w:pgSz w:w="11900" w:h="16840"/>
          <w:pgMar w:top="1701" w:right="1701" w:bottom="1559" w:left="1701" w:header="709" w:footer="709" w:gutter="0"/>
          <w:cols w:space="708"/>
          <w:titlePg/>
          <w:docGrid w:linePitch="299"/>
        </w:sectPr>
      </w:pPr>
      <w:r w:rsidRPr="00100F68">
        <w:t>Chapters 6 and 7 assess the potential inequalities between the schemes arising from their qualitative and quantitative differences and the potential irregularities between the schemes</w:t>
      </w:r>
      <w:r w:rsidR="00AA70E7" w:rsidRPr="00100F68">
        <w:t>.</w:t>
      </w:r>
    </w:p>
    <w:p w14:paraId="677F142A" w14:textId="6E46757A" w:rsidR="005D55E4" w:rsidRPr="000740FC" w:rsidRDefault="0064416E" w:rsidP="00BF2DB2">
      <w:pPr>
        <w:pStyle w:val="ChapterHeading0"/>
        <w:rPr>
          <w:lang w:val="en-AU"/>
        </w:rPr>
      </w:pPr>
      <w:bookmarkStart w:id="86" w:name="_Toc50990435"/>
      <w:bookmarkStart w:id="87" w:name="_Toc51234144"/>
      <w:r w:rsidRPr="000740FC">
        <w:rPr>
          <w:lang w:val="en-AU"/>
        </w:rPr>
        <w:lastRenderedPageBreak/>
        <w:t>6</w:t>
      </w:r>
      <w:r w:rsidR="005D55E4" w:rsidRPr="000740FC">
        <w:rPr>
          <w:lang w:val="en-AU"/>
        </w:rPr>
        <w:t xml:space="preserve"> </w:t>
      </w:r>
      <w:r w:rsidR="00FC53DC" w:rsidRPr="000740FC">
        <w:rPr>
          <w:lang w:val="en-AU"/>
        </w:rPr>
        <w:t>Assessment of p</w:t>
      </w:r>
      <w:r w:rsidR="00CE1030" w:rsidRPr="000740FC">
        <w:rPr>
          <w:lang w:val="en-AU"/>
        </w:rPr>
        <w:t>otential i</w:t>
      </w:r>
      <w:r w:rsidR="00132D07" w:rsidRPr="000740FC">
        <w:rPr>
          <w:lang w:val="en-AU"/>
        </w:rPr>
        <w:t>nequalities</w:t>
      </w:r>
      <w:r w:rsidR="00C41027" w:rsidRPr="000740FC">
        <w:rPr>
          <w:lang w:val="en-AU"/>
        </w:rPr>
        <w:br/>
      </w:r>
      <w:r w:rsidR="000C4D46" w:rsidRPr="000740FC">
        <w:rPr>
          <w:lang w:val="en-AU"/>
        </w:rPr>
        <w:drawing>
          <wp:inline distT="0" distB="0" distL="0" distR="0" wp14:anchorId="707B44FC" wp14:editId="44126B16">
            <wp:extent cx="2218055" cy="254635"/>
            <wp:effectExtent l="0" t="0" r="0" b="0"/>
            <wp:docPr id="1269490300" name="Picture 126949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86"/>
      <w:bookmarkEnd w:id="87"/>
    </w:p>
    <w:p w14:paraId="502E8FB2" w14:textId="4EE7E2B3" w:rsidR="00876005" w:rsidRPr="000740FC" w:rsidRDefault="002409A1" w:rsidP="00B33183">
      <w:pPr>
        <w:pStyle w:val="Paragraph"/>
      </w:pPr>
      <w:r w:rsidRPr="000740FC">
        <w:t xml:space="preserve">This chapter </w:t>
      </w:r>
      <w:r w:rsidR="7FC0E4D2" w:rsidRPr="000740FC">
        <w:t>outlines</w:t>
      </w:r>
      <w:r w:rsidRPr="000740FC">
        <w:t xml:space="preserve"> options identified by the Tribunal for addressing the potential inequalities between the New Benefits Scheme and </w:t>
      </w:r>
      <w:r w:rsidR="00FC53DC" w:rsidRPr="000740FC">
        <w:t xml:space="preserve">the </w:t>
      </w:r>
      <w:r w:rsidRPr="000740FC">
        <w:t xml:space="preserve">accumulation scheme. </w:t>
      </w:r>
    </w:p>
    <w:p w14:paraId="0678A11F" w14:textId="5FAB9E39" w:rsidR="004E778D" w:rsidRPr="000740FC" w:rsidRDefault="0064416E" w:rsidP="0017754B">
      <w:pPr>
        <w:pStyle w:val="VIRTHeading2"/>
      </w:pPr>
      <w:bookmarkStart w:id="88" w:name="_Toc50990436"/>
      <w:bookmarkStart w:id="89" w:name="_Toc51234145"/>
      <w:r w:rsidRPr="000740FC">
        <w:t>6</w:t>
      </w:r>
      <w:r w:rsidR="00E1596F" w:rsidRPr="000740FC">
        <w:t>.</w:t>
      </w:r>
      <w:r w:rsidR="008B0CA5" w:rsidRPr="000740FC">
        <w:t>1</w:t>
      </w:r>
      <w:r w:rsidR="00E1596F" w:rsidRPr="000740FC">
        <w:t xml:space="preserve"> Options for addressing inequalities</w:t>
      </w:r>
      <w:bookmarkEnd w:id="88"/>
      <w:bookmarkEnd w:id="89"/>
    </w:p>
    <w:p w14:paraId="1B9F436A" w14:textId="6AC82EFE" w:rsidR="00FC53DC" w:rsidRPr="000740FC" w:rsidRDefault="38125CB2" w:rsidP="00B33183">
      <w:pPr>
        <w:pStyle w:val="Paragraph"/>
      </w:pPr>
      <w:r w:rsidRPr="000740FC">
        <w:t>T</w:t>
      </w:r>
      <w:r w:rsidR="0A91F02A" w:rsidRPr="000740FC">
        <w:t>he</w:t>
      </w:r>
      <w:r w:rsidR="00BD2F6F" w:rsidRPr="000740FC">
        <w:t xml:space="preserve"> Tribunal has identified </w:t>
      </w:r>
      <w:r w:rsidR="00F94E7B" w:rsidRPr="000740FC">
        <w:t xml:space="preserve">several </w:t>
      </w:r>
      <w:r w:rsidR="00BD2F6F" w:rsidRPr="000740FC">
        <w:t>options for addressing the inequalit</w:t>
      </w:r>
      <w:r w:rsidR="00794D81">
        <w:t>ies</w:t>
      </w:r>
      <w:r w:rsidR="0087210B" w:rsidRPr="000740FC">
        <w:t xml:space="preserve"> between the New Benefits Scheme and the accumulation scheme</w:t>
      </w:r>
      <w:r w:rsidR="00FC53DC" w:rsidRPr="000740FC">
        <w:t>:</w:t>
      </w:r>
    </w:p>
    <w:p w14:paraId="78710076" w14:textId="5BA7ECF8" w:rsidR="00FC53DC" w:rsidRPr="000740FC" w:rsidRDefault="00FC53DC" w:rsidP="00B33183">
      <w:pPr>
        <w:pStyle w:val="Paragraph"/>
        <w:numPr>
          <w:ilvl w:val="0"/>
          <w:numId w:val="29"/>
        </w:numPr>
      </w:pPr>
      <w:r w:rsidRPr="000740FC">
        <w:rPr>
          <w:b/>
          <w:bCs/>
        </w:rPr>
        <w:t>Increase the superannuation contributions made by the State for MPs in the accumulation scheme.</w:t>
      </w:r>
      <w:r w:rsidRPr="000740FC">
        <w:t xml:space="preserve"> For example, the State could increase the contribution rate to 18 per cent of salary, to fast-track increases that are expected by 1 July 2025 due to planned increases to the </w:t>
      </w:r>
      <w:r w:rsidR="34E620D2" w:rsidRPr="000740FC">
        <w:t>S</w:t>
      </w:r>
      <w:r w:rsidR="1758AFF1" w:rsidRPr="000740FC">
        <w:t>G</w:t>
      </w:r>
      <w:r w:rsidRPr="000740FC">
        <w:t xml:space="preserve"> percentage.</w:t>
      </w:r>
      <w:r w:rsidRPr="000740FC">
        <w:rPr>
          <w:rStyle w:val="FootnoteReference"/>
        </w:rPr>
        <w:footnoteReference w:id="69"/>
      </w:r>
      <w:r w:rsidRPr="000740FC">
        <w:t xml:space="preserve"> </w:t>
      </w:r>
    </w:p>
    <w:p w14:paraId="435FD46F" w14:textId="1F0A2FD5" w:rsidR="00FC53DC" w:rsidRPr="000740FC" w:rsidRDefault="00FC53DC" w:rsidP="00B33183">
      <w:pPr>
        <w:pStyle w:val="Paragraph"/>
        <w:numPr>
          <w:ilvl w:val="0"/>
          <w:numId w:val="29"/>
        </w:numPr>
      </w:pPr>
      <w:r w:rsidRPr="000740FC">
        <w:rPr>
          <w:b/>
          <w:bCs/>
        </w:rPr>
        <w:t>Reopen the New Benefits Scheme to future MPs.</w:t>
      </w:r>
      <w:r w:rsidRPr="000740FC">
        <w:t xml:space="preserve"> Existing MPs in the accumulation scheme </w:t>
      </w:r>
      <w:r w:rsidR="00047D19">
        <w:t>c</w:t>
      </w:r>
      <w:r w:rsidRPr="000740FC">
        <w:t xml:space="preserve">ould be given the opportunity to buy into the New Benefits Scheme. </w:t>
      </w:r>
    </w:p>
    <w:p w14:paraId="278DAE5B" w14:textId="6487AA45" w:rsidR="00FC53DC" w:rsidRPr="000740FC" w:rsidRDefault="00FC53DC" w:rsidP="00B33183">
      <w:pPr>
        <w:pStyle w:val="Paragraph"/>
        <w:numPr>
          <w:ilvl w:val="0"/>
          <w:numId w:val="29"/>
        </w:numPr>
      </w:pPr>
      <w:r w:rsidRPr="000740FC">
        <w:rPr>
          <w:b/>
          <w:bCs/>
        </w:rPr>
        <w:t>Open a new MP defined benefit scheme or a hybrid scheme.</w:t>
      </w:r>
      <w:r w:rsidRPr="000740FC">
        <w:t xml:space="preserve"> Example</w:t>
      </w:r>
      <w:r w:rsidR="0005530E">
        <w:t xml:space="preserve">s of </w:t>
      </w:r>
      <w:r w:rsidRPr="000740FC">
        <w:t xml:space="preserve">schemes that could be used as a basis for a new MP defined benefit scheme include the </w:t>
      </w:r>
      <w:r w:rsidR="00A32D30">
        <w:t>ESSSuper</w:t>
      </w:r>
      <w:r w:rsidRPr="000740FC">
        <w:t xml:space="preserve"> scheme for Victorian operational emergency service employees and the U</w:t>
      </w:r>
      <w:r w:rsidR="00794D81">
        <w:t xml:space="preserve">nited </w:t>
      </w:r>
      <w:r w:rsidRPr="000740FC">
        <w:t>K</w:t>
      </w:r>
      <w:r w:rsidR="00794D81">
        <w:t>ingdom</w:t>
      </w:r>
      <w:r w:rsidRPr="000740FC">
        <w:t xml:space="preserve"> MP pension scheme. </w:t>
      </w:r>
    </w:p>
    <w:p w14:paraId="66E9B552" w14:textId="040A062F" w:rsidR="002F37A1" w:rsidRPr="000740FC" w:rsidRDefault="00FC53DC" w:rsidP="00B33183">
      <w:pPr>
        <w:pStyle w:val="Paragraph"/>
        <w:numPr>
          <w:ilvl w:val="0"/>
          <w:numId w:val="29"/>
        </w:numPr>
      </w:pPr>
      <w:r w:rsidRPr="0093196D">
        <w:rPr>
          <w:b/>
          <w:bCs/>
        </w:rPr>
        <w:t>Provide MPs in the accumulation scheme with an additional payment when they leave the Parliament equivalent to the additional benefits they would have received in the New Benefits Scheme</w:t>
      </w:r>
      <w:r w:rsidRPr="00BB07A3">
        <w:t>.</w:t>
      </w:r>
      <w:r w:rsidRPr="000740FC">
        <w:t xml:space="preserve"> As suggested in </w:t>
      </w:r>
      <w:r w:rsidR="00014821" w:rsidRPr="000740FC">
        <w:t>a</w:t>
      </w:r>
      <w:r w:rsidRPr="000740FC">
        <w:t xml:space="preserve"> submission, the relevant calculation could be carried out by an actuary when the MP leaves the Parliament or using a set formula. </w:t>
      </w:r>
    </w:p>
    <w:p w14:paraId="366FCAD6" w14:textId="64608A79" w:rsidR="00FC53DC" w:rsidRPr="000740FC" w:rsidRDefault="002F37A1" w:rsidP="00B33183">
      <w:pPr>
        <w:pStyle w:val="Paragraph"/>
        <w:numPr>
          <w:ilvl w:val="0"/>
          <w:numId w:val="29"/>
        </w:numPr>
      </w:pPr>
      <w:r w:rsidRPr="000740FC">
        <w:rPr>
          <w:b/>
          <w:bCs/>
        </w:rPr>
        <w:t>Increase the separation payment</w:t>
      </w:r>
      <w:r w:rsidR="00BB07A3">
        <w:rPr>
          <w:b/>
          <w:bCs/>
        </w:rPr>
        <w:t xml:space="preserve"> for former MPs</w:t>
      </w:r>
      <w:r w:rsidRPr="000740FC">
        <w:rPr>
          <w:b/>
          <w:bCs/>
        </w:rPr>
        <w:t xml:space="preserve">. </w:t>
      </w:r>
      <w:r w:rsidRPr="000740FC">
        <w:rPr>
          <w:rFonts w:eastAsia="Calibri Light" w:cs="Calibri Light"/>
        </w:rPr>
        <w:t>This option was also suggested in</w:t>
      </w:r>
      <w:r w:rsidR="00F61DB0" w:rsidRPr="000740FC">
        <w:rPr>
          <w:rFonts w:eastAsia="Calibri Light" w:cs="Calibri Light"/>
        </w:rPr>
        <w:t xml:space="preserve"> submissions</w:t>
      </w:r>
      <w:r w:rsidRPr="000740FC">
        <w:rPr>
          <w:rFonts w:eastAsia="Calibri Light" w:cs="Calibri Light"/>
        </w:rPr>
        <w:t>.</w:t>
      </w:r>
      <w:r w:rsidRPr="000740FC">
        <w:t xml:space="preserve"> Former</w:t>
      </w:r>
      <w:r w:rsidRPr="000740FC">
        <w:rPr>
          <w:b/>
          <w:bCs/>
        </w:rPr>
        <w:t xml:space="preserve"> </w:t>
      </w:r>
      <w:r w:rsidRPr="000740FC">
        <w:t xml:space="preserve">MPs could also be given the option of </w:t>
      </w:r>
      <w:r w:rsidRPr="000740FC">
        <w:lastRenderedPageBreak/>
        <w:t xml:space="preserve">receiving the separation payment in instalments over several years, to provide them with support for </w:t>
      </w:r>
      <w:r w:rsidR="00C04C69">
        <w:t xml:space="preserve">a </w:t>
      </w:r>
      <w:r w:rsidRPr="000740FC">
        <w:t>longer period after they leave the Parliament.</w:t>
      </w:r>
    </w:p>
    <w:p w14:paraId="1EA7E4A6" w14:textId="6DABD813" w:rsidR="00FC53DC" w:rsidRPr="0029538E" w:rsidRDefault="349B7EF8" w:rsidP="344F29B6">
      <w:pPr>
        <w:pStyle w:val="Paragraph"/>
        <w:numPr>
          <w:ilvl w:val="0"/>
          <w:numId w:val="29"/>
        </w:numPr>
        <w:spacing w:after="80"/>
        <w:rPr>
          <w:b/>
          <w:bCs/>
        </w:rPr>
      </w:pPr>
      <w:r w:rsidRPr="344F29B6">
        <w:rPr>
          <w:b/>
          <w:bCs/>
        </w:rPr>
        <w:t xml:space="preserve">Provide existing and former MPs with </w:t>
      </w:r>
      <w:r w:rsidR="7D662EA0" w:rsidRPr="344F29B6">
        <w:rPr>
          <w:b/>
          <w:bCs/>
        </w:rPr>
        <w:t xml:space="preserve">enhanced transitional </w:t>
      </w:r>
      <w:r w:rsidRPr="344F29B6">
        <w:rPr>
          <w:b/>
          <w:bCs/>
        </w:rPr>
        <w:t>support to help them obtain employment after leaving the Parliament.</w:t>
      </w:r>
      <w:r>
        <w:t xml:space="preserve"> Such support could include career or financial counselling, resume building, networking </w:t>
      </w:r>
      <w:r w:rsidR="6901458E">
        <w:t xml:space="preserve">support </w:t>
      </w:r>
      <w:r>
        <w:t>and outplacement</w:t>
      </w:r>
      <w:r w:rsidR="1B16B799">
        <w:t xml:space="preserve"> service</w:t>
      </w:r>
      <w:r w:rsidR="220971B2">
        <w:t>s</w:t>
      </w:r>
      <w:r>
        <w:t>.</w:t>
      </w:r>
    </w:p>
    <w:p w14:paraId="6CF5B9DD" w14:textId="5FAB9E39" w:rsidR="00FC53DC" w:rsidRPr="000740FC" w:rsidRDefault="00FC53DC" w:rsidP="0017754B">
      <w:pPr>
        <w:pStyle w:val="VIRTHeading2"/>
      </w:pPr>
      <w:bookmarkStart w:id="90" w:name="_Toc50990437"/>
      <w:bookmarkStart w:id="91" w:name="_Toc51234146"/>
      <w:r w:rsidRPr="000740FC">
        <w:t>6.2 The Tribunal’s considerations</w:t>
      </w:r>
      <w:bookmarkEnd w:id="90"/>
      <w:bookmarkEnd w:id="91"/>
      <w:r w:rsidRPr="000740FC">
        <w:t xml:space="preserve"> </w:t>
      </w:r>
    </w:p>
    <w:p w14:paraId="29E8337F" w14:textId="5FAB9E39" w:rsidR="00FC53DC" w:rsidRPr="000740FC" w:rsidRDefault="00FC53DC" w:rsidP="00B33183">
      <w:pPr>
        <w:pStyle w:val="Parabeforeabulletlist"/>
      </w:pPr>
      <w:r w:rsidRPr="000740FC">
        <w:t>To assess the options identified to address potential inequalities between the schemes, the Tribunal was guided by the following key considerations:</w:t>
      </w:r>
    </w:p>
    <w:p w14:paraId="4C0C4B4E" w14:textId="1E991C4D" w:rsidR="00FC53DC" w:rsidRPr="000740FC" w:rsidRDefault="004D1148" w:rsidP="00FC53DC">
      <w:pPr>
        <w:pStyle w:val="VIRTBulletpoints"/>
      </w:pPr>
      <w:r>
        <w:t>s</w:t>
      </w:r>
      <w:r w:rsidR="00FC53DC" w:rsidRPr="000740FC">
        <w:t>uperannuation</w:t>
      </w:r>
      <w:r w:rsidR="004B5715">
        <w:t xml:space="preserve"> and separation</w:t>
      </w:r>
      <w:r w:rsidR="00FC53DC" w:rsidRPr="000740FC">
        <w:t xml:space="preserve"> arrangements for MPs in other Australian jurisdictions and across the Victorian public sector, as well as in the broader economy</w:t>
      </w:r>
    </w:p>
    <w:p w14:paraId="0EB1C3B5" w14:textId="3B8FDEDF" w:rsidR="00FC53DC" w:rsidRPr="004D1148" w:rsidRDefault="00FC53DC" w:rsidP="00FC53DC">
      <w:pPr>
        <w:pStyle w:val="VIRTBulletpoints"/>
      </w:pPr>
      <w:r w:rsidRPr="004D1148">
        <w:t>whether the current superannuation arrangements of MPs</w:t>
      </w:r>
      <w:r w:rsidR="76B03504" w:rsidRPr="004D1148">
        <w:t xml:space="preserve"> </w:t>
      </w:r>
      <w:r w:rsidRPr="004D1148">
        <w:t>tak</w:t>
      </w:r>
      <w:r w:rsidR="7C23AFDA" w:rsidRPr="004D1148">
        <w:t>e</w:t>
      </w:r>
      <w:r w:rsidRPr="004D1148">
        <w:t xml:space="preserve"> into account the</w:t>
      </w:r>
      <w:r w:rsidR="00B779E0" w:rsidRPr="004D1148">
        <w:t>ir relatively</w:t>
      </w:r>
      <w:r w:rsidRPr="004D1148">
        <w:t xml:space="preserve"> unique role and employment arrangements</w:t>
      </w:r>
      <w:r w:rsidRPr="004D1148" w:rsidDel="00B779E0">
        <w:t xml:space="preserve"> </w:t>
      </w:r>
    </w:p>
    <w:p w14:paraId="54ADBE76" w14:textId="211FA459" w:rsidR="00FC53DC" w:rsidRPr="000740FC" w:rsidRDefault="00FC53DC" w:rsidP="00FC53DC">
      <w:pPr>
        <w:pStyle w:val="VIRTBulletpoints"/>
      </w:pPr>
      <w:r w:rsidRPr="000740FC">
        <w:t>the costs and benefits of particular options, for example, the financial cost to the State of Victoria</w:t>
      </w:r>
    </w:p>
    <w:p w14:paraId="28708830" w14:textId="5FAB9E39" w:rsidR="00FC53DC" w:rsidRPr="000740FC" w:rsidRDefault="00FC53DC" w:rsidP="00FC53DC">
      <w:pPr>
        <w:pStyle w:val="VIRTBulletpoints"/>
      </w:pPr>
      <w:r w:rsidRPr="000740FC">
        <w:t>other matters raised in submissions.</w:t>
      </w:r>
    </w:p>
    <w:p w14:paraId="002572AE" w14:textId="5FAB9E39" w:rsidR="00FC53DC" w:rsidRPr="000740FC" w:rsidRDefault="00FC53DC" w:rsidP="006D532C">
      <w:pPr>
        <w:pStyle w:val="VIRTHeading3"/>
        <w:keepNext/>
        <w:outlineLvl w:val="2"/>
        <w:rPr>
          <w:rFonts w:ascii="Rockwell" w:hAnsi="Rockwell"/>
          <w:noProof w:val="0"/>
          <w:lang w:val="en-AU"/>
        </w:rPr>
      </w:pPr>
      <w:r w:rsidRPr="000740FC">
        <w:rPr>
          <w:rFonts w:ascii="Rockwell" w:hAnsi="Rockwell"/>
          <w:noProof w:val="0"/>
          <w:lang w:val="en-AU"/>
        </w:rPr>
        <w:t>Superannuation arrangements for MPs, the public sector and the broader economy</w:t>
      </w:r>
    </w:p>
    <w:p w14:paraId="37AD3D80" w14:textId="362A1F5B" w:rsidR="00FC53DC" w:rsidRPr="000740FC" w:rsidRDefault="00FC53DC" w:rsidP="00B33183">
      <w:pPr>
        <w:pStyle w:val="Paragraph"/>
      </w:pPr>
      <w:r w:rsidRPr="000740FC">
        <w:t xml:space="preserve">The review found that the superannuation </w:t>
      </w:r>
      <w:r w:rsidR="00600FE5">
        <w:t>entitlements</w:t>
      </w:r>
      <w:r w:rsidRPr="000740FC">
        <w:t xml:space="preserve"> for Victorian MPs</w:t>
      </w:r>
      <w:r w:rsidR="00600FE5">
        <w:t>, including those in the accumulation scheme,</w:t>
      </w:r>
      <w:r w:rsidRPr="000740FC">
        <w:t xml:space="preserve"> compare favourably to those of MPs in other Australian jurisdictions, other Victorian public sector roles and Australians more generally.</w:t>
      </w:r>
    </w:p>
    <w:p w14:paraId="0C1D2B80" w14:textId="5FAB9E39" w:rsidR="00FC53DC" w:rsidRPr="000740FC" w:rsidRDefault="00FC53DC" w:rsidP="00FC53DC">
      <w:pPr>
        <w:pStyle w:val="VIRTheading40"/>
      </w:pPr>
      <w:r w:rsidRPr="000740FC">
        <w:t xml:space="preserve">Comparison with MPs in other jurisdictions </w:t>
      </w:r>
    </w:p>
    <w:p w14:paraId="561A80C0" w14:textId="1D421A62" w:rsidR="00FC53DC" w:rsidRPr="000740FC" w:rsidRDefault="00FC53DC" w:rsidP="00B33183">
      <w:pPr>
        <w:pStyle w:val="Paragraph"/>
      </w:pPr>
      <w:r w:rsidRPr="000740FC">
        <w:t xml:space="preserve">All Australian jurisdictions have closed their MP defined benefit schemes to new MPs and have replaced them with an accumulation scheme. These changes occurred </w:t>
      </w:r>
      <w:r w:rsidR="009864C7">
        <w:t>as a result of</w:t>
      </w:r>
      <w:r w:rsidRPr="000740FC">
        <w:t xml:space="preserve"> mounting community and political pressure to close the bespoke superannuation schemes for Australian MPs (and certain other public sector roles) due to their perceived generosity</w:t>
      </w:r>
      <w:r w:rsidR="007A256B">
        <w:t xml:space="preserve"> (appendix A)</w:t>
      </w:r>
      <w:r w:rsidRPr="000740FC">
        <w:t>. As a result of the closure of the MP defined benefit schemes, MPs in each jurisdiction have received lower superannuation entitlements tha</w:t>
      </w:r>
      <w:r w:rsidR="00652A8C">
        <w:t>n</w:t>
      </w:r>
      <w:r w:rsidRPr="000740FC">
        <w:t xml:space="preserve"> their predecessors — meaning that the potential inequality identified by the Tribunal is not unique to Victoria’s MPs. </w:t>
      </w:r>
      <w:r w:rsidR="00E4308F">
        <w:lastRenderedPageBreak/>
        <w:t>Rather</w:t>
      </w:r>
      <w:r w:rsidR="00C74C0B">
        <w:t>,</w:t>
      </w:r>
      <w:r w:rsidRPr="000740FC">
        <w:t xml:space="preserve"> it is an inevitable consequence of the superannuation entitlements of MPs being more closely aligned to those of other Australians. </w:t>
      </w:r>
    </w:p>
    <w:p w14:paraId="51CA28E1" w14:textId="00FCA585" w:rsidR="00FC53DC" w:rsidRPr="000740FC" w:rsidRDefault="00FC53DC" w:rsidP="00B33183">
      <w:pPr>
        <w:pStyle w:val="Paragraph"/>
      </w:pPr>
      <w:r w:rsidRPr="000740FC">
        <w:t xml:space="preserve">However, of all Australian jurisdictions, Victorian MPs </w:t>
      </w:r>
      <w:r w:rsidR="004D1148">
        <w:t xml:space="preserve">in the accumulation scheme </w:t>
      </w:r>
      <w:r w:rsidRPr="000740FC">
        <w:t xml:space="preserve">receive the highest superannuation contributions in percentage terms </w:t>
      </w:r>
      <w:r w:rsidRPr="004D1148">
        <w:t>(</w:t>
      </w:r>
      <w:r w:rsidR="41C1EC47">
        <w:t>S</w:t>
      </w:r>
      <w:r w:rsidR="31514BE0">
        <w:t>G</w:t>
      </w:r>
      <w:r w:rsidR="41C1EC47" w:rsidRPr="004D1148">
        <w:t xml:space="preserve"> </w:t>
      </w:r>
      <w:r w:rsidR="65CB34BE">
        <w:t>percentage</w:t>
      </w:r>
      <w:r w:rsidR="41C1EC47">
        <w:t xml:space="preserve"> </w:t>
      </w:r>
      <w:r w:rsidR="41C1EC47" w:rsidRPr="004D1148">
        <w:t>plus 6</w:t>
      </w:r>
      <w:r w:rsidRPr="004D1148">
        <w:t xml:space="preserve"> per cent</w:t>
      </w:r>
      <w:r w:rsidR="41C1EC47" w:rsidRPr="004D1148">
        <w:t>,</w:t>
      </w:r>
      <w:r w:rsidR="41C1EC47">
        <w:t xml:space="preserve"> </w:t>
      </w:r>
      <w:r>
        <w:t>currently 15.5</w:t>
      </w:r>
      <w:r w:rsidR="01119EAF">
        <w:t xml:space="preserve"> per cent</w:t>
      </w:r>
      <w:r>
        <w:t>).</w:t>
      </w:r>
      <w:r w:rsidRPr="000740FC">
        <w:t xml:space="preserve"> </w:t>
      </w:r>
      <w:r w:rsidR="004D1148">
        <w:t>Further</w:t>
      </w:r>
      <w:r w:rsidRPr="000740FC">
        <w:t xml:space="preserve">, increases to the </w:t>
      </w:r>
      <w:r>
        <w:t>S</w:t>
      </w:r>
      <w:r w:rsidR="56CE5283">
        <w:t>G percentage</w:t>
      </w:r>
      <w:r w:rsidR="00A5391E">
        <w:t xml:space="preserve"> have been legislated by the Commonwealth</w:t>
      </w:r>
      <w:r w:rsidRPr="000740FC">
        <w:t>. The value of this contribution in dollar terms is also comparatively high, exceeded</w:t>
      </w:r>
      <w:r w:rsidR="0003065C">
        <w:t xml:space="preserve"> only</w:t>
      </w:r>
      <w:r w:rsidRPr="000740FC">
        <w:t xml:space="preserve"> by the Commonwealth and South Australia.</w:t>
      </w:r>
      <w:r w:rsidR="62644BAD">
        <w:t xml:space="preserve"> </w:t>
      </w:r>
    </w:p>
    <w:p w14:paraId="538F257D" w14:textId="5FAB9E39" w:rsidR="00FC53DC" w:rsidRPr="000740FC" w:rsidRDefault="00FC53DC" w:rsidP="00C02CAC">
      <w:pPr>
        <w:pStyle w:val="VIRTheading40"/>
      </w:pPr>
      <w:r w:rsidRPr="000740FC">
        <w:t>Comparison with other Victorian public sector roles</w:t>
      </w:r>
    </w:p>
    <w:p w14:paraId="359E1FE0" w14:textId="3DE2510A" w:rsidR="00FC53DC" w:rsidRPr="000740FC" w:rsidRDefault="0059167E" w:rsidP="00B33183">
      <w:pPr>
        <w:pStyle w:val="Paragraph"/>
      </w:pPr>
      <w:r>
        <w:t>M</w:t>
      </w:r>
      <w:r w:rsidR="00FC53DC" w:rsidRPr="000740FC">
        <w:t>ost public sector defined benefit schemes were closed in the mid-1990s</w:t>
      </w:r>
      <w:r>
        <w:t xml:space="preserve"> as a result of</w:t>
      </w:r>
      <w:r w:rsidR="00FC53DC" w:rsidRPr="000740FC">
        <w:t xml:space="preserve"> the unsustainable financial burden they placed on the State of Victoria (</w:t>
      </w:r>
      <w:r w:rsidR="009D58F6">
        <w:t>a</w:t>
      </w:r>
      <w:r w:rsidR="00FC53DC" w:rsidRPr="000740FC">
        <w:t>ppendix A). Since that time, with few exceptions, Victorian public sector employees have been required to join an accumulation scheme and are entitled</w:t>
      </w:r>
      <w:r w:rsidR="00C25E47">
        <w:t xml:space="preserve"> only</w:t>
      </w:r>
      <w:r w:rsidR="00FC53DC" w:rsidRPr="000740FC">
        <w:t xml:space="preserve"> to the minimum employer superannuation contributions required under </w:t>
      </w:r>
      <w:r w:rsidR="009D6E4D">
        <w:t>Commonwealth</w:t>
      </w:r>
      <w:r w:rsidR="00FC53DC" w:rsidRPr="000740FC">
        <w:t xml:space="preserve"> law (</w:t>
      </w:r>
      <w:r w:rsidR="00093E62">
        <w:t>currently the S</w:t>
      </w:r>
      <w:r w:rsidR="002F1742">
        <w:t>G</w:t>
      </w:r>
      <w:r w:rsidR="00093E62">
        <w:t xml:space="preserve"> percentage of </w:t>
      </w:r>
      <w:r w:rsidR="00FC53DC" w:rsidRPr="000740FC">
        <w:t>9.5 per cent).</w:t>
      </w:r>
    </w:p>
    <w:p w14:paraId="0E39AAB2" w14:textId="58A8C028" w:rsidR="00FC53DC" w:rsidRPr="000740FC" w:rsidRDefault="00FC53DC" w:rsidP="00B33183">
      <w:pPr>
        <w:pStyle w:val="Paragraph"/>
      </w:pPr>
      <w:r w:rsidRPr="000740FC">
        <w:t>The closure of the public sector defined benefit schemes means that</w:t>
      </w:r>
      <w:r w:rsidR="003D174F">
        <w:t>, similar to MPs,</w:t>
      </w:r>
      <w:r w:rsidRPr="000740FC">
        <w:t xml:space="preserve"> new public sector employees receive lower superannuation entitlements tha</w:t>
      </w:r>
      <w:r w:rsidR="003D174F">
        <w:t>n</w:t>
      </w:r>
      <w:r w:rsidRPr="000740FC">
        <w:t xml:space="preserve"> those</w:t>
      </w:r>
      <w:r w:rsidR="004E479B">
        <w:t xml:space="preserve"> who began their career</w:t>
      </w:r>
      <w:r w:rsidRPr="000740FC">
        <w:t xml:space="preserve"> earlier. </w:t>
      </w:r>
    </w:p>
    <w:p w14:paraId="55562BBB" w14:textId="5FAB9E39" w:rsidR="00FC53DC" w:rsidRPr="000740FC" w:rsidRDefault="00FC53DC" w:rsidP="00EA1776">
      <w:pPr>
        <w:pStyle w:val="VIRTheading40"/>
      </w:pPr>
      <w:r w:rsidRPr="000740FC">
        <w:t>Comparison with the general economy</w:t>
      </w:r>
    </w:p>
    <w:p w14:paraId="2AC5745C" w14:textId="2381D3F9" w:rsidR="00FC53DC" w:rsidRPr="000740FC" w:rsidRDefault="00FC53DC" w:rsidP="00B33183">
      <w:pPr>
        <w:pStyle w:val="Paragraph"/>
      </w:pPr>
      <w:r w:rsidRPr="000740FC">
        <w:t xml:space="preserve">The Tribunal understands that most employees are not entitled to superannuation contributions above the minimum requirement under </w:t>
      </w:r>
      <w:r w:rsidR="00106C4A">
        <w:t>Commonwealth</w:t>
      </w:r>
      <w:r w:rsidRPr="000740FC">
        <w:t xml:space="preserve"> law. As noted in chapter 2, the majority of enterprise agreements do not provide employees with superannuation entitlements above the </w:t>
      </w:r>
      <w:r w:rsidR="00B01764">
        <w:t>SG</w:t>
      </w:r>
      <w:r w:rsidR="00D15FF1">
        <w:t xml:space="preserve"> percentage</w:t>
      </w:r>
      <w:r w:rsidRPr="000740FC">
        <w:t>.</w:t>
      </w:r>
      <w:r w:rsidRPr="000740FC">
        <w:rPr>
          <w:rStyle w:val="FootnoteReference"/>
        </w:rPr>
        <w:footnoteReference w:id="70"/>
      </w:r>
      <w:r w:rsidRPr="000740FC">
        <w:rPr>
          <w:rFonts w:eastAsiaTheme="minorEastAsia"/>
        </w:rPr>
        <w:t xml:space="preserve"> </w:t>
      </w:r>
    </w:p>
    <w:p w14:paraId="139CBE6B" w14:textId="3239240B" w:rsidR="00FC53DC" w:rsidRPr="004D1148" w:rsidRDefault="00D00202" w:rsidP="006D532C">
      <w:pPr>
        <w:pStyle w:val="VIRTHeading3"/>
        <w:keepNext/>
        <w:outlineLvl w:val="2"/>
        <w:rPr>
          <w:lang w:val="en-AU"/>
        </w:rPr>
      </w:pPr>
      <w:r w:rsidRPr="004D1148">
        <w:rPr>
          <w:rFonts w:ascii="Rockwell" w:hAnsi="Rockwell"/>
          <w:lang w:val="en-AU"/>
        </w:rPr>
        <w:t>The</w:t>
      </w:r>
      <w:r w:rsidR="002B5DA2" w:rsidRPr="004D1148">
        <w:rPr>
          <w:rFonts w:ascii="Rockwell" w:hAnsi="Rockwell"/>
          <w:lang w:val="en-AU"/>
        </w:rPr>
        <w:t xml:space="preserve"> unique role and employment arrangements </w:t>
      </w:r>
      <w:r w:rsidR="69E1CE74" w:rsidRPr="004D1148">
        <w:rPr>
          <w:rFonts w:ascii="Rockwell" w:hAnsi="Rockwell"/>
          <w:noProof w:val="0"/>
          <w:lang w:val="en-AU"/>
        </w:rPr>
        <w:t>of MPs</w:t>
      </w:r>
      <w:r w:rsidR="6B86D4FD" w:rsidRPr="004D1148">
        <w:rPr>
          <w:rFonts w:ascii="Rockwell" w:hAnsi="Rockwell"/>
          <w:noProof w:val="0"/>
          <w:lang w:val="en-AU"/>
        </w:rPr>
        <w:t xml:space="preserve"> </w:t>
      </w:r>
    </w:p>
    <w:p w14:paraId="0B88571F" w14:textId="31BCD7CC" w:rsidR="00FC53DC" w:rsidRPr="000740FC" w:rsidRDefault="00FC53DC" w:rsidP="00B33183">
      <w:pPr>
        <w:pStyle w:val="Paragraph"/>
        <w:rPr>
          <w:vertAlign w:val="superscript"/>
        </w:rPr>
      </w:pPr>
      <w:r w:rsidRPr="000740FC">
        <w:t xml:space="preserve">The Tribunal recognises that MPs have a role which is unlike almost any other, and do not have access to many of the employment standards and conditions afforded to </w:t>
      </w:r>
      <w:r w:rsidR="00694B7B">
        <w:t>other workers</w:t>
      </w:r>
      <w:r w:rsidRPr="000740FC">
        <w:t xml:space="preserve">. Further, they face the risk of electorate defeat at each election, meaning that they may lose their job through no fault of the their own. </w:t>
      </w:r>
    </w:p>
    <w:p w14:paraId="0882FD42" w14:textId="5FAB9E39" w:rsidR="00FC53DC" w:rsidRPr="000740FC" w:rsidRDefault="00FC53DC" w:rsidP="00376346">
      <w:pPr>
        <w:keepNext/>
        <w:keepLines/>
        <w:spacing w:before="120" w:after="120" w:line="276" w:lineRule="auto"/>
        <w:jc w:val="both"/>
        <w:rPr>
          <w:rFonts w:ascii="Calibri Light" w:eastAsia="Rockwell" w:hAnsi="Calibri Light" w:cs="Arial"/>
          <w:color w:val="4D4D4D"/>
          <w:sz w:val="26"/>
          <w:szCs w:val="26"/>
        </w:rPr>
      </w:pPr>
      <w:r w:rsidRPr="000740FC">
        <w:rPr>
          <w:rFonts w:ascii="Calibri Light" w:eastAsia="Rockwell" w:hAnsi="Calibri Light" w:cs="Arial"/>
          <w:color w:val="4D4D4D" w:themeColor="accent6"/>
          <w:sz w:val="26"/>
          <w:szCs w:val="26"/>
        </w:rPr>
        <w:lastRenderedPageBreak/>
        <w:t>The superannuation arrangements and related entitlements of MPs were designed to address these matters:</w:t>
      </w:r>
    </w:p>
    <w:p w14:paraId="243A7AE9" w14:textId="57A80AA7" w:rsidR="00FC53DC" w:rsidRPr="000740FC" w:rsidRDefault="00FC53DC" w:rsidP="00376346">
      <w:pPr>
        <w:pStyle w:val="ListParagraph"/>
        <w:keepNext/>
        <w:keepLines/>
        <w:numPr>
          <w:ilvl w:val="0"/>
          <w:numId w:val="22"/>
        </w:numPr>
        <w:spacing w:after="0" w:line="276" w:lineRule="auto"/>
        <w:jc w:val="both"/>
        <w:rPr>
          <w:rFonts w:ascii="Calibri Light" w:eastAsia="Rockwell" w:hAnsi="Calibri Light" w:cs="Arial"/>
          <w:color w:val="4D4D4D"/>
          <w:sz w:val="26"/>
          <w:szCs w:val="26"/>
        </w:rPr>
      </w:pPr>
      <w:r w:rsidRPr="000740FC">
        <w:rPr>
          <w:rFonts w:ascii="Calibri Light" w:eastAsia="Rockwell" w:hAnsi="Calibri Light" w:cs="Arial"/>
          <w:color w:val="4D4D4D"/>
          <w:sz w:val="26"/>
          <w:szCs w:val="26"/>
        </w:rPr>
        <w:t xml:space="preserve">the increase in superannuation contributions for MPs in the accumulation scheme was in part provided to recognise </w:t>
      </w:r>
      <w:r w:rsidR="008271E2" w:rsidRPr="589A77DE">
        <w:rPr>
          <w:rFonts w:ascii="Calibri Light" w:eastAsia="Rockwell" w:hAnsi="Calibri Light" w:cs="Arial"/>
          <w:color w:val="4D4D4D" w:themeColor="accent6"/>
          <w:sz w:val="26"/>
          <w:szCs w:val="26"/>
        </w:rPr>
        <w:t xml:space="preserve">that </w:t>
      </w:r>
      <w:r w:rsidRPr="000740FC">
        <w:rPr>
          <w:rFonts w:ascii="Calibri Light" w:eastAsia="Rockwell" w:hAnsi="Calibri Light" w:cs="Arial"/>
          <w:color w:val="4D4D4D"/>
          <w:sz w:val="26"/>
          <w:szCs w:val="26"/>
        </w:rPr>
        <w:t>MPs do not receive accrued recreation and long service leave</w:t>
      </w:r>
      <w:r w:rsidRPr="000740FC">
        <w:rPr>
          <w:rStyle w:val="FootnoteReference"/>
          <w:rFonts w:ascii="Calibri Light" w:eastAsia="Rockwell" w:hAnsi="Calibri Light" w:cs="Arial"/>
          <w:color w:val="4D4D4D"/>
          <w:sz w:val="26"/>
          <w:szCs w:val="26"/>
        </w:rPr>
        <w:footnoteReference w:id="71"/>
      </w:r>
    </w:p>
    <w:p w14:paraId="7289FD61" w14:textId="77777777" w:rsidR="00FC53DC" w:rsidRPr="000740FC" w:rsidRDefault="00FC53DC" w:rsidP="00FC53DC">
      <w:pPr>
        <w:pStyle w:val="ListParagraph"/>
        <w:numPr>
          <w:ilvl w:val="0"/>
          <w:numId w:val="22"/>
        </w:numPr>
        <w:spacing w:after="0" w:line="276" w:lineRule="auto"/>
        <w:jc w:val="both"/>
        <w:rPr>
          <w:rFonts w:ascii="Calibri Light" w:eastAsia="Rockwell" w:hAnsi="Calibri Light" w:cs="Arial"/>
          <w:color w:val="4D4D4D"/>
          <w:sz w:val="26"/>
          <w:szCs w:val="26"/>
        </w:rPr>
      </w:pPr>
      <w:r w:rsidRPr="000740FC">
        <w:rPr>
          <w:rFonts w:ascii="Calibri Light" w:eastAsia="Rockwell" w:hAnsi="Calibri Light" w:cs="Arial"/>
          <w:color w:val="4D4D4D"/>
          <w:sz w:val="26"/>
          <w:szCs w:val="26"/>
        </w:rPr>
        <w:t>the separation payment (and the former resettlement allowance) are provided to assist MPs to re-establish themselves in professional or business life or the workforce, and is akin to a redundancy payment provided to some other employees.</w:t>
      </w:r>
      <w:r w:rsidRPr="000740FC">
        <w:rPr>
          <w:rStyle w:val="FootnoteReference"/>
          <w:rFonts w:ascii="Calibri Light" w:eastAsia="Rockwell" w:hAnsi="Calibri Light" w:cs="Arial"/>
          <w:color w:val="4D4D4D"/>
          <w:sz w:val="26"/>
          <w:szCs w:val="26"/>
        </w:rPr>
        <w:footnoteReference w:id="72"/>
      </w:r>
    </w:p>
    <w:p w14:paraId="32CA700B" w14:textId="3A2C1EBB" w:rsidR="00FC53DC" w:rsidRPr="000740FC" w:rsidRDefault="00FC53DC" w:rsidP="00B33183">
      <w:pPr>
        <w:pStyle w:val="Paragraph"/>
      </w:pPr>
      <w:r w:rsidRPr="004D1148">
        <w:t xml:space="preserve">The Tribunal notes that work insecurity is not unique to MPs — it also affects many other Australians. </w:t>
      </w:r>
      <w:r w:rsidR="465E09D6" w:rsidRPr="004D1148">
        <w:t>A</w:t>
      </w:r>
      <w:r w:rsidR="0013720C" w:rsidRPr="004D1148">
        <w:t xml:space="preserve">pproximately </w:t>
      </w:r>
      <w:r w:rsidR="00362014" w:rsidRPr="004D1148">
        <w:t>1</w:t>
      </w:r>
      <w:r w:rsidR="00BE33CF" w:rsidRPr="004D1148">
        <w:t xml:space="preserve">3 </w:t>
      </w:r>
      <w:r w:rsidR="00EC2103" w:rsidRPr="004D1148">
        <w:t xml:space="preserve">per cent of </w:t>
      </w:r>
      <w:r w:rsidR="00F06CEE" w:rsidRPr="004D1148">
        <w:t>public sector employees</w:t>
      </w:r>
      <w:r w:rsidR="00EF3D6B">
        <w:t>,</w:t>
      </w:r>
      <w:r w:rsidR="00E61705" w:rsidRPr="004D1148">
        <w:t xml:space="preserve"> and </w:t>
      </w:r>
      <w:r w:rsidR="0089292F">
        <w:br/>
      </w:r>
      <w:r w:rsidR="00E61705" w:rsidRPr="004D1148">
        <w:t>4 per cent of</w:t>
      </w:r>
      <w:r w:rsidR="001D2707" w:rsidRPr="004D1148">
        <w:t xml:space="preserve"> private sector employees,</w:t>
      </w:r>
      <w:r w:rsidR="00F06CEE" w:rsidRPr="004D1148">
        <w:t xml:space="preserve"> </w:t>
      </w:r>
      <w:r w:rsidR="15185E6A" w:rsidRPr="004D1148">
        <w:t>a</w:t>
      </w:r>
      <w:r w:rsidR="26881CE9" w:rsidRPr="004D1148">
        <w:t xml:space="preserve">re </w:t>
      </w:r>
      <w:r w:rsidR="285888DB" w:rsidRPr="004D1148">
        <w:t xml:space="preserve">employed </w:t>
      </w:r>
      <w:r w:rsidR="26881CE9" w:rsidRPr="004D1148">
        <w:t xml:space="preserve">on </w:t>
      </w:r>
      <w:r w:rsidR="00F06CEE" w:rsidRPr="004D1148">
        <w:t>fixed-term contracts</w:t>
      </w:r>
      <w:r w:rsidR="6C4C7D03" w:rsidRPr="004D1148">
        <w:t>, based on 2018 data</w:t>
      </w:r>
      <w:r w:rsidR="26881CE9" w:rsidRPr="004D1148">
        <w:t>.</w:t>
      </w:r>
      <w:r w:rsidR="00F06CEE" w:rsidRPr="004D1148">
        <w:t xml:space="preserve"> </w:t>
      </w:r>
      <w:r w:rsidR="00E24DFC" w:rsidRPr="004D1148">
        <w:t>Further</w:t>
      </w:r>
      <w:r w:rsidR="00EF716C" w:rsidRPr="004D1148">
        <w:t xml:space="preserve">, approximately </w:t>
      </w:r>
      <w:r w:rsidR="00AD0A96" w:rsidRPr="004D1148">
        <w:t xml:space="preserve">a quarter of employees </w:t>
      </w:r>
      <w:r w:rsidR="5DC2CF47" w:rsidRPr="004D1148">
        <w:t>a</w:t>
      </w:r>
      <w:r w:rsidR="0373165E" w:rsidRPr="004D1148">
        <w:t>re</w:t>
      </w:r>
      <w:r w:rsidR="00F60CCD" w:rsidRPr="004D1148">
        <w:t xml:space="preserve"> employed on a casual basis</w:t>
      </w:r>
      <w:r w:rsidR="00F64729" w:rsidRPr="004D1148">
        <w:t xml:space="preserve"> (i.e. without paid leave entitlements)</w:t>
      </w:r>
      <w:r w:rsidR="00821185" w:rsidRPr="004D1148">
        <w:t>.</w:t>
      </w:r>
      <w:r w:rsidR="00EC3747" w:rsidRPr="004D1148">
        <w:rPr>
          <w:rStyle w:val="FootnoteReference"/>
        </w:rPr>
        <w:footnoteReference w:id="73"/>
      </w:r>
      <w:r w:rsidR="005A1958" w:rsidRPr="004D1148">
        <w:t xml:space="preserve"> </w:t>
      </w:r>
    </w:p>
    <w:p w14:paraId="1B392EF0" w14:textId="36E5BEB3" w:rsidR="00FC53DC" w:rsidRPr="000740FC" w:rsidRDefault="00FC53DC" w:rsidP="00B33183">
      <w:pPr>
        <w:pStyle w:val="Paragraph"/>
      </w:pPr>
      <w:r w:rsidRPr="000740FC">
        <w:t>Modelling conducted by the Tribunal indicates that a hypothetical MP</w:t>
      </w:r>
      <w:r w:rsidR="00CE4D92">
        <w:t xml:space="preserve"> who</w:t>
      </w:r>
      <w:r w:rsidRPr="000740FC">
        <w:t xml:space="preserve"> joins the Parliament in 2020 </w:t>
      </w:r>
      <w:r w:rsidR="005B6E2B">
        <w:t xml:space="preserve">and </w:t>
      </w:r>
      <w:r w:rsidRPr="000740FC">
        <w:t>serves for 12 years will leave the Parliament with approximately $</w:t>
      </w:r>
      <w:r w:rsidR="00F45192" w:rsidRPr="000740FC">
        <w:t>390,000</w:t>
      </w:r>
      <w:r w:rsidRPr="000740FC">
        <w:t xml:space="preserve"> in entitlements in real (June 2020) terms</w:t>
      </w:r>
      <w:r w:rsidRPr="000740FC">
        <w:rPr>
          <w:vertAlign w:val="superscript"/>
        </w:rPr>
        <w:footnoteReference w:id="74"/>
      </w:r>
      <w:r w:rsidRPr="000740FC">
        <w:t xml:space="preserve"> from their </w:t>
      </w:r>
      <w:r w:rsidR="006D37DE" w:rsidRPr="000740FC">
        <w:t>p</w:t>
      </w:r>
      <w:r w:rsidRPr="000740FC">
        <w:t xml:space="preserve">arliamentary service alone. In comparison, in 2017-18 the </w:t>
      </w:r>
      <w:r w:rsidR="00B11E59">
        <w:t>median</w:t>
      </w:r>
      <w:r w:rsidRPr="000740FC">
        <w:t xml:space="preserve"> superannuation balance of Australians that are </w:t>
      </w:r>
      <w:r w:rsidR="000C7F5E">
        <w:t xml:space="preserve">aged </w:t>
      </w:r>
      <w:r w:rsidRPr="000740FC">
        <w:t>65-74 years was $225,700.</w:t>
      </w:r>
    </w:p>
    <w:p w14:paraId="21692336" w14:textId="75617A4A" w:rsidR="00FC53DC" w:rsidRPr="004D1148" w:rsidRDefault="00FC53DC" w:rsidP="00B33183">
      <w:pPr>
        <w:pStyle w:val="Paragraph"/>
        <w:rPr>
          <w:rFonts w:ascii="Arial" w:eastAsiaTheme="minorEastAsia" w:hAnsi="Arial" w:cstheme="minorBidi"/>
          <w:color w:val="7F7F7F" w:themeColor="text1" w:themeTint="80"/>
          <w:sz w:val="20"/>
        </w:rPr>
      </w:pPr>
      <w:r w:rsidRPr="000740FC">
        <w:t xml:space="preserve">If that hypothetical MP chose to </w:t>
      </w:r>
      <w:r w:rsidR="00D152BB" w:rsidRPr="000740FC">
        <w:t xml:space="preserve">make additional contributions, equivalent to those that MPs in the New Benefits Scheme are required to make (i.e. approximately </w:t>
      </w:r>
      <w:r w:rsidRPr="000740FC">
        <w:t>1</w:t>
      </w:r>
      <w:r w:rsidR="00D152BB" w:rsidRPr="000740FC">
        <w:t>1</w:t>
      </w:r>
      <w:r w:rsidRPr="000740FC">
        <w:t xml:space="preserve"> per cent of</w:t>
      </w:r>
      <w:r w:rsidR="00D152BB" w:rsidRPr="000740FC">
        <w:t xml:space="preserve"> salary)</w:t>
      </w:r>
      <w:r w:rsidRPr="000740FC">
        <w:t xml:space="preserve">, they would leave the Parliament with </w:t>
      </w:r>
      <w:r w:rsidR="0018775C" w:rsidRPr="000740FC">
        <w:t xml:space="preserve">approximately </w:t>
      </w:r>
      <w:r w:rsidRPr="000740FC">
        <w:t xml:space="preserve">$700,000 in </w:t>
      </w:r>
      <w:r w:rsidR="00EB5F68">
        <w:t>benefits</w:t>
      </w:r>
      <w:r w:rsidRPr="000740FC">
        <w:t xml:space="preserve"> in real (June 2020) terms. As a point of comparison, this exceeds the </w:t>
      </w:r>
      <w:r w:rsidRPr="000740FC">
        <w:rPr>
          <w:rFonts w:eastAsia="Calibri Light" w:cs="Calibri Light"/>
        </w:rPr>
        <w:t>$640,000</w:t>
      </w:r>
      <w:r w:rsidRPr="000740FC">
        <w:t xml:space="preserve"> benchmark set by t</w:t>
      </w:r>
      <w:r w:rsidRPr="000740FC">
        <w:rPr>
          <w:rFonts w:eastAsia="Calibri Light" w:cs="Calibri Light"/>
        </w:rPr>
        <w:t>he Association of Superannuation Funds of Australia</w:t>
      </w:r>
      <w:r w:rsidRPr="000740FC">
        <w:t xml:space="preserve"> for a superannuation balance required by a couple </w:t>
      </w:r>
      <w:r w:rsidRPr="000740FC">
        <w:rPr>
          <w:rFonts w:eastAsia="Calibri Light" w:cs="Calibri Light"/>
        </w:rPr>
        <w:t>for a comfortable retirement</w:t>
      </w:r>
      <w:r w:rsidRPr="000740FC">
        <w:t>.</w:t>
      </w:r>
      <w:r w:rsidRPr="000740FC">
        <w:rPr>
          <w:rStyle w:val="FootnoteReference"/>
        </w:rPr>
        <w:footnoteReference w:id="75"/>
      </w:r>
    </w:p>
    <w:p w14:paraId="5978986C" w14:textId="7710779A" w:rsidR="00FC53DC" w:rsidRPr="000740FC" w:rsidRDefault="0056664F" w:rsidP="00B33183">
      <w:pPr>
        <w:pStyle w:val="Paragraph"/>
      </w:pPr>
      <w:r w:rsidRPr="000740FC">
        <w:t xml:space="preserve">As part of assessing the impact </w:t>
      </w:r>
      <w:r w:rsidR="00BC29D7" w:rsidRPr="000740FC">
        <w:t>of</w:t>
      </w:r>
      <w:r w:rsidRPr="000740FC">
        <w:t xml:space="preserve"> potential inequalities, the Tribunal note</w:t>
      </w:r>
      <w:r w:rsidR="008837FA">
        <w:t>s</w:t>
      </w:r>
      <w:r w:rsidRPr="000740FC">
        <w:t xml:space="preserve"> that</w:t>
      </w:r>
      <w:r w:rsidR="0053360D">
        <w:t xml:space="preserve"> disadvantageous changes to</w:t>
      </w:r>
      <w:r w:rsidRPr="000740FC">
        <w:t xml:space="preserve"> MP superannuation in the past </w:t>
      </w:r>
      <w:r w:rsidR="00C74C0B">
        <w:t xml:space="preserve">were </w:t>
      </w:r>
      <w:r w:rsidRPr="000740FC">
        <w:t xml:space="preserve">generally subject to grandfathering provisions so that they do not unfairly impact on individuals </w:t>
      </w:r>
      <w:r w:rsidR="00CE4D92">
        <w:t>who</w:t>
      </w:r>
      <w:r w:rsidRPr="000740FC">
        <w:t xml:space="preserve"> </w:t>
      </w:r>
      <w:r w:rsidRPr="000740FC">
        <w:lastRenderedPageBreak/>
        <w:t xml:space="preserve">made decisions based on previous arrangements. </w:t>
      </w:r>
      <w:r w:rsidR="00530979">
        <w:t xml:space="preserve">This has facilitated certainty for MPs in relation to their superannuation arrangements. </w:t>
      </w:r>
    </w:p>
    <w:p w14:paraId="027C3DDB" w14:textId="034AF67D" w:rsidR="00FC53DC" w:rsidRPr="000740FC" w:rsidRDefault="00FC53DC" w:rsidP="00B33183">
      <w:pPr>
        <w:pStyle w:val="Paragraph"/>
      </w:pPr>
      <w:r w:rsidRPr="000740FC">
        <w:t xml:space="preserve">However, the Tribunal acknowledges that some MPs may still face the risk of inadequate retirement </w:t>
      </w:r>
      <w:r w:rsidR="00530979">
        <w:t>income</w:t>
      </w:r>
      <w:r w:rsidR="006008B1">
        <w:t xml:space="preserve"> —</w:t>
      </w:r>
      <w:r w:rsidRPr="000740FC">
        <w:t xml:space="preserve"> </w:t>
      </w:r>
      <w:r w:rsidR="006008B1">
        <w:t xml:space="preserve">particularly </w:t>
      </w:r>
      <w:r w:rsidRPr="000740FC">
        <w:t xml:space="preserve">if they lose their seat early on in their parliamentary careers and are unable to accumulate sufficient superannuation contributions by other means. </w:t>
      </w:r>
    </w:p>
    <w:p w14:paraId="735DAD22" w14:textId="5FAB9E39" w:rsidR="00FC53DC" w:rsidRPr="000740FC" w:rsidRDefault="00FC53DC" w:rsidP="006D532C">
      <w:pPr>
        <w:pStyle w:val="VIRTHeading3"/>
        <w:keepNext/>
        <w:outlineLvl w:val="2"/>
        <w:rPr>
          <w:lang w:val="en-AU"/>
        </w:rPr>
      </w:pPr>
      <w:r w:rsidRPr="000740FC">
        <w:rPr>
          <w:lang w:val="en-AU"/>
        </w:rPr>
        <w:t>The costs and benefits of particular options</w:t>
      </w:r>
    </w:p>
    <w:p w14:paraId="6E48F754" w14:textId="49E292FA" w:rsidR="00FC53DC" w:rsidRPr="000740FC" w:rsidRDefault="00FC53DC" w:rsidP="00B33183">
      <w:pPr>
        <w:pStyle w:val="Paragraph"/>
        <w:rPr>
          <w:highlight w:val="yellow"/>
        </w:rPr>
      </w:pPr>
      <w:r w:rsidRPr="000740FC">
        <w:t xml:space="preserve">The Tribunal notes that any option that would fully address the quantitative differences between the New Benefits Scheme and accumulation scheme would come at a substantial cost to the State. For example, the Hazell Review estimated that the cost </w:t>
      </w:r>
      <w:r w:rsidR="008D59A7">
        <w:t xml:space="preserve">to the State </w:t>
      </w:r>
      <w:r w:rsidRPr="000740FC">
        <w:t>of re-opening the New Benefits Scheme</w:t>
      </w:r>
      <w:r w:rsidR="00C34E16">
        <w:t xml:space="preserve"> </w:t>
      </w:r>
      <w:r w:rsidR="00C34E16" w:rsidRPr="004D1148">
        <w:t>at th</w:t>
      </w:r>
      <w:r w:rsidR="008D59A7" w:rsidRPr="004D1148">
        <w:t xml:space="preserve">e </w:t>
      </w:r>
      <w:r w:rsidR="00C34E16" w:rsidRPr="004D1148">
        <w:t>time</w:t>
      </w:r>
      <w:r w:rsidRPr="000740FC">
        <w:t xml:space="preserve"> would </w:t>
      </w:r>
      <w:r w:rsidR="008D59A7">
        <w:t>be</w:t>
      </w:r>
      <w:r w:rsidRPr="000740FC">
        <w:t xml:space="preserve"> between $6 </w:t>
      </w:r>
      <w:r w:rsidR="00572DBB">
        <w:t>million</w:t>
      </w:r>
      <w:r w:rsidRPr="000740FC">
        <w:t xml:space="preserve"> and $7 million </w:t>
      </w:r>
      <w:r w:rsidR="00002F17">
        <w:t>p.a.</w:t>
      </w:r>
    </w:p>
    <w:p w14:paraId="00453F97" w14:textId="259F62B7" w:rsidR="00FC53DC" w:rsidRPr="000740FC" w:rsidRDefault="00FC53DC" w:rsidP="00B33183">
      <w:pPr>
        <w:pStyle w:val="Paragraph"/>
      </w:pPr>
      <w:r w:rsidRPr="000740FC">
        <w:t xml:space="preserve">In considering these costs, the Tribunal </w:t>
      </w:r>
      <w:r w:rsidR="00F405F7">
        <w:t>has</w:t>
      </w:r>
      <w:r w:rsidRPr="000740FC">
        <w:t xml:space="preserve"> also</w:t>
      </w:r>
      <w:r w:rsidR="00834337">
        <w:t xml:space="preserve"> been</w:t>
      </w:r>
      <w:r w:rsidRPr="000740FC">
        <w:t xml:space="preserve"> mindful of Victoria’s current challenging economic and fiscal environment and outlook</w:t>
      </w:r>
      <w:r w:rsidR="00594EF5">
        <w:t xml:space="preserve"> arising from the COVID</w:t>
      </w:r>
      <w:r w:rsidR="00AD1089">
        <w:noBreakHyphen/>
      </w:r>
      <w:r w:rsidR="00594EF5">
        <w:t>19 pandemic</w:t>
      </w:r>
      <w:r w:rsidRPr="000740FC">
        <w:t xml:space="preserve">. The economic update released by </w:t>
      </w:r>
      <w:r w:rsidR="00AD1089">
        <w:t xml:space="preserve">the </w:t>
      </w:r>
      <w:r w:rsidRPr="000740FC">
        <w:t>Department of Treasury and Finance in July 2020 said that:</w:t>
      </w:r>
    </w:p>
    <w:p w14:paraId="7BA530E2" w14:textId="5FAB9E39" w:rsidR="00FC53DC" w:rsidRPr="000740FC" w:rsidRDefault="00FC53DC" w:rsidP="00FC53DC">
      <w:pPr>
        <w:pStyle w:val="VIRTBulletpoints"/>
      </w:pPr>
      <w:r w:rsidRPr="000740FC">
        <w:t>the coronavirus pandemic represents the biggest economic shock the world and Victoria have experienced since the Great Depression</w:t>
      </w:r>
    </w:p>
    <w:p w14:paraId="0B5154AE" w14:textId="5FAB9E39" w:rsidR="00FC53DC" w:rsidRPr="000740FC" w:rsidRDefault="00FC53DC" w:rsidP="00FC53DC">
      <w:pPr>
        <w:pStyle w:val="VIRTBulletpoints"/>
      </w:pPr>
      <w:r w:rsidRPr="000740FC">
        <w:t>the general government sector operating result in 2019-20 is expected to be a deficit of around $7.5 billion</w:t>
      </w:r>
    </w:p>
    <w:p w14:paraId="4A2A3B67" w14:textId="5FAB9E39" w:rsidR="00FC53DC" w:rsidRPr="000740FC" w:rsidRDefault="00FC53DC" w:rsidP="00FC53DC">
      <w:pPr>
        <w:pStyle w:val="VIRTBulletpoints"/>
      </w:pPr>
      <w:r w:rsidRPr="000740FC">
        <w:t>real gross state product is predicted to fall by 5.25 per cent in the 2020 calendar year</w:t>
      </w:r>
    </w:p>
    <w:p w14:paraId="5135ADFE" w14:textId="5FAB9E39" w:rsidR="00FC53DC" w:rsidRPr="000740FC" w:rsidRDefault="00FC53DC" w:rsidP="00FC53DC">
      <w:pPr>
        <w:pStyle w:val="VIRTBulletpoints"/>
      </w:pPr>
      <w:r w:rsidRPr="000740FC">
        <w:t xml:space="preserve">Victoria’s unemployment rate could rise to 9 per cent in the September quarter. </w:t>
      </w:r>
    </w:p>
    <w:p w14:paraId="1360BF5E" w14:textId="399CD3C5" w:rsidR="00FC53DC" w:rsidRDefault="00FC53DC" w:rsidP="00B33183">
      <w:pPr>
        <w:pStyle w:val="Paragraph"/>
      </w:pPr>
      <w:r w:rsidRPr="000740FC">
        <w:t xml:space="preserve">While the current </w:t>
      </w:r>
      <w:r w:rsidR="004F12DD">
        <w:t xml:space="preserve">COVID-19 related </w:t>
      </w:r>
      <w:r w:rsidRPr="000740FC">
        <w:t>economic situation</w:t>
      </w:r>
      <w:r w:rsidR="00884946">
        <w:t>,</w:t>
      </w:r>
      <w:r w:rsidRPr="000740FC">
        <w:t xml:space="preserve"> and the effect it is having on many Victorians</w:t>
      </w:r>
      <w:r w:rsidR="00884946">
        <w:t>,</w:t>
      </w:r>
      <w:r w:rsidRPr="000740FC">
        <w:t xml:space="preserve"> is a clear factor against the superannuation entitlements of MPs being increased, other factors considered by the Tribunal</w:t>
      </w:r>
      <w:r w:rsidR="0063609E">
        <w:t xml:space="preserve"> also weigh against increasing the superannuation and separation entitlements of MPs</w:t>
      </w:r>
      <w:r w:rsidR="009D23EF">
        <w:t>.</w:t>
      </w:r>
      <w:r w:rsidRPr="000740FC">
        <w:t xml:space="preserve"> </w:t>
      </w:r>
    </w:p>
    <w:p w14:paraId="577F0907" w14:textId="5FAB9E39" w:rsidR="00FC53DC" w:rsidRPr="000740FC" w:rsidRDefault="00FC53DC" w:rsidP="006D532C">
      <w:pPr>
        <w:pStyle w:val="VIRTHeading3"/>
        <w:keepNext/>
        <w:outlineLvl w:val="2"/>
        <w:rPr>
          <w:lang w:val="en-AU"/>
        </w:rPr>
      </w:pPr>
      <w:r w:rsidRPr="000740FC">
        <w:rPr>
          <w:lang w:val="en-AU"/>
        </w:rPr>
        <w:t>Other matters raised in submissions</w:t>
      </w:r>
    </w:p>
    <w:p w14:paraId="3F8A3F6D" w14:textId="4DC935F9" w:rsidR="00FC53DC" w:rsidRPr="004D1148" w:rsidRDefault="00B23171" w:rsidP="00B33183">
      <w:pPr>
        <w:pStyle w:val="Paragraph"/>
      </w:pPr>
      <w:r w:rsidRPr="004D1148">
        <w:t xml:space="preserve">One submission to the review </w:t>
      </w:r>
      <w:r w:rsidR="34D2A5DF" w:rsidRPr="004D1148">
        <w:t>proposed</w:t>
      </w:r>
      <w:r w:rsidR="000F23EF" w:rsidRPr="004D1148">
        <w:t xml:space="preserve"> that the</w:t>
      </w:r>
      <w:r w:rsidR="00FC53DC" w:rsidRPr="004D1148">
        <w:t xml:space="preserve"> Tribunal</w:t>
      </w:r>
      <w:r w:rsidR="009546A3" w:rsidRPr="004D1148">
        <w:t xml:space="preserve"> </w:t>
      </w:r>
      <w:r w:rsidR="00FC53DC" w:rsidRPr="004D1148">
        <w:t>take into account the fact that retirement income</w:t>
      </w:r>
      <w:r w:rsidR="00C74C0B">
        <w:t>s</w:t>
      </w:r>
      <w:r w:rsidR="00FC53DC" w:rsidRPr="004D1148">
        <w:t xml:space="preserve"> for women in Australia are significantly and systemically less than those for men. It pointed out that women MPs are more likely to enter the Parliament already having experienced financial disadvantage </w:t>
      </w:r>
      <w:r w:rsidR="00FC53DC" w:rsidRPr="004D1148">
        <w:lastRenderedPageBreak/>
        <w:t xml:space="preserve">through the superannuation system. </w:t>
      </w:r>
      <w:r w:rsidR="00543799" w:rsidRPr="004D1148">
        <w:t>It also noted</w:t>
      </w:r>
      <w:r w:rsidR="000F23EF" w:rsidRPr="004D1148">
        <w:t xml:space="preserve"> that women MPs are more likely to be in the cohort of MPs ineligible for the New Benefits Scheme, further entrenching the gender gap in retirement income.</w:t>
      </w:r>
    </w:p>
    <w:p w14:paraId="709E9C18" w14:textId="3EBC6DFD" w:rsidR="000A234B" w:rsidRPr="004D1148" w:rsidRDefault="008B1580" w:rsidP="00B33183">
      <w:pPr>
        <w:pStyle w:val="Paragraph"/>
      </w:pPr>
      <w:r w:rsidRPr="004D1148">
        <w:t>While the Tri</w:t>
      </w:r>
      <w:r w:rsidR="008E6A5F" w:rsidRPr="004D1148">
        <w:t xml:space="preserve">bunal </w:t>
      </w:r>
      <w:r w:rsidR="1A926CC1" w:rsidRPr="004D1148">
        <w:t>recognises</w:t>
      </w:r>
      <w:r w:rsidR="4D4EFFBF" w:rsidRPr="004D1148">
        <w:t xml:space="preserve"> </w:t>
      </w:r>
      <w:r w:rsidR="5FFF05B4" w:rsidRPr="004D1148">
        <w:t>the</w:t>
      </w:r>
      <w:r w:rsidR="004D1148">
        <w:t>se issues,</w:t>
      </w:r>
      <w:r w:rsidR="5FFF05B4" w:rsidRPr="004D1148">
        <w:t xml:space="preserve"> </w:t>
      </w:r>
      <w:r w:rsidR="004D1148">
        <w:t xml:space="preserve">it </w:t>
      </w:r>
      <w:r w:rsidR="00BB4587" w:rsidRPr="004D1148">
        <w:t>consider</w:t>
      </w:r>
      <w:r w:rsidR="004D1148">
        <w:t>s</w:t>
      </w:r>
      <w:r w:rsidR="00DB774D">
        <w:t xml:space="preserve"> </w:t>
      </w:r>
      <w:r w:rsidR="004D1148" w:rsidRPr="004D1148">
        <w:t>they are better addressed by dealing with their underlying causes and targeted solutions rather than through changes to the superannuation arrangements for all MPs in the accumulation scheme.</w:t>
      </w:r>
    </w:p>
    <w:p w14:paraId="3E0B0C82" w14:textId="3339ECBF" w:rsidR="00FC53DC" w:rsidRPr="004D1148" w:rsidRDefault="006047B2" w:rsidP="00B33183">
      <w:pPr>
        <w:pStyle w:val="Paragraph"/>
        <w:rPr>
          <w:rStyle w:val="FootnoteReference"/>
        </w:rPr>
      </w:pPr>
      <w:r w:rsidRPr="004D1148">
        <w:t>Two</w:t>
      </w:r>
      <w:r w:rsidR="00F06740" w:rsidRPr="004D1148">
        <w:t xml:space="preserve"> submissions </w:t>
      </w:r>
      <w:r w:rsidR="00FC53DC" w:rsidRPr="004D1148">
        <w:t xml:space="preserve">said that there is anecdotal evidence that some MPs may struggle to find employment after leaving the Parliament. </w:t>
      </w:r>
    </w:p>
    <w:p w14:paraId="7DF9D91D" w14:textId="44976621" w:rsidR="00FC53DC" w:rsidRPr="004D1148" w:rsidRDefault="00FC53DC" w:rsidP="00B33183">
      <w:pPr>
        <w:pStyle w:val="Paragraph"/>
      </w:pPr>
      <w:r w:rsidRPr="004D1148">
        <w:t xml:space="preserve">The Tribunal notes </w:t>
      </w:r>
      <w:r w:rsidR="001A00B9" w:rsidRPr="004D1148">
        <w:t>the</w:t>
      </w:r>
      <w:r w:rsidRPr="004D1148">
        <w:t xml:space="preserve"> difficulties some former MPs face in finding further employment </w:t>
      </w:r>
      <w:r w:rsidR="00A03BAA" w:rsidRPr="004D1148">
        <w:t>may be related to their age upon leaving the Parliament</w:t>
      </w:r>
      <w:r w:rsidRPr="004D1148">
        <w:t xml:space="preserve">. </w:t>
      </w:r>
      <w:r w:rsidR="00E80CF0" w:rsidRPr="004D1148">
        <w:t>A</w:t>
      </w:r>
      <w:r w:rsidRPr="004D1148">
        <w:t xml:space="preserve">round </w:t>
      </w:r>
      <w:r w:rsidR="0021295A">
        <w:br/>
      </w:r>
      <w:r w:rsidRPr="004D1148">
        <w:t xml:space="preserve">70 per cent of MPs </w:t>
      </w:r>
      <w:r w:rsidR="009537FA" w:rsidRPr="004D1148">
        <w:t>who</w:t>
      </w:r>
      <w:r w:rsidRPr="004D1148">
        <w:t xml:space="preserve"> left the Parliament in the last 10 years were at least </w:t>
      </w:r>
      <w:r w:rsidR="00952605">
        <w:br/>
      </w:r>
      <w:r w:rsidRPr="004D1148">
        <w:t>50 years old when they left</w:t>
      </w:r>
      <w:r w:rsidR="345891C1" w:rsidRPr="004D1148">
        <w:t xml:space="preserve">. </w:t>
      </w:r>
      <w:r w:rsidR="7F1372D6" w:rsidRPr="004D1148">
        <w:t>T</w:t>
      </w:r>
      <w:r w:rsidRPr="004D1148">
        <w:t xml:space="preserve">he Australian Human Rights Commission </w:t>
      </w:r>
      <w:r w:rsidR="004D1148">
        <w:t xml:space="preserve">has </w:t>
      </w:r>
      <w:r w:rsidRPr="004D1148">
        <w:t>found that Australians aged 50 or older spend longer looking for employment on average than younger Australians.</w:t>
      </w:r>
      <w:r w:rsidR="00D75B1A" w:rsidRPr="004D1148">
        <w:rPr>
          <w:rStyle w:val="FootnoteReference"/>
        </w:rPr>
        <w:footnoteReference w:id="76"/>
      </w:r>
      <w:r w:rsidR="00596CC5" w:rsidRPr="004D1148">
        <w:t xml:space="preserve"> </w:t>
      </w:r>
    </w:p>
    <w:p w14:paraId="79128AA0" w14:textId="4E9B3754" w:rsidR="0013443A" w:rsidRPr="000740FC" w:rsidRDefault="004D3B7D" w:rsidP="00B33183">
      <w:pPr>
        <w:pStyle w:val="Paragraph"/>
        <w:sectPr w:rsidR="0013443A" w:rsidRPr="000740FC" w:rsidSect="0052634F">
          <w:pgSz w:w="11900" w:h="16840"/>
          <w:pgMar w:top="1701" w:right="1701" w:bottom="1559" w:left="1701" w:header="709" w:footer="709" w:gutter="0"/>
          <w:cols w:space="708"/>
          <w:titlePg/>
          <w:docGrid w:linePitch="299"/>
        </w:sectPr>
      </w:pPr>
      <w:r w:rsidRPr="000740FC">
        <w:t xml:space="preserve">Based on the considerations explained above, the advantages and disadvantages of the options identified by the Tribunal are listed in table </w:t>
      </w:r>
      <w:r w:rsidR="00E91897">
        <w:t>6.1</w:t>
      </w:r>
      <w:r w:rsidR="0028457A">
        <w:t xml:space="preserve"> (overleaf)</w:t>
      </w:r>
      <w:r w:rsidRPr="000740FC">
        <w:t xml:space="preserve">. </w:t>
      </w:r>
    </w:p>
    <w:p w14:paraId="5EC4FF9E" w14:textId="61C8528C" w:rsidR="00E1596F" w:rsidRPr="000740FC" w:rsidRDefault="004E778D" w:rsidP="004E778D">
      <w:pPr>
        <w:pStyle w:val="Tableheading"/>
      </w:pPr>
      <w:r w:rsidRPr="000740FC">
        <w:lastRenderedPageBreak/>
        <w:t xml:space="preserve">Table </w:t>
      </w:r>
      <w:r w:rsidR="00E91897">
        <w:t>6.1</w:t>
      </w:r>
      <w:r w:rsidRPr="000740FC">
        <w:t>: options for addressing inequalities</w:t>
      </w:r>
    </w:p>
    <w:tbl>
      <w:tblPr>
        <w:tblW w:w="5003" w:type="pct"/>
        <w:tblLook w:val="0600" w:firstRow="0" w:lastRow="0" w:firstColumn="0" w:lastColumn="0" w:noHBand="1" w:noVBand="1"/>
      </w:tblPr>
      <w:tblGrid>
        <w:gridCol w:w="2520"/>
        <w:gridCol w:w="3647"/>
        <w:gridCol w:w="7269"/>
      </w:tblGrid>
      <w:tr w:rsidR="00474CE4" w:rsidRPr="000740FC" w14:paraId="2E16B764" w14:textId="77777777" w:rsidTr="0067246A">
        <w:trPr>
          <w:trHeight w:val="408"/>
          <w:tblHeader/>
        </w:trPr>
        <w:tc>
          <w:tcPr>
            <w:tcW w:w="938" w:type="pct"/>
            <w:tcBorders>
              <w:top w:val="single" w:sz="4" w:space="0" w:color="148A5D" w:themeColor="accent2"/>
              <w:left w:val="single" w:sz="4" w:space="0" w:color="FFFFFF" w:themeColor="background2"/>
              <w:right w:val="single" w:sz="4" w:space="0" w:color="148A5D" w:themeColor="accent2"/>
            </w:tcBorders>
            <w:shd w:val="clear" w:color="auto" w:fill="148A5D" w:themeFill="accent2"/>
            <w:vAlign w:val="center"/>
          </w:tcPr>
          <w:p w14:paraId="0A1B21D9" w14:textId="77777777" w:rsidR="00474CE4" w:rsidRPr="000740FC" w:rsidRDefault="00474CE4" w:rsidP="00DA264F">
            <w:pPr>
              <w:spacing w:after="0"/>
              <w:rPr>
                <w:rFonts w:ascii="Calibri Light" w:eastAsia="Rockwell" w:hAnsi="Calibri Light" w:cs="Arial"/>
                <w:b/>
                <w:bCs/>
                <w:color w:val="FFFFFF"/>
                <w:sz w:val="22"/>
              </w:rPr>
            </w:pPr>
            <w:r w:rsidRPr="000740FC">
              <w:rPr>
                <w:rFonts w:ascii="Calibri Light" w:eastAsia="Rockwell" w:hAnsi="Calibri Light" w:cs="Arial"/>
                <w:b/>
                <w:bCs/>
                <w:color w:val="FFFFFF"/>
                <w:sz w:val="22"/>
              </w:rPr>
              <w:t>Option</w:t>
            </w:r>
          </w:p>
        </w:tc>
        <w:tc>
          <w:tcPr>
            <w:tcW w:w="1357" w:type="pct"/>
            <w:tcBorders>
              <w:top w:val="single" w:sz="4" w:space="0" w:color="148A5D" w:themeColor="accent2"/>
              <w:left w:val="single" w:sz="4" w:space="0" w:color="148A5D" w:themeColor="accent2"/>
              <w:right w:val="single" w:sz="4" w:space="0" w:color="148A5D" w:themeColor="accent2"/>
            </w:tcBorders>
            <w:shd w:val="clear" w:color="auto" w:fill="148A5D" w:themeFill="accent2"/>
            <w:vAlign w:val="center"/>
          </w:tcPr>
          <w:p w14:paraId="4DEE3BD3" w14:textId="2DA7BA93" w:rsidR="00474CE4" w:rsidRPr="000740FC" w:rsidRDefault="006E59D6" w:rsidP="00DA264F">
            <w:pPr>
              <w:spacing w:after="0"/>
              <w:rPr>
                <w:rFonts w:ascii="Calibri Light" w:eastAsia="Rockwell" w:hAnsi="Calibri Light" w:cs="Arial"/>
                <w:b/>
                <w:bCs/>
                <w:color w:val="FFFFFF"/>
                <w:sz w:val="22"/>
              </w:rPr>
            </w:pPr>
            <w:r w:rsidRPr="000740FC">
              <w:rPr>
                <w:rFonts w:ascii="Calibri Light" w:eastAsia="Rockwell" w:hAnsi="Calibri Light" w:cs="Arial"/>
                <w:b/>
                <w:bCs/>
                <w:color w:val="FFFFFF"/>
                <w:sz w:val="22"/>
              </w:rPr>
              <w:t>Advantages</w:t>
            </w:r>
          </w:p>
        </w:tc>
        <w:tc>
          <w:tcPr>
            <w:tcW w:w="2705" w:type="pct"/>
            <w:tcBorders>
              <w:top w:val="single" w:sz="4" w:space="0" w:color="148A5D" w:themeColor="accent2"/>
              <w:left w:val="single" w:sz="4" w:space="0" w:color="148A5D" w:themeColor="accent2"/>
              <w:right w:val="single" w:sz="4" w:space="0" w:color="FFFFFF" w:themeColor="background2"/>
            </w:tcBorders>
            <w:shd w:val="clear" w:color="auto" w:fill="148A5D" w:themeFill="accent2"/>
            <w:vAlign w:val="center"/>
          </w:tcPr>
          <w:p w14:paraId="4779FE1F" w14:textId="29DCBC31" w:rsidR="00474CE4" w:rsidRPr="000740FC" w:rsidRDefault="006E59D6" w:rsidP="00DA264F">
            <w:pPr>
              <w:spacing w:after="0"/>
              <w:rPr>
                <w:rFonts w:ascii="Calibri Light" w:eastAsia="Rockwell" w:hAnsi="Calibri Light" w:cs="Arial"/>
                <w:b/>
                <w:bCs/>
                <w:color w:val="FFFFFF"/>
                <w:sz w:val="22"/>
              </w:rPr>
            </w:pPr>
            <w:r w:rsidRPr="000740FC">
              <w:rPr>
                <w:rFonts w:ascii="Calibri Light" w:eastAsia="Rockwell" w:hAnsi="Calibri Light" w:cs="Arial"/>
                <w:b/>
                <w:bCs/>
                <w:color w:val="FFFFFF"/>
                <w:sz w:val="22"/>
              </w:rPr>
              <w:t>Disadvantages</w:t>
            </w:r>
          </w:p>
        </w:tc>
      </w:tr>
      <w:tr w:rsidR="00474CE4" w:rsidRPr="000740FC" w14:paraId="27C2D75F" w14:textId="77777777" w:rsidTr="0028471B">
        <w:trPr>
          <w:trHeight w:val="408"/>
        </w:trPr>
        <w:tc>
          <w:tcPr>
            <w:tcW w:w="938"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577C1000" w14:textId="1BCC7E38" w:rsidR="00474CE4" w:rsidRPr="000740FC" w:rsidRDefault="00474CE4" w:rsidP="00474CE4">
            <w:pPr>
              <w:spacing w:after="0"/>
              <w:rPr>
                <w:rFonts w:ascii="Calibri Light" w:eastAsia="Calibri" w:hAnsi="Calibri Light" w:cs="Calibri Light"/>
                <w:color w:val="4D4D4D"/>
                <w:sz w:val="22"/>
              </w:rPr>
            </w:pPr>
            <w:r w:rsidRPr="000740FC">
              <w:rPr>
                <w:rFonts w:ascii="Calibri Light" w:eastAsia="Calibri" w:hAnsi="Calibri Light" w:cs="Calibri Light"/>
                <w:color w:val="4D4D4D"/>
                <w:sz w:val="22"/>
              </w:rPr>
              <w:t>1. Increase contributions for</w:t>
            </w:r>
            <w:r w:rsidR="004A13AD" w:rsidRPr="000740FC">
              <w:rPr>
                <w:rFonts w:ascii="Calibri Light" w:eastAsia="Calibri" w:hAnsi="Calibri Light" w:cs="Calibri Light"/>
                <w:color w:val="4D4D4D"/>
                <w:sz w:val="22"/>
              </w:rPr>
              <w:t xml:space="preserve"> </w:t>
            </w:r>
            <w:r w:rsidRPr="000740FC">
              <w:rPr>
                <w:rFonts w:ascii="Calibri Light" w:eastAsia="Calibri" w:hAnsi="Calibri Light" w:cs="Calibri Light"/>
                <w:color w:val="4D4D4D"/>
                <w:sz w:val="22"/>
              </w:rPr>
              <w:t>the accumulation scheme</w:t>
            </w:r>
          </w:p>
        </w:tc>
        <w:tc>
          <w:tcPr>
            <w:tcW w:w="1357"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251525EB" w14:textId="4B210233" w:rsidR="003627A0" w:rsidRPr="000740FC" w:rsidRDefault="00D94BAB" w:rsidP="0007293B">
            <w:pPr>
              <w:pStyle w:val="Tablebullets"/>
              <w:numPr>
                <w:ilvl w:val="0"/>
                <w:numId w:val="18"/>
              </w:numPr>
            </w:pPr>
            <w:r w:rsidRPr="000740FC">
              <w:t>Depending on the increased contribution rate, would enhance equity between the schemes</w:t>
            </w:r>
            <w:r w:rsidR="00D027CB" w:rsidRPr="000740FC">
              <w:t xml:space="preserve"> </w:t>
            </w:r>
          </w:p>
          <w:p w14:paraId="4EDE0B85" w14:textId="4ABA1BC6" w:rsidR="00474CE4" w:rsidRPr="000740FC" w:rsidRDefault="00474CE4" w:rsidP="0007293B">
            <w:pPr>
              <w:pStyle w:val="Tablebullets"/>
              <w:numPr>
                <w:ilvl w:val="0"/>
                <w:numId w:val="18"/>
              </w:numPr>
            </w:pPr>
            <w:r w:rsidRPr="000740FC">
              <w:t>Administratively simpler, as it does not involve transferring MPs into a new scheme</w:t>
            </w:r>
          </w:p>
        </w:tc>
        <w:tc>
          <w:tcPr>
            <w:tcW w:w="2705"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4A342A3F" w14:textId="4C5E4913" w:rsidR="00C60149" w:rsidRPr="000740FC" w:rsidRDefault="00FB219C" w:rsidP="0007293B">
            <w:pPr>
              <w:pStyle w:val="Tablebullets"/>
              <w:numPr>
                <w:ilvl w:val="0"/>
                <w:numId w:val="18"/>
              </w:numPr>
            </w:pPr>
            <w:r>
              <w:t>R</w:t>
            </w:r>
            <w:r w:rsidR="00C60149" w:rsidRPr="000740FC">
              <w:t xml:space="preserve">ate of contribution </w:t>
            </w:r>
            <w:r>
              <w:t xml:space="preserve">for Victorian MPs </w:t>
            </w:r>
            <w:r w:rsidR="00C60149" w:rsidRPr="000740FC">
              <w:t>is highest among Australian jurisdictions and this would increase that gap</w:t>
            </w:r>
          </w:p>
          <w:p w14:paraId="069BD4BE" w14:textId="4D40CA78" w:rsidR="00474CE4" w:rsidRPr="000740FC" w:rsidRDefault="008A14B5" w:rsidP="0007293B">
            <w:pPr>
              <w:pStyle w:val="Tablebullets"/>
              <w:numPr>
                <w:ilvl w:val="0"/>
                <w:numId w:val="18"/>
              </w:numPr>
            </w:pPr>
            <w:r w:rsidRPr="000740FC">
              <w:t xml:space="preserve">Depending on </w:t>
            </w:r>
            <w:r w:rsidR="00DB3E8A">
              <w:t xml:space="preserve">the </w:t>
            </w:r>
            <w:r w:rsidRPr="000740FC">
              <w:t>increased contribution rate, would be substantially different from community standards for employee superannuation and arrangements for MPs in other jurisdictions</w:t>
            </w:r>
          </w:p>
          <w:p w14:paraId="624C64C5" w14:textId="5E1EDA66" w:rsidR="008A14B5" w:rsidRPr="000740FC" w:rsidRDefault="003F0E11" w:rsidP="0007293B">
            <w:pPr>
              <w:pStyle w:val="Tablebullets"/>
              <w:numPr>
                <w:ilvl w:val="0"/>
                <w:numId w:val="18"/>
              </w:numPr>
            </w:pPr>
            <w:r w:rsidRPr="000740FC">
              <w:t>May result in MPs in the accumulation scheme incurring additional tax due to breaching tax caps</w:t>
            </w:r>
          </w:p>
        </w:tc>
      </w:tr>
      <w:tr w:rsidR="00474CE4" w:rsidRPr="000740FC" w14:paraId="0D1E11A3" w14:textId="77777777" w:rsidTr="0028471B">
        <w:trPr>
          <w:trHeight w:val="408"/>
        </w:trPr>
        <w:tc>
          <w:tcPr>
            <w:tcW w:w="938" w:type="pct"/>
            <w:tcBorders>
              <w:left w:val="single" w:sz="4" w:space="0" w:color="FFFFFF" w:themeColor="background2"/>
              <w:bottom w:val="single" w:sz="4" w:space="0" w:color="148A5D" w:themeColor="accent2"/>
              <w:right w:val="single" w:sz="4" w:space="0" w:color="FFFFFF" w:themeColor="background2"/>
            </w:tcBorders>
          </w:tcPr>
          <w:p w14:paraId="78CD3060" w14:textId="291383D9" w:rsidR="00474CE4" w:rsidRPr="000740FC" w:rsidRDefault="00474CE4" w:rsidP="00474CE4">
            <w:pPr>
              <w:spacing w:after="0"/>
              <w:rPr>
                <w:rFonts w:ascii="Calibri Light" w:eastAsia="Calibri" w:hAnsi="Calibri Light" w:cs="Calibri Light"/>
                <w:color w:val="4D4D4D"/>
                <w:sz w:val="22"/>
              </w:rPr>
            </w:pPr>
            <w:r w:rsidRPr="000740FC">
              <w:rPr>
                <w:rFonts w:ascii="Calibri Light" w:eastAsia="Calibri" w:hAnsi="Calibri Light" w:cs="Calibri Light"/>
                <w:color w:val="4D4D4D"/>
                <w:sz w:val="22"/>
              </w:rPr>
              <w:t xml:space="preserve">2. </w:t>
            </w:r>
            <w:r w:rsidR="004643AE" w:rsidRPr="000740FC">
              <w:rPr>
                <w:rFonts w:ascii="Calibri Light" w:eastAsia="Calibri" w:hAnsi="Calibri Light" w:cs="Calibri Light"/>
                <w:color w:val="4D4D4D"/>
                <w:sz w:val="22"/>
              </w:rPr>
              <w:t xml:space="preserve">Reopen New Benefits Scheme, including existing MPs </w:t>
            </w:r>
            <w:r w:rsidR="00DB3E8A">
              <w:rPr>
                <w:rFonts w:ascii="Calibri Light" w:eastAsia="Calibri" w:hAnsi="Calibri Light" w:cs="Calibri Light"/>
                <w:color w:val="4D4D4D"/>
                <w:sz w:val="22"/>
              </w:rPr>
              <w:t xml:space="preserve">being </w:t>
            </w:r>
            <w:r w:rsidR="004643AE" w:rsidRPr="000740FC">
              <w:rPr>
                <w:rFonts w:ascii="Calibri Light" w:eastAsia="Calibri" w:hAnsi="Calibri Light" w:cs="Calibri Light"/>
                <w:color w:val="4D4D4D"/>
                <w:sz w:val="22"/>
              </w:rPr>
              <w:t xml:space="preserve">given </w:t>
            </w:r>
            <w:r w:rsidR="00DB3E8A">
              <w:rPr>
                <w:rFonts w:ascii="Calibri Light" w:eastAsia="Calibri" w:hAnsi="Calibri Light" w:cs="Calibri Light"/>
                <w:color w:val="4D4D4D"/>
                <w:sz w:val="22"/>
              </w:rPr>
              <w:t xml:space="preserve">the </w:t>
            </w:r>
            <w:r w:rsidR="004643AE" w:rsidRPr="000740FC">
              <w:rPr>
                <w:rFonts w:ascii="Calibri Light" w:eastAsia="Calibri" w:hAnsi="Calibri Light" w:cs="Calibri Light"/>
                <w:color w:val="4D4D4D"/>
                <w:sz w:val="22"/>
              </w:rPr>
              <w:t xml:space="preserve">option to buy into </w:t>
            </w:r>
            <w:r w:rsidR="0054235C">
              <w:rPr>
                <w:rFonts w:ascii="Calibri Light" w:eastAsia="Calibri" w:hAnsi="Calibri Light" w:cs="Calibri Light"/>
                <w:color w:val="4D4D4D"/>
                <w:sz w:val="22"/>
              </w:rPr>
              <w:t xml:space="preserve">the </w:t>
            </w:r>
            <w:r w:rsidR="004643AE" w:rsidRPr="000740FC">
              <w:rPr>
                <w:rFonts w:ascii="Calibri Light" w:eastAsia="Calibri" w:hAnsi="Calibri Light" w:cs="Calibri Light"/>
                <w:color w:val="4D4D4D"/>
                <w:sz w:val="22"/>
              </w:rPr>
              <w:t>scheme</w:t>
            </w:r>
          </w:p>
        </w:tc>
        <w:tc>
          <w:tcPr>
            <w:tcW w:w="1357" w:type="pct"/>
            <w:tcBorders>
              <w:left w:val="single" w:sz="4" w:space="0" w:color="FFFFFF" w:themeColor="background2"/>
              <w:bottom w:val="single" w:sz="4" w:space="0" w:color="148A5D" w:themeColor="accent2"/>
              <w:right w:val="single" w:sz="4" w:space="0" w:color="FFFFFF" w:themeColor="background2"/>
            </w:tcBorders>
          </w:tcPr>
          <w:p w14:paraId="5DB5ADF0" w14:textId="092B5F3A" w:rsidR="00474CE4" w:rsidRPr="000740FC" w:rsidRDefault="00474CE4" w:rsidP="0007293B">
            <w:pPr>
              <w:pStyle w:val="Tablebullets"/>
              <w:numPr>
                <w:ilvl w:val="0"/>
                <w:numId w:val="18"/>
              </w:numPr>
            </w:pPr>
            <w:r w:rsidRPr="000740FC">
              <w:t>Would enhance equity</w:t>
            </w:r>
            <w:r w:rsidR="000E3843" w:rsidRPr="000740FC">
              <w:t xml:space="preserve"> </w:t>
            </w:r>
            <w:r w:rsidRPr="000740FC">
              <w:t xml:space="preserve">as all MPs performing </w:t>
            </w:r>
            <w:r w:rsidR="0054235C">
              <w:t xml:space="preserve">the </w:t>
            </w:r>
            <w:r w:rsidRPr="000740FC">
              <w:t>same role would have access to the same scheme</w:t>
            </w:r>
          </w:p>
          <w:p w14:paraId="3B0E4FAB" w14:textId="2D01A2A8" w:rsidR="0056664F" w:rsidRPr="000740FC" w:rsidRDefault="0056664F" w:rsidP="00037AC1">
            <w:pPr>
              <w:pStyle w:val="Tablebullets"/>
              <w:numPr>
                <w:ilvl w:val="0"/>
                <w:numId w:val="0"/>
              </w:numPr>
              <w:ind w:left="142"/>
            </w:pPr>
          </w:p>
        </w:tc>
        <w:tc>
          <w:tcPr>
            <w:tcW w:w="2705" w:type="pct"/>
            <w:tcBorders>
              <w:left w:val="single" w:sz="4" w:space="0" w:color="FFFFFF" w:themeColor="background2"/>
              <w:bottom w:val="single" w:sz="4" w:space="0" w:color="148A5D" w:themeColor="accent2"/>
              <w:right w:val="single" w:sz="4" w:space="0" w:color="FFFFFF" w:themeColor="background2"/>
            </w:tcBorders>
          </w:tcPr>
          <w:p w14:paraId="6352209E" w14:textId="4ABA1BC6" w:rsidR="00D64AAB" w:rsidRPr="000740FC" w:rsidRDefault="00D64AAB" w:rsidP="0007293B">
            <w:pPr>
              <w:pStyle w:val="Tablebullets"/>
              <w:numPr>
                <w:ilvl w:val="0"/>
                <w:numId w:val="18"/>
              </w:numPr>
            </w:pPr>
            <w:r w:rsidRPr="000740FC">
              <w:t xml:space="preserve">Substantially different from community standards for employee superannuation and arrangements for MPs in other Australian jurisdictions </w:t>
            </w:r>
          </w:p>
          <w:p w14:paraId="60BA3E2A" w14:textId="5F0A179C" w:rsidR="00D64AAB" w:rsidRPr="000740FC" w:rsidRDefault="00D64AAB" w:rsidP="0007293B">
            <w:pPr>
              <w:pStyle w:val="Tablebullets"/>
              <w:numPr>
                <w:ilvl w:val="0"/>
                <w:numId w:val="18"/>
              </w:numPr>
            </w:pPr>
            <w:r w:rsidRPr="000740FC">
              <w:t>Grandfathering arrangements would not apply to new members, therefore some inequ</w:t>
            </w:r>
            <w:r w:rsidR="00037AC1">
              <w:t>alities</w:t>
            </w:r>
            <w:r w:rsidRPr="000740FC">
              <w:t xml:space="preserve"> would remain</w:t>
            </w:r>
          </w:p>
          <w:p w14:paraId="63EFB942" w14:textId="3BADCCDF" w:rsidR="00D64AAB" w:rsidRPr="000740FC" w:rsidRDefault="0054235C" w:rsidP="0007293B">
            <w:pPr>
              <w:pStyle w:val="Tablebullets"/>
              <w:numPr>
                <w:ilvl w:val="0"/>
                <w:numId w:val="18"/>
              </w:numPr>
            </w:pPr>
            <w:r>
              <w:t>A</w:t>
            </w:r>
            <w:r w:rsidR="00D64AAB" w:rsidRPr="000740FC">
              <w:t xml:space="preserve">dministratively complex option, as it involves moving MPs between schemes </w:t>
            </w:r>
            <w:r w:rsidR="005A7646">
              <w:t xml:space="preserve">with uncertainty about the </w:t>
            </w:r>
            <w:r w:rsidR="005A7646" w:rsidRPr="005339AD">
              <w:t xml:space="preserve">price of buying into the </w:t>
            </w:r>
            <w:r w:rsidR="005A7646">
              <w:t>New Benefit</w:t>
            </w:r>
            <w:r w:rsidR="0047255B">
              <w:t>s</w:t>
            </w:r>
            <w:r w:rsidR="005A7646">
              <w:t xml:space="preserve"> S</w:t>
            </w:r>
            <w:r w:rsidR="005A7646" w:rsidRPr="005339AD">
              <w:t>cheme</w:t>
            </w:r>
          </w:p>
          <w:p w14:paraId="2F132924" w14:textId="04689BC1" w:rsidR="00474CE4" w:rsidRPr="000740FC" w:rsidRDefault="00D64AAB" w:rsidP="0007293B">
            <w:pPr>
              <w:pStyle w:val="Tablebullets"/>
              <w:numPr>
                <w:ilvl w:val="0"/>
                <w:numId w:val="18"/>
              </w:numPr>
            </w:pPr>
            <w:r w:rsidRPr="000740FC">
              <w:t>Likely to be a high cost option for the State</w:t>
            </w:r>
          </w:p>
        </w:tc>
      </w:tr>
      <w:tr w:rsidR="00474CE4" w:rsidRPr="000740FC" w14:paraId="37E60464" w14:textId="77777777" w:rsidTr="0028471B">
        <w:trPr>
          <w:trHeight w:val="408"/>
        </w:trPr>
        <w:tc>
          <w:tcPr>
            <w:tcW w:w="938"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55975F99" w14:textId="4E0EC9FE" w:rsidR="00474CE4" w:rsidRPr="000740FC" w:rsidRDefault="00474CE4" w:rsidP="00474CE4">
            <w:pPr>
              <w:spacing w:after="0"/>
              <w:rPr>
                <w:rFonts w:ascii="Calibri Light" w:eastAsia="Calibri" w:hAnsi="Calibri Light" w:cs="Calibri Light"/>
                <w:color w:val="4D4D4D"/>
                <w:sz w:val="22"/>
              </w:rPr>
            </w:pPr>
            <w:r w:rsidRPr="000740FC">
              <w:rPr>
                <w:rFonts w:ascii="Calibri Light" w:eastAsia="Calibri" w:hAnsi="Calibri Light" w:cs="Calibri Light"/>
                <w:color w:val="4D4D4D"/>
                <w:sz w:val="22"/>
              </w:rPr>
              <w:t>3.</w:t>
            </w:r>
            <w:r w:rsidRPr="000740FC">
              <w:rPr>
                <w:rFonts w:ascii="Calibri Light" w:eastAsia="Calibri" w:hAnsi="Calibri Light" w:cs="Calibri Light"/>
                <w:i/>
                <w:iCs/>
                <w:color w:val="4D4D4D"/>
                <w:sz w:val="22"/>
              </w:rPr>
              <w:t xml:space="preserve"> </w:t>
            </w:r>
            <w:r w:rsidRPr="000740FC">
              <w:rPr>
                <w:rFonts w:ascii="Calibri Light" w:eastAsia="Calibri" w:hAnsi="Calibri Light" w:cs="Calibri Light"/>
                <w:color w:val="4D4D4D"/>
                <w:sz w:val="22"/>
              </w:rPr>
              <w:t>Open a new MP defined benefit scheme or a hybrid scheme</w:t>
            </w:r>
          </w:p>
        </w:tc>
        <w:tc>
          <w:tcPr>
            <w:tcW w:w="1357"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1DC815B8" w14:textId="50B770F8" w:rsidR="00474CE4" w:rsidRPr="000740FC" w:rsidRDefault="00A27D29" w:rsidP="0007293B">
            <w:pPr>
              <w:pStyle w:val="Tablebullets"/>
              <w:numPr>
                <w:ilvl w:val="0"/>
                <w:numId w:val="18"/>
              </w:numPr>
            </w:pPr>
            <w:r w:rsidRPr="000740FC">
              <w:t>Could enhance equity by addressing qualitative differences between the New Benefits Scheme and accumulation scheme</w:t>
            </w:r>
          </w:p>
        </w:tc>
        <w:tc>
          <w:tcPr>
            <w:tcW w:w="2705"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4B3F4DB0" w14:textId="2176D2A1" w:rsidR="007932CC" w:rsidRPr="000740FC" w:rsidRDefault="007932CC" w:rsidP="0007293B">
            <w:pPr>
              <w:pStyle w:val="Tablebullets"/>
              <w:numPr>
                <w:ilvl w:val="0"/>
                <w:numId w:val="18"/>
              </w:numPr>
            </w:pPr>
            <w:r w:rsidRPr="000740FC">
              <w:t>Substantially different f</w:t>
            </w:r>
            <w:r w:rsidR="00513029">
              <w:t>r</w:t>
            </w:r>
            <w:r w:rsidRPr="000740FC">
              <w:t>om community standards for employee superannuation and arrangements for MPs in other Australian jurisdictions</w:t>
            </w:r>
          </w:p>
          <w:p w14:paraId="56942EF4" w14:textId="7A68265E" w:rsidR="007932CC" w:rsidRPr="000740FC" w:rsidRDefault="007932CC" w:rsidP="0007293B">
            <w:pPr>
              <w:pStyle w:val="Tablebullets"/>
              <w:numPr>
                <w:ilvl w:val="0"/>
                <w:numId w:val="18"/>
              </w:numPr>
            </w:pPr>
            <w:r w:rsidRPr="000740FC">
              <w:t>Grandfathering arrangements would not apply to new members</w:t>
            </w:r>
            <w:r w:rsidR="003743EF">
              <w:t xml:space="preserve">, therefore some </w:t>
            </w:r>
            <w:r w:rsidR="00513029" w:rsidRPr="000740FC">
              <w:t>inequ</w:t>
            </w:r>
            <w:r w:rsidR="00513029">
              <w:t>alities</w:t>
            </w:r>
            <w:r w:rsidR="003743EF">
              <w:t xml:space="preserve"> would remain</w:t>
            </w:r>
          </w:p>
          <w:p w14:paraId="1FF5E885" w14:textId="4ABA1BC6" w:rsidR="00474CE4" w:rsidRPr="000740FC" w:rsidRDefault="007932CC" w:rsidP="0007293B">
            <w:pPr>
              <w:pStyle w:val="Tablebullets"/>
              <w:numPr>
                <w:ilvl w:val="0"/>
                <w:numId w:val="18"/>
              </w:numPr>
            </w:pPr>
            <w:r w:rsidRPr="000740FC">
              <w:t>Administratively complex option, as it involves moving MPs between schemes</w:t>
            </w:r>
          </w:p>
        </w:tc>
      </w:tr>
      <w:tr w:rsidR="00D5524A" w:rsidRPr="000740FC" w14:paraId="7F92FDA0" w14:textId="77777777" w:rsidTr="0028471B">
        <w:trPr>
          <w:cantSplit/>
          <w:trHeight w:val="408"/>
        </w:trPr>
        <w:tc>
          <w:tcPr>
            <w:tcW w:w="938"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1282F8CB" w14:textId="265601FB" w:rsidR="00D5524A" w:rsidRPr="000740FC" w:rsidRDefault="00D5524A" w:rsidP="00474CE4">
            <w:pPr>
              <w:spacing w:after="0"/>
              <w:rPr>
                <w:rFonts w:ascii="Calibri Light" w:eastAsia="Calibri" w:hAnsi="Calibri Light" w:cs="Calibri Light"/>
                <w:color w:val="4D4D4D"/>
                <w:sz w:val="22"/>
              </w:rPr>
            </w:pPr>
            <w:r w:rsidRPr="000740FC">
              <w:rPr>
                <w:rFonts w:ascii="Calibri Light" w:eastAsia="Calibri" w:hAnsi="Calibri Light" w:cs="Calibri Light"/>
                <w:color w:val="4D4D4D"/>
                <w:sz w:val="22"/>
              </w:rPr>
              <w:lastRenderedPageBreak/>
              <w:t xml:space="preserve">4. </w:t>
            </w:r>
            <w:r w:rsidR="00C60149" w:rsidRPr="000740FC">
              <w:rPr>
                <w:rFonts w:ascii="Calibri Light" w:eastAsia="Calibri" w:hAnsi="Calibri Light" w:cs="Calibri Light"/>
                <w:color w:val="4D4D4D"/>
                <w:sz w:val="22"/>
              </w:rPr>
              <w:t>When an MP leaves the Parliament, they receive payment(s) equivalent to the additional benefits they would have received in the New Benefits Scheme</w:t>
            </w:r>
          </w:p>
        </w:tc>
        <w:tc>
          <w:tcPr>
            <w:tcW w:w="1357"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458F3739" w14:textId="6924E936" w:rsidR="00D5524A" w:rsidRPr="000740FC" w:rsidRDefault="00C60149" w:rsidP="0007293B">
            <w:pPr>
              <w:pStyle w:val="Tablebullets"/>
              <w:numPr>
                <w:ilvl w:val="0"/>
                <w:numId w:val="18"/>
              </w:numPr>
            </w:pPr>
            <w:r w:rsidRPr="000740FC">
              <w:t xml:space="preserve">Would </w:t>
            </w:r>
            <w:r w:rsidR="004C7C85">
              <w:t>full</w:t>
            </w:r>
            <w:r w:rsidR="009B322B">
              <w:t>y</w:t>
            </w:r>
            <w:r w:rsidR="004C7C85">
              <w:t xml:space="preserve"> </w:t>
            </w:r>
            <w:r w:rsidRPr="000740FC">
              <w:t xml:space="preserve">address the quantitative </w:t>
            </w:r>
            <w:r w:rsidR="009B322B">
              <w:t>differences</w:t>
            </w:r>
            <w:r w:rsidRPr="000740FC">
              <w:t xml:space="preserve"> between the schemes</w:t>
            </w:r>
          </w:p>
        </w:tc>
        <w:tc>
          <w:tcPr>
            <w:tcW w:w="2705"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1899138F" w14:textId="2875BFF6" w:rsidR="006D138D" w:rsidRPr="000740FC" w:rsidRDefault="006D138D" w:rsidP="0007293B">
            <w:pPr>
              <w:pStyle w:val="Tablebullets"/>
              <w:numPr>
                <w:ilvl w:val="0"/>
                <w:numId w:val="18"/>
              </w:numPr>
            </w:pPr>
            <w:r w:rsidRPr="000740FC">
              <w:t>Substantially different f</w:t>
            </w:r>
            <w:r w:rsidR="00200663">
              <w:t>r</w:t>
            </w:r>
            <w:r w:rsidRPr="000740FC">
              <w:t xml:space="preserve">om community standards for employee superannuation and arrangements for MPs in other Australian jurisdictions </w:t>
            </w:r>
          </w:p>
          <w:p w14:paraId="439011F1" w14:textId="2672BCE1" w:rsidR="006D138D" w:rsidRPr="000740FC" w:rsidRDefault="00200663" w:rsidP="0007293B">
            <w:pPr>
              <w:pStyle w:val="Tablebullets"/>
              <w:numPr>
                <w:ilvl w:val="0"/>
                <w:numId w:val="18"/>
              </w:numPr>
            </w:pPr>
            <w:r>
              <w:t>A</w:t>
            </w:r>
            <w:r w:rsidR="006D138D" w:rsidRPr="000740FC">
              <w:t>dministratively complex</w:t>
            </w:r>
            <w:r>
              <w:t xml:space="preserve"> option</w:t>
            </w:r>
            <w:r w:rsidR="006D138D" w:rsidRPr="000740FC">
              <w:t>, as</w:t>
            </w:r>
            <w:r>
              <w:t xml:space="preserve"> it</w:t>
            </w:r>
            <w:r w:rsidR="006D138D" w:rsidRPr="000740FC">
              <w:t xml:space="preserve"> would require an actuarial calculation to determine the additional amount, and whether it would be </w:t>
            </w:r>
            <w:r w:rsidR="002A5E4B">
              <w:t>provided</w:t>
            </w:r>
            <w:r w:rsidR="006D138D" w:rsidRPr="000740FC">
              <w:t xml:space="preserve"> as a pension or lump sum</w:t>
            </w:r>
          </w:p>
          <w:p w14:paraId="22465762" w14:textId="1EB59411" w:rsidR="00D5524A" w:rsidRPr="000740FC" w:rsidRDefault="006D138D" w:rsidP="0007293B">
            <w:pPr>
              <w:pStyle w:val="Tablebullets"/>
              <w:numPr>
                <w:ilvl w:val="0"/>
                <w:numId w:val="18"/>
              </w:numPr>
            </w:pPr>
            <w:r w:rsidRPr="000740FC">
              <w:t>If</w:t>
            </w:r>
            <w:r w:rsidR="002A5E4B">
              <w:t xml:space="preserve"> a</w:t>
            </w:r>
            <w:r w:rsidRPr="000740FC">
              <w:t xml:space="preserve"> pension was used </w:t>
            </w:r>
            <w:r w:rsidR="002A5E4B">
              <w:t>as the</w:t>
            </w:r>
            <w:r w:rsidRPr="000740FC">
              <w:t xml:space="preserve"> payment, this would likely be the costliest option to the State</w:t>
            </w:r>
          </w:p>
        </w:tc>
      </w:tr>
      <w:tr w:rsidR="000C4818" w:rsidRPr="000740FC" w14:paraId="1969684E" w14:textId="77777777" w:rsidTr="0028471B">
        <w:trPr>
          <w:trHeight w:val="408"/>
        </w:trPr>
        <w:tc>
          <w:tcPr>
            <w:tcW w:w="938"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50984D47" w14:textId="3483A3C1" w:rsidR="000C4818" w:rsidRPr="000740FC" w:rsidRDefault="000C4818" w:rsidP="000C4818">
            <w:pPr>
              <w:spacing w:after="0"/>
              <w:rPr>
                <w:rFonts w:ascii="Calibri Light" w:eastAsia="Calibri" w:hAnsi="Calibri Light" w:cs="Calibri Light"/>
                <w:color w:val="4D4D4D"/>
                <w:sz w:val="22"/>
                <w:vertAlign w:val="superscript"/>
              </w:rPr>
            </w:pPr>
            <w:r w:rsidRPr="000740FC">
              <w:rPr>
                <w:rFonts w:ascii="Calibri Light" w:eastAsia="Calibri" w:hAnsi="Calibri Light" w:cs="Calibri Light"/>
                <w:color w:val="4D4D4D"/>
                <w:sz w:val="22"/>
              </w:rPr>
              <w:t>5. Increase the separation payment</w:t>
            </w:r>
          </w:p>
        </w:tc>
        <w:tc>
          <w:tcPr>
            <w:tcW w:w="1357"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26031F56" w14:textId="6EB89660" w:rsidR="000C4818" w:rsidRPr="000740FC" w:rsidRDefault="000C4818" w:rsidP="0007293B">
            <w:pPr>
              <w:pStyle w:val="Tablebullets"/>
              <w:numPr>
                <w:ilvl w:val="0"/>
                <w:numId w:val="18"/>
              </w:numPr>
            </w:pPr>
            <w:r w:rsidRPr="000740FC">
              <w:t>Depending on the size of the increase, would enhance equity by providing eligible MPs on the accumulation scheme with extra financial support after they leave the Parliament</w:t>
            </w:r>
          </w:p>
          <w:p w14:paraId="1C69625A" w14:textId="4E683B17" w:rsidR="000C4818" w:rsidRPr="000740FC" w:rsidRDefault="000C4818" w:rsidP="0007293B">
            <w:pPr>
              <w:pStyle w:val="Tablebullets"/>
              <w:numPr>
                <w:ilvl w:val="0"/>
                <w:numId w:val="18"/>
              </w:numPr>
            </w:pPr>
            <w:r w:rsidRPr="000740FC">
              <w:t>Administratively simpler relative to other options, as it does not involve transferring MPs into a new scheme and avoids modifying the existing scheme</w:t>
            </w:r>
          </w:p>
        </w:tc>
        <w:tc>
          <w:tcPr>
            <w:tcW w:w="2705"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1227BC24" w14:textId="30B3586C" w:rsidR="000C4818" w:rsidRPr="000740FC" w:rsidRDefault="000C4818" w:rsidP="0007293B">
            <w:pPr>
              <w:pStyle w:val="Tablebullets"/>
              <w:numPr>
                <w:ilvl w:val="0"/>
                <w:numId w:val="18"/>
              </w:numPr>
            </w:pPr>
            <w:r w:rsidRPr="000740FC">
              <w:t xml:space="preserve">Depending on the size of the increase, could lead to </w:t>
            </w:r>
            <w:r w:rsidR="006D5393">
              <w:t xml:space="preserve">the </w:t>
            </w:r>
            <w:r w:rsidRPr="000740FC">
              <w:t>separation payment in Victoria being more generous than that offered in other Australian jurisdictions</w:t>
            </w:r>
          </w:p>
        </w:tc>
      </w:tr>
      <w:tr w:rsidR="00043A95" w:rsidRPr="000740FC" w14:paraId="269A4149" w14:textId="77777777" w:rsidTr="0028471B">
        <w:trPr>
          <w:trHeight w:val="408"/>
        </w:trPr>
        <w:tc>
          <w:tcPr>
            <w:tcW w:w="938"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494BB0D8" w14:textId="17F6BC24" w:rsidR="00043A95" w:rsidRPr="000740FC" w:rsidRDefault="00043A95" w:rsidP="00043A95">
            <w:pPr>
              <w:spacing w:after="0"/>
              <w:rPr>
                <w:rFonts w:ascii="Calibri Light" w:eastAsia="Calibri" w:hAnsi="Calibri Light" w:cs="Calibri Light"/>
                <w:color w:val="4D4D4D"/>
                <w:sz w:val="22"/>
              </w:rPr>
            </w:pPr>
            <w:r w:rsidRPr="000740FC">
              <w:rPr>
                <w:rFonts w:ascii="Calibri Light" w:eastAsia="Calibri" w:hAnsi="Calibri Light" w:cs="Calibri Light"/>
                <w:color w:val="4D4D4D" w:themeColor="accent6"/>
                <w:sz w:val="22"/>
              </w:rPr>
              <w:t>6. Provide MPs with support to obtain employment after leaving the Parliament</w:t>
            </w:r>
          </w:p>
        </w:tc>
        <w:tc>
          <w:tcPr>
            <w:tcW w:w="1357"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77CC2276" w14:textId="48658E5E" w:rsidR="00043A95" w:rsidRPr="000740FC" w:rsidRDefault="00043A95" w:rsidP="0007293B">
            <w:pPr>
              <w:pStyle w:val="Tablebullets"/>
              <w:numPr>
                <w:ilvl w:val="0"/>
                <w:numId w:val="18"/>
              </w:numPr>
            </w:pPr>
            <w:r w:rsidRPr="000740FC">
              <w:t>Recognises that some MPs may find it difficult to secure employment upon leaving Parliament</w:t>
            </w:r>
          </w:p>
        </w:tc>
        <w:tc>
          <w:tcPr>
            <w:tcW w:w="2705" w:type="pct"/>
            <w:tcBorders>
              <w:top w:val="single" w:sz="4" w:space="0" w:color="148A5D" w:themeColor="accent2"/>
              <w:left w:val="single" w:sz="4" w:space="0" w:color="FFFFFF" w:themeColor="background2"/>
              <w:bottom w:val="single" w:sz="4" w:space="0" w:color="148A5D" w:themeColor="accent2"/>
              <w:right w:val="single" w:sz="4" w:space="0" w:color="FFFFFF" w:themeColor="background2"/>
            </w:tcBorders>
          </w:tcPr>
          <w:p w14:paraId="18844D68" w14:textId="671157C7" w:rsidR="00043A95" w:rsidRPr="000740FC" w:rsidRDefault="00043A95" w:rsidP="0007293B">
            <w:pPr>
              <w:pStyle w:val="Tablebullets"/>
              <w:numPr>
                <w:ilvl w:val="0"/>
                <w:numId w:val="18"/>
              </w:numPr>
            </w:pPr>
            <w:r w:rsidRPr="000740FC">
              <w:t>Unknown if additional support will be taken up by MPs or</w:t>
            </w:r>
            <w:r w:rsidR="00473711">
              <w:t xml:space="preserve"> the extent to which</w:t>
            </w:r>
            <w:r w:rsidRPr="000740FC">
              <w:t xml:space="preserve"> it will be effective in achieving the objective</w:t>
            </w:r>
          </w:p>
        </w:tc>
      </w:tr>
    </w:tbl>
    <w:p w14:paraId="037E8ED0" w14:textId="77777777" w:rsidR="0013443A" w:rsidRPr="000740FC" w:rsidRDefault="0013443A" w:rsidP="000B718F">
      <w:pPr>
        <w:pStyle w:val="Textinthetable"/>
        <w:sectPr w:rsidR="0013443A" w:rsidRPr="000740FC" w:rsidSect="008872BF">
          <w:footerReference w:type="first" r:id="rId67"/>
          <w:pgSz w:w="16840" w:h="11900" w:orient="landscape"/>
          <w:pgMar w:top="1701" w:right="1701" w:bottom="1559" w:left="1701" w:header="709" w:footer="709" w:gutter="0"/>
          <w:cols w:space="708"/>
          <w:titlePg/>
          <w:docGrid w:linePitch="299"/>
        </w:sectPr>
      </w:pPr>
    </w:p>
    <w:p w14:paraId="2215968E" w14:textId="505C85DE" w:rsidR="002453FC" w:rsidRPr="000740FC" w:rsidRDefault="0064416E" w:rsidP="002453FC">
      <w:pPr>
        <w:pStyle w:val="VIRTHeading2"/>
        <w:rPr>
          <w:lang w:val="en-AU"/>
        </w:rPr>
      </w:pPr>
      <w:bookmarkStart w:id="92" w:name="_Toc50990438"/>
      <w:bookmarkStart w:id="93" w:name="_Toc51234147"/>
      <w:r w:rsidRPr="000740FC">
        <w:rPr>
          <w:lang w:val="en-AU"/>
        </w:rPr>
        <w:lastRenderedPageBreak/>
        <w:t>6</w:t>
      </w:r>
      <w:r w:rsidR="002453FC" w:rsidRPr="000740FC">
        <w:rPr>
          <w:lang w:val="en-AU"/>
        </w:rPr>
        <w:t>.</w:t>
      </w:r>
      <w:r w:rsidRPr="000740FC">
        <w:rPr>
          <w:lang w:val="en-AU"/>
        </w:rPr>
        <w:t>3</w:t>
      </w:r>
      <w:r w:rsidR="002453FC" w:rsidRPr="000740FC">
        <w:rPr>
          <w:lang w:val="en-AU"/>
        </w:rPr>
        <w:t xml:space="preserve"> Conclusion</w:t>
      </w:r>
      <w:r w:rsidR="002632B6" w:rsidRPr="000740FC">
        <w:rPr>
          <w:lang w:val="en-AU"/>
        </w:rPr>
        <w:t xml:space="preserve"> and recommendations</w:t>
      </w:r>
      <w:bookmarkEnd w:id="92"/>
      <w:bookmarkEnd w:id="93"/>
    </w:p>
    <w:p w14:paraId="373F702A" w14:textId="3B8603C9" w:rsidR="00396584" w:rsidRPr="000740FC" w:rsidRDefault="00396584" w:rsidP="00B33183">
      <w:pPr>
        <w:pStyle w:val="Paragraph"/>
      </w:pPr>
      <w:r w:rsidRPr="000740FC">
        <w:t xml:space="preserve">The Tribunal has found that the superannuation arrangements currently provided to MPs are favourable when compared to those provided in other jurisdictions, public sector employees and in the general labour market. </w:t>
      </w:r>
      <w:r w:rsidRPr="004D1148">
        <w:t xml:space="preserve">Further, </w:t>
      </w:r>
      <w:r w:rsidR="000D0617" w:rsidRPr="004D1148">
        <w:t xml:space="preserve">the </w:t>
      </w:r>
      <w:r w:rsidRPr="004D1148">
        <w:t>existing superannuation arrangements</w:t>
      </w:r>
      <w:r w:rsidR="004B45A4" w:rsidRPr="004D1148">
        <w:t xml:space="preserve"> </w:t>
      </w:r>
      <w:r w:rsidR="000D0617" w:rsidRPr="004D1148">
        <w:t xml:space="preserve">have been designed </w:t>
      </w:r>
      <w:r w:rsidR="00FC74B7" w:rsidRPr="004D1148">
        <w:t>to take into account the relatively unique role and employment arrangements of MPs</w:t>
      </w:r>
      <w:r w:rsidR="004B45A4" w:rsidRPr="004D1148">
        <w:t xml:space="preserve">. </w:t>
      </w:r>
      <w:r w:rsidR="004B45A4" w:rsidRPr="000740FC">
        <w:t xml:space="preserve">The Tribunal considers that it would be out </w:t>
      </w:r>
      <w:r w:rsidR="0056664F" w:rsidRPr="000740FC">
        <w:t xml:space="preserve">of </w:t>
      </w:r>
      <w:r w:rsidR="004B45A4" w:rsidRPr="000740FC">
        <w:t xml:space="preserve">step with </w:t>
      </w:r>
      <w:r w:rsidRPr="000740FC">
        <w:t xml:space="preserve">arrangements in the broader economy and with community </w:t>
      </w:r>
      <w:r w:rsidR="000A2E28">
        <w:t>standards</w:t>
      </w:r>
      <w:r w:rsidRPr="000740FC">
        <w:t xml:space="preserve"> to:</w:t>
      </w:r>
    </w:p>
    <w:p w14:paraId="17BEDE64" w14:textId="06225FD1" w:rsidR="00396584" w:rsidRPr="004D1148" w:rsidRDefault="00396584" w:rsidP="00396584">
      <w:pPr>
        <w:pStyle w:val="VIRTBulletpoints"/>
      </w:pPr>
      <w:r w:rsidRPr="000740FC">
        <w:t xml:space="preserve">open (or re-open) a defined benefit scheme for MPs </w:t>
      </w:r>
      <w:r w:rsidR="2975BDA3" w:rsidRPr="004D1148">
        <w:t xml:space="preserve">not currently entitled to such a scheme </w:t>
      </w:r>
      <w:r w:rsidRPr="004D1148">
        <w:t>(options 2 and 3), or</w:t>
      </w:r>
    </w:p>
    <w:p w14:paraId="60C76A90" w14:textId="00301A86" w:rsidR="006A45E7" w:rsidRPr="004D1148" w:rsidRDefault="00396584" w:rsidP="004B45A4">
      <w:pPr>
        <w:pStyle w:val="VIRTBulletpoints"/>
      </w:pPr>
      <w:r w:rsidRPr="004D1148">
        <w:t xml:space="preserve">increase the superannuation </w:t>
      </w:r>
      <w:r w:rsidR="005A556E">
        <w:t>benefits</w:t>
      </w:r>
      <w:r w:rsidRPr="004D1148">
        <w:t xml:space="preserve"> of MPs above the entitlements they </w:t>
      </w:r>
      <w:r w:rsidR="55FC6CD4" w:rsidRPr="004D1148">
        <w:t xml:space="preserve">already </w:t>
      </w:r>
      <w:r w:rsidRPr="004D1148">
        <w:t>receive (options 1 and 4)</w:t>
      </w:r>
      <w:r w:rsidR="006A45E7" w:rsidRPr="004D1148">
        <w:t>; or</w:t>
      </w:r>
    </w:p>
    <w:p w14:paraId="6F0BA16C" w14:textId="0D940944" w:rsidR="004B45A4" w:rsidRPr="004D1148" w:rsidRDefault="006A45E7" w:rsidP="004B45A4">
      <w:pPr>
        <w:pStyle w:val="VIRTBulletpoints"/>
      </w:pPr>
      <w:r w:rsidRPr="004D1148">
        <w:t xml:space="preserve">increase the separation payment </w:t>
      </w:r>
      <w:r w:rsidR="6A2F4BFB" w:rsidRPr="004D1148">
        <w:t xml:space="preserve">for MPs in the accumulation scheme </w:t>
      </w:r>
      <w:r w:rsidR="009D288E">
        <w:br/>
      </w:r>
      <w:r w:rsidRPr="004D1148">
        <w:t>(option 5)</w:t>
      </w:r>
      <w:r w:rsidR="00396584" w:rsidRPr="004D1148">
        <w:t>.</w:t>
      </w:r>
      <w:r w:rsidR="072D4642" w:rsidRPr="004D1148">
        <w:t xml:space="preserve"> </w:t>
      </w:r>
    </w:p>
    <w:p w14:paraId="3D3E592D" w14:textId="75B1888A" w:rsidR="7B900ED9" w:rsidRPr="000740FC" w:rsidRDefault="5EE3A8EF" w:rsidP="00B33183">
      <w:pPr>
        <w:pStyle w:val="Paragraph"/>
        <w:rPr>
          <w:highlight w:val="green"/>
        </w:rPr>
      </w:pPr>
      <w:r>
        <w:t>On</w:t>
      </w:r>
      <w:r w:rsidR="3448CBB8">
        <w:t xml:space="preserve"> this basis,</w:t>
      </w:r>
      <w:r w:rsidR="42E2744D">
        <w:t xml:space="preserve"> in relation to the inequalities between the schemes</w:t>
      </w:r>
      <w:r w:rsidR="5FF75253">
        <w:t>,</w:t>
      </w:r>
      <w:r w:rsidR="3448CBB8" w:rsidRPr="344F29B6">
        <w:rPr>
          <w:b/>
          <w:bCs/>
        </w:rPr>
        <w:t xml:space="preserve"> </w:t>
      </w:r>
      <w:r w:rsidR="4EC72ED4" w:rsidRPr="344F29B6">
        <w:rPr>
          <w:b/>
          <w:bCs/>
        </w:rPr>
        <w:t>t</w:t>
      </w:r>
      <w:r w:rsidR="7ED0A381" w:rsidRPr="344F29B6">
        <w:rPr>
          <w:b/>
          <w:bCs/>
        </w:rPr>
        <w:t>he Tribunal recommends that there be no changes to the superannuation arrangements for Victorian MPs at this time.</w:t>
      </w:r>
      <w:r w:rsidR="10737F7A">
        <w:t xml:space="preserve"> </w:t>
      </w:r>
    </w:p>
    <w:p w14:paraId="20A491F3" w14:textId="4E21E077" w:rsidR="00447573" w:rsidRPr="000740FC" w:rsidRDefault="00F453CA" w:rsidP="00DD461E">
      <w:pPr>
        <w:pStyle w:val="VIRTHeading4"/>
      </w:pPr>
      <w:r>
        <w:t>Enhanced t</w:t>
      </w:r>
      <w:r w:rsidR="00447573" w:rsidRPr="000740FC">
        <w:t>ransitional support for MPs leaving the Parliament</w:t>
      </w:r>
    </w:p>
    <w:p w14:paraId="13D5FBAE" w14:textId="7417B869" w:rsidR="004D1148" w:rsidRPr="005D033E" w:rsidRDefault="00017BDC" w:rsidP="004D1148">
      <w:pPr>
        <w:pStyle w:val="Paragraph"/>
      </w:pPr>
      <w:r>
        <w:t>T</w:t>
      </w:r>
      <w:r w:rsidR="004D1148" w:rsidRPr="005D033E">
        <w:t xml:space="preserve">he Tribunal does recognise that some MPs may experience difficulties in finding employment after leaving the Parliament. While comprehensive research has not been conducted on this issue, the Tribunal heard through its submissions that such difficulty exists and some of the reasons for it may be linked to an </w:t>
      </w:r>
      <w:r w:rsidR="5E01B098">
        <w:t>MP</w:t>
      </w:r>
      <w:r w:rsidR="1704FEF5">
        <w:t>’</w:t>
      </w:r>
      <w:r w:rsidR="5E01B098">
        <w:t>s</w:t>
      </w:r>
      <w:r w:rsidR="004D1148" w:rsidRPr="005D033E">
        <w:t xml:space="preserve"> inability to re-enter their prior field of employment or the perception that former MPs remain political figures. </w:t>
      </w:r>
    </w:p>
    <w:p w14:paraId="4F79EF16" w14:textId="62221F9D" w:rsidR="004D1148" w:rsidRPr="004D1148" w:rsidRDefault="004D1148" w:rsidP="004D1148">
      <w:pPr>
        <w:pStyle w:val="Paragraph"/>
      </w:pPr>
      <w:r w:rsidRPr="005D033E">
        <w:t>The Tribunal notes that in many workplaces, employers may offer a range of supports for employees being made redundant, such as career or financial counselling, resume building, networking support and outplacement services.</w:t>
      </w:r>
      <w:r w:rsidRPr="000740FC">
        <w:t xml:space="preserve"> </w:t>
      </w:r>
    </w:p>
    <w:p w14:paraId="1306CB38" w14:textId="7F072095" w:rsidR="00F453CA" w:rsidRPr="00603FCE" w:rsidRDefault="00F453CA" w:rsidP="00B33183">
      <w:pPr>
        <w:pStyle w:val="Parabeforeabulletlist"/>
        <w:rPr>
          <w:b/>
          <w:bCs w:val="0"/>
        </w:rPr>
      </w:pPr>
      <w:r w:rsidRPr="00603FCE">
        <w:rPr>
          <w:b/>
          <w:bCs w:val="0"/>
        </w:rPr>
        <w:t>The Tribunal recommends that:</w:t>
      </w:r>
    </w:p>
    <w:p w14:paraId="484B9B3C" w14:textId="749AED85" w:rsidR="00CC1452" w:rsidRPr="00603FCE" w:rsidRDefault="005C7C89" w:rsidP="344F29B6">
      <w:pPr>
        <w:pStyle w:val="VIRTBulletpoints"/>
        <w:rPr>
          <w:rFonts w:asciiTheme="minorHAnsi" w:eastAsiaTheme="minorEastAsia" w:hAnsiTheme="minorHAnsi" w:cstheme="minorBidi"/>
          <w:b/>
          <w:bCs/>
        </w:rPr>
      </w:pPr>
      <w:r>
        <w:rPr>
          <w:rFonts w:eastAsia="Rockwell"/>
          <w:b/>
          <w:bCs/>
        </w:rPr>
        <w:t>E</w:t>
      </w:r>
      <w:r w:rsidR="37512C37" w:rsidRPr="344F29B6">
        <w:rPr>
          <w:rFonts w:eastAsia="Rockwell"/>
          <w:b/>
          <w:bCs/>
        </w:rPr>
        <w:t>xisting and former MPs be provided with enhanced transitional support funded by the State to assist them in finding further employment when they leave the Parliament. Such support could include career or financial counselling, resume building, networking</w:t>
      </w:r>
      <w:r w:rsidR="76283CFB" w:rsidRPr="344F29B6">
        <w:rPr>
          <w:rFonts w:eastAsia="Rockwell"/>
          <w:b/>
          <w:bCs/>
        </w:rPr>
        <w:t xml:space="preserve"> support</w:t>
      </w:r>
      <w:r w:rsidR="37512C37" w:rsidRPr="344F29B6">
        <w:rPr>
          <w:rFonts w:eastAsia="Rockwell"/>
          <w:b/>
          <w:bCs/>
        </w:rPr>
        <w:t xml:space="preserve"> and outplacement</w:t>
      </w:r>
      <w:r w:rsidR="5F77FDF9" w:rsidRPr="344F29B6">
        <w:rPr>
          <w:rFonts w:eastAsia="Rockwell"/>
          <w:b/>
          <w:bCs/>
        </w:rPr>
        <w:t xml:space="preserve"> services</w:t>
      </w:r>
      <w:r w:rsidR="37512C37" w:rsidRPr="344F29B6">
        <w:rPr>
          <w:rFonts w:eastAsia="Rockwell"/>
          <w:b/>
          <w:bCs/>
        </w:rPr>
        <w:t>.</w:t>
      </w:r>
      <w:r w:rsidR="3A0862B4" w:rsidRPr="19E9DD42">
        <w:rPr>
          <w:rFonts w:eastAsia="Rockwell"/>
          <w:b/>
          <w:bCs/>
        </w:rPr>
        <w:t xml:space="preserve"> </w:t>
      </w:r>
    </w:p>
    <w:p w14:paraId="7CF84202" w14:textId="43DB1A65" w:rsidR="00F453CA" w:rsidRPr="006B2387" w:rsidRDefault="005C7C89" w:rsidP="006B2387">
      <w:pPr>
        <w:pStyle w:val="VIRTBulletpoints"/>
        <w:rPr>
          <w:rFonts w:asciiTheme="minorHAnsi" w:eastAsiaTheme="minorEastAsia" w:hAnsiTheme="minorHAnsi" w:cstheme="minorBidi"/>
          <w:b/>
        </w:rPr>
      </w:pPr>
      <w:r>
        <w:rPr>
          <w:rFonts w:eastAsia="Rockwell"/>
          <w:b/>
          <w:bCs/>
        </w:rPr>
        <w:lastRenderedPageBreak/>
        <w:t>K</w:t>
      </w:r>
      <w:r w:rsidR="00CC1452" w:rsidRPr="0B6B269B">
        <w:rPr>
          <w:rFonts w:eastAsia="Rockwell"/>
          <w:b/>
          <w:bCs/>
        </w:rPr>
        <w:t>ey</w:t>
      </w:r>
      <w:r w:rsidR="00CC1452" w:rsidRPr="0B6B269B">
        <w:rPr>
          <w:rFonts w:eastAsia="Rockwell"/>
          <w:b/>
        </w:rPr>
        <w:t xml:space="preserve"> stakeholders, including the Presiding Officers of the Parliament, the Department of Parliamentary Services and the Victorian Parliamentary Former Members Association, are consulted on the enhanced transitional support needed to ensure a fit-for-purpose program of support is developed, appropriately funded and evaluated after an appropriate interval.</w:t>
      </w:r>
      <w:r w:rsidR="00CC1452" w:rsidRPr="0B6B269B">
        <w:rPr>
          <w:rFonts w:eastAsia="Rockwell"/>
        </w:rPr>
        <w:t xml:space="preserve"> </w:t>
      </w:r>
    </w:p>
    <w:p w14:paraId="0E37E71B" w14:textId="77777777" w:rsidR="00F453CA" w:rsidRDefault="00F453CA" w:rsidP="00B33183">
      <w:pPr>
        <w:pStyle w:val="Paragraph"/>
      </w:pPr>
    </w:p>
    <w:p w14:paraId="4E6ECEDF" w14:textId="3EA2EC2B" w:rsidR="005339AD" w:rsidRPr="000740FC" w:rsidRDefault="005339AD" w:rsidP="00B33183">
      <w:pPr>
        <w:pStyle w:val="Paragraph"/>
        <w:sectPr w:rsidR="005339AD" w:rsidRPr="000740FC" w:rsidSect="0052634F">
          <w:pgSz w:w="11900" w:h="16840"/>
          <w:pgMar w:top="1701" w:right="1701" w:bottom="1559" w:left="1701" w:header="709" w:footer="709" w:gutter="0"/>
          <w:cols w:space="708"/>
          <w:titlePg/>
          <w:docGrid w:linePitch="299"/>
        </w:sectPr>
      </w:pPr>
    </w:p>
    <w:p w14:paraId="415C086B" w14:textId="695CC088" w:rsidR="00657D27" w:rsidRPr="000740FC" w:rsidRDefault="0064416E" w:rsidP="007E6718">
      <w:pPr>
        <w:pStyle w:val="ChapterHeading0"/>
        <w:rPr>
          <w:lang w:val="en-AU"/>
        </w:rPr>
      </w:pPr>
      <w:bookmarkStart w:id="94" w:name="_Toc50990439"/>
      <w:bookmarkStart w:id="95" w:name="_Toc51234148"/>
      <w:r w:rsidRPr="000740FC">
        <w:rPr>
          <w:lang w:val="en-AU"/>
        </w:rPr>
        <w:lastRenderedPageBreak/>
        <w:t>7</w:t>
      </w:r>
      <w:r w:rsidR="3C48C299" w:rsidRPr="000740FC">
        <w:rPr>
          <w:lang w:val="en-AU"/>
        </w:rPr>
        <w:t xml:space="preserve"> </w:t>
      </w:r>
      <w:r w:rsidR="00EA1AEF" w:rsidRPr="000740FC">
        <w:rPr>
          <w:lang w:val="en-AU"/>
        </w:rPr>
        <w:t>Potential i</w:t>
      </w:r>
      <w:r w:rsidR="3C48C299" w:rsidRPr="000740FC">
        <w:rPr>
          <w:lang w:val="en-AU"/>
        </w:rPr>
        <w:t>rregularities</w:t>
      </w:r>
      <w:r w:rsidR="00626C8A" w:rsidRPr="000740FC">
        <w:rPr>
          <w:lang w:val="en-AU"/>
        </w:rPr>
        <w:br/>
      </w:r>
      <w:r w:rsidR="000C4D46" w:rsidRPr="000740FC">
        <w:rPr>
          <w:lang w:val="en-AU"/>
        </w:rPr>
        <w:drawing>
          <wp:inline distT="0" distB="0" distL="0" distR="0" wp14:anchorId="58A5554E" wp14:editId="59C665B4">
            <wp:extent cx="2218055" cy="254635"/>
            <wp:effectExtent l="0" t="0" r="0" b="0"/>
            <wp:docPr id="1269490301" name="Picture 126949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94"/>
      <w:bookmarkEnd w:id="95"/>
    </w:p>
    <w:p w14:paraId="766723B8" w14:textId="77777777" w:rsidR="00E912F7" w:rsidRPr="000740FC" w:rsidRDefault="00E912F7" w:rsidP="00B33183">
      <w:pPr>
        <w:pStyle w:val="Paragraph"/>
      </w:pPr>
      <w:r w:rsidRPr="00C1581B">
        <w:t>The Tribunal now turns to consider potential irregularities between MP superannuation arrangements. These relate to the:</w:t>
      </w:r>
      <w:r w:rsidRPr="000740FC">
        <w:t xml:space="preserve"> </w:t>
      </w:r>
    </w:p>
    <w:p w14:paraId="6DD244F3" w14:textId="38D61D14" w:rsidR="00E912F7" w:rsidRPr="000740FC" w:rsidRDefault="00E912F7" w:rsidP="0001523C">
      <w:pPr>
        <w:pStyle w:val="VIRTBulletpoints"/>
      </w:pPr>
      <w:r w:rsidRPr="000740FC">
        <w:t xml:space="preserve">calculation </w:t>
      </w:r>
      <w:r w:rsidR="006B2387">
        <w:t>of</w:t>
      </w:r>
      <w:r w:rsidR="00653144">
        <w:t>,</w:t>
      </w:r>
      <w:r w:rsidR="006B2387">
        <w:t xml:space="preserve"> </w:t>
      </w:r>
      <w:r w:rsidRPr="000740FC">
        <w:t>and indexation arrangements for</w:t>
      </w:r>
      <w:r w:rsidR="00653144">
        <w:t>,</w:t>
      </w:r>
      <w:r w:rsidRPr="000740FC">
        <w:t xml:space="preserve"> the BSP</w:t>
      </w:r>
    </w:p>
    <w:p w14:paraId="3F75729B" w14:textId="36AC08E7" w:rsidR="000879AE" w:rsidRPr="000740FC" w:rsidRDefault="00EC31D2" w:rsidP="0046477F">
      <w:pPr>
        <w:pStyle w:val="VIRTBulletpoints"/>
      </w:pPr>
      <w:r w:rsidRPr="000740FC">
        <w:t xml:space="preserve">interaction of the rules of the </w:t>
      </w:r>
      <w:r w:rsidR="00A60FB7" w:rsidRPr="000740FC">
        <w:t xml:space="preserve">superannuation </w:t>
      </w:r>
      <w:r w:rsidRPr="000740FC">
        <w:t xml:space="preserve">schemes </w:t>
      </w:r>
      <w:r w:rsidR="00E912F7" w:rsidRPr="000740FC">
        <w:t>with</w:t>
      </w:r>
      <w:r w:rsidRPr="000740FC">
        <w:t xml:space="preserve"> Commonwealth </w:t>
      </w:r>
      <w:r w:rsidR="00E912F7" w:rsidRPr="000740FC">
        <w:t>Government superannuation caps and taxes</w:t>
      </w:r>
      <w:r w:rsidRPr="000740FC">
        <w:t>.</w:t>
      </w:r>
    </w:p>
    <w:p w14:paraId="0E556806" w14:textId="317F941E" w:rsidR="00EF4408" w:rsidRPr="000740FC" w:rsidRDefault="0064416E" w:rsidP="00773712">
      <w:pPr>
        <w:pStyle w:val="VIRTHeading2"/>
        <w:rPr>
          <w:lang w:val="en-AU"/>
        </w:rPr>
      </w:pPr>
      <w:bookmarkStart w:id="96" w:name="_Toc50990440"/>
      <w:bookmarkStart w:id="97" w:name="_Toc51234149"/>
      <w:r w:rsidRPr="000740FC">
        <w:rPr>
          <w:lang w:val="en-AU"/>
        </w:rPr>
        <w:t>7</w:t>
      </w:r>
      <w:r w:rsidR="00773712" w:rsidRPr="000740FC">
        <w:rPr>
          <w:lang w:val="en-AU"/>
        </w:rPr>
        <w:t xml:space="preserve">.1 </w:t>
      </w:r>
      <w:r w:rsidR="00E912F7" w:rsidRPr="000740FC">
        <w:rPr>
          <w:lang w:val="en-AU"/>
        </w:rPr>
        <w:t>Potential i</w:t>
      </w:r>
      <w:r w:rsidR="00EF4408" w:rsidRPr="000740FC">
        <w:rPr>
          <w:lang w:val="en-AU"/>
        </w:rPr>
        <w:t xml:space="preserve">rregularities related to the </w:t>
      </w:r>
      <w:bookmarkEnd w:id="96"/>
      <w:r w:rsidR="000A185A">
        <w:rPr>
          <w:lang w:val="en-AU"/>
        </w:rPr>
        <w:t>BSP</w:t>
      </w:r>
      <w:bookmarkEnd w:id="97"/>
    </w:p>
    <w:p w14:paraId="78644D0A" w14:textId="29D3F239" w:rsidR="00AA2BE3" w:rsidRPr="000740FC" w:rsidRDefault="00AA2BE3" w:rsidP="00B33183">
      <w:pPr>
        <w:pStyle w:val="Paragraph"/>
      </w:pPr>
      <w:r w:rsidRPr="000740FC">
        <w:t xml:space="preserve">The BSP was introduced by </w:t>
      </w:r>
      <w:r w:rsidR="0080105A" w:rsidRPr="000740FC">
        <w:t>legislative changes made in 2019</w:t>
      </w:r>
      <w:r w:rsidRPr="000740FC">
        <w:t xml:space="preserve"> as a mechanism for calculating contributions and pension entitlements for MPs in the defined benefit schemes.</w:t>
      </w:r>
      <w:r w:rsidR="0080105A" w:rsidRPr="000740FC">
        <w:rPr>
          <w:rStyle w:val="FootnoteReference"/>
        </w:rPr>
        <w:footnoteReference w:id="77"/>
      </w:r>
      <w:r w:rsidRPr="000740FC">
        <w:t xml:space="preserve"> The initial value of the BSP was set at $168,901 </w:t>
      </w:r>
      <w:r w:rsidR="00002F17">
        <w:t>p.a.</w:t>
      </w:r>
      <w:r w:rsidRPr="000740FC">
        <w:t xml:space="preserve"> by the Tribunal in its </w:t>
      </w:r>
      <w:r w:rsidR="002F41D9" w:rsidRPr="00594AB5">
        <w:rPr>
          <w:rFonts w:cs="Times New Roman"/>
          <w:i/>
          <w:iCs/>
          <w:szCs w:val="24"/>
        </w:rPr>
        <w:t>Members of Parliament (Victoria) Determination 01/2019</w:t>
      </w:r>
      <w:r w:rsidR="002F41D9" w:rsidRPr="00802E10">
        <w:rPr>
          <w:rFonts w:cs="Times New Roman"/>
          <w:szCs w:val="24"/>
        </w:rPr>
        <w:t xml:space="preserve"> </w:t>
      </w:r>
      <w:r w:rsidR="00E823D7">
        <w:rPr>
          <w:rFonts w:cs="Times New Roman"/>
          <w:szCs w:val="24"/>
        </w:rPr>
        <w:br/>
      </w:r>
      <w:r w:rsidR="002F41D9">
        <w:rPr>
          <w:rFonts w:cs="Times New Roman"/>
          <w:szCs w:val="24"/>
        </w:rPr>
        <w:t>(</w:t>
      </w:r>
      <w:r w:rsidRPr="000740FC">
        <w:t>2019 Determination</w:t>
      </w:r>
      <w:r w:rsidR="002F41D9">
        <w:t>)</w:t>
      </w:r>
      <w:r w:rsidRPr="000740FC">
        <w:t xml:space="preserve">, lower than the basic salary set by that Determination ($182,413 </w:t>
      </w:r>
      <w:r w:rsidR="00002F17">
        <w:t>p.a.</w:t>
      </w:r>
      <w:r w:rsidRPr="000740FC">
        <w:t>).</w:t>
      </w:r>
      <w:r w:rsidR="00C20384">
        <w:rPr>
          <w:rStyle w:val="FootnoteReference"/>
        </w:rPr>
        <w:footnoteReference w:id="78"/>
      </w:r>
      <w:r w:rsidRPr="000740FC">
        <w:t xml:space="preserve"> </w:t>
      </w:r>
    </w:p>
    <w:p w14:paraId="3AEC81C1" w14:textId="3CC6CF70" w:rsidR="00D31918" w:rsidRPr="000740FC" w:rsidRDefault="002D76EC" w:rsidP="00B33183">
      <w:pPr>
        <w:pStyle w:val="Parabeforeabulletlist"/>
      </w:pPr>
      <w:r w:rsidRPr="000740FC">
        <w:t xml:space="preserve">Starting from 1 July 2020, the </w:t>
      </w:r>
      <w:r w:rsidR="00FB4E5C" w:rsidRPr="000740FC">
        <w:t>BSP</w:t>
      </w:r>
      <w:r w:rsidRPr="000740FC">
        <w:t xml:space="preserve"> is indexed </w:t>
      </w:r>
      <w:r w:rsidR="0008163B" w:rsidRPr="000740FC">
        <w:t>each financial year</w:t>
      </w:r>
      <w:r w:rsidRPr="000740FC">
        <w:t xml:space="preserve"> according to a formula outlined in s</w:t>
      </w:r>
      <w:r w:rsidR="00771BC6">
        <w:t xml:space="preserve">ection </w:t>
      </w:r>
      <w:r w:rsidRPr="000740FC">
        <w:t>10 of the PSAS Act</w:t>
      </w:r>
      <w:r w:rsidR="00FD7D2E" w:rsidRPr="000740FC">
        <w:t xml:space="preserve">. </w:t>
      </w:r>
      <w:r w:rsidR="00516BCC" w:rsidRPr="000740FC">
        <w:t>It</w:t>
      </w:r>
      <w:r w:rsidR="00FD7D2E" w:rsidRPr="000740FC">
        <w:t xml:space="preserve"> is indexed by the greater of:</w:t>
      </w:r>
    </w:p>
    <w:p w14:paraId="1E3A8C2D" w14:textId="0E70F4FE" w:rsidR="00FD7D2E" w:rsidRPr="000740FC" w:rsidRDefault="71F4ED46" w:rsidP="0046477F">
      <w:pPr>
        <w:pStyle w:val="VIRTBulletpoints"/>
        <w:rPr>
          <w:rFonts w:asciiTheme="minorHAnsi" w:eastAsiaTheme="minorEastAsia" w:hAnsiTheme="minorHAnsi" w:cstheme="minorBidi"/>
          <w:szCs w:val="26"/>
        </w:rPr>
      </w:pPr>
      <w:r>
        <w:t>the method outlined by the Tribunal in the 2019 Determination</w:t>
      </w:r>
      <w:r w:rsidR="4E89BE8D">
        <w:t xml:space="preserve"> (which was based on </w:t>
      </w:r>
      <w:r w:rsidR="3889ABA3" w:rsidRPr="344F29B6">
        <w:rPr>
          <w:rFonts w:eastAsia="Calibri Light" w:cs="Calibri Light"/>
        </w:rPr>
        <w:t>Average Weekly Ordinary Time Earnings (</w:t>
      </w:r>
      <w:r w:rsidR="4E89BE8D">
        <w:t>AWOTE)</w:t>
      </w:r>
      <w:r w:rsidR="003E20C6">
        <w:t>)</w:t>
      </w:r>
    </w:p>
    <w:p w14:paraId="472063A1" w14:textId="77777777" w:rsidR="00FD7D2E" w:rsidRPr="000740FC" w:rsidRDefault="00FD7D2E" w:rsidP="0046477F">
      <w:pPr>
        <w:pStyle w:val="VIRTBulletpoints"/>
      </w:pPr>
      <w:r w:rsidRPr="000740FC">
        <w:t>the annual increase in the All Groups Consumer Price Index (CPI) for Melbourne</w:t>
      </w:r>
    </w:p>
    <w:p w14:paraId="409AE3B1" w14:textId="3E5E27DB" w:rsidR="00FD7D2E" w:rsidRPr="000740FC" w:rsidRDefault="71F4ED46" w:rsidP="0046477F">
      <w:pPr>
        <w:pStyle w:val="VIRTBulletpoints"/>
      </w:pPr>
      <w:r>
        <w:t>the annual increase in AWOTE for employees in Victoria.</w:t>
      </w:r>
    </w:p>
    <w:p w14:paraId="53A09C09" w14:textId="77777777" w:rsidR="00B858B6" w:rsidRDefault="00AA2BE3" w:rsidP="00B33183">
      <w:pPr>
        <w:pStyle w:val="Paragraph"/>
      </w:pPr>
      <w:r w:rsidRPr="000740FC">
        <w:t xml:space="preserve">The Department of Parliamentary Services submitted that the method for indexing the </w:t>
      </w:r>
      <w:r w:rsidR="00FB4E5C" w:rsidRPr="000740FC">
        <w:t>BSP</w:t>
      </w:r>
      <w:r w:rsidRPr="000740FC">
        <w:t xml:space="preserve"> is unnecessarily complicated, and creates ambiguity about which figures should be used for each index. </w:t>
      </w:r>
    </w:p>
    <w:p w14:paraId="1966D7F6" w14:textId="326479C7" w:rsidR="00A906FD" w:rsidRPr="000740FC" w:rsidRDefault="00CE357A" w:rsidP="00B858B6">
      <w:pPr>
        <w:pStyle w:val="Paragraph"/>
        <w:keepNext/>
      </w:pPr>
      <w:r>
        <w:lastRenderedPageBreak/>
        <w:t>The Department</w:t>
      </w:r>
      <w:r w:rsidR="00AA2BE3" w:rsidRPr="000740FC">
        <w:t xml:space="preserve"> suggested this ambiguity arises because:</w:t>
      </w:r>
    </w:p>
    <w:p w14:paraId="533ACFAA" w14:textId="7FEFEC9E" w:rsidR="0008163B" w:rsidRPr="000740FC" w:rsidRDefault="0075415B" w:rsidP="00B858B6">
      <w:pPr>
        <w:pStyle w:val="VIRTBulletpoints"/>
        <w:keepNext/>
      </w:pPr>
      <w:r w:rsidRPr="000740FC">
        <w:t>t</w:t>
      </w:r>
      <w:r w:rsidR="0008163B" w:rsidRPr="000740FC">
        <w:t xml:space="preserve">he </w:t>
      </w:r>
      <w:r w:rsidR="00E31BF1">
        <w:t>ABS</w:t>
      </w:r>
      <w:r w:rsidR="0008163B" w:rsidRPr="000740FC">
        <w:t xml:space="preserve"> publishes </w:t>
      </w:r>
      <w:r w:rsidRPr="000740FC">
        <w:t xml:space="preserve">CPI data </w:t>
      </w:r>
      <w:r w:rsidR="009638B6" w:rsidRPr="000740FC">
        <w:t xml:space="preserve">each </w:t>
      </w:r>
      <w:r w:rsidRPr="000740FC">
        <w:t>quarter and AWOTE data twice a year, and the PSAS Act does not specify which periods should be used for indexation purposes</w:t>
      </w:r>
    </w:p>
    <w:p w14:paraId="123D9FDA" w14:textId="5FAB9E39" w:rsidR="0075415B" w:rsidRPr="000740FC" w:rsidRDefault="7DE8CC66" w:rsidP="0046477F">
      <w:pPr>
        <w:pStyle w:val="VIRTBulletpoints"/>
      </w:pPr>
      <w:r>
        <w:t xml:space="preserve">CPI and AWOTE data </w:t>
      </w:r>
      <w:r w:rsidR="6E7AC768">
        <w:t>are</w:t>
      </w:r>
      <w:r>
        <w:t xml:space="preserve"> ordinar</w:t>
      </w:r>
      <w:r w:rsidR="7418A77C">
        <w:t>il</w:t>
      </w:r>
      <w:r>
        <w:t>y published some</w:t>
      </w:r>
      <w:r w:rsidR="69B57D6F">
        <w:t xml:space="preserve"> </w:t>
      </w:r>
      <w:r>
        <w:t xml:space="preserve">time following the period </w:t>
      </w:r>
      <w:r w:rsidR="7418A77C">
        <w:t>to</w:t>
      </w:r>
      <w:r>
        <w:t xml:space="preserve"> which th</w:t>
      </w:r>
      <w:r w:rsidR="6E7AC768">
        <w:t>ey</w:t>
      </w:r>
      <w:r>
        <w:t xml:space="preserve"> relate (e.g. June CPI data is ordinarily published in late July)</w:t>
      </w:r>
      <w:r w:rsidR="0CE4FE67">
        <w:t>.</w:t>
      </w:r>
    </w:p>
    <w:p w14:paraId="04B8C3D5" w14:textId="5BF77DB7" w:rsidR="32047FC4" w:rsidRPr="005C7C89" w:rsidRDefault="32047FC4" w:rsidP="344F29B6">
      <w:pPr>
        <w:pStyle w:val="Paragraph"/>
      </w:pPr>
      <w:r w:rsidRPr="005C7C89">
        <w:t xml:space="preserve">The potential irregularities relating to the BSP were evident when the Tribunal made its </w:t>
      </w:r>
      <w:r w:rsidR="00E2551A">
        <w:t xml:space="preserve">2019 </w:t>
      </w:r>
      <w:r w:rsidRPr="005C7C89">
        <w:t>Determination.</w:t>
      </w:r>
    </w:p>
    <w:p w14:paraId="1BB429AC" w14:textId="3255693A" w:rsidR="003E2BE5" w:rsidRPr="000740FC" w:rsidRDefault="42E2744D" w:rsidP="00B33183">
      <w:pPr>
        <w:pStyle w:val="Paragraph"/>
      </w:pPr>
      <w:r>
        <w:t>The data which should be used for each of the indexation formula</w:t>
      </w:r>
      <w:r w:rsidR="00E31BF1">
        <w:t>e</w:t>
      </w:r>
      <w:r>
        <w:t xml:space="preserve"> is that available as at 15 June each year, consistent with the 2019 Determination of the Tribunal. If necessary, t</w:t>
      </w:r>
      <w:r w:rsidR="30C49D6E">
        <w:t>his matter</w:t>
      </w:r>
      <w:r w:rsidR="43D20B29">
        <w:t xml:space="preserve"> could be c</w:t>
      </w:r>
      <w:r w:rsidR="33E927B6">
        <w:t>lari</w:t>
      </w:r>
      <w:r w:rsidR="43D20B29">
        <w:t>fied</w:t>
      </w:r>
      <w:r w:rsidR="2CADD6DB">
        <w:t xml:space="preserve"> through</w:t>
      </w:r>
      <w:r w:rsidR="33E927B6">
        <w:t xml:space="preserve"> guidance</w:t>
      </w:r>
      <w:r w:rsidR="2CADD6DB">
        <w:t xml:space="preserve"> issued</w:t>
      </w:r>
      <w:r w:rsidR="33E927B6">
        <w:t xml:space="preserve"> to </w:t>
      </w:r>
      <w:r w:rsidR="00CE357A">
        <w:t>the Department of Parliamentary Services</w:t>
      </w:r>
      <w:r w:rsidR="33E927B6">
        <w:t xml:space="preserve"> or </w:t>
      </w:r>
      <w:r w:rsidR="062C51A0">
        <w:t>legislation</w:t>
      </w:r>
      <w:r w:rsidR="33E927B6">
        <w:t xml:space="preserve">. For example, </w:t>
      </w:r>
      <w:r w:rsidR="7A897A91">
        <w:t>section 10 of the PSAS Act</w:t>
      </w:r>
      <w:r w:rsidR="33E927B6">
        <w:t xml:space="preserve"> could be amended</w:t>
      </w:r>
      <w:r w:rsidR="7A897A91">
        <w:t xml:space="preserve"> to </w:t>
      </w:r>
      <w:r w:rsidR="33E927B6">
        <w:t>be</w:t>
      </w:r>
      <w:r w:rsidR="544FBD6F">
        <w:t xml:space="preserve"> consistent with </w:t>
      </w:r>
      <w:r w:rsidR="33E927B6">
        <w:t xml:space="preserve">the </w:t>
      </w:r>
      <w:r w:rsidR="544FBD6F">
        <w:t>indexation method provided in the 2019 Determination, by specifying</w:t>
      </w:r>
      <w:r w:rsidR="7A897A91">
        <w:t xml:space="preserve"> that the most recent data available as at 15 June should be used. An advantage of this approach is that it avoids the need for indexation changes being applied retrospectively, as it ensures that the new value of the BSP for each financial year can be calculated before the start of that financial year.</w:t>
      </w:r>
      <w:r w:rsidR="3900377F">
        <w:t xml:space="preserve"> Alternatively, consideration could be given to whether </w:t>
      </w:r>
      <w:r w:rsidR="7BCB4515">
        <w:t>regulations c</w:t>
      </w:r>
      <w:r w:rsidR="60CA331C">
        <w:t>an</w:t>
      </w:r>
      <w:r w:rsidR="7BCB4515">
        <w:t xml:space="preserve"> be made </w:t>
      </w:r>
      <w:r w:rsidR="3900377F">
        <w:t>under section 25 of the PSAS Act</w:t>
      </w:r>
      <w:r w:rsidR="7567D77C">
        <w:t xml:space="preserve"> to clarify this matter</w:t>
      </w:r>
      <w:r w:rsidR="3900377F">
        <w:t>.</w:t>
      </w:r>
      <w:r w:rsidR="0268062E">
        <w:t xml:space="preserve"> </w:t>
      </w:r>
    </w:p>
    <w:p w14:paraId="3618F8EC" w14:textId="090B432F" w:rsidR="00BF2BB7" w:rsidRPr="000740FC" w:rsidRDefault="00CE357A" w:rsidP="00B33183">
      <w:pPr>
        <w:pStyle w:val="Paragraph"/>
      </w:pPr>
      <w:r>
        <w:t>The Department of Parliamentary Services</w:t>
      </w:r>
      <w:r w:rsidR="42E2744D">
        <w:t xml:space="preserve"> also submitted </w:t>
      </w:r>
      <w:r w:rsidR="28CFC231">
        <w:t xml:space="preserve">that </w:t>
      </w:r>
      <w:r w:rsidR="7A897A91">
        <w:t xml:space="preserve">the Tribunal should recommend that a single indexation method be introduced to simplify the administration of the indexation of the </w:t>
      </w:r>
      <w:r w:rsidR="1E87A838">
        <w:t>BSP</w:t>
      </w:r>
      <w:r w:rsidR="7A897A91">
        <w:t>.</w:t>
      </w:r>
    </w:p>
    <w:p w14:paraId="248B36B2" w14:textId="6B956611" w:rsidR="008F1971" w:rsidRPr="000740FC" w:rsidRDefault="00BF2BB7" w:rsidP="00B33183">
      <w:pPr>
        <w:pStyle w:val="Paragraph"/>
      </w:pPr>
      <w:r w:rsidRPr="000740FC">
        <w:t xml:space="preserve">The Tribunal considers there should be no changes to indexation arrangements. The current method, which takes into account both CPI </w:t>
      </w:r>
      <w:r w:rsidR="00B653D3">
        <w:t>and</w:t>
      </w:r>
      <w:r w:rsidRPr="000740FC">
        <w:t xml:space="preserve"> AWOTE, ensures the pension keeps pace with broad changes in community living standards reflected by prices and wages</w:t>
      </w:r>
      <w:r w:rsidR="00C63A4B" w:rsidRPr="000740FC">
        <w:t>, and reflects the Parliament’s intention when introducing the BSP</w:t>
      </w:r>
      <w:r w:rsidRPr="000740FC">
        <w:t>. It also ensures that the pension continues to be appropriately indexed in periods of abnormally low inflation or wage growth (e.g. such as</w:t>
      </w:r>
      <w:r w:rsidR="002B6E0E">
        <w:t xml:space="preserve"> the</w:t>
      </w:r>
      <w:r w:rsidRPr="000740FC">
        <w:t xml:space="preserve"> </w:t>
      </w:r>
      <w:r w:rsidR="00663185">
        <w:br/>
      </w:r>
      <w:r w:rsidRPr="000740FC">
        <w:t>2020</w:t>
      </w:r>
      <w:r w:rsidR="00ED7E0E" w:rsidRPr="000740FC">
        <w:noBreakHyphen/>
      </w:r>
      <w:r w:rsidRPr="000740FC">
        <w:t>21 financial year, for which headline inflation was negative 0.3 per cent).</w:t>
      </w:r>
      <w:r w:rsidRPr="000740FC">
        <w:rPr>
          <w:rStyle w:val="FootnoteReference"/>
        </w:rPr>
        <w:footnoteReference w:id="79"/>
      </w:r>
      <w:r w:rsidRPr="000740FC">
        <w:t xml:space="preserve"> This is broadly consistent with the approach used for the Commonwealth </w:t>
      </w:r>
      <w:r w:rsidR="00A72AD9">
        <w:t>A</w:t>
      </w:r>
      <w:r w:rsidRPr="000740FC">
        <w:t xml:space="preserve">ge </w:t>
      </w:r>
      <w:r w:rsidR="00A72AD9">
        <w:t>P</w:t>
      </w:r>
      <w:r w:rsidRPr="000740FC">
        <w:t>ension, which is indexed based on</w:t>
      </w:r>
      <w:r w:rsidR="004D1148">
        <w:t xml:space="preserve"> the</w:t>
      </w:r>
      <w:r w:rsidRPr="000740FC">
        <w:t xml:space="preserve"> CPI and also benchmarked against Male Total Average Weekly Earnings.</w:t>
      </w:r>
      <w:r w:rsidRPr="000740FC">
        <w:rPr>
          <w:rStyle w:val="FootnoteReference"/>
        </w:rPr>
        <w:footnoteReference w:id="80"/>
      </w:r>
    </w:p>
    <w:p w14:paraId="26CA505E" w14:textId="5D541CEA" w:rsidR="00A77467" w:rsidRPr="000740FC" w:rsidRDefault="0064416E" w:rsidP="001F1829">
      <w:pPr>
        <w:pStyle w:val="VIRTHeading2"/>
        <w:rPr>
          <w:lang w:val="en-AU"/>
        </w:rPr>
      </w:pPr>
      <w:bookmarkStart w:id="98" w:name="_Toc50990441"/>
      <w:bookmarkStart w:id="99" w:name="_Toc51234150"/>
      <w:r w:rsidRPr="000740FC">
        <w:rPr>
          <w:lang w:val="en-AU"/>
        </w:rPr>
        <w:lastRenderedPageBreak/>
        <w:t>7</w:t>
      </w:r>
      <w:r w:rsidR="0076484A" w:rsidRPr="000740FC">
        <w:rPr>
          <w:lang w:val="en-AU"/>
        </w:rPr>
        <w:t xml:space="preserve">.2 </w:t>
      </w:r>
      <w:r w:rsidR="00D7676C" w:rsidRPr="000740FC">
        <w:rPr>
          <w:lang w:val="en-AU"/>
        </w:rPr>
        <w:t>Potential i</w:t>
      </w:r>
      <w:r w:rsidR="00A77467" w:rsidRPr="000740FC">
        <w:rPr>
          <w:lang w:val="en-AU"/>
        </w:rPr>
        <w:t>rregularities related to Commonwealth legislation</w:t>
      </w:r>
      <w:bookmarkEnd w:id="98"/>
      <w:bookmarkEnd w:id="99"/>
    </w:p>
    <w:p w14:paraId="3AC544A9" w14:textId="4C81EC75" w:rsidR="004755A7" w:rsidRPr="000740FC" w:rsidRDefault="004755A7" w:rsidP="00B33183">
      <w:pPr>
        <w:pStyle w:val="Paragraph"/>
      </w:pPr>
      <w:r w:rsidRPr="000740FC">
        <w:t xml:space="preserve">The operation of Victoria’s MP superannuation schemes is affected by </w:t>
      </w:r>
      <w:r w:rsidR="1456B911" w:rsidRPr="000740FC">
        <w:t>Commonwealth</w:t>
      </w:r>
      <w:r w:rsidRPr="000740FC">
        <w:t xml:space="preserve"> legislation</w:t>
      </w:r>
      <w:r w:rsidR="00882CBD">
        <w:t xml:space="preserve"> —</w:t>
      </w:r>
      <w:r w:rsidRPr="000740FC">
        <w:t xml:space="preserve"> </w:t>
      </w:r>
      <w:r w:rsidR="00882CBD">
        <w:t>i</w:t>
      </w:r>
      <w:r w:rsidRPr="000740FC">
        <w:t xml:space="preserve">n particular, </w:t>
      </w:r>
      <w:r w:rsidR="00AA44A8">
        <w:t xml:space="preserve">the </w:t>
      </w:r>
      <w:r w:rsidRPr="000740FC">
        <w:t xml:space="preserve">caps and taxes that apply to </w:t>
      </w:r>
      <w:r w:rsidR="00AA44A8">
        <w:t xml:space="preserve">superannuation </w:t>
      </w:r>
      <w:r w:rsidRPr="000740FC">
        <w:t xml:space="preserve">contributions and benefits. These caps and taxes are explained in detail in </w:t>
      </w:r>
      <w:r w:rsidR="006C7DE9">
        <w:t>a</w:t>
      </w:r>
      <w:r w:rsidRPr="000740FC">
        <w:t xml:space="preserve">ppendix C. </w:t>
      </w:r>
    </w:p>
    <w:p w14:paraId="3CE7D7DE" w14:textId="216ABCAB" w:rsidR="004755A7" w:rsidRPr="002D15CC" w:rsidRDefault="004755A7" w:rsidP="00B33183">
      <w:pPr>
        <w:pStyle w:val="Parabeforeabulletlist"/>
      </w:pPr>
      <w:r w:rsidRPr="002D15CC">
        <w:t xml:space="preserve">The interaction of these caps and taxes and the rules of the MP superannuation schemes give rise to potential irregularities for existing MPs in both the New Benefits Scheme and </w:t>
      </w:r>
      <w:r w:rsidR="006C7DE9">
        <w:t xml:space="preserve">the </w:t>
      </w:r>
      <w:r w:rsidRPr="002D15CC">
        <w:t>accumulation scheme. These relate to:</w:t>
      </w:r>
    </w:p>
    <w:p w14:paraId="25513CA3" w14:textId="77777777" w:rsidR="00C1137F" w:rsidRPr="000740FC" w:rsidRDefault="79EBF9FE" w:rsidP="0046477F">
      <w:pPr>
        <w:pStyle w:val="VIRTBulletpoints"/>
      </w:pPr>
      <w:r w:rsidRPr="000740FC">
        <w:t xml:space="preserve">the </w:t>
      </w:r>
      <w:r w:rsidR="005E302E" w:rsidRPr="000740FC">
        <w:t>impact</w:t>
      </w:r>
      <w:r w:rsidR="00C1137F" w:rsidRPr="000740FC">
        <w:t xml:space="preserve"> of the concessional contributions cap on MPs in the accumulation scheme</w:t>
      </w:r>
    </w:p>
    <w:p w14:paraId="74699F13" w14:textId="1EBF6EFE" w:rsidR="005E302E" w:rsidRPr="000740FC" w:rsidRDefault="0CF81714" w:rsidP="0046477F">
      <w:pPr>
        <w:pStyle w:val="VIRTBulletpoints"/>
      </w:pPr>
      <w:bookmarkStart w:id="100" w:name="_Toc40777653"/>
      <w:r w:rsidRPr="000740FC">
        <w:t xml:space="preserve">the </w:t>
      </w:r>
      <w:r w:rsidR="00754657" w:rsidRPr="000740FC">
        <w:t xml:space="preserve">effect of superannuation balance limits on </w:t>
      </w:r>
      <w:r w:rsidR="0009657D" w:rsidRPr="000740FC">
        <w:t>MPs in the New Benefits Scheme</w:t>
      </w:r>
      <w:bookmarkEnd w:id="100"/>
      <w:r w:rsidR="0009657D" w:rsidRPr="000740FC">
        <w:t>.</w:t>
      </w:r>
    </w:p>
    <w:p w14:paraId="2F0477B2" w14:textId="6C12F5D1" w:rsidR="001F78E3" w:rsidRPr="000740FC" w:rsidRDefault="00C01F45" w:rsidP="001B567C">
      <w:pPr>
        <w:pStyle w:val="VIRTHeading3"/>
        <w:rPr>
          <w:lang w:val="en-AU"/>
        </w:rPr>
      </w:pPr>
      <w:r w:rsidRPr="000740FC">
        <w:rPr>
          <w:lang w:val="en-AU"/>
        </w:rPr>
        <w:t>Impact of the concessional contributions cap on MPs in the accumulation scheme</w:t>
      </w:r>
    </w:p>
    <w:p w14:paraId="48030534" w14:textId="77777777" w:rsidR="001D75CB" w:rsidRPr="000740FC" w:rsidRDefault="001D75CB" w:rsidP="00B33183">
      <w:pPr>
        <w:pStyle w:val="Paragraph"/>
      </w:pPr>
      <w:r w:rsidRPr="000740FC">
        <w:t>MPs in the accumulation scheme are entitled to receive superannuation contributions equal to the ‘prescribed percentage’ (currently 15.5 per cent) of the basic salary and additional salary (if any). As at 1 July 2020, this means that an existing MP who does not hold a specified parliamentary office would receive annual contributions of $28,274. These are treated as ‘concessional’ contributions for taxation purposes.</w:t>
      </w:r>
    </w:p>
    <w:p w14:paraId="36EB80E5" w14:textId="17BD34F9" w:rsidR="00087F37" w:rsidRPr="000740FC" w:rsidRDefault="001D75CB" w:rsidP="00B33183">
      <w:pPr>
        <w:pStyle w:val="Paragraph"/>
      </w:pPr>
      <w:r w:rsidRPr="000740FC">
        <w:t xml:space="preserve">The </w:t>
      </w:r>
      <w:r w:rsidR="00C63A4B" w:rsidRPr="000740FC">
        <w:rPr>
          <w:rFonts w:eastAsia="Calibri Light" w:cs="Calibri Light"/>
        </w:rPr>
        <w:t xml:space="preserve">Australian </w:t>
      </w:r>
      <w:r w:rsidRPr="000740FC">
        <w:rPr>
          <w:rFonts w:eastAsia="Calibri Light" w:cs="Calibri Light"/>
        </w:rPr>
        <w:t>Government</w:t>
      </w:r>
      <w:r w:rsidR="062E9575" w:rsidRPr="000740FC">
        <w:t xml:space="preserve"> sets a</w:t>
      </w:r>
      <w:r w:rsidR="001F78E3" w:rsidRPr="000740FC">
        <w:t xml:space="preserve"> cap on the amount of concessional contributions an individual</w:t>
      </w:r>
      <w:r w:rsidR="008F19A6" w:rsidRPr="000740FC">
        <w:t>’s superannuation account(s)</w:t>
      </w:r>
      <w:r w:rsidR="001F78E3" w:rsidRPr="000740FC">
        <w:t xml:space="preserve"> can receive in a given financial year. For the 2020-21 financial year, the </w:t>
      </w:r>
      <w:r w:rsidR="721ECAE3" w:rsidRPr="000740FC">
        <w:rPr>
          <w:rFonts w:eastAsia="Calibri Light" w:cs="Calibri Light"/>
        </w:rPr>
        <w:t xml:space="preserve">concessional contributions </w:t>
      </w:r>
      <w:r w:rsidR="001F78E3" w:rsidRPr="000740FC">
        <w:t>cap is equal to $25,000</w:t>
      </w:r>
      <w:r w:rsidR="00CA3A05" w:rsidRPr="000740FC">
        <w:t>.</w:t>
      </w:r>
      <w:r w:rsidR="009C2387" w:rsidRPr="000740FC">
        <w:rPr>
          <w:rStyle w:val="FootnoteReference"/>
        </w:rPr>
        <w:footnoteReference w:id="81"/>
      </w:r>
    </w:p>
    <w:p w14:paraId="03BCA557" w14:textId="47906EE8" w:rsidR="001F78E3" w:rsidRPr="000740FC" w:rsidRDefault="001F78E3" w:rsidP="00B33183">
      <w:pPr>
        <w:pStyle w:val="Paragraph"/>
      </w:pPr>
      <w:r w:rsidRPr="000740FC">
        <w:t xml:space="preserve">Amounts up to </w:t>
      </w:r>
      <w:r w:rsidR="00087F37" w:rsidRPr="000740FC">
        <w:t xml:space="preserve">the </w:t>
      </w:r>
      <w:r w:rsidRPr="000740FC">
        <w:t>cap are</w:t>
      </w:r>
      <w:r w:rsidR="00087F37" w:rsidRPr="000740FC">
        <w:t xml:space="preserve"> ordinarily</w:t>
      </w:r>
      <w:r w:rsidRPr="000740FC">
        <w:t xml:space="preserve"> taxed at a rate of 15 per cent in the superannuation fund</w:t>
      </w:r>
      <w:r w:rsidR="00087F37" w:rsidRPr="000740FC">
        <w:t xml:space="preserve">, although some high-income earners may have </w:t>
      </w:r>
      <w:r w:rsidR="0084144E" w:rsidRPr="000740FC">
        <w:t xml:space="preserve">to </w:t>
      </w:r>
      <w:r w:rsidR="00087F37" w:rsidRPr="000740FC">
        <w:t>pay additional tax, known as Division 293 tax (</w:t>
      </w:r>
      <w:r w:rsidR="009D58F6">
        <w:t>a</w:t>
      </w:r>
      <w:r w:rsidR="00087F37" w:rsidRPr="000740FC">
        <w:t>pp</w:t>
      </w:r>
      <w:r w:rsidR="00087F37" w:rsidRPr="00E91897">
        <w:t>endix C)</w:t>
      </w:r>
      <w:r w:rsidRPr="00E91897">
        <w:t xml:space="preserve">. </w:t>
      </w:r>
      <w:r w:rsidR="00087F37" w:rsidRPr="00E91897">
        <w:t>A</w:t>
      </w:r>
      <w:r w:rsidRPr="00E91897">
        <w:t>mounts</w:t>
      </w:r>
      <w:r w:rsidRPr="000740FC">
        <w:t xml:space="preserve"> over the cap are deemed to be ‘excess concessional contributions’ </w:t>
      </w:r>
      <w:r w:rsidR="552EDD70" w:rsidRPr="000740FC">
        <w:t xml:space="preserve">and </w:t>
      </w:r>
      <w:r w:rsidRPr="000740FC">
        <w:t xml:space="preserve">are included in the MP’s assessable income and </w:t>
      </w:r>
      <w:r w:rsidR="001D75CB" w:rsidRPr="000740FC">
        <w:t>then incur an additional tax charge.</w:t>
      </w:r>
    </w:p>
    <w:p w14:paraId="771FAD67" w14:textId="77777777" w:rsidR="00BF22FC" w:rsidRPr="000740FC" w:rsidRDefault="00BF22FC" w:rsidP="00B33183">
      <w:pPr>
        <w:pStyle w:val="Parabeforeabulletlist"/>
      </w:pPr>
      <w:r w:rsidRPr="000740FC">
        <w:lastRenderedPageBreak/>
        <w:t>Following amendments to the PSAS Act in 2019, MPs who are members of the accumulation scheme may be required to choose between either:</w:t>
      </w:r>
    </w:p>
    <w:p w14:paraId="154C4E78" w14:textId="77777777" w:rsidR="008C25DA" w:rsidRPr="000740FC" w:rsidRDefault="008C25DA" w:rsidP="0046477F">
      <w:pPr>
        <w:pStyle w:val="VIRTBulletpoints"/>
      </w:pPr>
      <w:r w:rsidRPr="000740FC">
        <w:t>the State paying the full superannuation contribution to their nominated fund, such that the MP is liable for additional tax; or</w:t>
      </w:r>
    </w:p>
    <w:p w14:paraId="2B6B036C" w14:textId="77777777" w:rsidR="00BF22FC" w:rsidRPr="000740FC" w:rsidRDefault="008C25DA" w:rsidP="0046477F">
      <w:pPr>
        <w:pStyle w:val="VIRTBulletpoints"/>
      </w:pPr>
      <w:r w:rsidRPr="000740FC">
        <w:t>the State paying a reduced superannuation contribution to the MP’s nominated fund (which is at a level that avoids additional tax being payable) and the MP forfeiting their entitlement to that contribution.</w:t>
      </w:r>
    </w:p>
    <w:p w14:paraId="436F180E" w14:textId="5AF78D5A" w:rsidR="008F19A6" w:rsidRPr="000740FC" w:rsidRDefault="005C3C66" w:rsidP="00B33183">
      <w:pPr>
        <w:pStyle w:val="Paragraph"/>
      </w:pPr>
      <w:r w:rsidRPr="000740FC">
        <w:t xml:space="preserve">In </w:t>
      </w:r>
      <w:r w:rsidR="00572F0D" w:rsidRPr="000740FC">
        <w:t>contrast</w:t>
      </w:r>
      <w:r w:rsidRPr="000740FC">
        <w:t>,</w:t>
      </w:r>
      <w:r w:rsidR="00572F0D" w:rsidRPr="000740FC">
        <w:t xml:space="preserve"> </w:t>
      </w:r>
      <w:r w:rsidR="00124FEE" w:rsidRPr="000740FC">
        <w:t xml:space="preserve">Victorian public sector executives and </w:t>
      </w:r>
      <w:r w:rsidR="00572F0D" w:rsidRPr="000740FC">
        <w:t xml:space="preserve">similarly paid individuals in the private sector </w:t>
      </w:r>
      <w:r w:rsidR="001B282B" w:rsidRPr="000740FC">
        <w:t xml:space="preserve">ordinarily </w:t>
      </w:r>
      <w:r w:rsidR="00A1217D" w:rsidRPr="000740FC">
        <w:t xml:space="preserve">have greater control over how their </w:t>
      </w:r>
      <w:r w:rsidR="00572F0D" w:rsidRPr="000740FC">
        <w:t>total remuneration package</w:t>
      </w:r>
      <w:r w:rsidR="00AC3132" w:rsidRPr="000740FC">
        <w:t xml:space="preserve"> </w:t>
      </w:r>
      <w:r w:rsidR="00A1217D" w:rsidRPr="000740FC">
        <w:t xml:space="preserve">is structured. </w:t>
      </w:r>
      <w:r w:rsidR="00C44031" w:rsidRPr="000740FC">
        <w:t xml:space="preserve">For example, they may </w:t>
      </w:r>
      <w:r w:rsidR="002333C8" w:rsidRPr="000740FC">
        <w:t>request that superannuation contributions that would exceed the concessional contributions cap are instead paid as salary.</w:t>
      </w:r>
    </w:p>
    <w:p w14:paraId="17FAB86A" w14:textId="77777777" w:rsidR="001D75CB" w:rsidRPr="000740FC" w:rsidRDefault="001D75CB" w:rsidP="00B33183">
      <w:pPr>
        <w:pStyle w:val="Paragraph"/>
      </w:pPr>
      <w:r w:rsidRPr="000740FC">
        <w:t>The Tribunal identified the following options for addressing this issue:</w:t>
      </w:r>
    </w:p>
    <w:p w14:paraId="0881807F" w14:textId="5F8BC5C7" w:rsidR="00472141" w:rsidRPr="000740FC" w:rsidRDefault="006C1E3E" w:rsidP="0046477F">
      <w:pPr>
        <w:pStyle w:val="VIRTBulletpoints"/>
        <w:rPr>
          <w:lang w:eastAsia="en-AU"/>
        </w:rPr>
      </w:pPr>
      <w:r w:rsidRPr="000740FC">
        <w:rPr>
          <w:lang w:eastAsia="en-AU"/>
        </w:rPr>
        <w:t>allowing</w:t>
      </w:r>
      <w:r w:rsidR="00472141" w:rsidRPr="000740FC">
        <w:rPr>
          <w:lang w:eastAsia="en-AU"/>
        </w:rPr>
        <w:t xml:space="preserve"> MPs </w:t>
      </w:r>
      <w:r w:rsidRPr="000740FC">
        <w:rPr>
          <w:lang w:eastAsia="en-AU"/>
        </w:rPr>
        <w:t>to nominate that</w:t>
      </w:r>
      <w:r w:rsidR="00C313FE" w:rsidRPr="000740FC">
        <w:rPr>
          <w:lang w:eastAsia="en-AU"/>
        </w:rPr>
        <w:t xml:space="preserve"> </w:t>
      </w:r>
      <w:r w:rsidR="008D3AF2" w:rsidRPr="000740FC">
        <w:rPr>
          <w:lang w:eastAsia="en-AU"/>
        </w:rPr>
        <w:t xml:space="preserve">any </w:t>
      </w:r>
      <w:r w:rsidR="00C313FE" w:rsidRPr="000740FC">
        <w:rPr>
          <w:lang w:eastAsia="en-AU"/>
        </w:rPr>
        <w:t>entitlements</w:t>
      </w:r>
      <w:r w:rsidRPr="000740FC">
        <w:rPr>
          <w:lang w:eastAsia="en-AU"/>
        </w:rPr>
        <w:t xml:space="preserve"> </w:t>
      </w:r>
      <w:r w:rsidR="00C313FE" w:rsidRPr="000740FC">
        <w:rPr>
          <w:lang w:eastAsia="en-AU"/>
        </w:rPr>
        <w:t>in excess of the</w:t>
      </w:r>
      <w:r w:rsidRPr="000740FC">
        <w:rPr>
          <w:lang w:eastAsia="en-AU"/>
        </w:rPr>
        <w:t xml:space="preserve"> concessional contributions </w:t>
      </w:r>
      <w:r w:rsidR="002F1831" w:rsidRPr="000740FC">
        <w:rPr>
          <w:lang w:eastAsia="en-AU"/>
        </w:rPr>
        <w:t>cap are</w:t>
      </w:r>
      <w:r w:rsidR="00472141" w:rsidRPr="000740FC">
        <w:rPr>
          <w:lang w:eastAsia="en-AU"/>
        </w:rPr>
        <w:t xml:space="preserve"> </w:t>
      </w:r>
      <w:r w:rsidR="00BD243C" w:rsidRPr="000740FC">
        <w:rPr>
          <w:lang w:eastAsia="en-AU"/>
        </w:rPr>
        <w:t xml:space="preserve">instead </w:t>
      </w:r>
      <w:r w:rsidR="002F1831" w:rsidRPr="000740FC">
        <w:rPr>
          <w:lang w:eastAsia="en-AU"/>
        </w:rPr>
        <w:t>placed</w:t>
      </w:r>
      <w:r w:rsidR="00472141" w:rsidRPr="000740FC">
        <w:rPr>
          <w:lang w:eastAsia="en-AU"/>
        </w:rPr>
        <w:t xml:space="preserve"> into</w:t>
      </w:r>
      <w:r w:rsidR="00BD243C" w:rsidRPr="000740FC">
        <w:rPr>
          <w:lang w:eastAsia="en-AU"/>
        </w:rPr>
        <w:t xml:space="preserve"> their nominated </w:t>
      </w:r>
      <w:r w:rsidR="00472141" w:rsidRPr="000740FC">
        <w:rPr>
          <w:lang w:eastAsia="en-AU"/>
        </w:rPr>
        <w:t>super</w:t>
      </w:r>
      <w:r w:rsidR="00BD243C" w:rsidRPr="000740FC">
        <w:rPr>
          <w:lang w:eastAsia="en-AU"/>
        </w:rPr>
        <w:t>annuation account</w:t>
      </w:r>
      <w:r w:rsidR="00472141" w:rsidRPr="000740FC">
        <w:rPr>
          <w:lang w:eastAsia="en-AU"/>
        </w:rPr>
        <w:t xml:space="preserve"> as non-concessional contributions</w:t>
      </w:r>
      <w:r w:rsidR="00A05B03">
        <w:rPr>
          <w:lang w:eastAsia="en-AU"/>
        </w:rPr>
        <w:t>;</w:t>
      </w:r>
      <w:r w:rsidR="0064416E" w:rsidRPr="000740FC">
        <w:rPr>
          <w:lang w:eastAsia="en-AU"/>
        </w:rPr>
        <w:t xml:space="preserve"> or</w:t>
      </w:r>
    </w:p>
    <w:p w14:paraId="6B2B2E46" w14:textId="77777777" w:rsidR="0064416E" w:rsidRPr="000740FC" w:rsidRDefault="002F1831" w:rsidP="0046477F">
      <w:pPr>
        <w:pStyle w:val="VIRTBulletpoints"/>
      </w:pPr>
      <w:r w:rsidRPr="000740FC">
        <w:rPr>
          <w:lang w:eastAsia="en-AU"/>
        </w:rPr>
        <w:t xml:space="preserve">allowing MPs to nominate that </w:t>
      </w:r>
      <w:r w:rsidR="008D3AF2" w:rsidRPr="000740FC">
        <w:rPr>
          <w:lang w:eastAsia="en-AU"/>
        </w:rPr>
        <w:t xml:space="preserve">any </w:t>
      </w:r>
      <w:r w:rsidR="00C313FE" w:rsidRPr="000740FC">
        <w:rPr>
          <w:lang w:eastAsia="en-AU"/>
        </w:rPr>
        <w:t xml:space="preserve">entitlements in excess of the concessional </w:t>
      </w:r>
      <w:r w:rsidR="008D3AF2" w:rsidRPr="000740FC">
        <w:rPr>
          <w:lang w:eastAsia="en-AU"/>
        </w:rPr>
        <w:t>contributions</w:t>
      </w:r>
      <w:r w:rsidR="00C313FE" w:rsidRPr="000740FC">
        <w:rPr>
          <w:lang w:eastAsia="en-AU"/>
        </w:rPr>
        <w:t xml:space="preserve"> cap are instead</w:t>
      </w:r>
      <w:r w:rsidRPr="000740FC">
        <w:rPr>
          <w:lang w:eastAsia="en-AU"/>
        </w:rPr>
        <w:t xml:space="preserve"> </w:t>
      </w:r>
      <w:r w:rsidR="008D3AF2" w:rsidRPr="000740FC">
        <w:rPr>
          <w:lang w:eastAsia="en-AU"/>
        </w:rPr>
        <w:t>paid to them as salary.</w:t>
      </w:r>
    </w:p>
    <w:p w14:paraId="10F61F9B" w14:textId="0AFB886F" w:rsidR="00BD243C" w:rsidRPr="000740FC" w:rsidRDefault="00FC77A4" w:rsidP="00B33183">
      <w:pPr>
        <w:pStyle w:val="Paragraph"/>
      </w:pPr>
      <w:r>
        <w:t>However, the Tribunal did not receive an</w:t>
      </w:r>
      <w:r w:rsidR="003F2C52">
        <w:t>y</w:t>
      </w:r>
      <w:r>
        <w:t xml:space="preserve"> </w:t>
      </w:r>
      <w:r w:rsidRPr="005C7C89">
        <w:t xml:space="preserve">submissions </w:t>
      </w:r>
      <w:r w:rsidR="00CB6DDF" w:rsidRPr="005C7C89">
        <w:t>suggesting changes to address</w:t>
      </w:r>
      <w:r w:rsidRPr="005C7C89">
        <w:t xml:space="preserve"> this issue</w:t>
      </w:r>
      <w:r w:rsidR="005C7C89" w:rsidRPr="005C7C89">
        <w:t xml:space="preserve">. </w:t>
      </w:r>
      <w:r w:rsidR="0064416E" w:rsidRPr="005C7C89">
        <w:t xml:space="preserve">If </w:t>
      </w:r>
      <w:r w:rsidRPr="005C7C89">
        <w:t xml:space="preserve">it is </w:t>
      </w:r>
      <w:r w:rsidR="0064416E" w:rsidRPr="005C7C89">
        <w:t>consider</w:t>
      </w:r>
      <w:r w:rsidRPr="005C7C89">
        <w:t>ed that</w:t>
      </w:r>
      <w:r w:rsidR="0064416E" w:rsidRPr="005C7C89">
        <w:t xml:space="preserve"> </w:t>
      </w:r>
      <w:r w:rsidR="605DDA1F" w:rsidRPr="005C7C89">
        <w:t>this potential irregularity</w:t>
      </w:r>
      <w:r w:rsidR="605DDA1F" w:rsidRPr="000740FC">
        <w:t xml:space="preserve"> should be addressed</w:t>
      </w:r>
      <w:r w:rsidR="0064416E" w:rsidRPr="000740FC">
        <w:t xml:space="preserve">, further analysis may be required on the </w:t>
      </w:r>
      <w:r w:rsidR="481FBAD1" w:rsidRPr="000740FC">
        <w:t xml:space="preserve">appropriate legislative mechanism and </w:t>
      </w:r>
      <w:r w:rsidR="0064416E" w:rsidRPr="000740FC">
        <w:t xml:space="preserve">tax implications </w:t>
      </w:r>
      <w:r w:rsidR="001D75CB" w:rsidRPr="000740FC">
        <w:t xml:space="preserve">for individual MPs </w:t>
      </w:r>
      <w:r w:rsidR="0064416E" w:rsidRPr="000740FC">
        <w:t>of making the preferred change.</w:t>
      </w:r>
      <w:r w:rsidR="00A1243B" w:rsidRPr="000740FC">
        <w:t xml:space="preserve"> As the second option may lead to some MPs choosing to reduce their superannuation entitlements, further consideration and analysis should be undertaken as to the effect that would have on MP retirement outcomes. </w:t>
      </w:r>
    </w:p>
    <w:p w14:paraId="2C898E81" w14:textId="00587F78" w:rsidR="0042550B" w:rsidRPr="000740FC" w:rsidRDefault="0042550B" w:rsidP="00773712">
      <w:pPr>
        <w:pStyle w:val="VIRTHeading3"/>
        <w:rPr>
          <w:lang w:val="en-AU"/>
        </w:rPr>
      </w:pPr>
      <w:r w:rsidRPr="000740FC">
        <w:rPr>
          <w:lang w:val="en-AU"/>
        </w:rPr>
        <w:t xml:space="preserve">Impact of </w:t>
      </w:r>
      <w:r w:rsidR="009A6B5C" w:rsidRPr="000740FC">
        <w:rPr>
          <w:lang w:val="en-AU"/>
        </w:rPr>
        <w:t>total superannuation balance limit on MPs in the defined benefit scheme</w:t>
      </w:r>
    </w:p>
    <w:p w14:paraId="53EBAF4E" w14:textId="7F4729A3" w:rsidR="009A6B5C" w:rsidRPr="000740FC" w:rsidRDefault="00EA17C7" w:rsidP="00B33183">
      <w:pPr>
        <w:pStyle w:val="Paragraph"/>
      </w:pPr>
      <w:r w:rsidRPr="000740FC">
        <w:t>Existing</w:t>
      </w:r>
      <w:r w:rsidR="009A6B5C" w:rsidRPr="000740FC">
        <w:t xml:space="preserve"> MPs in the defined benefit schemes are required to make non</w:t>
      </w:r>
      <w:r w:rsidR="00B62D53">
        <w:noBreakHyphen/>
      </w:r>
      <w:r w:rsidRPr="000740FC">
        <w:t>concessional (i.e.</w:t>
      </w:r>
      <w:r w:rsidR="009A6B5C" w:rsidRPr="000740FC">
        <w:t xml:space="preserve"> after-tax) contributions to the Parliamentary Contributory Superannuation Fund (PCSF).</w:t>
      </w:r>
      <w:r w:rsidR="009A6B5C" w:rsidRPr="000740FC">
        <w:rPr>
          <w:rStyle w:val="FootnoteReference"/>
        </w:rPr>
        <w:footnoteReference w:id="82"/>
      </w:r>
      <w:r w:rsidR="009A6B5C" w:rsidRPr="000740FC">
        <w:t xml:space="preserve"> MPs do not have the option of reducing their contribution rate or making contributions on a concessional (i.e. before-tax) basis.</w:t>
      </w:r>
    </w:p>
    <w:p w14:paraId="13B12532" w14:textId="77777777" w:rsidR="001A5CF4" w:rsidRPr="000740FC" w:rsidRDefault="00377ED0" w:rsidP="00B33183">
      <w:pPr>
        <w:pStyle w:val="Paragraph"/>
      </w:pPr>
      <w:r w:rsidRPr="000740FC">
        <w:lastRenderedPageBreak/>
        <w:t xml:space="preserve">The Commonwealth </w:t>
      </w:r>
      <w:r w:rsidR="2B7C4C84" w:rsidRPr="000740FC">
        <w:t xml:space="preserve">places </w:t>
      </w:r>
      <w:r w:rsidR="216A7F79" w:rsidRPr="000740FC">
        <w:t>a limit</w:t>
      </w:r>
      <w:r w:rsidRPr="000740FC">
        <w:t xml:space="preserve"> on the non-concessional contributions an individual can make each financial year. The non-concessional contributions cap (NCCC) is </w:t>
      </w:r>
      <w:r w:rsidRPr="000740FC">
        <w:rPr>
          <w:rFonts w:eastAsiaTheme="minorEastAsia"/>
        </w:rPr>
        <w:t>$100,000 f</w:t>
      </w:r>
      <w:r w:rsidRPr="000740FC">
        <w:t>or the 2020-21 financial year.</w:t>
      </w:r>
    </w:p>
    <w:p w14:paraId="0DECAB2F" w14:textId="77777777" w:rsidR="001025E3" w:rsidRPr="000740FC" w:rsidRDefault="00147F6C" w:rsidP="00B33183">
      <w:pPr>
        <w:pStyle w:val="Paragraph"/>
      </w:pPr>
      <w:r w:rsidRPr="000740FC">
        <w:t>Ordinarily, the non-concessional contributions that existing MPs in the New Benefits Scheme are required to make will not exceed the NCCC. However, if an MP’s total superannuation balance exceeds a certain threshold ($1.6 million for the 2020-21 financial year) their non-concessional contributions cap is reduced to $0 and they have to pay additional tax equal to 47 per cent of the</w:t>
      </w:r>
      <w:r w:rsidR="34B49936" w:rsidRPr="000740FC">
        <w:t xml:space="preserve"> full value of </w:t>
      </w:r>
      <w:r w:rsidRPr="000740FC">
        <w:t>their contributions.</w:t>
      </w:r>
    </w:p>
    <w:p w14:paraId="4B6FF082" w14:textId="7BF3DB87" w:rsidR="001025E3" w:rsidRPr="000740FC" w:rsidRDefault="00812CF3" w:rsidP="00B33183">
      <w:pPr>
        <w:pStyle w:val="Paragraph"/>
      </w:pPr>
      <w:r w:rsidRPr="000740FC">
        <w:t xml:space="preserve">While MPs in the defined benefit schemes accrue superannuation in a different way to accumulation members, special rules are used to determine their total superannuation balance while they serve in the Parliament. This means they may be deemed to have an equivalent superannuation balance of more than </w:t>
      </w:r>
      <w:r w:rsidR="00086CB7">
        <w:br/>
      </w:r>
      <w:r w:rsidRPr="000740FC">
        <w:t>$1.6 million based on their particular circumstances.</w:t>
      </w:r>
    </w:p>
    <w:p w14:paraId="206A7B2D" w14:textId="77777777" w:rsidR="00EA17C7" w:rsidRPr="000740FC" w:rsidRDefault="00EA17C7" w:rsidP="00B33183">
      <w:pPr>
        <w:pStyle w:val="Paragraph"/>
      </w:pPr>
      <w:r w:rsidRPr="000740FC">
        <w:t>This presents as a potential irregularity affecting MPs in the New Benefits Scheme, as MPs and other Australians in accumulation schemes are ordinarily not forced to make non-concessional contributions, and/or can opt to have excess contributions withdrawn from their fund if they do make them.</w:t>
      </w:r>
    </w:p>
    <w:p w14:paraId="30043FEC" w14:textId="77777777" w:rsidR="00EA17C7" w:rsidRPr="000740FC" w:rsidRDefault="00EA17C7" w:rsidP="00B33183">
      <w:pPr>
        <w:pStyle w:val="Parabeforeabulletlist"/>
      </w:pPr>
      <w:r w:rsidRPr="000740FC">
        <w:t>The Tribunal identified the following options for addressing this issue:</w:t>
      </w:r>
    </w:p>
    <w:p w14:paraId="2E14FAA8" w14:textId="3C8D3C25" w:rsidR="00F361B6" w:rsidRPr="000740FC" w:rsidRDefault="00F361B6" w:rsidP="00F361B6">
      <w:pPr>
        <w:pStyle w:val="VIRTBulletpoints"/>
      </w:pPr>
      <w:r w:rsidRPr="000740FC">
        <w:t>allow affected MPs in the New Benefits Scheme to forgo making contributions and deduct a corresponding amount from their super</w:t>
      </w:r>
      <w:r w:rsidR="009F5F05" w:rsidRPr="000740FC">
        <w:t>annuation</w:t>
      </w:r>
      <w:r w:rsidR="00C001F5" w:rsidRPr="000740FC">
        <w:t xml:space="preserve"> (</w:t>
      </w:r>
      <w:r w:rsidR="00D13431" w:rsidRPr="000740FC">
        <w:t>plus</w:t>
      </w:r>
      <w:r w:rsidR="00C001F5" w:rsidRPr="000740FC">
        <w:t xml:space="preserve"> inte</w:t>
      </w:r>
      <w:r w:rsidR="00CC169D" w:rsidRPr="000740FC">
        <w:t>rest</w:t>
      </w:r>
      <w:r w:rsidR="00D13431" w:rsidRPr="000740FC">
        <w:t>)</w:t>
      </w:r>
      <w:r w:rsidRPr="000740FC">
        <w:t xml:space="preserve"> when they leave the Parliamen</w:t>
      </w:r>
      <w:r w:rsidRPr="000740FC">
        <w:rPr>
          <w:rFonts w:eastAsiaTheme="minorEastAsia"/>
        </w:rPr>
        <w:t>t</w:t>
      </w:r>
      <w:r w:rsidR="27EB0AA2" w:rsidRPr="000740FC">
        <w:rPr>
          <w:rFonts w:eastAsiaTheme="minorEastAsia"/>
        </w:rPr>
        <w:t>, thereby</w:t>
      </w:r>
      <w:r w:rsidR="4B59AB26" w:rsidRPr="000740FC">
        <w:rPr>
          <w:rFonts w:eastAsiaTheme="minorEastAsia"/>
        </w:rPr>
        <w:t xml:space="preserve"> preserving the overall relationship between contributions and superannuation </w:t>
      </w:r>
      <w:r w:rsidR="00B7021F">
        <w:rPr>
          <w:rFonts w:eastAsiaTheme="minorEastAsia"/>
        </w:rPr>
        <w:t>benefits</w:t>
      </w:r>
      <w:r w:rsidR="4B59AB26" w:rsidRPr="000740FC">
        <w:rPr>
          <w:rFonts w:eastAsiaTheme="minorEastAsia"/>
        </w:rPr>
        <w:t xml:space="preserve"> </w:t>
      </w:r>
    </w:p>
    <w:p w14:paraId="75E0C22A" w14:textId="77777777" w:rsidR="00F361B6" w:rsidRPr="000740FC" w:rsidRDefault="00C4314B" w:rsidP="00F361B6">
      <w:pPr>
        <w:pStyle w:val="VIRTBulletpoints"/>
      </w:pPr>
      <w:r w:rsidRPr="000740FC">
        <w:t>a</w:t>
      </w:r>
      <w:r w:rsidR="00F361B6" w:rsidRPr="000740FC">
        <w:t>llow existing MPs in the New Benefits Scheme to cease making contributions, in return for them ceasing to accrue further super</w:t>
      </w:r>
      <w:r w:rsidR="002D6798" w:rsidRPr="000740FC">
        <w:t>annuation</w:t>
      </w:r>
      <w:r w:rsidR="00F361B6" w:rsidRPr="000740FC">
        <w:t xml:space="preserve"> benefits.</w:t>
      </w:r>
    </w:p>
    <w:p w14:paraId="4A85BBDE" w14:textId="0389AF3A" w:rsidR="00040991" w:rsidRPr="000740FC" w:rsidRDefault="00040991" w:rsidP="00B33183">
      <w:pPr>
        <w:pStyle w:val="Paragraph"/>
      </w:pPr>
      <w:r w:rsidRPr="000740FC">
        <w:t xml:space="preserve">The Tribunal notes </w:t>
      </w:r>
      <w:r w:rsidR="00943AD7" w:rsidRPr="000740FC">
        <w:t xml:space="preserve">that while this potential irregularity was </w:t>
      </w:r>
      <w:r w:rsidR="7812E902" w:rsidRPr="000740FC">
        <w:t>outlined</w:t>
      </w:r>
      <w:r w:rsidR="00943AD7" w:rsidRPr="000740FC">
        <w:t xml:space="preserve"> in the </w:t>
      </w:r>
      <w:r w:rsidR="005832EF">
        <w:t xml:space="preserve">May 2020 </w:t>
      </w:r>
      <w:r w:rsidR="00943AD7" w:rsidRPr="000740FC">
        <w:t xml:space="preserve">Issues Paper </w:t>
      </w:r>
      <w:r w:rsidR="00EA17C7" w:rsidRPr="000740FC">
        <w:t>for this review</w:t>
      </w:r>
      <w:r w:rsidR="00943AD7" w:rsidRPr="000740FC">
        <w:t xml:space="preserve">, </w:t>
      </w:r>
      <w:r w:rsidR="008A240A">
        <w:t>there were no</w:t>
      </w:r>
      <w:r w:rsidRPr="000740FC">
        <w:t xml:space="preserve"> submissions</w:t>
      </w:r>
      <w:r w:rsidR="00357122">
        <w:t xml:space="preserve"> to the Tribunal</w:t>
      </w:r>
      <w:r w:rsidR="004E7622" w:rsidRPr="000740FC">
        <w:t xml:space="preserve"> requesting that </w:t>
      </w:r>
      <w:r w:rsidR="003360BB" w:rsidRPr="000740FC">
        <w:t xml:space="preserve">it be addressed or </w:t>
      </w:r>
      <w:r w:rsidR="00E9423D" w:rsidRPr="000740FC">
        <w:t xml:space="preserve">advising that </w:t>
      </w:r>
      <w:r w:rsidR="008F7BF5" w:rsidRPr="000740FC">
        <w:t xml:space="preserve">existing </w:t>
      </w:r>
      <w:r w:rsidRPr="000740FC">
        <w:t>MPs are being</w:t>
      </w:r>
      <w:r w:rsidR="00E9423D" w:rsidRPr="000740FC">
        <w:t xml:space="preserve"> </w:t>
      </w:r>
      <w:r w:rsidRPr="000740FC">
        <w:t xml:space="preserve">affected by </w:t>
      </w:r>
      <w:r w:rsidR="00E9423D" w:rsidRPr="000740FC">
        <w:t>it</w:t>
      </w:r>
      <w:r w:rsidRPr="000740FC">
        <w:t xml:space="preserve">. </w:t>
      </w:r>
    </w:p>
    <w:p w14:paraId="0785222C" w14:textId="77777777" w:rsidR="00B751BE" w:rsidRPr="000740FC" w:rsidRDefault="00C60E84" w:rsidP="00B33183">
      <w:pPr>
        <w:pStyle w:val="Parabeforeabulletlist"/>
        <w:rPr>
          <w:b/>
        </w:rPr>
      </w:pPr>
      <w:r w:rsidRPr="000740FC">
        <w:t xml:space="preserve">The Tribunal </w:t>
      </w:r>
      <w:r w:rsidR="00E9423D" w:rsidRPr="000740FC">
        <w:t>has chosen</w:t>
      </w:r>
      <w:r w:rsidRPr="000740FC">
        <w:t xml:space="preserve"> to </w:t>
      </w:r>
      <w:r w:rsidR="00B751BE" w:rsidRPr="000740FC" w:rsidDel="001E3D2F">
        <w:t xml:space="preserve">not recommend </w:t>
      </w:r>
      <w:r w:rsidR="00E9423D" w:rsidRPr="000740FC">
        <w:t>changes</w:t>
      </w:r>
      <w:r w:rsidR="00B751BE" w:rsidRPr="000740FC" w:rsidDel="002453FC">
        <w:t xml:space="preserve"> to address </w:t>
      </w:r>
      <w:r w:rsidR="000A2BC8" w:rsidRPr="000740FC">
        <w:t>this potential irregularity, as:</w:t>
      </w:r>
    </w:p>
    <w:p w14:paraId="197CA264" w14:textId="77777777" w:rsidR="006F7035" w:rsidRPr="000740FC" w:rsidRDefault="00C204F8" w:rsidP="00C204F8">
      <w:pPr>
        <w:pStyle w:val="VIRTBulletpoints"/>
      </w:pPr>
      <w:r w:rsidRPr="000740FC">
        <w:t>the Tribunal is not satisfied th</w:t>
      </w:r>
      <w:r w:rsidR="00AF6CE8" w:rsidRPr="000740FC">
        <w:t>e potential irregularity</w:t>
      </w:r>
      <w:r w:rsidRPr="000740FC">
        <w:t xml:space="preserve"> </w:t>
      </w:r>
      <w:r w:rsidR="00DE376C" w:rsidRPr="000740FC">
        <w:t xml:space="preserve">is having a </w:t>
      </w:r>
      <w:r w:rsidRPr="000740FC">
        <w:t>sufficient impact on</w:t>
      </w:r>
      <w:r w:rsidR="005F50FB" w:rsidRPr="000740FC">
        <w:t xml:space="preserve"> existing</w:t>
      </w:r>
      <w:r w:rsidRPr="000740FC">
        <w:t xml:space="preserve"> MPs to warrant legislative change</w:t>
      </w:r>
      <w:r w:rsidR="002C4C4D" w:rsidRPr="000740FC">
        <w:t xml:space="preserve">, </w:t>
      </w:r>
      <w:r w:rsidR="00567931" w:rsidRPr="000740FC">
        <w:t>particularly as it</w:t>
      </w:r>
      <w:r w:rsidR="00AF6CE8" w:rsidRPr="000740FC">
        <w:t xml:space="preserve"> will no</w:t>
      </w:r>
      <w:r w:rsidR="559F555A" w:rsidRPr="000740FC">
        <w:t xml:space="preserve">t </w:t>
      </w:r>
      <w:r w:rsidR="559F555A" w:rsidRPr="000740FC">
        <w:lastRenderedPageBreak/>
        <w:t xml:space="preserve">affect </w:t>
      </w:r>
      <w:r w:rsidR="124E62A0" w:rsidRPr="000740FC">
        <w:t xml:space="preserve">any </w:t>
      </w:r>
      <w:r w:rsidR="00296EE5" w:rsidRPr="000740FC">
        <w:t>MPs</w:t>
      </w:r>
      <w:r w:rsidR="005C0300" w:rsidRPr="000740FC">
        <w:t xml:space="preserve"> </w:t>
      </w:r>
      <w:r w:rsidR="00296EE5" w:rsidRPr="000740FC">
        <w:t>once</w:t>
      </w:r>
      <w:r w:rsidR="005D77EE" w:rsidRPr="000740FC">
        <w:t xml:space="preserve"> the </w:t>
      </w:r>
      <w:r w:rsidR="00296EE5" w:rsidRPr="000740FC">
        <w:t xml:space="preserve">17 </w:t>
      </w:r>
      <w:r w:rsidR="005D77EE" w:rsidRPr="000740FC">
        <w:t>remainin</w:t>
      </w:r>
      <w:r w:rsidR="0070222A" w:rsidRPr="000740FC">
        <w:t>g existing</w:t>
      </w:r>
      <w:r w:rsidR="005D77EE" w:rsidRPr="000740FC">
        <w:t xml:space="preserve"> MPs in th</w:t>
      </w:r>
      <w:r w:rsidR="0070222A" w:rsidRPr="000740FC">
        <w:t>e New Benefits Scheme leave the Parliament</w:t>
      </w:r>
    </w:p>
    <w:p w14:paraId="5D6E96D7" w14:textId="4E395775" w:rsidR="00884751" w:rsidRPr="000740FC" w:rsidRDefault="00884751" w:rsidP="00884751">
      <w:pPr>
        <w:pStyle w:val="VIRTBulletpoints"/>
      </w:pPr>
      <w:r w:rsidRPr="000740FC">
        <w:t>some other employees in defined benefit schemes</w:t>
      </w:r>
      <w:r w:rsidR="001B16FF">
        <w:t xml:space="preserve"> who are</w:t>
      </w:r>
      <w:r w:rsidRPr="000740FC">
        <w:t xml:space="preserve"> paid at comparable levels may face similar issues</w:t>
      </w:r>
    </w:p>
    <w:p w14:paraId="769D9F01" w14:textId="5D2E43E7" w:rsidR="00EA17C7" w:rsidRPr="000740FC" w:rsidRDefault="00E624B1" w:rsidP="0001523C">
      <w:pPr>
        <w:pStyle w:val="VIRTBulletpoints"/>
        <w:rPr>
          <w:rFonts w:asciiTheme="minorHAnsi" w:eastAsiaTheme="minorEastAsia" w:hAnsiTheme="minorHAnsi" w:cstheme="minorBidi"/>
        </w:rPr>
      </w:pPr>
      <w:r w:rsidRPr="000740FC">
        <w:t xml:space="preserve">due to the Commonwealth’s frequent changes to superannuation legislation, </w:t>
      </w:r>
      <w:r w:rsidR="001B16FF">
        <w:t xml:space="preserve">any </w:t>
      </w:r>
      <w:r w:rsidRPr="000740FC">
        <w:t>legislative change made to address this irregularity may not be a lasting solution.</w:t>
      </w:r>
    </w:p>
    <w:p w14:paraId="7DA9CC00" w14:textId="7A0C4239" w:rsidR="006253F5" w:rsidRPr="000740FC" w:rsidRDefault="0010453C" w:rsidP="0017754B">
      <w:pPr>
        <w:pStyle w:val="VIRTHeading2"/>
      </w:pPr>
      <w:bookmarkStart w:id="101" w:name="_Toc50990442"/>
      <w:bookmarkStart w:id="102" w:name="_Toc51234151"/>
      <w:r w:rsidRPr="000740FC">
        <w:t xml:space="preserve">7.3 </w:t>
      </w:r>
      <w:r w:rsidR="004D1148">
        <w:t>Conclusion and recommendations</w:t>
      </w:r>
      <w:bookmarkEnd w:id="101"/>
      <w:bookmarkEnd w:id="102"/>
      <w:r w:rsidRPr="000740FC">
        <w:t xml:space="preserve"> </w:t>
      </w:r>
    </w:p>
    <w:p w14:paraId="6367CBB0" w14:textId="4F381483" w:rsidR="0010453C" w:rsidRPr="000740FC" w:rsidRDefault="0010453C" w:rsidP="00B33183">
      <w:pPr>
        <w:pStyle w:val="Paragraph"/>
      </w:pPr>
      <w:r w:rsidRPr="000740FC">
        <w:t xml:space="preserve">The Tribunal has identified several potential irregularities related to the BSP and the way the rules of the MP superannuation schemes interact with </w:t>
      </w:r>
      <w:r w:rsidR="00E55262">
        <w:t>Commonwealth</w:t>
      </w:r>
      <w:r w:rsidRPr="000740FC">
        <w:t xml:space="preserve"> </w:t>
      </w:r>
      <w:r w:rsidR="0C509C3F" w:rsidRPr="000740FC">
        <w:t>G</w:t>
      </w:r>
      <w:r w:rsidRPr="000740FC">
        <w:t>overnment</w:t>
      </w:r>
      <w:r w:rsidR="7E0208F6" w:rsidRPr="000740FC">
        <w:t xml:space="preserve"> </w:t>
      </w:r>
      <w:r w:rsidRPr="000740FC">
        <w:t>taxes.</w:t>
      </w:r>
    </w:p>
    <w:p w14:paraId="02D31559" w14:textId="3EC0F3C5" w:rsidR="00620DF7" w:rsidRDefault="007E1A2C" w:rsidP="00B33183">
      <w:pPr>
        <w:pStyle w:val="Paragraph"/>
      </w:pPr>
      <w:r w:rsidRPr="000740FC">
        <w:t xml:space="preserve">The Tribunal does not consider any changes need to be made to the legislation governing the calculation or indexation of the </w:t>
      </w:r>
      <w:r w:rsidR="00F14AEF">
        <w:t>BSP</w:t>
      </w:r>
      <w:r w:rsidR="008B5F7C">
        <w:t>, although the</w:t>
      </w:r>
      <w:r w:rsidR="00887506">
        <w:t xml:space="preserve"> proper approach for</w:t>
      </w:r>
      <w:r w:rsidR="00DE7643">
        <w:t xml:space="preserve"> applying</w:t>
      </w:r>
      <w:r w:rsidR="00702E9C">
        <w:t xml:space="preserve"> indexation to the BSP</w:t>
      </w:r>
      <w:r w:rsidR="00887506">
        <w:t xml:space="preserve"> may </w:t>
      </w:r>
      <w:r w:rsidR="009E016A">
        <w:t>require clarification</w:t>
      </w:r>
      <w:r w:rsidRPr="000740FC">
        <w:t>.</w:t>
      </w:r>
      <w:r w:rsidR="0058156A">
        <w:t xml:space="preserve"> </w:t>
      </w:r>
    </w:p>
    <w:p w14:paraId="6C3E4DE6" w14:textId="3ABCFBF9" w:rsidR="007E1A2C" w:rsidRDefault="007E1A2C" w:rsidP="00B33183">
      <w:pPr>
        <w:pStyle w:val="Paragraph"/>
        <w:rPr>
          <w:highlight w:val="green"/>
        </w:rPr>
      </w:pPr>
      <w:r w:rsidRPr="000740FC">
        <w:t xml:space="preserve">The Tribunal also considered potential irregularities related to the interaction of Commonwealth taxation legislation with the MP superannuation schemes. </w:t>
      </w:r>
      <w:r w:rsidR="001E246C">
        <w:t>However, g</w:t>
      </w:r>
      <w:r w:rsidRPr="000740FC">
        <w:t>iven that the Tribunal did not receive any submissions about th</w:t>
      </w:r>
      <w:r w:rsidR="00B57956">
        <w:t>ese</w:t>
      </w:r>
      <w:r w:rsidRPr="000740FC">
        <w:t xml:space="preserve"> potential irregularit</w:t>
      </w:r>
      <w:r w:rsidR="00B57956">
        <w:t>ies</w:t>
      </w:r>
      <w:r w:rsidRPr="000740FC">
        <w:t xml:space="preserve"> and </w:t>
      </w:r>
      <w:r w:rsidR="00512B3E">
        <w:t>the</w:t>
      </w:r>
      <w:r w:rsidR="001E246C">
        <w:t>re is</w:t>
      </w:r>
      <w:r w:rsidR="00512B3E">
        <w:t xml:space="preserve"> uncertain</w:t>
      </w:r>
      <w:r w:rsidR="001E246C">
        <w:t>ty about the</w:t>
      </w:r>
      <w:r w:rsidR="00512B3E">
        <w:t xml:space="preserve"> effect of options to deal with them</w:t>
      </w:r>
      <w:r w:rsidRPr="000740FC">
        <w:t xml:space="preserve">, </w:t>
      </w:r>
      <w:r w:rsidRPr="001E246C">
        <w:t xml:space="preserve">the Tribunal </w:t>
      </w:r>
      <w:r w:rsidR="5F472DC7" w:rsidRPr="001E246C">
        <w:t>has recommended no</w:t>
      </w:r>
      <w:r w:rsidRPr="001E246C">
        <w:t xml:space="preserve"> changes </w:t>
      </w:r>
      <w:r w:rsidR="5F472DC7" w:rsidRPr="001E246C">
        <w:t>are to</w:t>
      </w:r>
      <w:r w:rsidRPr="001E246C">
        <w:t xml:space="preserve"> be made </w:t>
      </w:r>
      <w:r w:rsidR="5F472DC7" w:rsidRPr="001E246C">
        <w:t xml:space="preserve">to the superannuation schemes to address these. </w:t>
      </w:r>
    </w:p>
    <w:p w14:paraId="60D0F4C9" w14:textId="77777777" w:rsidR="008872BF" w:rsidRDefault="42E95E2A" w:rsidP="001E246C">
      <w:pPr>
        <w:pStyle w:val="Paragraph"/>
        <w:rPr>
          <w:b/>
          <w:bCs/>
        </w:rPr>
        <w:sectPr w:rsidR="008872BF" w:rsidSect="0052634F">
          <w:headerReference w:type="even" r:id="rId68"/>
          <w:headerReference w:type="default" r:id="rId69"/>
          <w:footerReference w:type="default" r:id="rId70"/>
          <w:headerReference w:type="first" r:id="rId71"/>
          <w:footerReference w:type="first" r:id="rId72"/>
          <w:pgSz w:w="11900" w:h="16840"/>
          <w:pgMar w:top="1701" w:right="1701" w:bottom="1559" w:left="1701" w:header="709" w:footer="709" w:gutter="0"/>
          <w:cols w:space="708"/>
          <w:titlePg/>
          <w:docGrid w:linePitch="299"/>
        </w:sectPr>
      </w:pPr>
      <w:r>
        <w:t xml:space="preserve">Accordingly, in relation to these potential irregularities, </w:t>
      </w:r>
      <w:r w:rsidRPr="344F29B6">
        <w:rPr>
          <w:b/>
          <w:bCs/>
        </w:rPr>
        <w:t xml:space="preserve">the Tribunal </w:t>
      </w:r>
      <w:r w:rsidRPr="00EF7551">
        <w:rPr>
          <w:b/>
          <w:bCs/>
        </w:rPr>
        <w:t>recommends</w:t>
      </w:r>
      <w:r w:rsidRPr="344F29B6">
        <w:rPr>
          <w:b/>
          <w:bCs/>
        </w:rPr>
        <w:t xml:space="preserve"> that there be no changes to the superannuation arrangements for Victorian MPs at this time.</w:t>
      </w:r>
    </w:p>
    <w:p w14:paraId="1C2D1104" w14:textId="5E5C6C60" w:rsidR="00562281" w:rsidRPr="00175E74" w:rsidRDefault="00562281" w:rsidP="007D2211">
      <w:pPr>
        <w:pStyle w:val="ChapterHeading0"/>
      </w:pPr>
      <w:bookmarkStart w:id="103" w:name="_Toc51234152"/>
      <w:r>
        <w:lastRenderedPageBreak/>
        <w:drawing>
          <wp:anchor distT="0" distB="0" distL="114300" distR="114300" simplePos="0" relativeHeight="251658245" behindDoc="1" locked="0" layoutInCell="1" allowOverlap="1" wp14:anchorId="4E4D0F18" wp14:editId="15D8173C">
            <wp:simplePos x="0" y="0"/>
            <wp:positionH relativeFrom="column">
              <wp:posOffset>0</wp:posOffset>
            </wp:positionH>
            <wp:positionV relativeFrom="paragraph">
              <wp:posOffset>1247297</wp:posOffset>
            </wp:positionV>
            <wp:extent cx="2222500" cy="253365"/>
            <wp:effectExtent l="0" t="0" r="6350" b="0"/>
            <wp:wrapTight wrapText="bothSides">
              <wp:wrapPolygon edited="0">
                <wp:start x="0" y="0"/>
                <wp:lineTo x="0" y="19489"/>
                <wp:lineTo x="21477" y="19489"/>
                <wp:lineTo x="21477" y="0"/>
                <wp:lineTo x="0" y="0"/>
              </wp:wrapPolygon>
            </wp:wrapTight>
            <wp:docPr id="37244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anchor>
        </w:drawing>
      </w:r>
      <w:r w:rsidRPr="4E841923">
        <w:t>Appendix A –</w:t>
      </w:r>
      <w:r>
        <w:br/>
      </w:r>
      <w:r w:rsidRPr="4E841923">
        <w:t>Historical context</w:t>
      </w:r>
      <w:bookmarkEnd w:id="103"/>
      <w:r>
        <w:br/>
      </w:r>
    </w:p>
    <w:p w14:paraId="004D0252" w14:textId="77777777" w:rsidR="00562281" w:rsidRDefault="00562281" w:rsidP="00562281">
      <w:pPr>
        <w:pStyle w:val="Paragraph"/>
      </w:pPr>
      <w:r>
        <w:t>Superannuation coverage for Members of the Parliament of Victoria (MPs) was first introduced in 1946. Since that time, the superannuation arrangements of Victorian MPs have been reformed on multiple occasions, most recently in 2019.</w:t>
      </w:r>
    </w:p>
    <w:p w14:paraId="108935F8" w14:textId="3B644E35" w:rsidR="00562281" w:rsidRDefault="00562281" w:rsidP="00562281">
      <w:pPr>
        <w:pStyle w:val="Paragraph"/>
      </w:pPr>
      <w:r>
        <w:t>This appendix outlines the history of MP superannuation in Victoria. Where applicable, changes to the arrangements are contextualised within broader changes to superannuation arrangements in the Australian economy (e.g. the introduction of the Superannuation Guarantee</w:t>
      </w:r>
      <w:r w:rsidR="00843139">
        <w:t xml:space="preserve"> (SG)</w:t>
      </w:r>
      <w:r>
        <w:t>).</w:t>
      </w:r>
    </w:p>
    <w:p w14:paraId="7AE821A3" w14:textId="77777777" w:rsidR="00562281" w:rsidRPr="00175E74" w:rsidRDefault="00562281" w:rsidP="00562281">
      <w:pPr>
        <w:pStyle w:val="VIRTHeading2"/>
      </w:pPr>
      <w:bookmarkStart w:id="104" w:name="_Toc51061824"/>
      <w:bookmarkStart w:id="105" w:name="_Toc51061918"/>
      <w:bookmarkStart w:id="106" w:name="_Toc51234153"/>
      <w:r>
        <w:t>A1. Early schemes</w:t>
      </w:r>
      <w:bookmarkEnd w:id="104"/>
      <w:bookmarkEnd w:id="105"/>
      <w:bookmarkEnd w:id="106"/>
    </w:p>
    <w:p w14:paraId="365F7369" w14:textId="77777777" w:rsidR="00562281" w:rsidRDefault="00562281" w:rsidP="00562281">
      <w:pPr>
        <w:pStyle w:val="Paragraph"/>
      </w:pPr>
      <w:r>
        <w:t xml:space="preserve">In 1941, Western Australia became the first Australian jurisdiction to legislate for the provision of retirement income for its MPs, passing the </w:t>
      </w:r>
      <w:r w:rsidRPr="6E2D4A1F">
        <w:rPr>
          <w:i/>
          <w:iCs/>
        </w:rPr>
        <w:t>Members of Parliament Fund Act 1941</w:t>
      </w:r>
      <w:r>
        <w:t xml:space="preserve"> (WA). Other jurisdictions soon followed suit, with Victoria and New South Wales legislating for MP superannuation in 1946, while South Australia, Queensland and the Commonwealth all did likewise in 1948.</w:t>
      </w:r>
      <w:r>
        <w:rPr>
          <w:rStyle w:val="FootnoteReference"/>
        </w:rPr>
        <w:footnoteReference w:id="83"/>
      </w:r>
      <w:r>
        <w:t xml:space="preserve"> </w:t>
      </w:r>
    </w:p>
    <w:p w14:paraId="06DB4D1A" w14:textId="77777777" w:rsidR="00562281" w:rsidRDefault="00562281" w:rsidP="00562281">
      <w:pPr>
        <w:pStyle w:val="Paragraph"/>
      </w:pPr>
      <w:r>
        <w:t xml:space="preserve">Speaking shortly before the passage of the </w:t>
      </w:r>
      <w:r w:rsidRPr="00563656">
        <w:rPr>
          <w:i/>
          <w:iCs/>
        </w:rPr>
        <w:t>Parliamentary Contributory Retirement Fund Act 1946</w:t>
      </w:r>
      <w:r>
        <w:t xml:space="preserve"> (Vic), the then </w:t>
      </w:r>
      <w:r w:rsidRPr="008F68D3">
        <w:t>Minister of Labour</w:t>
      </w:r>
      <w:r>
        <w:t xml:space="preserve"> explained why retirement income for Victorian MPs was needed:</w:t>
      </w:r>
      <w:r>
        <w:rPr>
          <w:rStyle w:val="FootnoteReference"/>
        </w:rPr>
        <w:footnoteReference w:id="84"/>
      </w:r>
    </w:p>
    <w:p w14:paraId="26299CA3" w14:textId="77777777" w:rsidR="00562281" w:rsidRDefault="00562281" w:rsidP="00562281">
      <w:pPr>
        <w:pStyle w:val="VIRTBreakouttext"/>
      </w:pPr>
      <w:r>
        <w:t xml:space="preserve">Provision should be made for the member who spends the better part of his life as a representative of the people and, by losing his seat, is unable to re-establish himself in another </w:t>
      </w:r>
      <w:r w:rsidRPr="008F68D3">
        <w:t>avocation.</w:t>
      </w:r>
    </w:p>
    <w:p w14:paraId="256AE9EA" w14:textId="77777777" w:rsidR="00562281" w:rsidRDefault="00562281" w:rsidP="00562281">
      <w:pPr>
        <w:pStyle w:val="Paragraph"/>
      </w:pPr>
      <w:r>
        <w:t>The provision of superannuation for MPs was also justified on the grounds that it was not possible for an MP to save for retirement given current remuneration levels.</w:t>
      </w:r>
      <w:r>
        <w:rPr>
          <w:rStyle w:val="FootnoteReference"/>
        </w:rPr>
        <w:footnoteReference w:id="85"/>
      </w:r>
      <w:r>
        <w:t xml:space="preserve"> Indeed, one MP described the allowance paid to MPs at that time as </w:t>
      </w:r>
      <w:r>
        <w:lastRenderedPageBreak/>
        <w:t>“meagre” in comparison to their duties and responsibilities, while another noted that some MPs were the lowest paid members of their community.</w:t>
      </w:r>
      <w:r>
        <w:rPr>
          <w:rStyle w:val="FootnoteReference"/>
        </w:rPr>
        <w:footnoteReference w:id="86"/>
      </w:r>
    </w:p>
    <w:p w14:paraId="119C818A" w14:textId="77777777" w:rsidR="00562281" w:rsidRDefault="00562281" w:rsidP="00562281">
      <w:pPr>
        <w:pStyle w:val="Parabeforeabulletlist"/>
      </w:pPr>
      <w:r>
        <w:t>That Act provided for compulsory deductions of £1 from the fortnightly pay of each MP, to be deposited in the Parliamentary Contributory Retirement Fund. The State of Victoria also contributed funds from the consolidated revenue as necessary to ensure that the fund had sufficient resources to meet its obligations to MPs. In return, a pension was provided to former MPs who had served either:</w:t>
      </w:r>
    </w:p>
    <w:p w14:paraId="3C224235" w14:textId="77777777" w:rsidR="00562281" w:rsidRDefault="00562281" w:rsidP="00562281">
      <w:pPr>
        <w:pStyle w:val="VIRTBulletpoints"/>
        <w:numPr>
          <w:ilvl w:val="0"/>
          <w:numId w:val="14"/>
        </w:numPr>
        <w:spacing w:after="120"/>
      </w:pPr>
      <w:r w:rsidRPr="007F7840">
        <w:t>for an aggregate of 15 years or more</w:t>
      </w:r>
      <w:r>
        <w:t>; or</w:t>
      </w:r>
    </w:p>
    <w:p w14:paraId="0952B224" w14:textId="77777777" w:rsidR="00562281" w:rsidRDefault="00562281" w:rsidP="00562281">
      <w:pPr>
        <w:pStyle w:val="VIRTBulletpoints"/>
        <w:numPr>
          <w:ilvl w:val="0"/>
          <w:numId w:val="14"/>
        </w:numPr>
        <w:spacing w:after="120"/>
      </w:pPr>
      <w:r w:rsidRPr="007F7840">
        <w:t>in at least three consecutive parliaments</w:t>
      </w:r>
      <w:r>
        <w:t>, and who</w:t>
      </w:r>
      <w:r w:rsidRPr="00511946">
        <w:t xml:space="preserve"> </w:t>
      </w:r>
      <w:r w:rsidRPr="007F7840">
        <w:t>ceased to be a member due to defeat at an election, resignation, or not seeking re-election (for reasons which satisfied the fund’s trustees)</w:t>
      </w:r>
      <w:r>
        <w:t>.</w:t>
      </w:r>
    </w:p>
    <w:p w14:paraId="4488BC1C" w14:textId="77777777" w:rsidR="00562281" w:rsidRPr="007F7840" w:rsidRDefault="00562281" w:rsidP="00562281">
      <w:pPr>
        <w:pStyle w:val="Paragraph"/>
      </w:pPr>
      <w:r>
        <w:t>At that time, the MP pension was e</w:t>
      </w:r>
      <w:r w:rsidRPr="007F7840">
        <w:t>quivalent to the ‘basic wage’</w:t>
      </w:r>
      <w:r>
        <w:t xml:space="preserve"> for Melbourne as determined by the Commonwealth Court of Conciliation and Arbitration (together with any additional amounts or ‘loadings’).</w:t>
      </w:r>
      <w:r>
        <w:rPr>
          <w:rStyle w:val="FootnoteReference"/>
        </w:rPr>
        <w:footnoteReference w:id="87"/>
      </w:r>
      <w:r>
        <w:t xml:space="preserve"> </w:t>
      </w:r>
      <w:r w:rsidRPr="007F7840">
        <w:t>The legislation also provided for a ‘retiring allowance’ for MPs who were not eligible to receive the pension, as well as reduced pensions for the spouses of deceased MPs.</w:t>
      </w:r>
    </w:p>
    <w:p w14:paraId="4CA55E61" w14:textId="5B3FEB6E" w:rsidR="00562281" w:rsidRDefault="00562281" w:rsidP="00562281">
      <w:pPr>
        <w:pStyle w:val="VIRTHeading3"/>
      </w:pPr>
      <w:r w:rsidRPr="00FB1D3E">
        <w:t>Early reforms</w:t>
      </w:r>
    </w:p>
    <w:p w14:paraId="7F2291C4" w14:textId="77777777" w:rsidR="00562281" w:rsidRDefault="00562281" w:rsidP="00562281">
      <w:pPr>
        <w:pStyle w:val="Paragraph"/>
      </w:pPr>
      <w:r>
        <w:t xml:space="preserve">Due to the effects of inflation and changes to MP salaries, the </w:t>
      </w:r>
      <w:r w:rsidRPr="6E2D4A1F">
        <w:rPr>
          <w:i/>
          <w:iCs/>
        </w:rPr>
        <w:t>Parliamentary Contributory Retirement Fund Act 1946</w:t>
      </w:r>
      <w:r>
        <w:t xml:space="preserve"> (Vic) was amended on multiple occasions (in 1948, 1951, 1952 and 1954), primarily to increase MP contributions and benefits. However, by the early 1960s, there were calls to make more substantial changes to the arrangements. Common complaints included that the arrangements were inequitable and that the Victorian scheme “suffered…by comparison” with those then operating in the Commonwealth and other states.</w:t>
      </w:r>
      <w:r>
        <w:rPr>
          <w:rStyle w:val="FootnoteReference"/>
        </w:rPr>
        <w:footnoteReference w:id="88"/>
      </w:r>
    </w:p>
    <w:p w14:paraId="6C3F06EF" w14:textId="77777777" w:rsidR="00562281" w:rsidRDefault="00562281" w:rsidP="00562281">
      <w:pPr>
        <w:pStyle w:val="Paragraph"/>
      </w:pPr>
      <w:r>
        <w:t xml:space="preserve">In response to these and other concerns, the Victorian Parliament passed the </w:t>
      </w:r>
      <w:r w:rsidRPr="6E2D4A1F">
        <w:rPr>
          <w:i/>
          <w:iCs/>
        </w:rPr>
        <w:t>Parliamentary Contributory Superannuation Act 1962</w:t>
      </w:r>
      <w:r>
        <w:t xml:space="preserve"> (Vic). The new Act raised the individual contribution to £10 and increased the rate of pension for eligible MPs to 1⅓ times the basic wage. It also established a new fund, the Parliamentary </w:t>
      </w:r>
      <w:r>
        <w:lastRenderedPageBreak/>
        <w:t xml:space="preserve">Superannuation Fund, and provided for an increased pension for MPs who had served as Premier. However, due to the slow increase in pension benefits (relative to earnings growth in the broader community) and other perceived shortcomings, MP superannuation arrangements were reformed again in the late 1960s. </w:t>
      </w:r>
    </w:p>
    <w:p w14:paraId="48F9ED0B" w14:textId="77777777" w:rsidR="00562281" w:rsidRDefault="00562281" w:rsidP="00562281">
      <w:pPr>
        <w:pStyle w:val="VIRTHeading2"/>
      </w:pPr>
      <w:bookmarkStart w:id="107" w:name="_Toc51061825"/>
      <w:bookmarkStart w:id="108" w:name="_Toc51061919"/>
      <w:bookmarkStart w:id="109" w:name="_Toc51234154"/>
      <w:r>
        <w:t>A2. Existing Benefits Scheme</w:t>
      </w:r>
      <w:bookmarkEnd w:id="107"/>
      <w:bookmarkEnd w:id="108"/>
      <w:bookmarkEnd w:id="109"/>
    </w:p>
    <w:p w14:paraId="3707A054" w14:textId="77777777" w:rsidR="00562281" w:rsidRDefault="00562281" w:rsidP="00562281">
      <w:pPr>
        <w:pStyle w:val="Paragraph"/>
      </w:pPr>
      <w:r>
        <w:t xml:space="preserve">Significant changes to MP superannuation arrangements were made in 1968 with the passage of the </w:t>
      </w:r>
      <w:r w:rsidRPr="6E2D4A1F">
        <w:rPr>
          <w:i/>
          <w:iCs/>
        </w:rPr>
        <w:t xml:space="preserve">Parliamentary Salaries and Superannuation Act 1968 </w:t>
      </w:r>
      <w:r>
        <w:t xml:space="preserve">(Vic) (PSS Act). </w:t>
      </w:r>
    </w:p>
    <w:p w14:paraId="3A9E8E7B" w14:textId="77777777" w:rsidR="00562281" w:rsidRDefault="00562281" w:rsidP="00562281">
      <w:pPr>
        <w:pStyle w:val="Paragraph"/>
      </w:pPr>
      <w:r>
        <w:t>The PSS Act established the Parliamentary Contributory Superannuation Fund (PCSF), which took over the assets and liabilities of the Parliamentary Contributory Retirement Fund and Parliamentary Superannuation Fund. Members of the previous scheme could elect to transfer into the new scheme within 3 months.</w:t>
      </w:r>
    </w:p>
    <w:p w14:paraId="6FCCE7F6" w14:textId="0C3F0C4C" w:rsidR="00562281" w:rsidRDefault="00562281" w:rsidP="00562281">
      <w:pPr>
        <w:pStyle w:val="Paragraph"/>
      </w:pPr>
      <w:r>
        <w:t>According to the then Premier, Sir Henry Bolte, the superannuation scheme introduced by the PSS Act was devised with the “peculiarities and special features of parliamentary service” in mind, and sought to provide “adequate remuneration” for MPs. It was partly based on the scheme then available to employees in the Victorian Public Service, which Bolte described as being the “best in Australia”.</w:t>
      </w:r>
      <w:r>
        <w:rPr>
          <w:rStyle w:val="FootnoteReference"/>
        </w:rPr>
        <w:footnoteReference w:id="89"/>
      </w:r>
      <w:r>
        <w:t xml:space="preserve"> This scheme is now known as the Existing Benefits Scheme.</w:t>
      </w:r>
    </w:p>
    <w:p w14:paraId="22EBBC0F" w14:textId="77777777" w:rsidR="00562281" w:rsidRDefault="00562281" w:rsidP="00562281">
      <w:pPr>
        <w:pStyle w:val="Paragraph"/>
      </w:pPr>
      <w:r>
        <w:t>The PSS Act required male MPs to contribute 11.5 per cent of their salary to the PCSF. Female MPs were initially only required to contribute 10 per cent of their salary, until contribution rates were made equal in 1975.</w:t>
      </w:r>
      <w:r>
        <w:rPr>
          <w:rStyle w:val="FootnoteReference"/>
        </w:rPr>
        <w:footnoteReference w:id="90"/>
      </w:r>
      <w:r>
        <w:t xml:space="preserve"> </w:t>
      </w:r>
    </w:p>
    <w:p w14:paraId="489A504F" w14:textId="4A611D78" w:rsidR="00562281" w:rsidRDefault="00562281" w:rsidP="00562281">
      <w:pPr>
        <w:pStyle w:val="Paragraph"/>
      </w:pPr>
      <w:r>
        <w:t>The PSS Act also introduced a new formula for determining the rate of pension for eligible MPs, based on the salary paid to MPs. While previously only the Premier received an increased pension, the change to the way pensions were calculated ensured that MPs who held other parliamentary offices (e.g. Speaker or Leader of the Opposition) would also receive one.</w:t>
      </w:r>
      <w:r w:rsidR="003835F3">
        <w:br w:type="page"/>
      </w:r>
    </w:p>
    <w:p w14:paraId="6307BDC4" w14:textId="77777777" w:rsidR="00562281" w:rsidRDefault="00562281" w:rsidP="00562281">
      <w:pPr>
        <w:pStyle w:val="Parabeforeabulletlist"/>
      </w:pPr>
      <w:r>
        <w:lastRenderedPageBreak/>
        <w:t>The PSS Act also introduced a number of other changes, including:</w:t>
      </w:r>
    </w:p>
    <w:p w14:paraId="3B07E497" w14:textId="77777777" w:rsidR="00562281" w:rsidRPr="001B3EE1" w:rsidRDefault="00562281" w:rsidP="00562281">
      <w:pPr>
        <w:pStyle w:val="VIRTBulletpoints"/>
        <w:numPr>
          <w:ilvl w:val="0"/>
          <w:numId w:val="14"/>
        </w:numPr>
        <w:spacing w:after="120"/>
      </w:pPr>
      <w:r w:rsidRPr="001B3EE1">
        <w:t>provision of pensions for MPs who retire</w:t>
      </w:r>
      <w:r>
        <w:t>d</w:t>
      </w:r>
      <w:r w:rsidRPr="001B3EE1">
        <w:t xml:space="preserve"> due to ill health</w:t>
      </w:r>
    </w:p>
    <w:p w14:paraId="38D94D46" w14:textId="77777777" w:rsidR="00562281" w:rsidRPr="001B3EE1" w:rsidRDefault="00562281" w:rsidP="00562281">
      <w:pPr>
        <w:pStyle w:val="VIRTBulletpoints"/>
        <w:numPr>
          <w:ilvl w:val="0"/>
          <w:numId w:val="14"/>
        </w:numPr>
        <w:spacing w:after="120"/>
      </w:pPr>
      <w:r w:rsidRPr="001B3EE1">
        <w:t>provision of pensions for widows of deceased MPs (even if the latter was ineligible at their time of death)</w:t>
      </w:r>
    </w:p>
    <w:p w14:paraId="037636CC" w14:textId="77777777" w:rsidR="00562281" w:rsidRPr="001B3EE1" w:rsidRDefault="00562281" w:rsidP="00562281">
      <w:pPr>
        <w:pStyle w:val="VIRTBulletpoints"/>
        <w:numPr>
          <w:ilvl w:val="0"/>
          <w:numId w:val="14"/>
        </w:numPr>
        <w:spacing w:after="120"/>
      </w:pPr>
      <w:r w:rsidRPr="001B3EE1">
        <w:t>the right of an MP to convert part of their pension into a lump</w:t>
      </w:r>
      <w:r>
        <w:t xml:space="preserve"> </w:t>
      </w:r>
      <w:r w:rsidRPr="001B3EE1">
        <w:t>sum payment.</w:t>
      </w:r>
    </w:p>
    <w:p w14:paraId="6920E4B5" w14:textId="2F1F0807" w:rsidR="00562281" w:rsidRDefault="00562281" w:rsidP="00562281">
      <w:pPr>
        <w:pStyle w:val="VIRTHeading2"/>
      </w:pPr>
      <w:bookmarkStart w:id="110" w:name="_Toc51061826"/>
      <w:bookmarkStart w:id="111" w:name="_Toc51061920"/>
      <w:bookmarkStart w:id="112" w:name="_Toc51234155"/>
      <w:r>
        <w:t>A3. 1990s reforms</w:t>
      </w:r>
      <w:bookmarkEnd w:id="110"/>
      <w:bookmarkEnd w:id="111"/>
      <w:bookmarkEnd w:id="112"/>
    </w:p>
    <w:p w14:paraId="2DF2E13A" w14:textId="77777777" w:rsidR="00562281" w:rsidRDefault="00562281" w:rsidP="00562281">
      <w:pPr>
        <w:pStyle w:val="Paragraph"/>
      </w:pPr>
      <w:r>
        <w:t>Prior to the 1990s, Australia did not have a mandatory national superannuation system in place, although several attempts had been made to introduce one.</w:t>
      </w:r>
      <w:r>
        <w:rPr>
          <w:rStyle w:val="FootnoteReference"/>
        </w:rPr>
        <w:footnoteReference w:id="91"/>
      </w:r>
      <w:r>
        <w:t xml:space="preserve"> Superannuation was instead a matter for individual employers. Some employers, including the Commonwealth, state and territory governments and some large corporations, operated schemes which provided eligible employees with either a lump sum or (less commonly) a pension upon retirement. Coverage was not wide, and a national survey conducted by the Australian Bureau of Statistics in 1974 found that only 28 per cent of Australians aged 15 and above had ever had superannuation coverage.</w:t>
      </w:r>
      <w:r>
        <w:rPr>
          <w:rStyle w:val="FootnoteReference"/>
        </w:rPr>
        <w:footnoteReference w:id="92"/>
      </w:r>
    </w:p>
    <w:p w14:paraId="59B73002" w14:textId="66FC3C2A" w:rsidR="00562281" w:rsidRDefault="00562281" w:rsidP="00562281">
      <w:pPr>
        <w:pStyle w:val="Paragraph"/>
      </w:pPr>
      <w:r>
        <w:t>In the 1970s and 1980s, superannuation for employees became more common as it started to be inc</w:t>
      </w:r>
      <w:r w:rsidR="00803162">
        <w:t>l</w:t>
      </w:r>
      <w:r>
        <w:t>uded in industrial awards. A 3 per cent employer superannuation contribution was included in the 1986 National Wage Case, following which it became commonplace for employees to have a superannuation account.</w:t>
      </w:r>
    </w:p>
    <w:p w14:paraId="63B99092" w14:textId="1322AF1E" w:rsidR="00562281" w:rsidRDefault="00562281" w:rsidP="00562281">
      <w:pPr>
        <w:pStyle w:val="VIRTHeading3"/>
      </w:pPr>
      <w:r>
        <w:t>Introduction of the Superannuation Guarantee</w:t>
      </w:r>
    </w:p>
    <w:p w14:paraId="60EC14B1" w14:textId="67B44E59" w:rsidR="00562281" w:rsidRDefault="00562281" w:rsidP="00562281">
      <w:pPr>
        <w:pStyle w:val="Paragraph"/>
      </w:pPr>
      <w:r>
        <w:t>The Australian Government established the SG in 1992, with employers required to make superannuation contributions on behalf of their employees.</w:t>
      </w:r>
      <w:r w:rsidRPr="005657C9">
        <w:rPr>
          <w:rStyle w:val="FootnoteReference"/>
        </w:rPr>
        <w:footnoteReference w:id="93"/>
      </w:r>
      <w:r>
        <w:t xml:space="preserve"> The following year, Victoria closed its public sector defined benefit schemes to new members, other than operational employees in specified emergency service entities. From this point, most new public sector employees were required to join an accumulation scheme and receive contributions based on the SG percentage. </w:t>
      </w:r>
      <w:r>
        <w:lastRenderedPageBreak/>
        <w:t>This change was made because of the significant and growing financial burden placed on the State by the schemes. It was said at the time that:</w:t>
      </w:r>
      <w:r>
        <w:rPr>
          <w:rStyle w:val="FootnoteReference"/>
        </w:rPr>
        <w:footnoteReference w:id="94"/>
      </w:r>
    </w:p>
    <w:p w14:paraId="5BE2BA78" w14:textId="77777777" w:rsidR="00562281" w:rsidRDefault="00562281" w:rsidP="00562281">
      <w:pPr>
        <w:pStyle w:val="VIRTBreakouttext"/>
      </w:pPr>
      <w:r>
        <w:t xml:space="preserve">one of the most serious problems facing … government was the huge and growing gap between the liabilities of the State’s public sector superannuation schemes and the assets available in the superannuation funds to meet those liabilities. </w:t>
      </w:r>
    </w:p>
    <w:p w14:paraId="24186436" w14:textId="77777777" w:rsidR="00562281" w:rsidRDefault="00562281" w:rsidP="00562281">
      <w:pPr>
        <w:pStyle w:val="Paragraph"/>
      </w:pPr>
      <w:r>
        <w:t>Concerns over the cost of financing Victoria’s public sector superannuation schemes had arisen as early as the mid-1980s. Around that time, the Economic and Budget Review Committee argued that future Victorian governments would need to either raise taxes or reduce expenditure in order to meet the predicted escalation in liabilities. The Committee thus concluded that the Government had “little option” but to redesign the superannuation arrangements.</w:t>
      </w:r>
      <w:r>
        <w:rPr>
          <w:rStyle w:val="FootnoteReference"/>
        </w:rPr>
        <w:footnoteReference w:id="95"/>
      </w:r>
    </w:p>
    <w:p w14:paraId="56C9448E" w14:textId="62590CD3" w:rsidR="00562281" w:rsidRDefault="00562281" w:rsidP="00562281">
      <w:pPr>
        <w:pStyle w:val="Paragraph"/>
      </w:pPr>
      <w:r>
        <w:t>Although the defined benefit scheme for MPs remained open, changes were also made in 1993 to how pension entitlements were calculated going forward.</w:t>
      </w:r>
      <w:r>
        <w:rPr>
          <w:rStyle w:val="FootnoteReference"/>
        </w:rPr>
        <w:footnoteReference w:id="96"/>
      </w:r>
      <w:r>
        <w:t xml:space="preserve"> The changes were implemented to decrease the total value of benefits under the scheme and to achieve further cost savings.</w:t>
      </w:r>
    </w:p>
    <w:p w14:paraId="0257ECBB" w14:textId="2E13B596" w:rsidR="00562281" w:rsidRPr="000D6352" w:rsidRDefault="00562281" w:rsidP="00562281">
      <w:pPr>
        <w:pStyle w:val="VIRTHeading3"/>
      </w:pPr>
      <w:r w:rsidRPr="009B72A2">
        <w:rPr>
          <w:rStyle w:val="VirtHeading3Char0"/>
          <w:rFonts w:ascii="Rockwell (body)" w:hAnsi="Rockwell (body)"/>
        </w:rPr>
        <w:t>New</w:t>
      </w:r>
      <w:r w:rsidRPr="000D6352">
        <w:rPr>
          <w:rStyle w:val="VirtHeading3Char0"/>
          <w:rFonts w:ascii="Rockwell (body)" w:hAnsi="Rockwell (body)"/>
        </w:rPr>
        <w:t xml:space="preserve"> Benefits Scheme</w:t>
      </w:r>
    </w:p>
    <w:p w14:paraId="0221800E" w14:textId="77777777" w:rsidR="00562281" w:rsidRDefault="00562281" w:rsidP="00562281">
      <w:pPr>
        <w:pStyle w:val="Paragraph"/>
      </w:pPr>
      <w:r>
        <w:t>In 1996, the State of Victoria introduced a new defined benefit scheme for MPs, called the New Benefits Scheme.</w:t>
      </w:r>
      <w:r>
        <w:rPr>
          <w:rStyle w:val="FootnoteReference"/>
        </w:rPr>
        <w:footnoteReference w:id="97"/>
      </w:r>
      <w:r>
        <w:t xml:space="preserve"> The New Benefits Scheme was largely based on the Commonwealth MP superannuation scheme operating at that time. </w:t>
      </w:r>
    </w:p>
    <w:p w14:paraId="5A3A3C74" w14:textId="193310DB" w:rsidR="00562281" w:rsidRPr="005C7C89" w:rsidRDefault="00562281" w:rsidP="00562281">
      <w:pPr>
        <w:pStyle w:val="Paragraph"/>
      </w:pPr>
      <w:r w:rsidRPr="005C7C89">
        <w:t>While the rules for contributions remained the same, the New Benefits Scheme had slightly different eligibility requirements for the pension (based on whether an MP’s retirement from the Parliament was deemed to be ‘involuntary’ or ‘voluntary’) and had a simplified formula for determining the value of the pension (based on number of years served as an MP and an office holder). It also had different rules about reversionary benefits provided to a former MP’s partner or eligible children.</w:t>
      </w:r>
    </w:p>
    <w:p w14:paraId="072E14CB" w14:textId="77777777" w:rsidR="00562281" w:rsidRDefault="00562281" w:rsidP="00562281">
      <w:pPr>
        <w:pStyle w:val="Paragraph"/>
      </w:pPr>
      <w:r>
        <w:t>At the same time, the Existing Benefits Scheme was closed to new members, and serving MPs that were in the Existing Benefits Scheme could elect to transfer into the New Benefits Scheme.</w:t>
      </w:r>
    </w:p>
    <w:p w14:paraId="0DE055BD" w14:textId="77777777" w:rsidR="00562281" w:rsidRDefault="00562281" w:rsidP="00562281">
      <w:pPr>
        <w:pStyle w:val="VIRTHeading2"/>
      </w:pPr>
      <w:bookmarkStart w:id="113" w:name="_Toc51061827"/>
      <w:bookmarkStart w:id="114" w:name="_Toc51061921"/>
      <w:bookmarkStart w:id="115" w:name="_Toc51234156"/>
      <w:r>
        <w:lastRenderedPageBreak/>
        <w:t>A4. Accumulation scheme</w:t>
      </w:r>
      <w:bookmarkEnd w:id="113"/>
      <w:bookmarkEnd w:id="114"/>
      <w:bookmarkEnd w:id="115"/>
    </w:p>
    <w:p w14:paraId="7245EAA8" w14:textId="47EBE92D" w:rsidR="00562281" w:rsidRDefault="00562281" w:rsidP="00562281">
      <w:pPr>
        <w:pStyle w:val="Paragraph"/>
      </w:pPr>
      <w:r>
        <w:t xml:space="preserve">In June 2004, the Commonwealth Government closed its MP defined benefit scheme to new entrants and introduced an accumulation scheme for all future MPs. This followed a pledge by the then federal Leader of the Opposition, Mark Latham, that a future Labor Government would legislate to close the </w:t>
      </w:r>
      <w:r w:rsidR="00BE22ED">
        <w:t>defined benefit scheme</w:t>
      </w:r>
      <w:r>
        <w:t xml:space="preserve"> if elected.</w:t>
      </w:r>
      <w:r w:rsidR="00D56BF4">
        <w:rPr>
          <w:rStyle w:val="FootnoteReference"/>
        </w:rPr>
        <w:footnoteReference w:id="98"/>
      </w:r>
      <w:r>
        <w:t xml:space="preserve"> When announcing the closure of the defined benefit scheme, then Prime Minister John Howard said:</w:t>
      </w:r>
      <w:r>
        <w:rPr>
          <w:rStyle w:val="FootnoteReference"/>
        </w:rPr>
        <w:footnoteReference w:id="99"/>
      </w:r>
    </w:p>
    <w:p w14:paraId="7F48154E" w14:textId="77777777" w:rsidR="00562281" w:rsidRDefault="00562281" w:rsidP="00562281">
      <w:pPr>
        <w:pStyle w:val="VIRTBreakouttext"/>
      </w:pPr>
      <w:r>
        <w:t>I would hope that after this announcement ... all of your cohorts in state capitals will be on the trail of every state Labor Premier to make sure they do exactly the same thing and that you will give them no peace until they do.</w:t>
      </w:r>
    </w:p>
    <w:p w14:paraId="0B664F4B" w14:textId="77777777" w:rsidR="00562281" w:rsidRDefault="00562281" w:rsidP="00562281">
      <w:pPr>
        <w:pStyle w:val="Paragraph"/>
      </w:pPr>
      <w:r>
        <w:t>In November 2004, the Victorian Parliament legislated to close the New Benefits Scheme</w:t>
      </w:r>
      <w:r w:rsidDel="006479EE">
        <w:t xml:space="preserve"> </w:t>
      </w:r>
      <w:r>
        <w:t>and introduced an accumulation scheme, whereby the State made superannuation contributions based on the SG percentage to the MP’s nominated superannuation fund. The then Minister for Finance stated that the intention of the reforms was</w:t>
      </w:r>
      <w:r w:rsidDel="00C32FA8">
        <w:t xml:space="preserve"> </w:t>
      </w:r>
      <w:r>
        <w:t>to bring MP superannuation arrangements “into line with those available to the broader community”.</w:t>
      </w:r>
      <w:r>
        <w:rPr>
          <w:rStyle w:val="FootnoteReference"/>
        </w:rPr>
        <w:footnoteReference w:id="100"/>
      </w:r>
    </w:p>
    <w:p w14:paraId="6EFCB0C2" w14:textId="5413ABFC" w:rsidR="00562281" w:rsidRPr="006E0BF0" w:rsidRDefault="00562281" w:rsidP="00562281">
      <w:pPr>
        <w:pStyle w:val="VIRTHeading3"/>
        <w:rPr>
          <w:rFonts w:ascii="Rockwell" w:hAnsi="Rockwell"/>
        </w:rPr>
      </w:pPr>
      <w:r w:rsidRPr="006E0BF0">
        <w:rPr>
          <w:rFonts w:ascii="Rockwell" w:hAnsi="Rockwell"/>
        </w:rPr>
        <w:t>Amendments following the Hazell Review</w:t>
      </w:r>
    </w:p>
    <w:p w14:paraId="6F15EB60" w14:textId="6E5EDCE6" w:rsidR="00562281" w:rsidRPr="00490281" w:rsidRDefault="00562281" w:rsidP="00562281">
      <w:pPr>
        <w:pStyle w:val="Paragraph"/>
      </w:pPr>
      <w:r w:rsidRPr="00490281">
        <w:t>In 2012, the Victorian Government commissioned Malcolm Hazell CVO AM to conduct a review into the salary entitlements, allowances and other arrangements for Victorian MPs (Hazell Review).</w:t>
      </w:r>
      <w:r>
        <w:rPr>
          <w:rStyle w:val="FootnoteReference"/>
        </w:rPr>
        <w:footnoteReference w:id="101"/>
      </w:r>
    </w:p>
    <w:p w14:paraId="36F3A71B" w14:textId="77777777" w:rsidR="00562281" w:rsidRPr="00490281" w:rsidRDefault="00562281" w:rsidP="00562281">
      <w:pPr>
        <w:pStyle w:val="Parabeforeabulletlist"/>
      </w:pPr>
      <w:r w:rsidRPr="00490281">
        <w:t>The Hazell Review made three recommendations to the Government to address the discrepancy between the superannuation schemes, each of which has been implemented:</w:t>
      </w:r>
    </w:p>
    <w:p w14:paraId="3C5E7992" w14:textId="77777777" w:rsidR="00562281" w:rsidRPr="00490281" w:rsidRDefault="00562281" w:rsidP="00562281">
      <w:pPr>
        <w:pStyle w:val="VIRTBulletpoints"/>
        <w:numPr>
          <w:ilvl w:val="0"/>
          <w:numId w:val="14"/>
        </w:numPr>
        <w:spacing w:after="120"/>
      </w:pPr>
      <w:r>
        <w:t>increasing the employer superannuation contributions for MPs in the accumulation scheme from 9 per cent to 15 per cent (implemented in 2013)</w:t>
      </w:r>
      <w:r>
        <w:rPr>
          <w:rStyle w:val="FootnoteReference"/>
        </w:rPr>
        <w:footnoteReference w:id="102"/>
      </w:r>
      <w:r w:rsidRPr="00AB49E7">
        <w:rPr>
          <w:rStyle w:val="FootnoteReference"/>
        </w:rPr>
        <w:t xml:space="preserve"> </w:t>
      </w:r>
    </w:p>
    <w:p w14:paraId="0F6AA9D0" w14:textId="77777777" w:rsidR="00562281" w:rsidRPr="00490281" w:rsidRDefault="00562281" w:rsidP="00562281">
      <w:pPr>
        <w:pStyle w:val="VIRTBulletpoints"/>
        <w:numPr>
          <w:ilvl w:val="0"/>
          <w:numId w:val="14"/>
        </w:numPr>
        <w:spacing w:after="120"/>
      </w:pPr>
      <w:r w:rsidRPr="00490281">
        <w:lastRenderedPageBreak/>
        <w:t xml:space="preserve">introducing a resettlement allowance for MPs </w:t>
      </w:r>
      <w:r>
        <w:t>who</w:t>
      </w:r>
      <w:r w:rsidRPr="00490281">
        <w:t xml:space="preserve"> are not members of the defined benefit schemes and </w:t>
      </w:r>
      <w:r>
        <w:t>who</w:t>
      </w:r>
      <w:r w:rsidRPr="00490281">
        <w:t xml:space="preserve"> lose their seat in the Parliament (introduced in 2013, and replaced by the separation payment in 2019)</w:t>
      </w:r>
    </w:p>
    <w:p w14:paraId="0A0146E4" w14:textId="77777777" w:rsidR="00562281" w:rsidRPr="00490281" w:rsidRDefault="00562281" w:rsidP="00562281">
      <w:pPr>
        <w:pStyle w:val="VIRTBulletpoints"/>
        <w:numPr>
          <w:ilvl w:val="0"/>
          <w:numId w:val="14"/>
        </w:numPr>
        <w:spacing w:after="120"/>
      </w:pPr>
      <w:r w:rsidRPr="00490281">
        <w:t>revising the MP basic salary based on an objective and comprehensive work</w:t>
      </w:r>
      <w:r>
        <w:noBreakHyphen/>
      </w:r>
      <w:r w:rsidRPr="00490281">
        <w:t xml:space="preserve">value assessment (completed by the </w:t>
      </w:r>
      <w:r>
        <w:t xml:space="preserve">Victorian Independent Remuneration </w:t>
      </w:r>
      <w:r w:rsidRPr="00490281">
        <w:t>Tribunal</w:t>
      </w:r>
      <w:r>
        <w:t xml:space="preserve"> (Tribunal)</w:t>
      </w:r>
      <w:r w:rsidRPr="00490281">
        <w:t xml:space="preserve"> in 2019).</w:t>
      </w:r>
    </w:p>
    <w:p w14:paraId="6E094063" w14:textId="13AE2EF1" w:rsidR="00562281" w:rsidRDefault="00562281" w:rsidP="00562281">
      <w:pPr>
        <w:pStyle w:val="Paragraph"/>
      </w:pPr>
      <w:r w:rsidRPr="00AB49E7">
        <w:t xml:space="preserve">The increase </w:t>
      </w:r>
      <w:r>
        <w:t xml:space="preserve">in contributions </w:t>
      </w:r>
      <w:r w:rsidRPr="00AB49E7">
        <w:t>was justified on the basis that MPs do not accrue recreation or long-service leave.</w:t>
      </w:r>
      <w:r>
        <w:t xml:space="preserve"> In his report,</w:t>
      </w:r>
      <w:r w:rsidRPr="00AB49E7">
        <w:t xml:space="preserve"> Hazell noted that</w:t>
      </w:r>
      <w:r>
        <w:t>:</w:t>
      </w:r>
      <w:r>
        <w:rPr>
          <w:rStyle w:val="FootnoteReference"/>
        </w:rPr>
        <w:footnoteReference w:id="103"/>
      </w:r>
      <w:r w:rsidRPr="00AB49E7">
        <w:t xml:space="preserve"> </w:t>
      </w:r>
    </w:p>
    <w:p w14:paraId="73F81291" w14:textId="77777777" w:rsidR="00562281" w:rsidRDefault="00562281" w:rsidP="00562281">
      <w:pPr>
        <w:pStyle w:val="VIRTBreakouttext"/>
      </w:pPr>
      <w:r>
        <w:t xml:space="preserve">For a ‘two-term post-2004 MP’, this increase ... would </w:t>
      </w:r>
      <w:r w:rsidRPr="00517FD5">
        <w:t>provide a benefit roughly equivalent to the long-service and annual leave entitlements that other public officials may expect to accrue over the same period.</w:t>
      </w:r>
    </w:p>
    <w:p w14:paraId="0EED4794" w14:textId="77777777" w:rsidR="00562281" w:rsidRDefault="00562281" w:rsidP="00562281">
      <w:pPr>
        <w:pStyle w:val="VIRTHeading2"/>
      </w:pPr>
      <w:bookmarkStart w:id="116" w:name="_Toc51061828"/>
      <w:bookmarkStart w:id="117" w:name="_Toc51061922"/>
      <w:bookmarkStart w:id="118" w:name="_Toc51234157"/>
      <w:r>
        <w:t>A5.</w:t>
      </w:r>
      <w:r w:rsidRPr="009D4984">
        <w:t xml:space="preserve"> Recent </w:t>
      </w:r>
      <w:r>
        <w:t>r</w:t>
      </w:r>
      <w:r w:rsidRPr="009D4984">
        <w:t>eforms</w:t>
      </w:r>
      <w:bookmarkEnd w:id="116"/>
      <w:bookmarkEnd w:id="117"/>
      <w:bookmarkEnd w:id="118"/>
    </w:p>
    <w:p w14:paraId="3FDFB8D4" w14:textId="77777777" w:rsidR="00562281" w:rsidRPr="001C6A9D" w:rsidRDefault="00562281" w:rsidP="00562281">
      <w:pPr>
        <w:pStyle w:val="Parabeforeabulletlist"/>
      </w:pPr>
      <w:r>
        <w:t xml:space="preserve">In March 2019, the Victorian Parliament passed the </w:t>
      </w:r>
      <w:r w:rsidRPr="00FD79DF">
        <w:rPr>
          <w:i/>
          <w:iCs/>
        </w:rPr>
        <w:t>Victorian Independent Remuneration Tribunal and Improving Parliamentary Standards Act 2019</w:t>
      </w:r>
      <w:r>
        <w:t xml:space="preserve"> (Vic) (VIRTIPS Act) which, among other matters:</w:t>
      </w:r>
    </w:p>
    <w:p w14:paraId="04C28279" w14:textId="77777777" w:rsidR="00562281" w:rsidRDefault="00562281" w:rsidP="00562281">
      <w:pPr>
        <w:pStyle w:val="VIRTBulletpoints"/>
        <w:numPr>
          <w:ilvl w:val="0"/>
          <w:numId w:val="14"/>
        </w:numPr>
        <w:spacing w:before="240" w:after="120"/>
      </w:pPr>
      <w:r>
        <w:t>established the Tribunal</w:t>
      </w:r>
    </w:p>
    <w:p w14:paraId="35140D30" w14:textId="77777777" w:rsidR="00562281" w:rsidRDefault="00562281" w:rsidP="00562281">
      <w:pPr>
        <w:pStyle w:val="VIRTBulletpoints"/>
        <w:numPr>
          <w:ilvl w:val="0"/>
          <w:numId w:val="14"/>
        </w:numPr>
        <w:spacing w:before="240" w:after="120"/>
      </w:pPr>
      <w:r>
        <w:t>replaced the resettlement allowance with the separation payment</w:t>
      </w:r>
    </w:p>
    <w:p w14:paraId="5D4AAAE0" w14:textId="77777777" w:rsidR="00562281" w:rsidRDefault="00562281" w:rsidP="00562281">
      <w:pPr>
        <w:pStyle w:val="VIRTBulletpoints"/>
        <w:numPr>
          <w:ilvl w:val="0"/>
          <w:numId w:val="14"/>
        </w:numPr>
        <w:spacing w:before="240" w:after="120"/>
      </w:pPr>
      <w:r>
        <w:t xml:space="preserve">renamed the PSS Act as the </w:t>
      </w:r>
      <w:r w:rsidRPr="6E2D4A1F">
        <w:rPr>
          <w:i/>
          <w:iCs/>
        </w:rPr>
        <w:t>Parliamentary Salaries, Allowances and Superannuation Act 1968</w:t>
      </w:r>
      <w:r>
        <w:t xml:space="preserve"> (Vic) (PSAS Act).</w:t>
      </w:r>
    </w:p>
    <w:p w14:paraId="148A354F" w14:textId="77777777" w:rsidR="00562281" w:rsidRDefault="00562281" w:rsidP="00562281">
      <w:pPr>
        <w:pStyle w:val="Paragraph"/>
      </w:pPr>
      <w:r>
        <w:t>Legislative reforms carried out in 2019 also severed the link between the basic and additional salaries payable to existing MPs, and the contributions and pension entitlements for former and existing MPs in the defined benefit schemes. Going forward, these contributions and pensions entitlements are calculated with reference to a new value, known as the basic salary portion (BSP). The purpose of these changes was to preserve the previous superannuation arrangements for members of the defined benefit schemes, while ensuring that there would be no “unintended windfall gains” (e.g. due to increases to additional salaries).</w:t>
      </w:r>
      <w:r>
        <w:rPr>
          <w:rStyle w:val="FootnoteReference"/>
        </w:rPr>
        <w:footnoteReference w:id="104"/>
      </w:r>
    </w:p>
    <w:p w14:paraId="152BDAB0" w14:textId="09F6250B" w:rsidR="00562281" w:rsidRDefault="00562281" w:rsidP="00562281">
      <w:pPr>
        <w:pStyle w:val="Paragraph"/>
      </w:pPr>
      <w:r>
        <w:t xml:space="preserve">The Tribunal made the </w:t>
      </w:r>
      <w:r w:rsidRPr="6E2D4A1F">
        <w:rPr>
          <w:i/>
          <w:iCs/>
        </w:rPr>
        <w:t xml:space="preserve">Members of Parliament (Victoria) Determination 01/2019 </w:t>
      </w:r>
      <w:r w:rsidR="00BA2B8A" w:rsidRPr="00BA2B8A">
        <w:t>(</w:t>
      </w:r>
      <w:r>
        <w:t>2019</w:t>
      </w:r>
      <w:r w:rsidR="00BA2B8A" w:rsidRPr="00BA2B8A">
        <w:t xml:space="preserve"> Determination)</w:t>
      </w:r>
      <w:r w:rsidRPr="6E2D4A1F">
        <w:rPr>
          <w:i/>
          <w:iCs/>
        </w:rPr>
        <w:t xml:space="preserve"> </w:t>
      </w:r>
      <w:r>
        <w:t xml:space="preserve">in September 2019. That Determination indirectly affected </w:t>
      </w:r>
      <w:r>
        <w:lastRenderedPageBreak/>
        <w:t xml:space="preserve">superannuation contributions and entitlements for MPs by changing the basic salary for MPs and the additional salaries provided to specified parliamentary office holders. It also set the initial value of the </w:t>
      </w:r>
      <w:r w:rsidR="00E02CF9">
        <w:t>BSP</w:t>
      </w:r>
      <w:r>
        <w:t xml:space="preserve"> as $168,901 </w:t>
      </w:r>
      <w:r w:rsidR="00002F17">
        <w:t>per annum (p.a.)</w:t>
      </w:r>
      <w:r>
        <w:t xml:space="preserve">, which was $13,512 lower than the MP basic salary ($182,413 </w:t>
      </w:r>
      <w:r w:rsidR="00002F17">
        <w:t>p.a.</w:t>
      </w:r>
      <w:r>
        <w:t xml:space="preserve">). </w:t>
      </w:r>
      <w:r w:rsidRPr="001F451E">
        <w:t xml:space="preserve">The value of the </w:t>
      </w:r>
      <w:r w:rsidR="00F4541B">
        <w:t>BSP</w:t>
      </w:r>
      <w:r w:rsidRPr="001F451E">
        <w:t xml:space="preserve"> set by the Tribunal reflected the </w:t>
      </w:r>
      <w:r>
        <w:t xml:space="preserve">increase in the </w:t>
      </w:r>
      <w:r w:rsidRPr="001F451E">
        <w:t xml:space="preserve">MP basic salary </w:t>
      </w:r>
      <w:r>
        <w:t xml:space="preserve">also </w:t>
      </w:r>
      <w:r w:rsidRPr="001F451E">
        <w:t xml:space="preserve">set </w:t>
      </w:r>
      <w:r>
        <w:t>in that Determination</w:t>
      </w:r>
      <w:r w:rsidRPr="001F451E">
        <w:t xml:space="preserve">, </w:t>
      </w:r>
      <w:r>
        <w:t xml:space="preserve">but </w:t>
      </w:r>
      <w:r w:rsidRPr="001F451E">
        <w:t>excluding a component related to the roll-in of the expense allowance previously provided to all MPs</w:t>
      </w:r>
      <w:r>
        <w:t>.</w:t>
      </w:r>
      <w:r>
        <w:rPr>
          <w:rStyle w:val="FootnoteReference"/>
        </w:rPr>
        <w:footnoteReference w:id="105"/>
      </w:r>
    </w:p>
    <w:p w14:paraId="01279588" w14:textId="1AB68E98" w:rsidR="00562281" w:rsidRDefault="00562281" w:rsidP="00F7682C">
      <w:pPr>
        <w:pStyle w:val="ChapterHeading0"/>
      </w:pPr>
      <w:bookmarkStart w:id="119" w:name="_Toc51234158"/>
      <w:r>
        <w:br w:type="page"/>
      </w:r>
      <w:r w:rsidRPr="000A6520">
        <w:lastRenderedPageBreak/>
        <w:t>Appendix B –</w:t>
      </w:r>
      <w:r>
        <w:br/>
      </w:r>
      <w:r w:rsidRPr="000A6520">
        <w:t>Summary of MP defined benefit schemes</w:t>
      </w:r>
      <w:r>
        <w:br/>
      </w:r>
      <w:r>
        <w:drawing>
          <wp:inline distT="0" distB="0" distL="0" distR="0" wp14:anchorId="72841AA2" wp14:editId="47CD5A21">
            <wp:extent cx="2222500" cy="25336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19"/>
    </w:p>
    <w:p w14:paraId="338F3574" w14:textId="77777777" w:rsidR="00562281" w:rsidRPr="00192020" w:rsidRDefault="00562281" w:rsidP="00562281">
      <w:pPr>
        <w:pStyle w:val="Parabeforeabulletlist"/>
      </w:pPr>
      <w:r>
        <w:t xml:space="preserve">This appendix sets out arrangements for the Existing Benefits Scheme and New Benefits Scheme. </w:t>
      </w:r>
      <w:r w:rsidRPr="00192020">
        <w:t>Generally speaking:</w:t>
      </w:r>
    </w:p>
    <w:p w14:paraId="18026EE5" w14:textId="77777777" w:rsidR="00562281" w:rsidRPr="00BA6CC0" w:rsidRDefault="00562281" w:rsidP="00562281">
      <w:pPr>
        <w:pStyle w:val="VIRTBulletpoints"/>
        <w:numPr>
          <w:ilvl w:val="0"/>
          <w:numId w:val="42"/>
        </w:numPr>
      </w:pPr>
      <w:r w:rsidRPr="00BA6CC0">
        <w:t>the Existing Benefits Scheme covers former MPs elected before 2 July 1996</w:t>
      </w:r>
      <w:r>
        <w:t xml:space="preserve"> and</w:t>
      </w:r>
      <w:r w:rsidRPr="00BA6CC0">
        <w:t xml:space="preserve"> who did not elect to join the New Benefits Scheme </w:t>
      </w:r>
    </w:p>
    <w:p w14:paraId="3065132C" w14:textId="77777777" w:rsidR="00562281" w:rsidRDefault="00562281" w:rsidP="00562281">
      <w:pPr>
        <w:pStyle w:val="VIRTBulletpoints"/>
        <w:numPr>
          <w:ilvl w:val="0"/>
          <w:numId w:val="42"/>
        </w:numPr>
      </w:pPr>
      <w:r w:rsidRPr="00BA6CC0">
        <w:t xml:space="preserve">the New Benefits Scheme covers existing and former MPs elected between 2 July 1996 and 9 November 2004. </w:t>
      </w:r>
    </w:p>
    <w:p w14:paraId="309D3981" w14:textId="77777777" w:rsidR="00562281" w:rsidRPr="00B37AE1" w:rsidRDefault="00562281" w:rsidP="00562281">
      <w:pPr>
        <w:pStyle w:val="VIRTHeading2"/>
      </w:pPr>
      <w:bookmarkStart w:id="120" w:name="_Toc51061830"/>
      <w:bookmarkStart w:id="121" w:name="_Toc51061924"/>
      <w:bookmarkStart w:id="122" w:name="_Toc51234159"/>
      <w:r>
        <w:t>B1.</w:t>
      </w:r>
      <w:r>
        <w:tab/>
      </w:r>
      <w:r w:rsidRPr="00B37AE1">
        <w:t>MP contributions</w:t>
      </w:r>
      <w:bookmarkEnd w:id="120"/>
      <w:bookmarkEnd w:id="121"/>
      <w:bookmarkEnd w:id="122"/>
    </w:p>
    <w:p w14:paraId="1AB3DE63" w14:textId="6C3D80E2" w:rsidR="00562281" w:rsidRDefault="00562281" w:rsidP="00562281">
      <w:pPr>
        <w:pStyle w:val="Paragraph"/>
        <w:rPr>
          <w:i/>
          <w:iCs/>
        </w:rPr>
      </w:pPr>
      <w:r>
        <w:t>MPs in the defined benefit schemes are required to make after-tax contributions to the PCSF.</w:t>
      </w:r>
      <w:r w:rsidRPr="00052388">
        <w:rPr>
          <w:vertAlign w:val="superscript"/>
        </w:rPr>
        <w:footnoteReference w:id="106"/>
      </w:r>
      <w:r>
        <w:t xml:space="preserve"> All MPs are required to contribute an amount equal to </w:t>
      </w:r>
      <w:r w:rsidR="00171E21">
        <w:br/>
      </w:r>
      <w:r>
        <w:t xml:space="preserve">11.5 per cent of the BSP for their first 20.5 years of service. The BSP was set at $168,901 </w:t>
      </w:r>
      <w:r w:rsidR="00002F17">
        <w:t>p.a.</w:t>
      </w:r>
      <w:r>
        <w:t xml:space="preserve"> by the Tribunal in the </w:t>
      </w:r>
      <w:r w:rsidR="00F97F72">
        <w:t>2019</w:t>
      </w:r>
      <w:r>
        <w:t xml:space="preserve"> Determination</w:t>
      </w:r>
      <w:r>
        <w:rPr>
          <w:i/>
          <w:iCs/>
        </w:rPr>
        <w:t xml:space="preserve">. </w:t>
      </w:r>
    </w:p>
    <w:p w14:paraId="01672B40" w14:textId="28EE65FC" w:rsidR="00562281" w:rsidRPr="00057763" w:rsidRDefault="00F97F72" w:rsidP="00562281">
      <w:pPr>
        <w:pStyle w:val="Paragraph"/>
      </w:pPr>
      <w:r>
        <w:t>Specified p</w:t>
      </w:r>
      <w:r w:rsidR="00562281">
        <w:t>arliamentary office holders that receive an additional salary for their position are required to make additional contributions to the PCSF. Their additional contributions are based on the Additional Salary Percentage (ASP) specified in the PSAS Act in respect of that office. The ASP for each office corresponds to the additional salary paid for that office prior to September 2019</w:t>
      </w:r>
      <w:r w:rsidR="00562281" w:rsidRPr="001B6D07">
        <w:t>.</w:t>
      </w:r>
      <w:r w:rsidR="00562281" w:rsidRPr="00AA1269">
        <w:rPr>
          <w:vertAlign w:val="superscript"/>
        </w:rPr>
        <w:footnoteReference w:id="107"/>
      </w:r>
    </w:p>
    <w:p w14:paraId="6DF2DAF6" w14:textId="77777777" w:rsidR="00562281" w:rsidRDefault="00562281" w:rsidP="00562281">
      <w:pPr>
        <w:pStyle w:val="Paragraph"/>
      </w:pPr>
      <w:r>
        <w:t>Equations B1 and B2 set out the required contribution rates.</w:t>
      </w:r>
    </w:p>
    <w:p w14:paraId="18C70FB9" w14:textId="77777777" w:rsidR="00562281" w:rsidRPr="005600EE" w:rsidRDefault="00562281" w:rsidP="00562281">
      <w:pPr>
        <w:pStyle w:val="Figureheading"/>
        <w:rPr>
          <w:noProof/>
        </w:rPr>
      </w:pPr>
      <w:r w:rsidRPr="005600EE">
        <w:t>Equation</w:t>
      </w:r>
      <w:r w:rsidRPr="005600EE">
        <w:rPr>
          <w:noProof/>
        </w:rPr>
        <w:t xml:space="preserve"> </w:t>
      </w:r>
      <w:r>
        <w:rPr>
          <w:noProof/>
        </w:rPr>
        <w:t>B1</w:t>
      </w:r>
      <w:r w:rsidRPr="005600EE">
        <w:rPr>
          <w:noProof/>
        </w:rPr>
        <w:t>: MP contributions under a defined benefit scheme – first 20.5 years</w:t>
      </w:r>
    </w:p>
    <w:p w14:paraId="27B2F111" w14:textId="77777777" w:rsidR="00562281" w:rsidRPr="000F3175" w:rsidRDefault="00562281" w:rsidP="00562281">
      <w:pPr>
        <w:pStyle w:val="Paragraph"/>
        <w:rPr>
          <w:rFonts w:eastAsiaTheme="minorEastAsia"/>
        </w:rPr>
      </w:pPr>
      <m:oMathPara>
        <m:oMathParaPr>
          <m:jc m:val="center"/>
        </m:oMathParaPr>
        <m:oMath>
          <m:r>
            <m:rPr>
              <m:sty m:val="p"/>
            </m:rPr>
            <w:rPr>
              <w:rFonts w:ascii="Cambria Math" w:hAnsi="Cambria Math"/>
            </w:rPr>
            <m:t>contributions=</m:t>
          </m:r>
          <m:d>
            <m:dPr>
              <m:ctrlPr>
                <w:rPr>
                  <w:rFonts w:ascii="Cambria Math" w:hAnsi="Cambria Math"/>
                </w:rPr>
              </m:ctrlPr>
            </m:dPr>
            <m:e>
              <m:r>
                <m:rPr>
                  <m:sty m:val="p"/>
                </m:rPr>
                <w:rPr>
                  <w:rFonts w:ascii="Cambria Math" w:hAnsi="Cambria Math"/>
                </w:rPr>
                <m:t>0.115×BSP</m:t>
              </m:r>
              <m:ctrlPr>
                <w:rPr>
                  <w:rFonts w:ascii="Cambria Math" w:hAnsi="Cambria Math"/>
                  <w:i/>
                  <w:iCs/>
                </w:rPr>
              </m:ctrlPr>
            </m:e>
          </m:d>
          <m:r>
            <w:rPr>
              <w:rFonts w:ascii="Cambria Math" w:hAnsi="Cambria Math"/>
            </w:rPr>
            <m:t xml:space="preserve">+ </m:t>
          </m:r>
          <m:r>
            <m:rPr>
              <m:sty m:val="p"/>
            </m:rPr>
            <w:rPr>
              <w:rFonts w:ascii="Cambria Math" w:hAnsi="Cambria Math"/>
            </w:rPr>
            <m:t>(0.115×BSP×ASP)</m:t>
          </m:r>
        </m:oMath>
      </m:oMathPara>
    </w:p>
    <w:p w14:paraId="16D6F03F" w14:textId="77777777" w:rsidR="00562281" w:rsidRPr="005600EE" w:rsidRDefault="00562281" w:rsidP="00562281">
      <w:pPr>
        <w:pStyle w:val="Figureheading"/>
        <w:rPr>
          <w:noProof/>
        </w:rPr>
      </w:pPr>
      <w:r w:rsidRPr="005600EE">
        <w:rPr>
          <w:noProof/>
        </w:rPr>
        <w:lastRenderedPageBreak/>
        <w:t xml:space="preserve">Equation </w:t>
      </w:r>
      <w:r>
        <w:rPr>
          <w:noProof/>
        </w:rPr>
        <w:t>B2</w:t>
      </w:r>
      <w:r w:rsidRPr="005600EE">
        <w:rPr>
          <w:noProof/>
        </w:rPr>
        <w:t xml:space="preserve">: MP </w:t>
      </w:r>
      <w:r w:rsidRPr="005600EE">
        <w:t>contributions</w:t>
      </w:r>
      <w:r w:rsidRPr="005600EE">
        <w:rPr>
          <w:noProof/>
        </w:rPr>
        <w:t xml:space="preserve"> under a defined benefit scheme – after 20.5 years</w:t>
      </w:r>
    </w:p>
    <w:p w14:paraId="4ECB56E9" w14:textId="77777777" w:rsidR="00562281" w:rsidRPr="009B72A2" w:rsidRDefault="00562281" w:rsidP="00562281">
      <w:pPr>
        <w:pStyle w:val="Paragraph"/>
      </w:pPr>
      <m:oMathPara>
        <m:oMathParaPr>
          <m:jc m:val="center"/>
        </m:oMathParaPr>
        <m:oMath>
          <m:r>
            <m:rPr>
              <m:sty m:val="p"/>
            </m:rPr>
            <w:rPr>
              <w:rFonts w:ascii="Cambria Math" w:hAnsi="Cambria Math"/>
            </w:rPr>
            <m:t>contributions=0.115×BSP×ASP</m:t>
          </m:r>
        </m:oMath>
      </m:oMathPara>
    </w:p>
    <w:p w14:paraId="69D2010F" w14:textId="77777777" w:rsidR="00562281" w:rsidRPr="00B37AE1" w:rsidRDefault="00562281" w:rsidP="00562281">
      <w:pPr>
        <w:pStyle w:val="VIRTHeading2"/>
      </w:pPr>
      <w:bookmarkStart w:id="123" w:name="_Toc51061831"/>
      <w:bookmarkStart w:id="124" w:name="_Toc51061925"/>
      <w:bookmarkStart w:id="125" w:name="_Toc51234160"/>
      <w:r>
        <w:t>B2.</w:t>
      </w:r>
      <w:r>
        <w:tab/>
      </w:r>
      <w:r w:rsidRPr="00B37AE1">
        <w:t>Pension eligibility</w:t>
      </w:r>
      <w:bookmarkEnd w:id="123"/>
      <w:bookmarkEnd w:id="124"/>
      <w:bookmarkEnd w:id="125"/>
    </w:p>
    <w:p w14:paraId="387F832D" w14:textId="77777777" w:rsidR="00562281" w:rsidRPr="00057763" w:rsidRDefault="00562281" w:rsidP="00562281">
      <w:pPr>
        <w:pStyle w:val="VIRTHeading3"/>
        <w:rPr>
          <w:rFonts w:ascii="Calibri Light" w:hAnsi="Calibri Light" w:cs="Times New Roman (Body CS)"/>
          <w:color w:val="4D4D4D" w:themeColor="accent6"/>
          <w:spacing w:val="0"/>
          <w:sz w:val="26"/>
          <w:szCs w:val="44"/>
        </w:rPr>
      </w:pPr>
      <w:r w:rsidRPr="00057763">
        <w:rPr>
          <w:rFonts w:ascii="Calibri Light" w:hAnsi="Calibri Light" w:cs="Times New Roman (Body CS)"/>
          <w:color w:val="4D4D4D" w:themeColor="accent6"/>
          <w:spacing w:val="0"/>
          <w:sz w:val="26"/>
          <w:szCs w:val="44"/>
        </w:rPr>
        <w:t xml:space="preserve">The defined benefit schemes have different pension eligibility requirements. </w:t>
      </w:r>
    </w:p>
    <w:p w14:paraId="0ED83050" w14:textId="613D3E13" w:rsidR="00562281" w:rsidRPr="005600EE" w:rsidRDefault="00562281" w:rsidP="00562281">
      <w:pPr>
        <w:pStyle w:val="VIRTHeading3"/>
      </w:pPr>
      <w:r w:rsidRPr="005600EE">
        <w:t>Existing Benefits Scheme</w:t>
      </w:r>
    </w:p>
    <w:p w14:paraId="16C2342C" w14:textId="25FDBA57" w:rsidR="00562281" w:rsidRDefault="00562281" w:rsidP="00562281">
      <w:pPr>
        <w:pStyle w:val="Parabeforeabulletlist"/>
      </w:pPr>
      <w:r w:rsidRPr="002F2565">
        <w:t xml:space="preserve">A pension is payable to </w:t>
      </w:r>
      <w:r>
        <w:t xml:space="preserve">former </w:t>
      </w:r>
      <w:r w:rsidRPr="002F2565">
        <w:t>MPs under the Existing Benefits Scheme</w:t>
      </w:r>
      <w:r>
        <w:t xml:space="preserve"> if the</w:t>
      </w:r>
      <w:r w:rsidR="00E13B21">
        <w:t>ir aggregate period of service</w:t>
      </w:r>
      <w:r>
        <w:t xml:space="preserve"> satisf</w:t>
      </w:r>
      <w:r w:rsidR="00E13B21">
        <w:t>ies</w:t>
      </w:r>
      <w:r>
        <w:t xml:space="preserve"> any of the following</w:t>
      </w:r>
      <w:r w:rsidRPr="00057763">
        <w:t>:</w:t>
      </w:r>
      <w:r w:rsidRPr="00052388">
        <w:rPr>
          <w:vertAlign w:val="superscript"/>
        </w:rPr>
        <w:footnoteReference w:id="108"/>
      </w:r>
    </w:p>
    <w:p w14:paraId="33583DEC" w14:textId="22E2D218" w:rsidR="00562281" w:rsidRPr="005346DB" w:rsidRDefault="00562281" w:rsidP="00562281">
      <w:pPr>
        <w:pStyle w:val="VIRTBulletpoints"/>
        <w:numPr>
          <w:ilvl w:val="0"/>
          <w:numId w:val="42"/>
        </w:numPr>
      </w:pPr>
      <w:r w:rsidRPr="005346DB">
        <w:t>at</w:t>
      </w:r>
      <w:r w:rsidR="002121F3">
        <w:t xml:space="preserve"> </w:t>
      </w:r>
      <w:r w:rsidRPr="005346DB">
        <w:t>least 15 years</w:t>
      </w:r>
    </w:p>
    <w:p w14:paraId="5B4C5A94" w14:textId="4028347A" w:rsidR="00562281" w:rsidRPr="005346DB" w:rsidRDefault="00562281" w:rsidP="00562281">
      <w:pPr>
        <w:pStyle w:val="VIRTBulletpoints"/>
        <w:numPr>
          <w:ilvl w:val="0"/>
          <w:numId w:val="42"/>
        </w:numPr>
      </w:pPr>
      <w:r w:rsidRPr="005346DB">
        <w:t>at least 12 years and they cease to be an MP due to resignation or retirement which does not require or cause the holding of a by-election (other than on the day of a general election)</w:t>
      </w:r>
    </w:p>
    <w:p w14:paraId="1B3BC36C" w14:textId="5B034C2B" w:rsidR="00562281" w:rsidRPr="005346DB" w:rsidRDefault="00562281" w:rsidP="00562281">
      <w:pPr>
        <w:pStyle w:val="VIRTBulletpoints"/>
        <w:numPr>
          <w:ilvl w:val="0"/>
          <w:numId w:val="42"/>
        </w:numPr>
      </w:pPr>
      <w:r w:rsidRPr="005346DB">
        <w:t>at least 8 years, and:</w:t>
      </w:r>
    </w:p>
    <w:p w14:paraId="5EC4D00A" w14:textId="77777777" w:rsidR="00562281" w:rsidRDefault="00562281" w:rsidP="00562281">
      <w:pPr>
        <w:pStyle w:val="VIRTBulletpoints"/>
        <w:numPr>
          <w:ilvl w:val="1"/>
          <w:numId w:val="42"/>
        </w:numPr>
      </w:pPr>
      <w:r>
        <w:t>they cease to be an MP as a result of a defeat at an election, or</w:t>
      </w:r>
    </w:p>
    <w:p w14:paraId="3F6DE640" w14:textId="7836B0E9" w:rsidR="00562281" w:rsidRDefault="00562281" w:rsidP="00562281">
      <w:pPr>
        <w:pStyle w:val="VIRTBulletpoints"/>
        <w:numPr>
          <w:ilvl w:val="1"/>
          <w:numId w:val="42"/>
        </w:numPr>
        <w:rPr>
          <w:rFonts w:asciiTheme="minorHAnsi" w:eastAsiaTheme="minorEastAsia" w:hAnsiTheme="minorHAnsi" w:cstheme="minorBidi"/>
          <w:szCs w:val="26"/>
        </w:rPr>
      </w:pPr>
      <w:r>
        <w:t xml:space="preserve">they cease to be an MP due to resignation or not seeking re-election for good and sufficient reasons which satisfy </w:t>
      </w:r>
      <w:r w:rsidRPr="00EE4298">
        <w:rPr>
          <w:rFonts w:eastAsiaTheme="minorEastAsia"/>
          <w:szCs w:val="26"/>
        </w:rPr>
        <w:t xml:space="preserve">Emergency Services and State Super </w:t>
      </w:r>
      <w:r w:rsidRPr="75C742EF">
        <w:rPr>
          <w:rFonts w:eastAsiaTheme="minorEastAsia"/>
          <w:szCs w:val="26"/>
        </w:rPr>
        <w:t>(</w:t>
      </w:r>
      <w:r>
        <w:t>ESSSuper</w:t>
      </w:r>
      <w:r w:rsidRPr="00EE4298">
        <w:t>)</w:t>
      </w:r>
      <w:r>
        <w:t xml:space="preserve"> (the </w:t>
      </w:r>
      <w:r w:rsidR="00230EC4">
        <w:t>administrator</w:t>
      </w:r>
      <w:r>
        <w:t xml:space="preserve"> of the PCSF)</w:t>
      </w:r>
    </w:p>
    <w:p w14:paraId="7626FE30" w14:textId="6DC80E07" w:rsidR="00562281" w:rsidRPr="005346DB" w:rsidRDefault="00562281" w:rsidP="00562281">
      <w:pPr>
        <w:pStyle w:val="VIRTBulletpoints"/>
        <w:numPr>
          <w:ilvl w:val="0"/>
          <w:numId w:val="42"/>
        </w:numPr>
      </w:pPr>
      <w:r w:rsidRPr="005346DB">
        <w:t xml:space="preserve">at least 6 years, they served in at least three Parliaments, are over the age of 60 and cease to be an MP as a result of not seeking re-election at a general election. </w:t>
      </w:r>
    </w:p>
    <w:p w14:paraId="50F26894" w14:textId="77777777" w:rsidR="00562281" w:rsidRPr="005600EE" w:rsidRDefault="00562281" w:rsidP="00562281">
      <w:pPr>
        <w:pStyle w:val="VIRTHeading3"/>
      </w:pPr>
      <w:r w:rsidRPr="005600EE">
        <w:t xml:space="preserve">New </w:t>
      </w:r>
      <w:r w:rsidRPr="0095281B">
        <w:t>Benefits</w:t>
      </w:r>
      <w:r w:rsidRPr="005600EE">
        <w:t xml:space="preserve"> Scheme</w:t>
      </w:r>
    </w:p>
    <w:p w14:paraId="7EA2DA64" w14:textId="77777777" w:rsidR="00562281" w:rsidRDefault="00562281" w:rsidP="00562281">
      <w:pPr>
        <w:pStyle w:val="Paragraph"/>
      </w:pPr>
      <w:r w:rsidRPr="002F2565">
        <w:t>Under the New Benefits Scheme, a</w:t>
      </w:r>
      <w:r>
        <w:t xml:space="preserve"> former</w:t>
      </w:r>
      <w:r w:rsidRPr="002F2565">
        <w:t xml:space="preserve"> MP’s eligibility for the pension depends on whether their retirement </w:t>
      </w:r>
      <w:r>
        <w:t xml:space="preserve">from the Parliament </w:t>
      </w:r>
      <w:r w:rsidRPr="002F2565">
        <w:t>was considered to be ‘voluntary’ or ‘involuntary</w:t>
      </w:r>
      <w:r>
        <w:t>.</w:t>
      </w:r>
      <w:r w:rsidRPr="002F2565">
        <w:t>’</w:t>
      </w:r>
      <w:r w:rsidRPr="008C451F">
        <w:rPr>
          <w:vertAlign w:val="superscript"/>
        </w:rPr>
        <w:footnoteReference w:id="109"/>
      </w:r>
      <w:r>
        <w:t xml:space="preserve"> </w:t>
      </w:r>
    </w:p>
    <w:p w14:paraId="48A12C5B" w14:textId="56B373C2" w:rsidR="00562281" w:rsidRPr="00732B51" w:rsidRDefault="00562281" w:rsidP="00562281">
      <w:pPr>
        <w:pStyle w:val="Parabeforeabulletlist"/>
      </w:pPr>
      <w:r w:rsidRPr="00732B51">
        <w:t>A former MP is considered to have involuntarily retired if</w:t>
      </w:r>
      <w:r w:rsidR="00905907">
        <w:t xml:space="preserve"> they were</w:t>
      </w:r>
      <w:r w:rsidRPr="00732B51">
        <w:t>:</w:t>
      </w:r>
    </w:p>
    <w:p w14:paraId="6A2F8CFA" w14:textId="3D6CBEB5" w:rsidR="00562281" w:rsidRPr="005346DB" w:rsidRDefault="00562281" w:rsidP="00562281">
      <w:pPr>
        <w:pStyle w:val="VIRTBulletpoints"/>
        <w:numPr>
          <w:ilvl w:val="0"/>
          <w:numId w:val="42"/>
        </w:numPr>
      </w:pPr>
      <w:r w:rsidRPr="005346DB">
        <w:t>at least 60 years at the time that they ceased to be an MP, or</w:t>
      </w:r>
    </w:p>
    <w:p w14:paraId="3D403E91" w14:textId="0FDCE871" w:rsidR="00562281" w:rsidRPr="005346DB" w:rsidRDefault="00562281" w:rsidP="00562281">
      <w:pPr>
        <w:pStyle w:val="VIRTBulletpoints"/>
        <w:numPr>
          <w:ilvl w:val="0"/>
          <w:numId w:val="42"/>
        </w:numPr>
      </w:pPr>
      <w:r w:rsidRPr="005346DB">
        <w:t>defeated at an election.</w:t>
      </w:r>
    </w:p>
    <w:p w14:paraId="64AD2228" w14:textId="10CD3590" w:rsidR="00562281" w:rsidRPr="00732B51" w:rsidRDefault="00562281" w:rsidP="00562281">
      <w:pPr>
        <w:pStyle w:val="Parabeforeabulletlist"/>
      </w:pPr>
      <w:r w:rsidRPr="00732B51">
        <w:t>A former MP’s retirement is considered voluntary if</w:t>
      </w:r>
      <w:r w:rsidR="00905907">
        <w:t xml:space="preserve"> they were</w:t>
      </w:r>
      <w:r w:rsidRPr="00732B51">
        <w:t xml:space="preserve">: </w:t>
      </w:r>
    </w:p>
    <w:p w14:paraId="61043E6F" w14:textId="2B8C94B4" w:rsidR="00562281" w:rsidRPr="005346DB" w:rsidRDefault="00562281" w:rsidP="00562281">
      <w:pPr>
        <w:pStyle w:val="VIRTBulletpoints"/>
        <w:numPr>
          <w:ilvl w:val="0"/>
          <w:numId w:val="42"/>
        </w:numPr>
      </w:pPr>
      <w:r w:rsidRPr="005346DB">
        <w:t>less than 60 years at the time they left the Parliament, or</w:t>
      </w:r>
    </w:p>
    <w:p w14:paraId="7ADC035C" w14:textId="77777777" w:rsidR="00562281" w:rsidRPr="005346DB" w:rsidRDefault="00562281" w:rsidP="00562281">
      <w:pPr>
        <w:pStyle w:val="VIRTBulletpoints"/>
        <w:numPr>
          <w:ilvl w:val="0"/>
          <w:numId w:val="42"/>
        </w:numPr>
      </w:pPr>
      <w:r w:rsidRPr="005346DB">
        <w:lastRenderedPageBreak/>
        <w:t>it occurred in circumstances which, in the opinion of ESSSuper (the administrator of the PCSF), should be treated as such.</w:t>
      </w:r>
    </w:p>
    <w:p w14:paraId="6579D4DC" w14:textId="3A795747" w:rsidR="00562281" w:rsidRPr="00732B51" w:rsidRDefault="00562281" w:rsidP="00562281">
      <w:pPr>
        <w:pStyle w:val="Parabeforeabulletlist"/>
      </w:pPr>
      <w:r w:rsidRPr="00732B51">
        <w:t xml:space="preserve">If a former MP’s retirement is considered </w:t>
      </w:r>
      <w:r w:rsidRPr="005346DB">
        <w:t>involuntary</w:t>
      </w:r>
      <w:r w:rsidRPr="00732B51">
        <w:t>, they are eligible for the pension if</w:t>
      </w:r>
      <w:r w:rsidR="00FB081B">
        <w:t xml:space="preserve"> they</w:t>
      </w:r>
      <w:r w:rsidRPr="00732B51">
        <w:t>:</w:t>
      </w:r>
      <w:r w:rsidRPr="005346DB">
        <w:rPr>
          <w:noProof/>
          <w:vertAlign w:val="superscript"/>
          <w:lang w:val="en-US"/>
        </w:rPr>
        <w:footnoteReference w:id="110"/>
      </w:r>
    </w:p>
    <w:p w14:paraId="0DE7E041" w14:textId="17CF532C" w:rsidR="00562281" w:rsidRPr="005346DB" w:rsidRDefault="00562281" w:rsidP="00562281">
      <w:pPr>
        <w:pStyle w:val="VIRTBulletpoints"/>
        <w:numPr>
          <w:ilvl w:val="0"/>
          <w:numId w:val="42"/>
        </w:numPr>
      </w:pPr>
      <w:r w:rsidRPr="005346DB">
        <w:t>were an MP for at least 8 years, or</w:t>
      </w:r>
    </w:p>
    <w:p w14:paraId="1392D969" w14:textId="61F50C33" w:rsidR="00562281" w:rsidRPr="005346DB" w:rsidRDefault="00562281" w:rsidP="00562281">
      <w:pPr>
        <w:pStyle w:val="VIRTBulletpoints"/>
        <w:numPr>
          <w:ilvl w:val="0"/>
          <w:numId w:val="42"/>
        </w:numPr>
      </w:pPr>
      <w:r w:rsidRPr="005346DB">
        <w:t xml:space="preserve">have on at least three occasions ceased to be a </w:t>
      </w:r>
      <w:r w:rsidR="00433F62">
        <w:t>M</w:t>
      </w:r>
      <w:r w:rsidRPr="005346DB">
        <w:t>ember of the Parliament on the dissolution or expiration of the Legislative Assembly, or due to expiration of their term of office.</w:t>
      </w:r>
    </w:p>
    <w:p w14:paraId="03AB42AD" w14:textId="4E24A133" w:rsidR="00562281" w:rsidRPr="005346DB" w:rsidRDefault="00562281" w:rsidP="00562281">
      <w:pPr>
        <w:pStyle w:val="Parabeforeabulletlist"/>
      </w:pPr>
      <w:r w:rsidRPr="005346DB">
        <w:t>If a former MP’s retirement is considered voluntary, they are eligible for the pension if</w:t>
      </w:r>
      <w:r w:rsidR="00FB081B">
        <w:t xml:space="preserve"> they</w:t>
      </w:r>
      <w:r w:rsidRPr="005346DB">
        <w:t>:</w:t>
      </w:r>
    </w:p>
    <w:p w14:paraId="5C299CCB" w14:textId="6C08F95F" w:rsidR="00562281" w:rsidRPr="005346DB" w:rsidRDefault="00562281" w:rsidP="00562281">
      <w:pPr>
        <w:pStyle w:val="VIRTBulletpoints"/>
        <w:numPr>
          <w:ilvl w:val="0"/>
          <w:numId w:val="42"/>
        </w:numPr>
      </w:pPr>
      <w:r w:rsidRPr="005346DB">
        <w:t>were an MP for at least 12 years, or</w:t>
      </w:r>
    </w:p>
    <w:p w14:paraId="43710F8E" w14:textId="45CA9F91" w:rsidR="00562281" w:rsidRPr="005346DB" w:rsidRDefault="00562281" w:rsidP="00562281">
      <w:pPr>
        <w:pStyle w:val="VIRTBulletpoints"/>
        <w:numPr>
          <w:ilvl w:val="0"/>
          <w:numId w:val="42"/>
        </w:numPr>
      </w:pPr>
      <w:r w:rsidRPr="005346DB">
        <w:t xml:space="preserve">have on at least four occasions ceased to be a </w:t>
      </w:r>
      <w:r w:rsidR="00433F62">
        <w:t>M</w:t>
      </w:r>
      <w:r w:rsidRPr="005346DB">
        <w:t>ember of the Parliament on the dissolution or expiration of the Legislative Assembly, or due to expiration of their term of office.</w:t>
      </w:r>
    </w:p>
    <w:p w14:paraId="636EA56F" w14:textId="77777777" w:rsidR="00562281" w:rsidRPr="00B37AE1" w:rsidRDefault="00562281" w:rsidP="00562281">
      <w:pPr>
        <w:pStyle w:val="VIRTHeading2"/>
      </w:pPr>
      <w:bookmarkStart w:id="126" w:name="_Toc51061832"/>
      <w:bookmarkStart w:id="127" w:name="_Toc51061926"/>
      <w:bookmarkStart w:id="128" w:name="_Toc51234161"/>
      <w:r>
        <w:t>B3.</w:t>
      </w:r>
      <w:r>
        <w:tab/>
      </w:r>
      <w:r w:rsidRPr="00B37AE1">
        <w:t>Value of the pension</w:t>
      </w:r>
      <w:bookmarkEnd w:id="126"/>
      <w:bookmarkEnd w:id="127"/>
      <w:bookmarkEnd w:id="128"/>
    </w:p>
    <w:p w14:paraId="26CD6DEA" w14:textId="43E4FE1A" w:rsidR="00562281" w:rsidRPr="00057763" w:rsidRDefault="00562281" w:rsidP="00562281">
      <w:pPr>
        <w:pStyle w:val="VIRTHeading3"/>
        <w:rPr>
          <w:rFonts w:ascii="Calibri Light" w:hAnsi="Calibri Light"/>
          <w:color w:val="4D4D4D" w:themeColor="accent6"/>
          <w:spacing w:val="0"/>
          <w:sz w:val="26"/>
          <w:szCs w:val="20"/>
        </w:rPr>
      </w:pPr>
      <w:r>
        <w:rPr>
          <w:rFonts w:ascii="Calibri Light" w:hAnsi="Calibri Light"/>
          <w:color w:val="4D4D4D" w:themeColor="accent6"/>
          <w:spacing w:val="0"/>
          <w:sz w:val="26"/>
          <w:szCs w:val="20"/>
        </w:rPr>
        <w:t>Different formula</w:t>
      </w:r>
      <w:r w:rsidR="00FB081B">
        <w:rPr>
          <w:rFonts w:ascii="Calibri Light" w:hAnsi="Calibri Light"/>
          <w:color w:val="4D4D4D" w:themeColor="accent6"/>
          <w:spacing w:val="0"/>
          <w:sz w:val="26"/>
          <w:szCs w:val="20"/>
        </w:rPr>
        <w:t>e</w:t>
      </w:r>
      <w:r>
        <w:rPr>
          <w:rFonts w:ascii="Calibri Light" w:hAnsi="Calibri Light"/>
          <w:color w:val="4D4D4D" w:themeColor="accent6"/>
          <w:spacing w:val="0"/>
          <w:sz w:val="26"/>
          <w:szCs w:val="20"/>
        </w:rPr>
        <w:t xml:space="preserve"> are used to calculate the value of the pension in each scheme. </w:t>
      </w:r>
    </w:p>
    <w:p w14:paraId="31FE74A3" w14:textId="77777777" w:rsidR="00562281" w:rsidRPr="005600EE" w:rsidRDefault="00562281" w:rsidP="00562281">
      <w:pPr>
        <w:pStyle w:val="VIRTHeading3"/>
      </w:pPr>
      <w:r w:rsidRPr="005600EE">
        <w:t>Existing Benefits Scheme</w:t>
      </w:r>
    </w:p>
    <w:p w14:paraId="09CD67C3" w14:textId="77777777" w:rsidR="00562281" w:rsidRDefault="00562281" w:rsidP="00562281">
      <w:pPr>
        <w:pStyle w:val="Paragraph"/>
      </w:pPr>
      <w:r w:rsidRPr="00523896">
        <w:t>The value of the pension</w:t>
      </w:r>
      <w:r>
        <w:t xml:space="preserve"> provided to former MPs in the Existing Benefits Scheme</w:t>
      </w:r>
      <w:r w:rsidRPr="00523896">
        <w:t xml:space="preserve"> is determined </w:t>
      </w:r>
      <w:r>
        <w:t>using</w:t>
      </w:r>
      <w:r w:rsidRPr="00523896">
        <w:t xml:space="preserve"> the </w:t>
      </w:r>
      <w:r>
        <w:t>formula in equation B3.</w:t>
      </w:r>
    </w:p>
    <w:p w14:paraId="28124F73" w14:textId="77777777" w:rsidR="00562281" w:rsidRPr="00E53843" w:rsidRDefault="00562281" w:rsidP="00562281">
      <w:pPr>
        <w:pStyle w:val="Figureheading"/>
        <w:rPr>
          <w:noProof/>
        </w:rPr>
      </w:pPr>
      <w:r w:rsidRPr="00E53843">
        <w:rPr>
          <w:noProof/>
        </w:rPr>
        <w:t xml:space="preserve">Equation </w:t>
      </w:r>
      <w:r>
        <w:rPr>
          <w:noProof/>
        </w:rPr>
        <w:t>B3</w:t>
      </w:r>
      <w:r w:rsidRPr="00E53843">
        <w:rPr>
          <w:noProof/>
        </w:rPr>
        <w:t xml:space="preserve">: </w:t>
      </w:r>
      <w:r>
        <w:rPr>
          <w:noProof/>
        </w:rPr>
        <w:t>Value of MP</w:t>
      </w:r>
      <w:r w:rsidRPr="00E53843">
        <w:rPr>
          <w:noProof/>
        </w:rPr>
        <w:t xml:space="preserve"> pension under the Existing Benefits Scheme</w:t>
      </w:r>
    </w:p>
    <w:p w14:paraId="617EBDAD" w14:textId="77777777" w:rsidR="00562281" w:rsidRPr="008D512C" w:rsidRDefault="00562281" w:rsidP="00562281">
      <w:pPr>
        <w:pStyle w:val="Paragraph"/>
        <w:rPr>
          <w:rFonts w:eastAsiaTheme="minorEastAsia"/>
          <w:iCs/>
        </w:rPr>
      </w:pPr>
      <m:oMathPara>
        <m:oMathParaPr>
          <m:jc m:val="center"/>
        </m:oMathParaPr>
        <m:oMath>
          <m:r>
            <m:rPr>
              <m:sty m:val="p"/>
            </m:rPr>
            <w:rPr>
              <w:rFonts w:ascii="Cambria Math" w:hAnsi="Cambria Math"/>
            </w:rPr>
            <m:t>pension=A×R×BSP</m:t>
          </m:r>
        </m:oMath>
      </m:oMathPara>
    </w:p>
    <w:p w14:paraId="563F79F3" w14:textId="77777777" w:rsidR="00562281" w:rsidRDefault="00562281" w:rsidP="00562281">
      <w:pPr>
        <w:pStyle w:val="Paragraph"/>
      </w:pPr>
      <w:r>
        <w:t xml:space="preserve">The variable </w:t>
      </w:r>
      <w:r w:rsidRPr="00DB141B">
        <w:t>A</w:t>
      </w:r>
      <w:r>
        <w:t xml:space="preserve"> takes into account the former MP’s length of service in the Parliament. Generally speaking, the longer a former MP served the higher the pension they will receive. The highest pension is paid to former MPs who served an aggregate of at least 20.5 years. The value of </w:t>
      </w:r>
      <w:r w:rsidRPr="008D512C">
        <w:t>A</w:t>
      </w:r>
      <w:r>
        <w:t xml:space="preserve"> ranges from 0.36 to 0.75.</w:t>
      </w:r>
    </w:p>
    <w:p w14:paraId="5C3652E4" w14:textId="029F73F0" w:rsidR="00562281" w:rsidRDefault="00562281" w:rsidP="00562281">
      <w:pPr>
        <w:pStyle w:val="Paragraph"/>
      </w:pPr>
      <w:r>
        <w:t xml:space="preserve">The variable </w:t>
      </w:r>
      <w:r w:rsidRPr="008D512C">
        <w:t>R</w:t>
      </w:r>
      <w:r>
        <w:t xml:space="preserve"> takes into account the years in which a former MP may have been an office holder and received an additional salary. Generally speaking, the more additional salary a former MP received the higher their pension. The specific </w:t>
      </w:r>
      <w:r>
        <w:lastRenderedPageBreak/>
        <w:t>formula</w:t>
      </w:r>
      <w:r w:rsidR="00F67DC3">
        <w:t>e</w:t>
      </w:r>
      <w:r>
        <w:t xml:space="preserve"> used to calculate the variables of A and R are set out in section 15 of the PSAS Act. </w:t>
      </w:r>
    </w:p>
    <w:p w14:paraId="2B16D915" w14:textId="77777777" w:rsidR="00562281" w:rsidRPr="005600EE" w:rsidRDefault="00562281" w:rsidP="00562281">
      <w:pPr>
        <w:pStyle w:val="VIRTHeading3"/>
      </w:pPr>
      <w:r w:rsidRPr="005600EE">
        <w:t>New Benefits Scheme</w:t>
      </w:r>
    </w:p>
    <w:p w14:paraId="2692D5D2" w14:textId="76490BB1" w:rsidR="00562281" w:rsidRDefault="00562281" w:rsidP="00562281">
      <w:pPr>
        <w:pStyle w:val="Paragraph"/>
      </w:pPr>
      <w:r w:rsidRPr="00523896">
        <w:t xml:space="preserve">The </w:t>
      </w:r>
      <w:r>
        <w:t xml:space="preserve">value of the </w:t>
      </w:r>
      <w:r w:rsidRPr="00523896">
        <w:t xml:space="preserve">pension </w:t>
      </w:r>
      <w:r>
        <w:t xml:space="preserve">provided to </w:t>
      </w:r>
      <w:r w:rsidRPr="00523896">
        <w:t>former MPs</w:t>
      </w:r>
      <w:r>
        <w:t xml:space="preserve"> in the New Benefits Scheme</w:t>
      </w:r>
      <w:r w:rsidRPr="00523896">
        <w:t xml:space="preserve"> </w:t>
      </w:r>
      <w:r>
        <w:t>is</w:t>
      </w:r>
      <w:r w:rsidRPr="00523896">
        <w:t xml:space="preserve"> calculated as</w:t>
      </w:r>
      <w:r>
        <w:t xml:space="preserve"> a</w:t>
      </w:r>
      <w:r w:rsidRPr="00523896">
        <w:t xml:space="preserve"> percentage of the current </w:t>
      </w:r>
      <w:r>
        <w:t>BSP</w:t>
      </w:r>
      <w:r w:rsidRPr="00523896">
        <w:t>.</w:t>
      </w:r>
      <w:r>
        <w:t xml:space="preserve"> The minimum amount that can be paid is 50 per cent of the BSP (as at 30 June 2019, $84,450.50 </w:t>
      </w:r>
      <w:r w:rsidR="00002F17">
        <w:t>p.a.</w:t>
      </w:r>
      <w:r>
        <w:t xml:space="preserve">). </w:t>
      </w:r>
      <w:r w:rsidRPr="00231027">
        <w:t>For</w:t>
      </w:r>
      <w:r>
        <w:t xml:space="preserve"> every year of service over 8 years, the former MP receives an additional 2.5 per cent, up to a maximum of 75 per cent for 18 or more years of service. A pro rata amount is paid for partial years of service.</w:t>
      </w:r>
      <w:r w:rsidRPr="00AA1269">
        <w:rPr>
          <w:vertAlign w:val="superscript"/>
        </w:rPr>
        <w:footnoteReference w:id="111"/>
      </w:r>
    </w:p>
    <w:p w14:paraId="6A218EEF" w14:textId="77777777" w:rsidR="00562281" w:rsidRDefault="00562281" w:rsidP="00562281">
      <w:pPr>
        <w:pStyle w:val="Paragraph"/>
      </w:pPr>
      <w:r>
        <w:t xml:space="preserve">Former MPs who were an office holder also receive an additional pension, based on the years that they held that office and the applicable ASP (equation B4). For former MPs who held more than one office, the additional pensions are combined. </w:t>
      </w:r>
      <w:r w:rsidRPr="00273978">
        <w:t>However, the total additional pension a former MP can receive cannot exceed 75</w:t>
      </w:r>
      <w:r>
        <w:t> </w:t>
      </w:r>
      <w:r w:rsidRPr="00273978">
        <w:t>per cent of the BSP mu</w:t>
      </w:r>
      <w:r>
        <w:t>l</w:t>
      </w:r>
      <w:r w:rsidRPr="00273978">
        <w:t xml:space="preserve">tiplied by the highest </w:t>
      </w:r>
      <w:r>
        <w:t>ASP</w:t>
      </w:r>
      <w:r w:rsidRPr="00273978">
        <w:t xml:space="preserve"> that applies to the offices they held.</w:t>
      </w:r>
    </w:p>
    <w:p w14:paraId="24756920" w14:textId="77777777" w:rsidR="00562281" w:rsidRPr="00E53843" w:rsidRDefault="00562281" w:rsidP="00562281">
      <w:pPr>
        <w:pStyle w:val="Figureheading"/>
        <w:rPr>
          <w:noProof/>
        </w:rPr>
      </w:pPr>
      <w:r>
        <w:rPr>
          <w:noProof/>
        </w:rPr>
        <w:t>E</w:t>
      </w:r>
      <w:r w:rsidRPr="00E53843">
        <w:rPr>
          <w:noProof/>
        </w:rPr>
        <w:t xml:space="preserve">quation </w:t>
      </w:r>
      <w:r>
        <w:rPr>
          <w:noProof/>
        </w:rPr>
        <w:t>B4</w:t>
      </w:r>
      <w:r w:rsidRPr="00E53843">
        <w:rPr>
          <w:noProof/>
        </w:rPr>
        <w:t xml:space="preserve">: </w:t>
      </w:r>
      <w:r>
        <w:rPr>
          <w:noProof/>
        </w:rPr>
        <w:t>Value of additional</w:t>
      </w:r>
      <w:r w:rsidRPr="00E53843">
        <w:rPr>
          <w:noProof/>
        </w:rPr>
        <w:t xml:space="preserve"> pension</w:t>
      </w:r>
      <w:r>
        <w:rPr>
          <w:noProof/>
        </w:rPr>
        <w:t xml:space="preserve"> </w:t>
      </w:r>
      <w:r w:rsidRPr="00E53843">
        <w:rPr>
          <w:noProof/>
        </w:rPr>
        <w:t xml:space="preserve">under the </w:t>
      </w:r>
      <w:r>
        <w:rPr>
          <w:noProof/>
        </w:rPr>
        <w:t>New</w:t>
      </w:r>
      <w:r w:rsidRPr="00E53843">
        <w:rPr>
          <w:noProof/>
        </w:rPr>
        <w:t xml:space="preserve"> Benefits Scheme</w:t>
      </w:r>
    </w:p>
    <w:p w14:paraId="474EC598" w14:textId="77777777" w:rsidR="00562281" w:rsidRPr="00711280" w:rsidRDefault="00562281" w:rsidP="00562281">
      <w:pPr>
        <w:pStyle w:val="Paragraph"/>
        <w:rPr>
          <w:rFonts w:eastAsiaTheme="minorEastAsia" w:cs="Calibri Light"/>
        </w:rPr>
      </w:pPr>
      <m:oMathPara>
        <m:oMathParaPr>
          <m:jc m:val="center"/>
        </m:oMathParaPr>
        <m:oMath>
          <m:r>
            <m:rPr>
              <m:sty m:val="p"/>
            </m:rPr>
            <w:rPr>
              <w:rFonts w:ascii="Cambria Math" w:hAnsi="Cambria Math" w:cs="Calibri Light"/>
            </w:rPr>
            <m:t>pension=BSP×ASP×0.0625× years office held</m:t>
          </m:r>
        </m:oMath>
      </m:oMathPara>
    </w:p>
    <w:p w14:paraId="33FF314F" w14:textId="77777777" w:rsidR="00562281" w:rsidRPr="00B37AE1" w:rsidRDefault="00562281" w:rsidP="00562281">
      <w:pPr>
        <w:pStyle w:val="VIRTHeading2"/>
      </w:pPr>
      <w:bookmarkStart w:id="129" w:name="_Toc51061833"/>
      <w:bookmarkStart w:id="130" w:name="_Toc51061927"/>
      <w:bookmarkStart w:id="131" w:name="_Toc51234162"/>
      <w:r>
        <w:t>B4.</w:t>
      </w:r>
      <w:r>
        <w:tab/>
      </w:r>
      <w:r w:rsidRPr="00B37AE1">
        <w:t>Payments for MPs who are not eligible for the pension</w:t>
      </w:r>
      <w:bookmarkEnd w:id="129"/>
      <w:bookmarkEnd w:id="130"/>
      <w:bookmarkEnd w:id="131"/>
    </w:p>
    <w:p w14:paraId="60137C6A" w14:textId="77777777" w:rsidR="00562281" w:rsidRDefault="00562281" w:rsidP="00562281">
      <w:pPr>
        <w:pStyle w:val="Parabeforeabulletlist"/>
      </w:pPr>
      <w:r w:rsidRPr="0011546B">
        <w:t>Under both defined benefit schemes,</w:t>
      </w:r>
      <w:r>
        <w:t xml:space="preserve"> lump sum payments are made to:</w:t>
      </w:r>
    </w:p>
    <w:p w14:paraId="6698CABE" w14:textId="77777777" w:rsidR="00562281" w:rsidRPr="005346DB" w:rsidRDefault="00562281" w:rsidP="00562281">
      <w:pPr>
        <w:pStyle w:val="VIRTBulletpoints"/>
        <w:numPr>
          <w:ilvl w:val="0"/>
          <w:numId w:val="42"/>
        </w:numPr>
      </w:pPr>
      <w:r w:rsidRPr="005346DB">
        <w:t>former MPs who cease to be a member as the result of defeat at an election, or as the result of resignation or not seeking re-election, and who are not eligible for the pension</w:t>
      </w:r>
    </w:p>
    <w:p w14:paraId="0EA6CBDE" w14:textId="58295ECA" w:rsidR="00562281" w:rsidRPr="005346DB" w:rsidRDefault="00562281" w:rsidP="00562281">
      <w:pPr>
        <w:pStyle w:val="VIRTBulletpoints"/>
        <w:numPr>
          <w:ilvl w:val="0"/>
          <w:numId w:val="42"/>
        </w:numPr>
      </w:pPr>
      <w:r w:rsidRPr="005346DB">
        <w:t>the personal representative of an MP who dies while serving if they are not survived by a partner or eligible children.</w:t>
      </w:r>
      <w:r w:rsidRPr="009239F0">
        <w:rPr>
          <w:vertAlign w:val="superscript"/>
        </w:rPr>
        <w:footnoteReference w:id="112"/>
      </w:r>
      <w:r w:rsidR="00881D96">
        <w:br w:type="page"/>
      </w:r>
    </w:p>
    <w:p w14:paraId="2FE7CC41" w14:textId="77777777" w:rsidR="00562281" w:rsidRPr="005600EE" w:rsidRDefault="00562281" w:rsidP="00562281">
      <w:pPr>
        <w:pStyle w:val="VIRTHeading3"/>
      </w:pPr>
      <w:r w:rsidRPr="005600EE">
        <w:lastRenderedPageBreak/>
        <w:t>Existing Benefits Scheme</w:t>
      </w:r>
    </w:p>
    <w:p w14:paraId="6A93B3D3" w14:textId="77777777" w:rsidR="00562281" w:rsidRPr="00DC3DE4" w:rsidRDefault="00562281" w:rsidP="00562281">
      <w:pPr>
        <w:pStyle w:val="Parabeforeabulletlist"/>
      </w:pPr>
      <w:r w:rsidRPr="00DC3DE4">
        <w:t>The lump</w:t>
      </w:r>
      <w:r>
        <w:t xml:space="preserve"> </w:t>
      </w:r>
      <w:r w:rsidRPr="00DC3DE4">
        <w:t>sum payment is equal to</w:t>
      </w:r>
      <w:r>
        <w:t xml:space="preserve"> the sum of</w:t>
      </w:r>
      <w:r w:rsidRPr="00DC3DE4">
        <w:t>:</w:t>
      </w:r>
    </w:p>
    <w:p w14:paraId="3F669A2B" w14:textId="77777777" w:rsidR="00562281" w:rsidRPr="005346DB" w:rsidRDefault="00562281" w:rsidP="00562281">
      <w:pPr>
        <w:pStyle w:val="VIRTBulletpoints"/>
        <w:numPr>
          <w:ilvl w:val="0"/>
          <w:numId w:val="42"/>
        </w:numPr>
      </w:pPr>
      <w:r w:rsidRPr="005346DB">
        <w:t>the contributions made from the MP’s salary</w:t>
      </w:r>
    </w:p>
    <w:p w14:paraId="5E352867" w14:textId="77777777" w:rsidR="00562281" w:rsidRPr="005346DB" w:rsidRDefault="00562281" w:rsidP="00562281">
      <w:pPr>
        <w:pStyle w:val="VIRTBulletpoints"/>
        <w:numPr>
          <w:ilvl w:val="0"/>
          <w:numId w:val="42"/>
        </w:numPr>
      </w:pPr>
      <w:r w:rsidRPr="005346DB">
        <w:t xml:space="preserve">2 </w:t>
      </w:r>
      <w:r w:rsidRPr="005346DB">
        <w:rPr>
          <w:vertAlign w:val="superscript"/>
        </w:rPr>
        <w:t>1</w:t>
      </w:r>
      <w:r w:rsidRPr="005346DB">
        <w:t>/</w:t>
      </w:r>
      <w:r w:rsidRPr="005346DB">
        <w:rPr>
          <w:vertAlign w:val="subscript"/>
        </w:rPr>
        <w:t>3</w:t>
      </w:r>
      <w:r w:rsidRPr="005346DB">
        <w:t xml:space="preserve"> times the contributions made before 1 December 1993 and 1 </w:t>
      </w:r>
      <w:r w:rsidRPr="005346DB">
        <w:rPr>
          <w:vertAlign w:val="superscript"/>
        </w:rPr>
        <w:t>2</w:t>
      </w:r>
      <w:r w:rsidRPr="005346DB">
        <w:t>/</w:t>
      </w:r>
      <w:r w:rsidRPr="005346DB">
        <w:rPr>
          <w:vertAlign w:val="subscript"/>
        </w:rPr>
        <w:t>3</w:t>
      </w:r>
      <w:r w:rsidRPr="005346DB">
        <w:t xml:space="preserve"> times the contributions made after that date (Additional Amount). </w:t>
      </w:r>
    </w:p>
    <w:p w14:paraId="385BEDE1" w14:textId="77777777" w:rsidR="00562281" w:rsidRPr="00DC3DE4" w:rsidRDefault="00562281" w:rsidP="00562281">
      <w:pPr>
        <w:pStyle w:val="Parabeforeabulletlist"/>
      </w:pPr>
      <w:r w:rsidRPr="00DC3DE4">
        <w:t>However, if a lump</w:t>
      </w:r>
      <w:r>
        <w:t xml:space="preserve"> </w:t>
      </w:r>
      <w:r w:rsidRPr="00DC3DE4">
        <w:t>sum payment is being made to a</w:t>
      </w:r>
      <w:r>
        <w:t xml:space="preserve"> former</w:t>
      </w:r>
      <w:r w:rsidRPr="00DC3DE4">
        <w:t xml:space="preserve"> MP who did</w:t>
      </w:r>
      <w:r>
        <w:t xml:space="preserve"> not</w:t>
      </w:r>
      <w:r w:rsidRPr="00DC3DE4">
        <w:t xml:space="preserve"> cease to be a member</w:t>
      </w:r>
      <w:r>
        <w:t xml:space="preserve"> of the Parliament</w:t>
      </w:r>
      <w:r w:rsidRPr="003114D8">
        <w:t>—</w:t>
      </w:r>
    </w:p>
    <w:p w14:paraId="39C1B13F" w14:textId="77777777" w:rsidR="00562281" w:rsidRPr="005346DB" w:rsidRDefault="00562281" w:rsidP="00562281">
      <w:pPr>
        <w:pStyle w:val="VIRTBulletpoints"/>
        <w:numPr>
          <w:ilvl w:val="0"/>
          <w:numId w:val="42"/>
        </w:numPr>
      </w:pPr>
      <w:r w:rsidRPr="005346DB">
        <w:t xml:space="preserve">as the result of defeat at an election, or </w:t>
      </w:r>
    </w:p>
    <w:p w14:paraId="56B995ED" w14:textId="77777777" w:rsidR="00562281" w:rsidRPr="005346DB" w:rsidRDefault="00562281" w:rsidP="00562281">
      <w:pPr>
        <w:pStyle w:val="VIRTBulletpoints"/>
        <w:numPr>
          <w:ilvl w:val="0"/>
          <w:numId w:val="42"/>
        </w:numPr>
      </w:pPr>
      <w:r w:rsidRPr="005346DB">
        <w:t xml:space="preserve">as the result of resignation or not seeking re-election, for good and sufficient reasons which satisfy the trustees— </w:t>
      </w:r>
    </w:p>
    <w:p w14:paraId="28B98F59" w14:textId="77777777" w:rsidR="00562281" w:rsidRPr="00A91560" w:rsidRDefault="00562281" w:rsidP="00562281">
      <w:pPr>
        <w:pStyle w:val="Parabeforeabulletlist"/>
      </w:pPr>
      <w:r w:rsidRPr="00A91560">
        <w:t>then they only receive their contributions back plus half of the Additional Amount.</w:t>
      </w:r>
    </w:p>
    <w:p w14:paraId="71BD1289" w14:textId="77777777" w:rsidR="00562281" w:rsidRDefault="00562281" w:rsidP="00562281">
      <w:pPr>
        <w:pStyle w:val="Paragraph"/>
      </w:pPr>
      <w:r w:rsidRPr="00A91560">
        <w:t xml:space="preserve">Special rules apply for former MPs </w:t>
      </w:r>
      <w:r>
        <w:t>who</w:t>
      </w:r>
      <w:r w:rsidRPr="00A91560">
        <w:t xml:space="preserve"> receive a lump sum payment and subsequently become eligible for a pension (i.e. as a result of returning to the Parliament).</w:t>
      </w:r>
      <w:r>
        <w:rPr>
          <w:rStyle w:val="FootnoteReference"/>
        </w:rPr>
        <w:footnoteReference w:id="113"/>
      </w:r>
    </w:p>
    <w:p w14:paraId="7D7CFD5D" w14:textId="77777777" w:rsidR="00562281" w:rsidRPr="005600EE" w:rsidRDefault="00562281" w:rsidP="00562281">
      <w:pPr>
        <w:pStyle w:val="VIRTHeading3"/>
      </w:pPr>
      <w:r w:rsidRPr="005600EE">
        <w:t>New Benefits Scheme</w:t>
      </w:r>
    </w:p>
    <w:p w14:paraId="3F10D2B2" w14:textId="77777777" w:rsidR="00562281" w:rsidRPr="00DC3DE4" w:rsidRDefault="00562281" w:rsidP="00562281">
      <w:pPr>
        <w:pStyle w:val="Paragraph"/>
      </w:pPr>
      <w:r w:rsidRPr="00DC3DE4">
        <w:t>If a</w:t>
      </w:r>
      <w:r>
        <w:t xml:space="preserve"> former</w:t>
      </w:r>
      <w:r w:rsidRPr="00DC3DE4">
        <w:t xml:space="preserve"> MP retire</w:t>
      </w:r>
      <w:r>
        <w:t xml:space="preserve">d </w:t>
      </w:r>
      <w:r w:rsidRPr="00DC3DE4">
        <w:t>involuntarily, the lump</w:t>
      </w:r>
      <w:r>
        <w:t xml:space="preserve"> </w:t>
      </w:r>
      <w:r w:rsidRPr="00DC3DE4">
        <w:t xml:space="preserve">sum payment is equal to the deductions made from the MP’s salary </w:t>
      </w:r>
      <w:r>
        <w:t>multiplied by</w:t>
      </w:r>
      <w:r w:rsidRPr="00DC3DE4">
        <w:t xml:space="preserve"> 3</w:t>
      </w:r>
      <w:r>
        <w:t xml:space="preserve"> </w:t>
      </w:r>
      <w:r w:rsidRPr="005346DB">
        <w:rPr>
          <w:vertAlign w:val="superscript"/>
        </w:rPr>
        <w:t>1</w:t>
      </w:r>
      <w:r>
        <w:t>/</w:t>
      </w:r>
      <w:r w:rsidRPr="005346DB">
        <w:rPr>
          <w:vertAlign w:val="subscript"/>
        </w:rPr>
        <w:t>3</w:t>
      </w:r>
      <w:r>
        <w:t>.</w:t>
      </w:r>
      <w:r w:rsidRPr="007B5892">
        <w:rPr>
          <w:rFonts w:eastAsiaTheme="minorEastAsia"/>
          <w:vertAlign w:val="superscript"/>
        </w:rPr>
        <w:footnoteReference w:id="114"/>
      </w:r>
    </w:p>
    <w:p w14:paraId="036FBE86" w14:textId="77777777" w:rsidR="00562281" w:rsidRPr="00DC3DE4" w:rsidRDefault="00562281" w:rsidP="00562281">
      <w:pPr>
        <w:pStyle w:val="Parabeforeabulletlist"/>
      </w:pPr>
      <w:r w:rsidRPr="00DC3DE4">
        <w:t>If a</w:t>
      </w:r>
      <w:r>
        <w:t xml:space="preserve"> former </w:t>
      </w:r>
      <w:r w:rsidRPr="00DC3DE4">
        <w:t>MP retire</w:t>
      </w:r>
      <w:r>
        <w:t>d</w:t>
      </w:r>
      <w:r w:rsidRPr="00DC3DE4">
        <w:t xml:space="preserve"> voluntarily, their lump</w:t>
      </w:r>
      <w:r>
        <w:t xml:space="preserve"> </w:t>
      </w:r>
      <w:r w:rsidRPr="00DC3DE4">
        <w:t>sum payment is instead equal to</w:t>
      </w:r>
      <w:r>
        <w:t xml:space="preserve"> the sum of</w:t>
      </w:r>
      <w:r w:rsidRPr="00DC3DE4">
        <w:t>:</w:t>
      </w:r>
    </w:p>
    <w:p w14:paraId="70ECD592" w14:textId="77777777" w:rsidR="00562281" w:rsidRPr="005346DB" w:rsidRDefault="00562281" w:rsidP="00562281">
      <w:pPr>
        <w:pStyle w:val="VIRTBulletpoints"/>
        <w:numPr>
          <w:ilvl w:val="0"/>
          <w:numId w:val="42"/>
        </w:numPr>
      </w:pPr>
      <w:r w:rsidRPr="005346DB">
        <w:t>the deductions made from their salary</w:t>
      </w:r>
    </w:p>
    <w:p w14:paraId="48CA3966" w14:textId="2D43F17E" w:rsidR="00562281" w:rsidRDefault="00562281" w:rsidP="00562281">
      <w:pPr>
        <w:pStyle w:val="VIRTBulletpoints"/>
        <w:numPr>
          <w:ilvl w:val="0"/>
          <w:numId w:val="42"/>
        </w:numPr>
      </w:pPr>
      <w:r w:rsidRPr="005346DB">
        <w:t xml:space="preserve">1 </w:t>
      </w:r>
      <w:r w:rsidRPr="005346DB">
        <w:rPr>
          <w:vertAlign w:val="superscript"/>
        </w:rPr>
        <w:t>1</w:t>
      </w:r>
      <w:r w:rsidRPr="005346DB">
        <w:t>/</w:t>
      </w:r>
      <w:r w:rsidRPr="005346DB">
        <w:rPr>
          <w:vertAlign w:val="subscript"/>
        </w:rPr>
        <w:t>6</w:t>
      </w:r>
      <w:r>
        <w:t xml:space="preserve"> </w:t>
      </w:r>
      <w:r w:rsidRPr="005346DB">
        <w:t>times the deductions made during the last 8 years of service.</w:t>
      </w:r>
      <w:r>
        <w:rPr>
          <w:rStyle w:val="FootnoteReference"/>
        </w:rPr>
        <w:footnoteReference w:id="115"/>
      </w:r>
      <w:r w:rsidR="00881D96">
        <w:br w:type="page"/>
      </w:r>
    </w:p>
    <w:p w14:paraId="1108E589" w14:textId="77777777" w:rsidR="00562281" w:rsidRPr="00B37AE1" w:rsidRDefault="00562281" w:rsidP="00562281">
      <w:pPr>
        <w:pStyle w:val="VIRTHeading2"/>
      </w:pPr>
      <w:bookmarkStart w:id="132" w:name="_Toc51061834"/>
      <w:bookmarkStart w:id="133" w:name="_Toc51061928"/>
      <w:bookmarkStart w:id="134" w:name="_Toc51234163"/>
      <w:r>
        <w:lastRenderedPageBreak/>
        <w:t>B5.</w:t>
      </w:r>
      <w:r>
        <w:tab/>
      </w:r>
      <w:r w:rsidRPr="00B37AE1">
        <w:t>Converting all or part of a pension into a lump sum</w:t>
      </w:r>
      <w:bookmarkEnd w:id="132"/>
      <w:bookmarkEnd w:id="133"/>
      <w:bookmarkEnd w:id="134"/>
    </w:p>
    <w:p w14:paraId="1D5A6654" w14:textId="77777777" w:rsidR="00562281" w:rsidRPr="005600EE" w:rsidRDefault="00562281" w:rsidP="00562281">
      <w:pPr>
        <w:pStyle w:val="VIRTHeading3"/>
      </w:pPr>
      <w:r w:rsidRPr="005600EE">
        <w:t>Existing Benefits Scheme</w:t>
      </w:r>
    </w:p>
    <w:p w14:paraId="301468C7" w14:textId="77777777" w:rsidR="00562281" w:rsidRDefault="00562281" w:rsidP="00562281">
      <w:pPr>
        <w:pStyle w:val="Paragraph"/>
      </w:pPr>
      <w:r>
        <w:t xml:space="preserve">Former </w:t>
      </w:r>
      <w:r w:rsidRPr="00015396">
        <w:t xml:space="preserve">MPs </w:t>
      </w:r>
      <w:r>
        <w:t>in the Existing Benefits Scheme who</w:t>
      </w:r>
      <w:r w:rsidRPr="00015396">
        <w:t xml:space="preserve"> are entitled to the pension may, within </w:t>
      </w:r>
      <w:r w:rsidRPr="1633D2F1">
        <w:t>3 months</w:t>
      </w:r>
      <w:r w:rsidRPr="00015396">
        <w:t xml:space="preserve"> of ceasing to be a member</w:t>
      </w:r>
      <w:r>
        <w:t xml:space="preserve"> of the Parliament</w:t>
      </w:r>
      <w:r w:rsidRPr="00015396">
        <w:t>, elect to convert all or part of their pension into a lump sum payment.</w:t>
      </w:r>
      <w:r w:rsidRPr="00480046">
        <w:rPr>
          <w:vertAlign w:val="superscript"/>
        </w:rPr>
        <w:footnoteReference w:id="116"/>
      </w:r>
      <w:r w:rsidRPr="00015396">
        <w:t xml:space="preserve"> </w:t>
      </w:r>
    </w:p>
    <w:p w14:paraId="1A045FFB" w14:textId="77777777" w:rsidR="00562281" w:rsidRPr="00015396" w:rsidRDefault="00562281" w:rsidP="00562281">
      <w:pPr>
        <w:pStyle w:val="Paragraph"/>
      </w:pPr>
      <w:r>
        <w:t>The former MP’s ongoing pension is then reduced by the percentage of the pension that they converted into a lump sum. For former MPs who were younger than 66 years when they left the Parliament, t</w:t>
      </w:r>
      <w:r w:rsidRPr="00015396">
        <w:t xml:space="preserve">he </w:t>
      </w:r>
      <w:r>
        <w:t xml:space="preserve">maximum </w:t>
      </w:r>
      <w:r w:rsidRPr="00015396">
        <w:t>lump sum is equal to the annual pension entitlement multiplied by</w:t>
      </w:r>
      <w:r>
        <w:t xml:space="preserve"> 10. The lump sum payment is reduced for former MPs who reached 66 years of age while serving as an MP, unless they left the Parliament at or before the next general election held after they reached 66 years of age and their leaving did not require the holding of a by</w:t>
      </w:r>
      <w:r>
        <w:noBreakHyphen/>
        <w:t>election.</w:t>
      </w:r>
    </w:p>
    <w:p w14:paraId="34E2D0D0" w14:textId="77777777" w:rsidR="00562281" w:rsidRDefault="00562281" w:rsidP="00562281">
      <w:pPr>
        <w:pStyle w:val="Paragraph"/>
      </w:pPr>
      <w:r>
        <w:t>Special rules apply for former MPs who choose to convert part of their pension into a lump sum payment, and subsequently return to the Parliament.</w:t>
      </w:r>
      <w:r w:rsidRPr="00DC1DED">
        <w:rPr>
          <w:vertAlign w:val="superscript"/>
        </w:rPr>
        <w:footnoteReference w:id="117"/>
      </w:r>
    </w:p>
    <w:p w14:paraId="7C7190FA" w14:textId="77777777" w:rsidR="00562281" w:rsidRPr="005600EE" w:rsidRDefault="00562281" w:rsidP="00562281">
      <w:pPr>
        <w:pStyle w:val="VIRTHeading3"/>
      </w:pPr>
      <w:r w:rsidRPr="005600EE">
        <w:t>New Benefits Scheme</w:t>
      </w:r>
    </w:p>
    <w:p w14:paraId="2BD3C9B9" w14:textId="2C3442FD" w:rsidR="00562281" w:rsidRPr="00015396" w:rsidRDefault="00562281" w:rsidP="00562281">
      <w:pPr>
        <w:pStyle w:val="Paragraph"/>
      </w:pPr>
      <w:r>
        <w:t xml:space="preserve">Former </w:t>
      </w:r>
      <w:r w:rsidRPr="00015396">
        <w:t xml:space="preserve">MPs </w:t>
      </w:r>
      <w:r>
        <w:t>in the New Benefits Scheme who</w:t>
      </w:r>
      <w:r w:rsidRPr="00015396">
        <w:t xml:space="preserve"> are entitled to the pension may, within </w:t>
      </w:r>
      <w:r>
        <w:t>3</w:t>
      </w:r>
      <w:r w:rsidRPr="00015396">
        <w:t xml:space="preserve"> months of ceasing to be a member</w:t>
      </w:r>
      <w:r>
        <w:t xml:space="preserve"> of the Parliament</w:t>
      </w:r>
      <w:r w:rsidRPr="00015396">
        <w:t xml:space="preserve">, elect to convert all or part of their pension into a lump sum payment. The rules on how the </w:t>
      </w:r>
      <w:r w:rsidR="00A236C4">
        <w:t xml:space="preserve">pension benefit can be commuted into a </w:t>
      </w:r>
      <w:r w:rsidRPr="00015396">
        <w:t>lump sum are the same as for the Existing Benefits Scheme.</w:t>
      </w:r>
      <w:r w:rsidRPr="00DC1DED">
        <w:rPr>
          <w:vertAlign w:val="superscript"/>
        </w:rPr>
        <w:footnoteReference w:id="118"/>
      </w:r>
    </w:p>
    <w:p w14:paraId="76EE7E45" w14:textId="06C87CDB" w:rsidR="00562281" w:rsidRDefault="00562281" w:rsidP="00562281">
      <w:pPr>
        <w:pStyle w:val="Paragraph"/>
      </w:pPr>
      <w:r w:rsidRPr="00015396">
        <w:t>Under the rules for the New Benefits Scheme, ESSSuper may defer a</w:t>
      </w:r>
      <w:r>
        <w:t xml:space="preserve"> former</w:t>
      </w:r>
      <w:r w:rsidRPr="00015396">
        <w:t xml:space="preserve"> MP’s decision to convert part of their pension into a lump sum for up to 12 months, if it is of the opinion that the person is likely to become an MP again within 12 months of becoming eligible for the pension.</w:t>
      </w:r>
    </w:p>
    <w:p w14:paraId="366F0285" w14:textId="77777777" w:rsidR="00562281" w:rsidRDefault="00562281" w:rsidP="00562281">
      <w:pPr>
        <w:pStyle w:val="Paragraph"/>
      </w:pPr>
      <w:r>
        <w:t xml:space="preserve">Special rules apply for former MPs who choose to convert part of their pension into a lump sum payment, </w:t>
      </w:r>
      <w:r w:rsidRPr="00D51B93">
        <w:t>and</w:t>
      </w:r>
      <w:r>
        <w:t xml:space="preserve"> subsequently return to the Parliament.</w:t>
      </w:r>
    </w:p>
    <w:p w14:paraId="5BC0800E" w14:textId="77777777" w:rsidR="00562281" w:rsidRPr="00B37AE1" w:rsidRDefault="00562281" w:rsidP="00562281">
      <w:pPr>
        <w:pStyle w:val="VIRTHeading2"/>
      </w:pPr>
      <w:bookmarkStart w:id="135" w:name="_Toc51061835"/>
      <w:bookmarkStart w:id="136" w:name="_Toc51061929"/>
      <w:bookmarkStart w:id="137" w:name="_Toc51234164"/>
      <w:r>
        <w:lastRenderedPageBreak/>
        <w:t>B6.</w:t>
      </w:r>
      <w:r>
        <w:tab/>
      </w:r>
      <w:r w:rsidRPr="00B37AE1">
        <w:t>Restrictions on lump sum payments due to preservation</w:t>
      </w:r>
      <w:bookmarkEnd w:id="135"/>
      <w:bookmarkEnd w:id="136"/>
      <w:bookmarkEnd w:id="137"/>
    </w:p>
    <w:p w14:paraId="02FD8DD4" w14:textId="5BFE4FFB" w:rsidR="00562281" w:rsidRDefault="00562281" w:rsidP="00562281">
      <w:pPr>
        <w:pStyle w:val="Paragraph"/>
      </w:pPr>
      <w:r>
        <w:t>Under both schemes, former MPs may receive a lump sum payment, either because they are ineligible to receive the pension or because they choose to convert part or all of their pension into a lump sum. However, the lump sum amount that former MPs can receive is restricted by Commonwealth ‘preservation’ rules.</w:t>
      </w:r>
      <w:r w:rsidR="00EC4C7F">
        <w:rPr>
          <w:rStyle w:val="FootnoteReference"/>
        </w:rPr>
        <w:footnoteReference w:id="119"/>
      </w:r>
      <w:r>
        <w:t xml:space="preserve"> These rules restrict how much of a lump sum retirement benefit can be provided to a person before they retire and reach their ‘preservation age’ (which ranges from 55 to 60 years depending on when the person was born). These restrictions cease to apply once the person reaches </w:t>
      </w:r>
      <w:r w:rsidR="00EC4C7F">
        <w:br/>
      </w:r>
      <w:r>
        <w:t>65 years or in other specific circumstances (e.g. death or permanent disablement).</w:t>
      </w:r>
    </w:p>
    <w:p w14:paraId="5436B157" w14:textId="77777777" w:rsidR="00562281" w:rsidRPr="00B37AE1" w:rsidRDefault="00562281" w:rsidP="00562281">
      <w:pPr>
        <w:pStyle w:val="VIRTHeading2"/>
      </w:pPr>
      <w:bookmarkStart w:id="138" w:name="_Toc51061836"/>
      <w:bookmarkStart w:id="139" w:name="_Toc51061930"/>
      <w:bookmarkStart w:id="140" w:name="_Toc51234165"/>
      <w:r>
        <w:t xml:space="preserve">B7. </w:t>
      </w:r>
      <w:r w:rsidRPr="00B37AE1">
        <w:t>Special rules for ceasing to be an MP due to ill-health</w:t>
      </w:r>
      <w:bookmarkEnd w:id="138"/>
      <w:bookmarkEnd w:id="139"/>
      <w:bookmarkEnd w:id="140"/>
    </w:p>
    <w:p w14:paraId="513E40B5" w14:textId="54A55ED2" w:rsidR="00562281" w:rsidRPr="003114D8" w:rsidRDefault="00562281" w:rsidP="00562281">
      <w:pPr>
        <w:pStyle w:val="Paragraph"/>
      </w:pPr>
      <w:r>
        <w:t>Both schemes feature special rules regarding pensions provided to former MPs who ceased to be an MP because their ill-health rendered them incapable of serving. Subject to certain requirements, these former MPs can receive the pension regardless of time served.</w:t>
      </w:r>
      <w:r w:rsidRPr="00DC1DED">
        <w:rPr>
          <w:vertAlign w:val="superscript"/>
        </w:rPr>
        <w:footnoteReference w:id="120"/>
      </w:r>
      <w:r w:rsidRPr="00DC1DED">
        <w:rPr>
          <w:vertAlign w:val="superscript"/>
        </w:rPr>
        <w:t xml:space="preserve"> </w:t>
      </w:r>
      <w:r>
        <w:t>However, th</w:t>
      </w:r>
      <w:r w:rsidR="008947A2">
        <w:t>ey</w:t>
      </w:r>
      <w:r>
        <w:t xml:space="preserve"> are not able to </w:t>
      </w:r>
      <w:r w:rsidR="008947A2">
        <w:t>commute</w:t>
      </w:r>
      <w:r>
        <w:t xml:space="preserve"> their pension </w:t>
      </w:r>
      <w:r w:rsidR="008947A2">
        <w:t>into</w:t>
      </w:r>
      <w:r>
        <w:t xml:space="preserve"> a lump sum. </w:t>
      </w:r>
    </w:p>
    <w:p w14:paraId="5C453206" w14:textId="77777777" w:rsidR="00562281" w:rsidRPr="00B37AE1" w:rsidRDefault="00562281" w:rsidP="00562281">
      <w:pPr>
        <w:pStyle w:val="VIRTHeading2"/>
      </w:pPr>
      <w:bookmarkStart w:id="141" w:name="_Toc51061837"/>
      <w:bookmarkStart w:id="142" w:name="_Toc51061931"/>
      <w:bookmarkStart w:id="143" w:name="_Toc51234166"/>
      <w:r>
        <w:t xml:space="preserve">B8. </w:t>
      </w:r>
      <w:r w:rsidRPr="00B37AE1">
        <w:t>Partner pensions</w:t>
      </w:r>
      <w:bookmarkEnd w:id="141"/>
      <w:bookmarkEnd w:id="142"/>
      <w:bookmarkEnd w:id="143"/>
    </w:p>
    <w:p w14:paraId="659CFAF3" w14:textId="77777777" w:rsidR="00562281" w:rsidRDefault="00562281" w:rsidP="00562281">
      <w:pPr>
        <w:pStyle w:val="Paragraph"/>
      </w:pPr>
      <w:r w:rsidRPr="003114D8">
        <w:t>Following the</w:t>
      </w:r>
      <w:r>
        <w:t xml:space="preserve"> death of an MP or former MP, their partner is entitled to a pension. If an MP dies while in office, their partner receives a pension regardless of how long the MP had served. The method for calculating partner pensions differs between the two schemes.</w:t>
      </w:r>
      <w:r w:rsidRPr="00DC1DED">
        <w:rPr>
          <w:vertAlign w:val="superscript"/>
        </w:rPr>
        <w:footnoteReference w:id="121"/>
      </w:r>
    </w:p>
    <w:p w14:paraId="52543643" w14:textId="47192328" w:rsidR="00562281" w:rsidRPr="005600EE" w:rsidRDefault="00562281" w:rsidP="00562281">
      <w:pPr>
        <w:pStyle w:val="VIRTHeading3"/>
      </w:pPr>
      <w:r w:rsidRPr="005600EE">
        <w:t>Existing Benefits Scheme</w:t>
      </w:r>
    </w:p>
    <w:p w14:paraId="03B27718" w14:textId="33121C86" w:rsidR="00562281" w:rsidRDefault="00562281" w:rsidP="00562281">
      <w:pPr>
        <w:pStyle w:val="Paragraph"/>
      </w:pPr>
      <w:r>
        <w:t xml:space="preserve">Under the Existing Benefits Scheme, if a former MP who was receiving the pension dies, their partner receives </w:t>
      </w:r>
      <w:r w:rsidRPr="005B3B11">
        <w:rPr>
          <w:vertAlign w:val="superscript"/>
        </w:rPr>
        <w:t>2</w:t>
      </w:r>
      <w:r>
        <w:t>/</w:t>
      </w:r>
      <w:r w:rsidRPr="005B3B11">
        <w:rPr>
          <w:vertAlign w:val="subscript"/>
        </w:rPr>
        <w:t>3</w:t>
      </w:r>
      <w:r>
        <w:t xml:space="preserve"> of the pension, or the ‘minimum pension’, whichever is greater at the time of the former MP’s death. </w:t>
      </w:r>
    </w:p>
    <w:p w14:paraId="708F8385" w14:textId="77777777" w:rsidR="00562281" w:rsidRDefault="00562281" w:rsidP="00562281">
      <w:pPr>
        <w:pStyle w:val="Paragraph"/>
      </w:pPr>
      <w:r>
        <w:lastRenderedPageBreak/>
        <w:t xml:space="preserve">If an MP dies while in office and had served an aggregate of at least 8 years, their partner receives either </w:t>
      </w:r>
      <w:r w:rsidRPr="005B3B11">
        <w:rPr>
          <w:vertAlign w:val="superscript"/>
        </w:rPr>
        <w:t>2</w:t>
      </w:r>
      <w:r>
        <w:t>/</w:t>
      </w:r>
      <w:r w:rsidRPr="005B3B11">
        <w:rPr>
          <w:vertAlign w:val="subscript"/>
        </w:rPr>
        <w:t>3</w:t>
      </w:r>
      <w:r>
        <w:t xml:space="preserve"> of the pension that the MP would have received as a former MP (assuming they were eligible) or the ‘minimum pension’, whichever was greater at the time of the MP’s death.</w:t>
      </w:r>
    </w:p>
    <w:p w14:paraId="4CB5812C" w14:textId="77777777" w:rsidR="00562281" w:rsidRDefault="00562281" w:rsidP="00562281">
      <w:pPr>
        <w:pStyle w:val="Paragraph"/>
      </w:pPr>
      <w:r>
        <w:t>If an MP dies while in office and had not served an aggregate of at least 8 years, their partner receives the ‘minimum pension’.</w:t>
      </w:r>
    </w:p>
    <w:p w14:paraId="6A295890" w14:textId="77777777" w:rsidR="00562281" w:rsidRDefault="00562281" w:rsidP="00562281">
      <w:pPr>
        <w:pStyle w:val="Paragraph"/>
      </w:pPr>
      <w:r>
        <w:t>The ‘minimum pension’ is calculated using a complex formula set out in section 18 of the PSAS Act. Generally speaking, it can range between 30 and 40 per cent of the current BSP.</w:t>
      </w:r>
    </w:p>
    <w:p w14:paraId="4F377583" w14:textId="77777777" w:rsidR="00562281" w:rsidRPr="005600EE" w:rsidRDefault="00562281" w:rsidP="00562281">
      <w:pPr>
        <w:pStyle w:val="VIRTHeading3"/>
      </w:pPr>
      <w:r w:rsidRPr="005600EE">
        <w:t>New Benefits Scheme</w:t>
      </w:r>
    </w:p>
    <w:p w14:paraId="1DA3FD55" w14:textId="77777777" w:rsidR="00562281" w:rsidRDefault="00562281" w:rsidP="00562281">
      <w:pPr>
        <w:pStyle w:val="Paragraph"/>
      </w:pPr>
      <w:r>
        <w:t xml:space="preserve">Under the New Benefits Scheme, the partner’s pension is equal to </w:t>
      </w:r>
      <w:r w:rsidRPr="005B3B11">
        <w:rPr>
          <w:vertAlign w:val="superscript"/>
        </w:rPr>
        <w:t>5</w:t>
      </w:r>
      <w:r>
        <w:t>/</w:t>
      </w:r>
      <w:r w:rsidRPr="005B3B11">
        <w:rPr>
          <w:vertAlign w:val="subscript"/>
        </w:rPr>
        <w:t>6</w:t>
      </w:r>
      <w:r>
        <w:t xml:space="preserve"> of the former MP’s pension. In the case of an MP who dies while in office who has not served at least 8 years at the time of death, their partner’s pension is calculated as if the MP had served at least 8 years.</w:t>
      </w:r>
    </w:p>
    <w:p w14:paraId="373A5815" w14:textId="77777777" w:rsidR="00562281" w:rsidRPr="00B37AE1" w:rsidRDefault="00562281" w:rsidP="00562281">
      <w:pPr>
        <w:pStyle w:val="VIRTHeading2"/>
      </w:pPr>
      <w:bookmarkStart w:id="144" w:name="_Toc51061838"/>
      <w:bookmarkStart w:id="145" w:name="_Toc51061932"/>
      <w:bookmarkStart w:id="146" w:name="_Toc51234167"/>
      <w:r>
        <w:t xml:space="preserve">B9. </w:t>
      </w:r>
      <w:r w:rsidRPr="00B37AE1">
        <w:t>Pensions to children</w:t>
      </w:r>
      <w:bookmarkEnd w:id="144"/>
      <w:bookmarkEnd w:id="145"/>
      <w:bookmarkEnd w:id="146"/>
    </w:p>
    <w:p w14:paraId="5451EBEE" w14:textId="77777777" w:rsidR="00562281" w:rsidRPr="00137252" w:rsidRDefault="00562281" w:rsidP="00562281">
      <w:pPr>
        <w:pStyle w:val="Paragraph"/>
        <w:rPr>
          <w:vertAlign w:val="superscript"/>
        </w:rPr>
      </w:pPr>
      <w:r w:rsidRPr="003114D8">
        <w:t xml:space="preserve">Pensions can also be paid in respect of </w:t>
      </w:r>
      <w:r>
        <w:t xml:space="preserve">a former MP’s eligible </w:t>
      </w:r>
      <w:r w:rsidRPr="003114D8">
        <w:t xml:space="preserve">children. </w:t>
      </w:r>
      <w:r>
        <w:t xml:space="preserve">Children can receive the pension if they are </w:t>
      </w:r>
      <w:r w:rsidRPr="003114D8">
        <w:t xml:space="preserve">under 18 years, or </w:t>
      </w:r>
      <w:r>
        <w:t>if they are</w:t>
      </w:r>
      <w:r w:rsidRPr="003114D8">
        <w:t xml:space="preserve"> </w:t>
      </w:r>
      <w:r>
        <w:t>under</w:t>
      </w:r>
      <w:r w:rsidRPr="003114D8">
        <w:t xml:space="preserve"> 25</w:t>
      </w:r>
      <w:r>
        <w:t xml:space="preserve"> years and </w:t>
      </w:r>
      <w:r w:rsidRPr="003114D8">
        <w:t xml:space="preserve">in the opinion of ESSSuper </w:t>
      </w:r>
      <w:r>
        <w:t>they are</w:t>
      </w:r>
      <w:r w:rsidRPr="003114D8">
        <w:t xml:space="preserve"> a full-time student. </w:t>
      </w:r>
      <w:r>
        <w:t>Pensions are also provided for children regardless of age who</w:t>
      </w:r>
      <w:r w:rsidRPr="003114D8">
        <w:t xml:space="preserve"> ha</w:t>
      </w:r>
      <w:r>
        <w:t>ve</w:t>
      </w:r>
      <w:r w:rsidRPr="003114D8">
        <w:t xml:space="preserve"> a significant, permanent (or likely permanent) disability that requires ongoing support services.</w:t>
      </w:r>
      <w:r w:rsidRPr="00137252">
        <w:rPr>
          <w:vertAlign w:val="superscript"/>
        </w:rPr>
        <w:footnoteReference w:id="122"/>
      </w:r>
      <w:r w:rsidRPr="00137252">
        <w:rPr>
          <w:vertAlign w:val="superscript"/>
        </w:rPr>
        <w:t xml:space="preserve"> </w:t>
      </w:r>
    </w:p>
    <w:p w14:paraId="65D4DC2E" w14:textId="77777777" w:rsidR="00562281" w:rsidRPr="003114D8" w:rsidRDefault="00562281" w:rsidP="00562281">
      <w:pPr>
        <w:pStyle w:val="Parabeforeabulletlist"/>
      </w:pPr>
      <w:r w:rsidRPr="003114D8">
        <w:t xml:space="preserve">Broadly speaking, a pension </w:t>
      </w:r>
      <w:r>
        <w:t xml:space="preserve">is </w:t>
      </w:r>
      <w:r w:rsidRPr="003114D8">
        <w:t>payable where—</w:t>
      </w:r>
    </w:p>
    <w:p w14:paraId="320FBEEE" w14:textId="77777777" w:rsidR="00562281" w:rsidRPr="005B3B11" w:rsidRDefault="00562281" w:rsidP="00562281">
      <w:pPr>
        <w:pStyle w:val="VIRTBulletpoints"/>
        <w:numPr>
          <w:ilvl w:val="0"/>
          <w:numId w:val="42"/>
        </w:numPr>
      </w:pPr>
      <w:r w:rsidRPr="005B3B11">
        <w:t>a former MP receiving the pension, or an existing MP, dies without a partner, or</w:t>
      </w:r>
    </w:p>
    <w:p w14:paraId="211C91B8" w14:textId="77777777" w:rsidR="00562281" w:rsidRPr="005B3B11" w:rsidRDefault="00562281" w:rsidP="00562281">
      <w:pPr>
        <w:pStyle w:val="VIRTBulletpoints"/>
        <w:numPr>
          <w:ilvl w:val="0"/>
          <w:numId w:val="42"/>
        </w:numPr>
      </w:pPr>
      <w:r w:rsidRPr="005B3B11">
        <w:t>both the former MP and their partner have died—</w:t>
      </w:r>
    </w:p>
    <w:p w14:paraId="600F10D7" w14:textId="77777777" w:rsidR="00562281" w:rsidRPr="003114D8" w:rsidRDefault="00562281" w:rsidP="00562281">
      <w:pPr>
        <w:pStyle w:val="Parabeforeabulletlist"/>
      </w:pPr>
      <w:r w:rsidRPr="003114D8">
        <w:t>and they leave behind a</w:t>
      </w:r>
      <w:r>
        <w:t>n eligible</w:t>
      </w:r>
      <w:r w:rsidRPr="003114D8">
        <w:t xml:space="preserve"> child. </w:t>
      </w:r>
    </w:p>
    <w:p w14:paraId="3D05EF82" w14:textId="77777777" w:rsidR="00562281" w:rsidRPr="003114D8" w:rsidRDefault="00562281" w:rsidP="00562281">
      <w:pPr>
        <w:pStyle w:val="Paragraph"/>
      </w:pPr>
      <w:r w:rsidRPr="003114D8">
        <w:t xml:space="preserve">Under the Existing Benefits Scheme, ESSSuper can pay </w:t>
      </w:r>
      <w:r>
        <w:t xml:space="preserve">a </w:t>
      </w:r>
      <w:r w:rsidRPr="003114D8">
        <w:t xml:space="preserve">pension in respect of each </w:t>
      </w:r>
      <w:r>
        <w:t xml:space="preserve">eligible </w:t>
      </w:r>
      <w:r w:rsidRPr="003114D8">
        <w:t xml:space="preserve">child, although the total </w:t>
      </w:r>
      <w:r>
        <w:t xml:space="preserve">value of the pensions </w:t>
      </w:r>
      <w:r w:rsidRPr="003114D8">
        <w:t>can</w:t>
      </w:r>
      <w:r>
        <w:t>no</w:t>
      </w:r>
      <w:r w:rsidRPr="003114D8">
        <w:t xml:space="preserve">t exceed the </w:t>
      </w:r>
      <w:r>
        <w:t xml:space="preserve">value of the </w:t>
      </w:r>
      <w:r w:rsidRPr="003114D8">
        <w:t xml:space="preserve">pension that would have been payable to a partner of the </w:t>
      </w:r>
      <w:r>
        <w:t xml:space="preserve">former </w:t>
      </w:r>
      <w:r w:rsidRPr="003114D8">
        <w:t>MP.</w:t>
      </w:r>
      <w:r w:rsidRPr="00137252">
        <w:rPr>
          <w:vertAlign w:val="superscript"/>
        </w:rPr>
        <w:footnoteReference w:id="123"/>
      </w:r>
    </w:p>
    <w:p w14:paraId="27C21B2E" w14:textId="12FB25CA" w:rsidR="00562281" w:rsidRPr="0011546B" w:rsidRDefault="00562281" w:rsidP="00562281">
      <w:pPr>
        <w:pStyle w:val="Paragraph"/>
      </w:pPr>
      <w:r>
        <w:lastRenderedPageBreak/>
        <w:t xml:space="preserve">Under the New Benefits Scheme, the pension </w:t>
      </w:r>
      <w:r w:rsidR="00EF5AFC">
        <w:t xml:space="preserve">that </w:t>
      </w:r>
      <w:r>
        <w:t xml:space="preserve">each eligible child receives is equal to </w:t>
      </w:r>
      <w:r w:rsidRPr="005B3B11">
        <w:rPr>
          <w:rFonts w:eastAsiaTheme="minorEastAsia"/>
          <w:vertAlign w:val="superscript"/>
        </w:rPr>
        <w:t>1</w:t>
      </w:r>
      <w:r>
        <w:rPr>
          <w:rFonts w:eastAsiaTheme="minorEastAsia"/>
        </w:rPr>
        <w:t>/</w:t>
      </w:r>
      <w:r w:rsidRPr="005B3B11">
        <w:rPr>
          <w:rFonts w:eastAsiaTheme="minorEastAsia"/>
          <w:vertAlign w:val="subscript"/>
        </w:rPr>
        <w:t>4</w:t>
      </w:r>
      <w:r>
        <w:rPr>
          <w:rFonts w:eastAsiaTheme="minorEastAsia"/>
        </w:rPr>
        <w:t xml:space="preserve"> </w:t>
      </w:r>
      <w:r>
        <w:t xml:space="preserve">of the pension of the former MP’s partner (or the pension the partner would have received if the former MP had one). If there are more than </w:t>
      </w:r>
      <w:r w:rsidRPr="653C9AFE">
        <w:t>four</w:t>
      </w:r>
      <w:r>
        <w:t xml:space="preserve"> children, each receives a pension equal to the pension of the former MP’s partner divided by the number of children.</w:t>
      </w:r>
      <w:r>
        <w:rPr>
          <w:rStyle w:val="FootnoteReference"/>
        </w:rPr>
        <w:footnoteReference w:id="124"/>
      </w:r>
    </w:p>
    <w:p w14:paraId="7C389B88" w14:textId="77777777" w:rsidR="00562281" w:rsidRPr="00DD172C" w:rsidRDefault="00562281" w:rsidP="007D2211">
      <w:pPr>
        <w:pStyle w:val="ChapterHeading0"/>
      </w:pPr>
      <w:bookmarkStart w:id="147" w:name="_Toc51234168"/>
      <w:r>
        <w:br w:type="page"/>
      </w:r>
      <w:r w:rsidRPr="00E64B0C">
        <w:lastRenderedPageBreak/>
        <w:t>Appendix C – Commonwealth taxes on MP superannuation</w:t>
      </w:r>
      <w:r>
        <w:br/>
      </w:r>
      <w:r w:rsidR="007D2211">
        <w:drawing>
          <wp:anchor distT="0" distB="0" distL="114300" distR="114300" simplePos="0" relativeHeight="251658246" behindDoc="1" locked="0" layoutInCell="1" allowOverlap="1" wp14:anchorId="557BB1F0" wp14:editId="60742984">
            <wp:simplePos x="0" y="0"/>
            <wp:positionH relativeFrom="column">
              <wp:posOffset>1298</wp:posOffset>
            </wp:positionH>
            <wp:positionV relativeFrom="paragraph">
              <wp:posOffset>1780815</wp:posOffset>
            </wp:positionV>
            <wp:extent cx="2222500" cy="253365"/>
            <wp:effectExtent l="0" t="0" r="6350" b="0"/>
            <wp:wrapTight wrapText="bothSides">
              <wp:wrapPolygon edited="0">
                <wp:start x="0" y="0"/>
                <wp:lineTo x="0" y="19489"/>
                <wp:lineTo x="21477" y="19489"/>
                <wp:lineTo x="214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anchor>
        </w:drawing>
      </w:r>
      <w:bookmarkEnd w:id="147"/>
    </w:p>
    <w:p w14:paraId="6285281C" w14:textId="25D1D5D6" w:rsidR="00562281" w:rsidRPr="00154E96" w:rsidRDefault="00562281" w:rsidP="00ED0CE0">
      <w:pPr>
        <w:pStyle w:val="Paragraph"/>
        <w:rPr>
          <w:rFonts w:cs="Symbol"/>
        </w:rPr>
      </w:pPr>
      <w:r w:rsidRPr="00F7682C">
        <w:t>The Commonwealth Government has sought to ensure that members of accumulation and defined benefit schemes receive “broadly commensurate taxation treatment”.</w:t>
      </w:r>
      <w:r w:rsidRPr="00F7682C">
        <w:rPr>
          <w:vertAlign w:val="superscript"/>
        </w:rPr>
        <w:footnoteReference w:id="125"/>
      </w:r>
      <w:r w:rsidR="00ED0CE0">
        <w:t xml:space="preserve"> </w:t>
      </w:r>
      <w:r>
        <w:t>However</w:t>
      </w:r>
      <w:r w:rsidRPr="00E64B0C">
        <w:t xml:space="preserve">, in some cases Commonwealth legislation results in the different treatment of MPs depending on whether they participate in a defined benefit scheme </w:t>
      </w:r>
      <w:r>
        <w:t>(</w:t>
      </w:r>
      <w:r w:rsidRPr="00E64B0C">
        <w:t xml:space="preserve">Part 3 of the PSAS Act) or an accumulation scheme (Part 4 of the PSAS Act). </w:t>
      </w:r>
      <w:r w:rsidRPr="00154E96">
        <w:t xml:space="preserve">For example, </w:t>
      </w:r>
      <w:r w:rsidRPr="005F5728">
        <w:t>differences</w:t>
      </w:r>
      <w:r w:rsidRPr="00154E96">
        <w:t xml:space="preserve"> arise due to:</w:t>
      </w:r>
    </w:p>
    <w:p w14:paraId="296094D6" w14:textId="2405156C" w:rsidR="00562281" w:rsidRPr="00154E96" w:rsidRDefault="00562281" w:rsidP="00562281">
      <w:pPr>
        <w:pStyle w:val="VIRTBulletpoints"/>
        <w:numPr>
          <w:ilvl w:val="0"/>
          <w:numId w:val="43"/>
        </w:numPr>
        <w:spacing w:after="120"/>
      </w:pPr>
      <w:r w:rsidRPr="00154E96">
        <w:t xml:space="preserve">grandfathering arrangements which apply to existing MPs in the defined benefit schemes </w:t>
      </w:r>
    </w:p>
    <w:p w14:paraId="793AA756" w14:textId="721389A0" w:rsidR="00562281" w:rsidRPr="00154E96" w:rsidRDefault="00562281" w:rsidP="00562281">
      <w:pPr>
        <w:pStyle w:val="VIRTBulletpoints"/>
        <w:numPr>
          <w:ilvl w:val="0"/>
          <w:numId w:val="43"/>
        </w:numPr>
        <w:spacing w:after="120"/>
      </w:pPr>
      <w:r w:rsidRPr="00154E96">
        <w:t xml:space="preserve">the effect of the non-concessional contributions cap on existing MPs </w:t>
      </w:r>
    </w:p>
    <w:p w14:paraId="5A328706" w14:textId="7293C492" w:rsidR="00562281" w:rsidRPr="00154E96" w:rsidRDefault="00562281" w:rsidP="00562281">
      <w:pPr>
        <w:pStyle w:val="VIRTBulletpoints"/>
        <w:numPr>
          <w:ilvl w:val="0"/>
          <w:numId w:val="43"/>
        </w:numPr>
        <w:spacing w:after="120"/>
      </w:pPr>
      <w:r w:rsidRPr="00154E96">
        <w:t xml:space="preserve">the taxation rules for pensions or income streams received under defined benefit or accumulation schemes. </w:t>
      </w:r>
    </w:p>
    <w:p w14:paraId="5F72E9E3" w14:textId="5B89CE43" w:rsidR="00562281" w:rsidRPr="00E64B0C" w:rsidRDefault="00562281" w:rsidP="00562281">
      <w:pPr>
        <w:pStyle w:val="Parabeforeabulletlist"/>
      </w:pPr>
      <w:r w:rsidRPr="00E64B0C">
        <w:t>This appendix focuses on the three stages at which superannuation is taxed during an MP’s lifetime</w:t>
      </w:r>
      <w:r w:rsidR="000535C2">
        <w:t xml:space="preserve"> — when</w:t>
      </w:r>
      <w:r w:rsidRPr="00E64B0C">
        <w:t>:</w:t>
      </w:r>
    </w:p>
    <w:p w14:paraId="56839B34" w14:textId="59EF2D49" w:rsidR="00562281" w:rsidRPr="00E64B0C" w:rsidRDefault="00562281" w:rsidP="00562281">
      <w:pPr>
        <w:pStyle w:val="VIRTBulletpoints"/>
        <w:numPr>
          <w:ilvl w:val="0"/>
          <w:numId w:val="43"/>
        </w:numPr>
        <w:spacing w:after="120"/>
      </w:pPr>
      <w:r w:rsidRPr="00E64B0C">
        <w:t>money is contributed to the MP’s fund</w:t>
      </w:r>
    </w:p>
    <w:p w14:paraId="11E60FC2" w14:textId="433143B5" w:rsidR="00562281" w:rsidRPr="00E64B0C" w:rsidRDefault="00562281" w:rsidP="00562281">
      <w:pPr>
        <w:pStyle w:val="VIRTBulletpoints"/>
        <w:numPr>
          <w:ilvl w:val="0"/>
          <w:numId w:val="43"/>
        </w:numPr>
        <w:spacing w:after="120"/>
      </w:pPr>
      <w:r w:rsidRPr="00E64B0C">
        <w:t>the superannuation fund generates investment earnings</w:t>
      </w:r>
    </w:p>
    <w:p w14:paraId="41F72E3D" w14:textId="07549909" w:rsidR="00562281" w:rsidRPr="001E43DE" w:rsidRDefault="00562281" w:rsidP="00562281">
      <w:pPr>
        <w:pStyle w:val="VIRTBulletpoints"/>
        <w:numPr>
          <w:ilvl w:val="0"/>
          <w:numId w:val="43"/>
        </w:numPr>
        <w:spacing w:after="120"/>
      </w:pPr>
      <w:r w:rsidRPr="00E64B0C">
        <w:t>the MP withdraws money from their superannuation account or receives retirement benefits (e.g. a pension).</w:t>
      </w:r>
    </w:p>
    <w:p w14:paraId="42B5ACCE" w14:textId="77777777" w:rsidR="00562281" w:rsidRPr="001E43DE" w:rsidRDefault="00562281" w:rsidP="00562281">
      <w:pPr>
        <w:pStyle w:val="Parabeforeabulletlist"/>
      </w:pPr>
      <w:r>
        <w:t>These taxes have been taken into account in the Tribunal’s modelling of quantitative differences between the schemes.</w:t>
      </w:r>
    </w:p>
    <w:p w14:paraId="4EB34216" w14:textId="77777777" w:rsidR="00562281" w:rsidRPr="00175E74" w:rsidRDefault="00562281" w:rsidP="00562281">
      <w:pPr>
        <w:pStyle w:val="VIRTHeading2"/>
      </w:pPr>
      <w:bookmarkStart w:id="148" w:name="_Toc51061840"/>
      <w:bookmarkStart w:id="149" w:name="_Toc51061934"/>
      <w:bookmarkStart w:id="150" w:name="_Toc51234169"/>
      <w:r>
        <w:lastRenderedPageBreak/>
        <w:t>C1. Taxes on contributions</w:t>
      </w:r>
      <w:bookmarkEnd w:id="148"/>
      <w:bookmarkEnd w:id="149"/>
      <w:bookmarkEnd w:id="150"/>
    </w:p>
    <w:p w14:paraId="4DFB2B5F" w14:textId="77777777" w:rsidR="00562281" w:rsidRPr="00E64B0C" w:rsidRDefault="00562281" w:rsidP="00562281">
      <w:pPr>
        <w:pStyle w:val="Paragraph"/>
      </w:pPr>
      <w:r w:rsidRPr="00E64B0C">
        <w:t xml:space="preserve">Superannuation contributions are taxed differently depending on whether they are classed as ‘concessional’ or ‘non-concessional’. </w:t>
      </w:r>
    </w:p>
    <w:p w14:paraId="37BBAC23" w14:textId="04BC4207" w:rsidR="00562281" w:rsidRPr="00E64B0C" w:rsidRDefault="00562281" w:rsidP="00562281">
      <w:pPr>
        <w:pStyle w:val="Parabeforeabulletlist"/>
      </w:pPr>
      <w:r w:rsidRPr="00E64B0C">
        <w:t>Concessional contributions are ordinarily taxed at a rate of 15 per cent when they are paid into a complying superannuation fund. Examples of concessional contributions in the context of the MP superannuation schemes are</w:t>
      </w:r>
      <w:r w:rsidR="002754EE">
        <w:t>,</w:t>
      </w:r>
      <w:r w:rsidR="00841DD0">
        <w:t xml:space="preserve"> for MPs</w:t>
      </w:r>
      <w:r w:rsidRPr="00E64B0C">
        <w:t>:</w:t>
      </w:r>
    </w:p>
    <w:p w14:paraId="35C77F46" w14:textId="2A501F1F" w:rsidR="00562281" w:rsidRPr="00E64B0C" w:rsidRDefault="00562281" w:rsidP="00562281">
      <w:pPr>
        <w:pStyle w:val="VIRTBulletpoints"/>
        <w:numPr>
          <w:ilvl w:val="0"/>
          <w:numId w:val="43"/>
        </w:numPr>
        <w:spacing w:after="120"/>
      </w:pPr>
      <w:r w:rsidRPr="00E64B0C">
        <w:t>in</w:t>
      </w:r>
      <w:r w:rsidRPr="00E64B0C" w:rsidDel="005B4952">
        <w:t xml:space="preserve"> </w:t>
      </w:r>
      <w:r w:rsidRPr="00E64B0C">
        <w:t>the accumulation scheme — contributions made by the State of Victoria to the MP’s nominated fund</w:t>
      </w:r>
      <w:r w:rsidRPr="00E64B0C" w:rsidDel="000207E8">
        <w:t xml:space="preserve"> </w:t>
      </w:r>
      <w:r w:rsidRPr="00E64B0C">
        <w:t>(including any additional contributions made under a salary sacrifice arrangement)</w:t>
      </w:r>
    </w:p>
    <w:p w14:paraId="416A81FD" w14:textId="79F43377" w:rsidR="00562281" w:rsidRPr="00E64B0C" w:rsidRDefault="00562281" w:rsidP="00562281">
      <w:pPr>
        <w:pStyle w:val="VIRTBulletpoints"/>
        <w:numPr>
          <w:ilvl w:val="0"/>
          <w:numId w:val="43"/>
        </w:numPr>
        <w:spacing w:after="120"/>
      </w:pPr>
      <w:r w:rsidRPr="00E64B0C">
        <w:t xml:space="preserve">in the defined benefit schemes — ‘notional taxed contributions’ </w:t>
      </w:r>
      <w:r w:rsidR="00946AC1">
        <w:t>(NTCs)</w:t>
      </w:r>
      <w:r w:rsidRPr="00E64B0C">
        <w:t xml:space="preserve"> that are calculated on their behalf.</w:t>
      </w:r>
    </w:p>
    <w:p w14:paraId="2E098D6B" w14:textId="71455121" w:rsidR="00562281" w:rsidRDefault="00562281" w:rsidP="00562281">
      <w:pPr>
        <w:pStyle w:val="Parabeforeabulletlist"/>
      </w:pPr>
      <w:r w:rsidRPr="00E64B0C">
        <w:t>Non-concessional contributions are not subject to taxation up to a certain threshold as they are made from after-tax income. Examples of non-concessional contributions in the context of the MP superannuation schemes are</w:t>
      </w:r>
      <w:r w:rsidR="00841DD0">
        <w:t>, for MPs</w:t>
      </w:r>
      <w:r w:rsidRPr="00E64B0C">
        <w:t>:</w:t>
      </w:r>
    </w:p>
    <w:p w14:paraId="3F8318CA" w14:textId="0B464AF7" w:rsidR="00562281" w:rsidRDefault="00562281" w:rsidP="00562281">
      <w:pPr>
        <w:pStyle w:val="VIRTBulletpoints"/>
        <w:numPr>
          <w:ilvl w:val="0"/>
          <w:numId w:val="43"/>
        </w:numPr>
        <w:spacing w:after="120"/>
      </w:pPr>
      <w:r>
        <w:t>in the accumulation scheme — additional voluntary contributions made by MPs to their superannuation fund from their after-tax income</w:t>
      </w:r>
    </w:p>
    <w:p w14:paraId="235ACBD6" w14:textId="22B68F78" w:rsidR="00562281" w:rsidRDefault="00562281" w:rsidP="00562281">
      <w:pPr>
        <w:pStyle w:val="VIRTBulletpoints"/>
        <w:numPr>
          <w:ilvl w:val="0"/>
          <w:numId w:val="43"/>
        </w:numPr>
        <w:spacing w:after="120"/>
      </w:pPr>
      <w:r>
        <w:t>in the defined benefit schemes — contributions that MPs are required to make to the PCSF.</w:t>
      </w:r>
    </w:p>
    <w:p w14:paraId="6D4A8B09" w14:textId="77777777" w:rsidR="00562281" w:rsidRDefault="00562281" w:rsidP="00562281">
      <w:pPr>
        <w:pStyle w:val="Paragraph"/>
      </w:pPr>
      <w:r>
        <w:t xml:space="preserve">There are caps on the amounts of </w:t>
      </w:r>
      <w:r w:rsidRPr="00670D20">
        <w:t xml:space="preserve">concessional and non-concessional </w:t>
      </w:r>
      <w:r w:rsidRPr="00062407">
        <w:t>contributions</w:t>
      </w:r>
      <w:r w:rsidRPr="00670D20">
        <w:t xml:space="preserve"> an individual can make each financial year</w:t>
      </w:r>
      <w:r>
        <w:t xml:space="preserve"> without incurring additional tax</w:t>
      </w:r>
      <w:r w:rsidRPr="00670D20" w:rsidDel="00296B1C">
        <w:t>.</w:t>
      </w:r>
    </w:p>
    <w:p w14:paraId="5FC4BE3F" w14:textId="467FABE4" w:rsidR="00562281" w:rsidRDefault="00562281" w:rsidP="00562281">
      <w:pPr>
        <w:pStyle w:val="VIRTHeading3"/>
      </w:pPr>
      <w:r w:rsidRPr="00CD286C">
        <w:t>Concessional contributions cap</w:t>
      </w:r>
      <w:r w:rsidRPr="00CD286C" w:rsidDel="00CD286C">
        <w:t xml:space="preserve"> </w:t>
      </w:r>
    </w:p>
    <w:p w14:paraId="19C358F8" w14:textId="77777777" w:rsidR="00562281" w:rsidRDefault="00562281" w:rsidP="00562281">
      <w:pPr>
        <w:pStyle w:val="Paragraph"/>
      </w:pPr>
      <w:r w:rsidRPr="7DFCEC12">
        <w:t>In the 2020-21 financial year, the concessional contributions cap is $25,000.</w:t>
      </w:r>
      <w:r w:rsidRPr="00D37B6A">
        <w:rPr>
          <w:rFonts w:eastAsia="Courier New"/>
          <w:vertAlign w:val="superscript"/>
        </w:rPr>
        <w:footnoteReference w:id="126"/>
      </w:r>
      <w:r w:rsidRPr="7DFCEC12">
        <w:t xml:space="preserve"> If an individual’s concessional contributions for a financial year exceed the cap, the excess contributions are included in their taxable income. However, a 15</w:t>
      </w:r>
      <w:r>
        <w:t> </w:t>
      </w:r>
      <w:r w:rsidRPr="7DFCEC12">
        <w:t>per</w:t>
      </w:r>
      <w:r>
        <w:t> </w:t>
      </w:r>
      <w:r w:rsidRPr="7DFCEC12">
        <w:t>cent tax offset is provided to recognise the tax on concessional contributions that will already have been paid by the superannuation fund.</w:t>
      </w:r>
      <w:r w:rsidRPr="00D37B6A">
        <w:rPr>
          <w:rFonts w:eastAsia="Courier New"/>
          <w:vertAlign w:val="superscript"/>
        </w:rPr>
        <w:footnoteReference w:id="127"/>
      </w:r>
      <w:r w:rsidRPr="7DFCEC12">
        <w:t xml:space="preserve"> Individuals who exceed the cap also incur an excess concessional contributions charge, to acknowledge that </w:t>
      </w:r>
      <w:r w:rsidRPr="7DFCEC12">
        <w:lastRenderedPageBreak/>
        <w:t xml:space="preserve">the additional tax they pay as a result of exceeding the cap is </w:t>
      </w:r>
      <w:r>
        <w:t xml:space="preserve">collected </w:t>
      </w:r>
      <w:r w:rsidRPr="7DFCEC12">
        <w:t>later than normal income tax</w:t>
      </w:r>
      <w:r>
        <w:t>.</w:t>
      </w:r>
      <w:r w:rsidRPr="00D37B6A">
        <w:rPr>
          <w:rFonts w:eastAsia="Courier New"/>
          <w:vertAlign w:val="superscript"/>
        </w:rPr>
        <w:footnoteReference w:id="128"/>
      </w:r>
      <w:r w:rsidRPr="7DFCEC12">
        <w:t xml:space="preserve"> </w:t>
      </w:r>
    </w:p>
    <w:p w14:paraId="7638F303" w14:textId="77777777" w:rsidR="00562281" w:rsidRPr="00154E96" w:rsidRDefault="00562281" w:rsidP="00562281">
      <w:pPr>
        <w:pStyle w:val="Parabeforeabulletlist"/>
      </w:pPr>
      <w:r w:rsidRPr="478871F2">
        <w:t xml:space="preserve">If an existing MP in the accumulation scheme has excess concessional contributions for a financial year, </w:t>
      </w:r>
      <w:r w:rsidRPr="00154E96">
        <w:t>they will receive an excess concessional contributions determination from the Australian Taxation Office (ATO) after that financial year has concluded. Upon receiving the determination, the MP may choose to:</w:t>
      </w:r>
    </w:p>
    <w:p w14:paraId="01CFC0E4" w14:textId="77777777" w:rsidR="00562281" w:rsidRPr="00154E96" w:rsidRDefault="00562281" w:rsidP="00562281">
      <w:pPr>
        <w:pStyle w:val="VIRTBulletpoints"/>
        <w:numPr>
          <w:ilvl w:val="0"/>
          <w:numId w:val="43"/>
        </w:numPr>
        <w:spacing w:after="120"/>
      </w:pPr>
      <w:r w:rsidRPr="00154E96">
        <w:t>do nothing (i.e. leave the excess amount in their superannuation fund); or</w:t>
      </w:r>
    </w:p>
    <w:p w14:paraId="1A27959D" w14:textId="77777777" w:rsidR="00562281" w:rsidRDefault="00562281" w:rsidP="00562281">
      <w:pPr>
        <w:pStyle w:val="VIRTBulletpoints"/>
        <w:numPr>
          <w:ilvl w:val="0"/>
          <w:numId w:val="43"/>
        </w:numPr>
        <w:spacing w:after="120"/>
      </w:pPr>
      <w:r w:rsidRPr="478871F2">
        <w:t xml:space="preserve">elect to withdraw up to 85 per cent of the excess contributions (which may be used to pay the tax liability). </w:t>
      </w:r>
    </w:p>
    <w:p w14:paraId="7BA37702" w14:textId="0A88FDA9" w:rsidR="00562281" w:rsidRDefault="00562281" w:rsidP="00562281">
      <w:pPr>
        <w:pStyle w:val="Paragraph"/>
      </w:pPr>
      <w:r w:rsidRPr="478871F2">
        <w:t>Alternatively, they may request in writing that the State limit their contributions to avoid exceeding the cap.</w:t>
      </w:r>
      <w:r w:rsidRPr="0048741C">
        <w:rPr>
          <w:rFonts w:eastAsia="Courier New"/>
          <w:vertAlign w:val="superscript"/>
        </w:rPr>
        <w:footnoteReference w:id="129"/>
      </w:r>
      <w:r w:rsidRPr="478871F2">
        <w:t xml:space="preserve"> </w:t>
      </w:r>
      <w:r>
        <w:t>E</w:t>
      </w:r>
      <w:r w:rsidRPr="478871F2">
        <w:t>xisting MPs in the defined benefit schemes do not have these options under the current rules of the schemes.</w:t>
      </w:r>
      <w:r w:rsidRPr="0048741C">
        <w:rPr>
          <w:rFonts w:eastAsia="Courier New"/>
          <w:vertAlign w:val="superscript"/>
        </w:rPr>
        <w:footnoteReference w:id="130"/>
      </w:r>
    </w:p>
    <w:p w14:paraId="491989CD" w14:textId="0859CBEA" w:rsidR="00562281" w:rsidRDefault="00562281" w:rsidP="00562281">
      <w:pPr>
        <w:pStyle w:val="Paragraph"/>
      </w:pPr>
      <w:r w:rsidRPr="7DFCEC12">
        <w:t>Any excess concessional contributions that are not withdrawn are treated as non</w:t>
      </w:r>
      <w:r w:rsidR="00F01551">
        <w:noBreakHyphen/>
      </w:r>
      <w:r w:rsidRPr="7DFCEC12">
        <w:t>concessional contributions for the purposes of the non-concessional contributions cap.</w:t>
      </w:r>
      <w:r w:rsidRPr="0048741C">
        <w:rPr>
          <w:rFonts w:eastAsia="Wingdings"/>
          <w:vertAlign w:val="superscript"/>
        </w:rPr>
        <w:footnoteReference w:id="131"/>
      </w:r>
    </w:p>
    <w:p w14:paraId="73C863E6" w14:textId="16E4CD99" w:rsidR="00562281" w:rsidRDefault="00562281" w:rsidP="00562281">
      <w:pPr>
        <w:pStyle w:val="VIRTheading40"/>
      </w:pPr>
      <w:r>
        <w:t>N</w:t>
      </w:r>
      <w:r w:rsidR="00C16B60">
        <w:t>TC</w:t>
      </w:r>
      <w:r>
        <w:t>s and grandfathering arrangements for members of the defined benefit schemes</w:t>
      </w:r>
    </w:p>
    <w:p w14:paraId="69AD5401" w14:textId="77777777" w:rsidR="00562281" w:rsidRPr="00E64B0C" w:rsidRDefault="00562281" w:rsidP="00562281">
      <w:pPr>
        <w:pStyle w:val="Paragraph"/>
        <w:rPr>
          <w:rFonts w:eastAsia="Wingdings"/>
        </w:rPr>
      </w:pPr>
      <w:r w:rsidRPr="00E64B0C">
        <w:rPr>
          <w:rFonts w:eastAsia="Wingdings"/>
        </w:rPr>
        <w:t>Existing and former MPs in the defined benefit schemes are members of the PCSF.</w:t>
      </w:r>
    </w:p>
    <w:p w14:paraId="397CA878" w14:textId="043886FD" w:rsidR="00562281" w:rsidRPr="00E64B0C" w:rsidRDefault="00562281" w:rsidP="00562281">
      <w:pPr>
        <w:pStyle w:val="Paragraph"/>
      </w:pPr>
      <w:r w:rsidRPr="00E64B0C">
        <w:t xml:space="preserve">The </w:t>
      </w:r>
      <w:r w:rsidRPr="00E64B0C" w:rsidDel="00E00452">
        <w:t xml:space="preserve">State of Victoria </w:t>
      </w:r>
      <w:r w:rsidRPr="00E64B0C">
        <w:t xml:space="preserve">has been required to contribute additional funds to the PCSF from time to time to ensure that sufficient funds are available for </w:t>
      </w:r>
      <w:r w:rsidR="00C16B60">
        <w:t>benefits</w:t>
      </w:r>
      <w:r w:rsidRPr="00E64B0C">
        <w:t xml:space="preserve"> to be paid.</w:t>
      </w:r>
      <w:r>
        <w:rPr>
          <w:rStyle w:val="FootnoteReference"/>
        </w:rPr>
        <w:footnoteReference w:id="132"/>
      </w:r>
      <w:r w:rsidRPr="00E64B0C">
        <w:t xml:space="preserve"> But unlike the accumulation scheme, these contributions are generally not linked to individual members (i.e. the State does not contribute a predetermined amount on behalf of each MP in the PCSF).</w:t>
      </w:r>
    </w:p>
    <w:p w14:paraId="7E57D1F7" w14:textId="02B6988A" w:rsidR="00562281" w:rsidRPr="00E64B0C" w:rsidRDefault="00562281" w:rsidP="00562281">
      <w:pPr>
        <w:pStyle w:val="Paragraph"/>
      </w:pPr>
      <w:r w:rsidRPr="00E64B0C">
        <w:t>In light of this, ESSSuper (which administers the PCSF) is required to calculate the NTCs for existing MPs.</w:t>
      </w:r>
      <w:r w:rsidRPr="00E64B0C" w:rsidDel="00DB1550">
        <w:t xml:space="preserve"> </w:t>
      </w:r>
      <w:r w:rsidRPr="00E64B0C">
        <w:t>NTCs represent the notional superannuation contributions made by the State of Victoria on behalf of these MPs. As such, they are analogous to the contributions received by MPs in the accumulation scheme and are treated as concessional contributions for taxation purposes.</w:t>
      </w:r>
      <w:r w:rsidRPr="00E64B0C">
        <w:rPr>
          <w:vertAlign w:val="superscript"/>
        </w:rPr>
        <w:footnoteReference w:id="133"/>
      </w:r>
      <w:r w:rsidRPr="00E64B0C">
        <w:t xml:space="preserve"> </w:t>
      </w:r>
    </w:p>
    <w:p w14:paraId="0A1EF0C9" w14:textId="77777777" w:rsidR="00562281" w:rsidRPr="00E64B0C" w:rsidRDefault="00562281" w:rsidP="00562281">
      <w:pPr>
        <w:pStyle w:val="Paragraph"/>
      </w:pPr>
      <w:r w:rsidRPr="00E64B0C">
        <w:lastRenderedPageBreak/>
        <w:t xml:space="preserve">NTCs are calculated using a formula set out in the </w:t>
      </w:r>
      <w:r w:rsidRPr="00E64B0C">
        <w:rPr>
          <w:i/>
        </w:rPr>
        <w:t>Income Tax Assessment Regulations 1997</w:t>
      </w:r>
      <w:r w:rsidRPr="00E64B0C">
        <w:t xml:space="preserve"> (Cth) (equation </w:t>
      </w:r>
      <w:r>
        <w:t>C</w:t>
      </w:r>
      <w:r w:rsidRPr="00E64B0C">
        <w:t>1). The formula depends on a value known as the ‘new entrant rate’ (NER), which represents the long-term cost (as a percentage of superannuation salary</w:t>
      </w:r>
      <w:r w:rsidRPr="009B0494">
        <w:t>)</w:t>
      </w:r>
      <w:r w:rsidRPr="0048741C">
        <w:rPr>
          <w:rFonts w:eastAsia="Wingdings"/>
          <w:vertAlign w:val="superscript"/>
        </w:rPr>
        <w:footnoteReference w:id="134"/>
      </w:r>
      <w:r w:rsidRPr="00E64B0C">
        <w:t xml:space="preserve"> of providing the benefit payable to a hypothetical new entrant on voluntary exit. The NER was calculated in 2007 and was based on </w:t>
      </w:r>
      <w:r>
        <w:t>legislated assumptions, including assumed investment returns and salary/pension rates.</w:t>
      </w:r>
    </w:p>
    <w:p w14:paraId="600812D4" w14:textId="77777777" w:rsidR="00562281" w:rsidRPr="00E64B0C" w:rsidRDefault="00562281" w:rsidP="00562281">
      <w:pPr>
        <w:pStyle w:val="Figureheading"/>
      </w:pPr>
      <w:r w:rsidRPr="00E64B0C">
        <w:t xml:space="preserve">Equation </w:t>
      </w:r>
      <w:r>
        <w:t>C</w:t>
      </w:r>
      <w:r w:rsidRPr="00E64B0C">
        <w:t>1: formula for calculating NTCs for accruing members of defined benefit schemes</w:t>
      </w:r>
    </w:p>
    <w:p w14:paraId="30C7379E" w14:textId="77777777" w:rsidR="00562281" w:rsidRPr="00E64B0C" w:rsidRDefault="00562281" w:rsidP="00562281">
      <w:pPr>
        <w:pStyle w:val="Paragraph"/>
      </w:pPr>
      <m:oMathPara>
        <m:oMathParaPr>
          <m:jc m:val="center"/>
        </m:oMathParaPr>
        <m:oMath>
          <m:r>
            <m:rPr>
              <m:sty m:val="p"/>
            </m:rPr>
            <w:rPr>
              <w:rFonts w:ascii="Cambria Math" w:hAnsi="Cambria Math"/>
            </w:rPr>
            <m:t>NTCs</m:t>
          </m:r>
          <m:r>
            <w:rPr>
              <w:rFonts w:ascii="Cambria Math" w:hAnsi="Cambria Math"/>
            </w:rPr>
            <m:t>=1.2×[</m:t>
          </m:r>
          <m:d>
            <m:dPr>
              <m:ctrlPr>
                <w:rPr>
                  <w:rFonts w:ascii="Cambria Math" w:hAnsi="Cambria Math"/>
                  <w:i/>
                </w:rPr>
              </m:ctrlPr>
            </m:dPr>
            <m:e>
              <m:r>
                <m:rPr>
                  <m:sty m:val="p"/>
                </m:rPr>
                <w:rPr>
                  <w:rFonts w:ascii="Cambria Math" w:hAnsi="Cambria Math"/>
                </w:rPr>
                <m:t>NER</m:t>
              </m:r>
              <m:r>
                <w:rPr>
                  <w:rFonts w:ascii="Cambria Math" w:hAnsi="Cambria Math"/>
                </w:rPr>
                <m:t>×</m:t>
              </m:r>
              <m:r>
                <m:rPr>
                  <m:sty m:val="p"/>
                </m:rPr>
                <w:rPr>
                  <w:rFonts w:ascii="Cambria Math" w:hAnsi="Cambria Math"/>
                </w:rPr>
                <m:t>superannuation salary</m:t>
              </m:r>
            </m:e>
          </m:d>
          <m:r>
            <w:rPr>
              <w:rFonts w:ascii="Cambria Math" w:hAnsi="Cambria Math"/>
            </w:rPr>
            <m:t>-</m:t>
          </m:r>
          <m:r>
            <m:rPr>
              <m:sty m:val="p"/>
            </m:rPr>
            <w:rPr>
              <w:rFonts w:ascii="Cambria Math" w:hAnsi="Cambria Math"/>
            </w:rPr>
            <m:t>member contributions</m:t>
          </m:r>
          <m:r>
            <w:rPr>
              <w:rFonts w:ascii="Cambria Math" w:hAnsi="Cambria Math"/>
            </w:rPr>
            <m:t>]</m:t>
          </m:r>
        </m:oMath>
      </m:oMathPara>
    </w:p>
    <w:p w14:paraId="65AD71C0" w14:textId="110BCF18" w:rsidR="00562281" w:rsidRDefault="00562281" w:rsidP="00562281">
      <w:pPr>
        <w:pStyle w:val="Parabeforeabulletlist"/>
      </w:pPr>
      <w:r w:rsidRPr="00E64B0C">
        <w:t xml:space="preserve">For existing MPs in the defined benefit schemes </w:t>
      </w:r>
      <w:r>
        <w:t>who</w:t>
      </w:r>
      <w:r w:rsidRPr="00E64B0C">
        <w:t xml:space="preserve"> held a specified parliamentary office at the start of the financial year, NTCs are calculated separately to reflect the notional superannuation contributions they receive due to:</w:t>
      </w:r>
      <w:r w:rsidRPr="0048741C">
        <w:rPr>
          <w:vertAlign w:val="superscript"/>
        </w:rPr>
        <w:footnoteReference w:id="135"/>
      </w:r>
    </w:p>
    <w:p w14:paraId="49F1CC49" w14:textId="556B50E9" w:rsidR="00562281" w:rsidRPr="00E64B0C" w:rsidRDefault="00562281" w:rsidP="00562281">
      <w:pPr>
        <w:pStyle w:val="VIRTBulletpoints"/>
        <w:numPr>
          <w:ilvl w:val="0"/>
          <w:numId w:val="43"/>
        </w:numPr>
        <w:spacing w:after="120"/>
      </w:pPr>
      <w:r w:rsidRPr="00E64B0C">
        <w:t>serving as an MP (applicable NER is 35 per cent)</w:t>
      </w:r>
    </w:p>
    <w:p w14:paraId="5C36D7D2" w14:textId="77777777" w:rsidR="00562281" w:rsidRPr="00E64B0C" w:rsidRDefault="00562281" w:rsidP="00562281">
      <w:pPr>
        <w:pStyle w:val="VIRTBulletpoints"/>
        <w:numPr>
          <w:ilvl w:val="0"/>
          <w:numId w:val="43"/>
        </w:numPr>
        <w:spacing w:after="120"/>
      </w:pPr>
      <w:r w:rsidRPr="00E64B0C">
        <w:t xml:space="preserve">holding the specified parliamentary office (applicable NER is 46 per cent). </w:t>
      </w:r>
    </w:p>
    <w:p w14:paraId="3F02822F" w14:textId="77777777" w:rsidR="00562281" w:rsidRPr="00E64B0C" w:rsidRDefault="00562281" w:rsidP="00562281">
      <w:pPr>
        <w:pStyle w:val="Paragraph"/>
      </w:pPr>
      <w:r w:rsidRPr="00E64B0C">
        <w:t>‘Non-accruing’ members of the PCSF (e.g. MPs who have either left the Parliament or accrued their maximum entitlement) have NTCs equal to zero.</w:t>
      </w:r>
    </w:p>
    <w:p w14:paraId="5E491851" w14:textId="77777777" w:rsidR="00562281" w:rsidRDefault="00562281" w:rsidP="00562281">
      <w:pPr>
        <w:pStyle w:val="Paragraph"/>
      </w:pPr>
      <w:r w:rsidRPr="00E64B0C">
        <w:t>Grandfathering arrangements are in place under Commonwealth law which ensure that, where members of defined benefit schemes have NTCs that exceed the concessional contributions cap, their NTCs are instead deemed to be equal to the cap (i.e. are capped at $25,000 for the 2020-21 financial year). These arrangements typically only apply where a defined benefit account was opened prior to 12 May 2009.</w:t>
      </w:r>
      <w:r w:rsidRPr="0007029B">
        <w:rPr>
          <w:rFonts w:eastAsia="Wingdings"/>
          <w:vertAlign w:val="superscript"/>
        </w:rPr>
        <w:footnoteReference w:id="136"/>
      </w:r>
      <w:r>
        <w:t xml:space="preserve"> </w:t>
      </w:r>
      <w:r w:rsidRPr="00154E96">
        <w:t>Defined benefit accounts which are opened after this date are not eligible for grandfathering, which means that individuals whose NTCs exceed the cap are required to pay the resultant tax liability out of their own funds.</w:t>
      </w:r>
    </w:p>
    <w:p w14:paraId="3536D410" w14:textId="1DA3F4ED" w:rsidR="00562281" w:rsidRPr="00154E96" w:rsidRDefault="00562281" w:rsidP="00C613AF">
      <w:pPr>
        <w:pStyle w:val="VIRTHeading3"/>
        <w:keepNext/>
      </w:pPr>
      <w:r w:rsidRPr="00154E96">
        <w:t>Non-concessional contributions cap</w:t>
      </w:r>
    </w:p>
    <w:p w14:paraId="1E641454" w14:textId="02BAAF4D" w:rsidR="00562281" w:rsidRDefault="00562281" w:rsidP="00573DAC">
      <w:pPr>
        <w:pStyle w:val="Paragraph"/>
        <w:keepNext/>
      </w:pPr>
      <w:r w:rsidRPr="7DFCEC12">
        <w:t>The non-concessional contributions cap is equal to the concessional contributions cap multiplie</w:t>
      </w:r>
      <w:r w:rsidRPr="00D46653">
        <w:rPr>
          <w:rFonts w:eastAsiaTheme="minorEastAsia"/>
        </w:rPr>
        <w:t>d by 4 ($100,000 f</w:t>
      </w:r>
      <w:r w:rsidRPr="7DFCEC12">
        <w:t>or the 2020-21 financial year).</w:t>
      </w:r>
      <w:r w:rsidRPr="0007029B">
        <w:rPr>
          <w:rFonts w:eastAsia="Wingdings"/>
          <w:vertAlign w:val="superscript"/>
        </w:rPr>
        <w:footnoteReference w:id="137"/>
      </w:r>
      <w:r w:rsidRPr="7DFCEC12">
        <w:t xml:space="preserve"> </w:t>
      </w:r>
      <w:r>
        <w:t xml:space="preserve">However, if an </w:t>
      </w:r>
      <w:r>
        <w:lastRenderedPageBreak/>
        <w:t xml:space="preserve">individual’s total superannuation balance </w:t>
      </w:r>
      <w:r w:rsidRPr="00670D20">
        <w:t xml:space="preserve">exceeds </w:t>
      </w:r>
      <w:r>
        <w:t xml:space="preserve">a certain threshold ($1.6 million for the 2020-21 financial year), their </w:t>
      </w:r>
      <w:r w:rsidRPr="00670D20">
        <w:t>non-concessional contributions cap</w:t>
      </w:r>
      <w:r>
        <w:t xml:space="preserve"> is reduced to zero.</w:t>
      </w:r>
      <w:r w:rsidRPr="0007029B">
        <w:rPr>
          <w:rFonts w:eastAsia="Wingdings"/>
          <w:vertAlign w:val="superscript"/>
        </w:rPr>
        <w:footnoteReference w:id="138"/>
      </w:r>
      <w:r>
        <w:t xml:space="preserve"> </w:t>
      </w:r>
    </w:p>
    <w:p w14:paraId="006CA945" w14:textId="77777777" w:rsidR="00562281" w:rsidRDefault="00562281" w:rsidP="00562281">
      <w:pPr>
        <w:pStyle w:val="Paragraph"/>
      </w:pPr>
      <w:r w:rsidRPr="71F98FC8">
        <w:t>If an individual has non-concessional contributions that exceed the non</w:t>
      </w:r>
      <w:r>
        <w:noBreakHyphen/>
      </w:r>
      <w:r w:rsidRPr="71F98FC8">
        <w:t>concessional contributions cap for the relevant financial year, they will receive an excess non-concessional contributions determination.</w:t>
      </w:r>
      <w:r w:rsidRPr="0007029B">
        <w:rPr>
          <w:rFonts w:eastAsia="Wingdings"/>
          <w:vertAlign w:val="superscript"/>
        </w:rPr>
        <w:footnoteReference w:id="139"/>
      </w:r>
      <w:r w:rsidRPr="71F98FC8">
        <w:t xml:space="preserve"> This requires them to either elect to have the excess amount withdrawn from their superannuation fund, or to incur an additional tax liability equal to 47 per cent of the excess contributions.</w:t>
      </w:r>
      <w:r w:rsidRPr="000E3301">
        <w:rPr>
          <w:vertAlign w:val="superscript"/>
        </w:rPr>
        <w:footnoteReference w:id="140"/>
      </w:r>
      <w:r w:rsidRPr="71F98FC8">
        <w:t xml:space="preserve"> </w:t>
      </w:r>
      <w:r w:rsidRPr="00154E96">
        <w:t>If an election is made to withdraw excess contributions, 85</w:t>
      </w:r>
      <w:r>
        <w:t> </w:t>
      </w:r>
      <w:r w:rsidRPr="00154E96">
        <w:t>per</w:t>
      </w:r>
      <w:r>
        <w:t> </w:t>
      </w:r>
      <w:r w:rsidRPr="00154E96">
        <w:t>cent of the associated deemed earnings are also withdrawn and included in the MP’s assessable income (subject to a 15 per cent offset to take into account tax paid on earnings by the superannuation fund).</w:t>
      </w:r>
      <w:r w:rsidRPr="0007029B">
        <w:rPr>
          <w:vertAlign w:val="superscript"/>
        </w:rPr>
        <w:footnoteReference w:id="141"/>
      </w:r>
      <w:r>
        <w:t xml:space="preserve"> </w:t>
      </w:r>
    </w:p>
    <w:p w14:paraId="63A66BDE" w14:textId="77777777" w:rsidR="00562281" w:rsidRPr="00670D20" w:rsidRDefault="00562281" w:rsidP="00562281">
      <w:pPr>
        <w:pStyle w:val="Paragraph"/>
      </w:pPr>
      <w:r>
        <w:t>The option of withdrawing excess contributions is not available to</w:t>
      </w:r>
      <w:r w:rsidRPr="71F98FC8">
        <w:t xml:space="preserve"> existing MPs in the defined benefit schemes.</w:t>
      </w:r>
      <w:r w:rsidRPr="0007029B">
        <w:rPr>
          <w:rFonts w:eastAsia="Wingdings"/>
          <w:vertAlign w:val="superscript"/>
        </w:rPr>
        <w:footnoteReference w:id="142"/>
      </w:r>
      <w:r w:rsidRPr="7DFCEC12">
        <w:t xml:space="preserve"> </w:t>
      </w:r>
      <w:r>
        <w:t xml:space="preserve">As </w:t>
      </w:r>
      <w:r w:rsidRPr="71F98FC8">
        <w:t>a result, they are required to pay the additional tax.</w:t>
      </w:r>
    </w:p>
    <w:p w14:paraId="02851F83" w14:textId="739FCB39" w:rsidR="00562281" w:rsidRPr="008E25EE" w:rsidRDefault="00562281" w:rsidP="00562281">
      <w:pPr>
        <w:pStyle w:val="VIRTHeading3"/>
      </w:pPr>
      <w:r w:rsidRPr="008E25EE">
        <w:t>Division 293 tax</w:t>
      </w:r>
    </w:p>
    <w:p w14:paraId="481686D5" w14:textId="4EDD321B" w:rsidR="00562281" w:rsidRPr="00670D20" w:rsidRDefault="00562281" w:rsidP="00562281">
      <w:pPr>
        <w:pStyle w:val="Paragraph"/>
      </w:pPr>
      <w:r w:rsidRPr="7DFCEC12">
        <w:t xml:space="preserve">Some high-income earners are required to pay additional tax, known as Division 293 tax, if the sum of their </w:t>
      </w:r>
      <w:r w:rsidRPr="00154E96">
        <w:t xml:space="preserve">income for Division 293 purposes and </w:t>
      </w:r>
      <w:r w:rsidR="00573DAC">
        <w:t>‘</w:t>
      </w:r>
      <w:r w:rsidRPr="00154E96">
        <w:t>low tax contributions’</w:t>
      </w:r>
      <w:r w:rsidRPr="7DFCEC12">
        <w:t xml:space="preserve"> exceeds a certain threshold ($250,000 for the 2020-21 financial year).</w:t>
      </w:r>
      <w:r w:rsidRPr="0007029B">
        <w:rPr>
          <w:rFonts w:eastAsia="Wingdings"/>
          <w:vertAlign w:val="superscript"/>
        </w:rPr>
        <w:footnoteReference w:id="143"/>
      </w:r>
    </w:p>
    <w:p w14:paraId="233F7399" w14:textId="77777777" w:rsidR="00562281" w:rsidRPr="00670D20" w:rsidRDefault="00562281" w:rsidP="00562281">
      <w:pPr>
        <w:pStyle w:val="Paragraph"/>
      </w:pPr>
      <w:r w:rsidRPr="7DFCEC12">
        <w:t xml:space="preserve">This tax may apply to </w:t>
      </w:r>
      <w:r w:rsidRPr="71F98FC8">
        <w:t>some</w:t>
      </w:r>
      <w:r w:rsidRPr="7DFCEC12">
        <w:t xml:space="preserve"> MPs</w:t>
      </w:r>
      <w:r>
        <w:t>, for example, if they</w:t>
      </w:r>
      <w:r w:rsidRPr="7DFCEC12" w:rsidDel="003E41BC">
        <w:t xml:space="preserve"> </w:t>
      </w:r>
      <w:r w:rsidRPr="7DFCEC12">
        <w:t xml:space="preserve">receive an additional salary as a result of holding a </w:t>
      </w:r>
      <w:r>
        <w:t xml:space="preserve">specified </w:t>
      </w:r>
      <w:r w:rsidRPr="7DFCEC12">
        <w:t>parliamentary office</w:t>
      </w:r>
      <w:r>
        <w:t xml:space="preserve"> or receive additional income unrelated to their parliamentary duties</w:t>
      </w:r>
      <w:r w:rsidRPr="7DFCEC12">
        <w:t xml:space="preserve">. </w:t>
      </w:r>
    </w:p>
    <w:p w14:paraId="5442735F" w14:textId="77777777" w:rsidR="00562281" w:rsidRPr="00670D20" w:rsidRDefault="00562281" w:rsidP="00562281">
      <w:pPr>
        <w:pStyle w:val="Paragraph"/>
      </w:pPr>
      <w:r w:rsidRPr="00154E96">
        <w:t>Income for Division 293 purposes is primarily the sum of taxable income, reportable fringe benefits and total financial investment and property losses.</w:t>
      </w:r>
      <w:r w:rsidRPr="0007029B">
        <w:rPr>
          <w:vertAlign w:val="superscript"/>
        </w:rPr>
        <w:footnoteReference w:id="144"/>
      </w:r>
      <w:r w:rsidRPr="7DFCEC12">
        <w:t xml:space="preserve"> </w:t>
      </w:r>
    </w:p>
    <w:p w14:paraId="167F6E69" w14:textId="671F0D9C" w:rsidR="00971640" w:rsidRDefault="00562281" w:rsidP="00562281">
      <w:pPr>
        <w:pStyle w:val="Paragraph"/>
      </w:pPr>
      <w:r w:rsidRPr="00154E96">
        <w:t>‘Low tax contributions’ are generally equal to contributions</w:t>
      </w:r>
      <w:r w:rsidR="00917A12">
        <w:t xml:space="preserve"> </w:t>
      </w:r>
      <w:r w:rsidR="00762A39">
        <w:t xml:space="preserve">up to the </w:t>
      </w:r>
      <w:r w:rsidRPr="00154E96">
        <w:t xml:space="preserve">concessional contributions </w:t>
      </w:r>
      <w:r w:rsidR="007F3A62">
        <w:t>cap</w:t>
      </w:r>
      <w:r w:rsidR="0059561F">
        <w:t>.</w:t>
      </w:r>
    </w:p>
    <w:p w14:paraId="7C30C233" w14:textId="77777777" w:rsidR="00971640" w:rsidRDefault="00971640" w:rsidP="00562281">
      <w:pPr>
        <w:pStyle w:val="Paragraph"/>
      </w:pPr>
    </w:p>
    <w:p w14:paraId="4170D791" w14:textId="77777777" w:rsidR="00891215" w:rsidRDefault="00891215" w:rsidP="00891215">
      <w:pPr>
        <w:pStyle w:val="Parabeforeabulletlist"/>
      </w:pPr>
      <w:r>
        <w:lastRenderedPageBreak/>
        <w:t xml:space="preserve">If an MP’s combined income for </w:t>
      </w:r>
      <w:r w:rsidRPr="00154E96">
        <w:t>Division 293 purposes</w:t>
      </w:r>
      <w:r>
        <w:t xml:space="preserve"> and </w:t>
      </w:r>
      <w:r w:rsidRPr="00154E96">
        <w:t>low tax contributions</w:t>
      </w:r>
      <w:r>
        <w:t xml:space="preserve"> exceed the threshold, they will be taxed at a rate</w:t>
      </w:r>
      <w:r w:rsidR="00562281" w:rsidRPr="00154E96">
        <w:t xml:space="preserve"> of </w:t>
      </w:r>
      <w:r>
        <w:t>15 per cent on the lesser of:</w:t>
      </w:r>
    </w:p>
    <w:p w14:paraId="210AAC38" w14:textId="77777777" w:rsidR="00891215" w:rsidRDefault="00891215" w:rsidP="00891215">
      <w:pPr>
        <w:pStyle w:val="VIRTBulletpoints"/>
        <w:numPr>
          <w:ilvl w:val="0"/>
          <w:numId w:val="43"/>
        </w:numPr>
        <w:spacing w:after="120"/>
      </w:pPr>
      <w:r>
        <w:t xml:space="preserve">their </w:t>
      </w:r>
      <w:r w:rsidRPr="00154E96">
        <w:t>low tax contributions</w:t>
      </w:r>
    </w:p>
    <w:p w14:paraId="317DB251" w14:textId="77777777" w:rsidR="00891215" w:rsidRDefault="00891215" w:rsidP="00891215">
      <w:pPr>
        <w:pStyle w:val="VIRTBulletpoints"/>
        <w:numPr>
          <w:ilvl w:val="0"/>
          <w:numId w:val="43"/>
        </w:numPr>
        <w:spacing w:after="120"/>
      </w:pPr>
      <w:r>
        <w:t>the amount that is over the threshold.</w:t>
      </w:r>
    </w:p>
    <w:p w14:paraId="386BF991" w14:textId="61C86FB2" w:rsidR="006B3F6A" w:rsidRDefault="006B3F6A" w:rsidP="006B3F6A">
      <w:pPr>
        <w:pStyle w:val="Paragraph"/>
      </w:pPr>
      <w:r>
        <w:t>Existing MPs in the accumulation scheme who incur a Division 293 tax liability may request to have the liability met from their superannuation benefit.</w:t>
      </w:r>
      <w:r w:rsidRPr="0007029B">
        <w:rPr>
          <w:vertAlign w:val="superscript"/>
        </w:rPr>
        <w:footnoteReference w:id="145"/>
      </w:r>
      <w:r w:rsidRPr="006B3F6A">
        <w:t xml:space="preserve"> </w:t>
      </w:r>
      <w:r w:rsidRPr="00154E96">
        <w:t>Alternatively, they can pay the liability out of their income.</w:t>
      </w:r>
    </w:p>
    <w:p w14:paraId="1450E599" w14:textId="422CCF2E" w:rsidR="00562281" w:rsidRPr="00670D20" w:rsidRDefault="00CC2B81" w:rsidP="00562281">
      <w:pPr>
        <w:pStyle w:val="Paragraph"/>
      </w:pPr>
      <w:r>
        <w:t xml:space="preserve">Existing </w:t>
      </w:r>
      <w:r w:rsidR="00562281" w:rsidRPr="00154E96">
        <w:t>MPs in the defined benefit schemes</w:t>
      </w:r>
      <w:r>
        <w:t xml:space="preserve"> </w:t>
      </w:r>
      <w:r w:rsidR="00D96552">
        <w:t xml:space="preserve">are subject to grandfathering arrangements which limit their tax liability. </w:t>
      </w:r>
      <w:r w:rsidR="00DB42E9">
        <w:t>These</w:t>
      </w:r>
      <w:r w:rsidR="00E91130">
        <w:t xml:space="preserve"> arrangements</w:t>
      </w:r>
      <w:r w:rsidR="00C74202">
        <w:t xml:space="preserve"> </w:t>
      </w:r>
      <w:r w:rsidR="00971640" w:rsidRPr="00154E96">
        <w:t>limit an individual’s NTCs for the purposes of calculating whether they have</w:t>
      </w:r>
      <w:r w:rsidR="00562281" w:rsidRPr="00154E96">
        <w:t xml:space="preserve"> excess concessional contributions.</w:t>
      </w:r>
      <w:r w:rsidR="00971640" w:rsidRPr="00154E96">
        <w:t xml:space="preserve"> </w:t>
      </w:r>
      <w:r w:rsidR="00C74202">
        <w:t xml:space="preserve">However, </w:t>
      </w:r>
      <w:r w:rsidR="00971640" w:rsidRPr="00154E96">
        <w:t xml:space="preserve">the </w:t>
      </w:r>
      <w:r w:rsidR="00C74202">
        <w:t xml:space="preserve">full </w:t>
      </w:r>
      <w:r w:rsidR="00971640" w:rsidRPr="00154E96">
        <w:t>amount is taken into account for the purposes of</w:t>
      </w:r>
      <w:r w:rsidR="006A2E5B">
        <w:t xml:space="preserve"> determining their low tax contributions</w:t>
      </w:r>
      <w:r w:rsidR="00973CF8">
        <w:t xml:space="preserve"> under</w:t>
      </w:r>
      <w:r w:rsidR="00971640" w:rsidRPr="00154E96">
        <w:t xml:space="preserve"> Division 293</w:t>
      </w:r>
      <w:r w:rsidR="00973CF8">
        <w:t xml:space="preserve">, and this may exceed the </w:t>
      </w:r>
      <w:r w:rsidR="00747002">
        <w:t>concessional contributions cap</w:t>
      </w:r>
      <w:r w:rsidR="00971640" w:rsidRPr="00154E96">
        <w:t>.</w:t>
      </w:r>
      <w:r w:rsidR="00562281" w:rsidRPr="0007029B">
        <w:rPr>
          <w:vertAlign w:val="superscript"/>
        </w:rPr>
        <w:footnoteReference w:id="146"/>
      </w:r>
      <w:r w:rsidR="00562281" w:rsidRPr="00154E96">
        <w:t xml:space="preserve"> </w:t>
      </w:r>
    </w:p>
    <w:p w14:paraId="662A2312" w14:textId="1F7B85FC" w:rsidR="00562281" w:rsidRDefault="00E91130" w:rsidP="00562281">
      <w:pPr>
        <w:pStyle w:val="Paragraph"/>
      </w:pPr>
      <w:r>
        <w:t>Existing</w:t>
      </w:r>
      <w:r w:rsidR="00FE66B1">
        <w:t xml:space="preserve"> MPs in the defined benefit schemes subject to </w:t>
      </w:r>
      <w:r w:rsidR="00562281" w:rsidRPr="00154E96">
        <w:t xml:space="preserve">Division 293 tax </w:t>
      </w:r>
      <w:r w:rsidR="00FE66B1">
        <w:t xml:space="preserve">do not have </w:t>
      </w:r>
      <w:r w:rsidR="00562281">
        <w:t xml:space="preserve">the </w:t>
      </w:r>
      <w:r w:rsidR="00FE66B1">
        <w:t xml:space="preserve">option </w:t>
      </w:r>
      <w:r>
        <w:t xml:space="preserve">to have </w:t>
      </w:r>
      <w:r w:rsidR="00562281">
        <w:t xml:space="preserve">the liability </w:t>
      </w:r>
      <w:r>
        <w:t>met</w:t>
      </w:r>
      <w:r w:rsidR="00562281">
        <w:t xml:space="preserve"> from their superannuation benefit</w:t>
      </w:r>
      <w:r>
        <w:t>.</w:t>
      </w:r>
      <w:r w:rsidR="00562281">
        <w:t xml:space="preserve"> </w:t>
      </w:r>
      <w:r w:rsidR="00562281" w:rsidRPr="00154E96">
        <w:rPr>
          <w:rFonts w:eastAsia="Wingdings"/>
        </w:rPr>
        <w:t>However,</w:t>
      </w:r>
      <w:r w:rsidR="00562281">
        <w:t xml:space="preserve"> those MPs do have an option to have this amount placed into a debt account </w:t>
      </w:r>
      <w:r w:rsidR="00562281" w:rsidRPr="00154E96">
        <w:t>held by the ATO, where it accrues interest until the debt is paid.</w:t>
      </w:r>
      <w:r w:rsidR="00562281" w:rsidRPr="0007029B">
        <w:rPr>
          <w:vertAlign w:val="superscript"/>
        </w:rPr>
        <w:footnoteReference w:id="147"/>
      </w:r>
      <w:r w:rsidR="00562281">
        <w:t xml:space="preserve"> </w:t>
      </w:r>
      <w:r w:rsidR="00562281" w:rsidRPr="00154E96">
        <w:t>Any remaining debt must be paid when the superannuation benefit becomes payable.</w:t>
      </w:r>
      <w:r w:rsidR="00562281">
        <w:t xml:space="preserve"> </w:t>
      </w:r>
    </w:p>
    <w:p w14:paraId="799066F7" w14:textId="77777777" w:rsidR="00562281" w:rsidRDefault="00562281" w:rsidP="00562281">
      <w:pPr>
        <w:pStyle w:val="Paragraph"/>
      </w:pPr>
      <w:r>
        <w:t xml:space="preserve">Former MPs in the defined benefit schemes who are receiving a pension and who have a Division 293 tax liability (e.g. because they deferred paying it while they served as an MP) may request that ESSSuper pay the tax on their behalf, in return for their pension being reduced to </w:t>
      </w:r>
      <w:r w:rsidRPr="6B656477">
        <w:rPr>
          <w:rFonts w:eastAsia="Wingdings"/>
        </w:rPr>
        <w:t xml:space="preserve">the </w:t>
      </w:r>
      <w:r>
        <w:t>extent necessary to meet that liability.</w:t>
      </w:r>
      <w:r w:rsidRPr="003A3177">
        <w:rPr>
          <w:vertAlign w:val="superscript"/>
        </w:rPr>
        <w:footnoteReference w:id="148"/>
      </w:r>
    </w:p>
    <w:p w14:paraId="33CB147B" w14:textId="77777777" w:rsidR="00562281" w:rsidRDefault="00562281" w:rsidP="00562281">
      <w:pPr>
        <w:pStyle w:val="VIRTHeading2"/>
      </w:pPr>
      <w:bookmarkStart w:id="151" w:name="_Toc51061841"/>
      <w:bookmarkStart w:id="152" w:name="_Toc51061935"/>
      <w:bookmarkStart w:id="153" w:name="_Toc51234170"/>
      <w:r>
        <w:t>C2. Tax on investment earnings</w:t>
      </w:r>
      <w:bookmarkEnd w:id="151"/>
      <w:bookmarkEnd w:id="152"/>
      <w:bookmarkEnd w:id="153"/>
    </w:p>
    <w:p w14:paraId="10DD8B2D" w14:textId="77777777" w:rsidR="00562281" w:rsidRDefault="00562281" w:rsidP="00562281">
      <w:pPr>
        <w:pStyle w:val="Paragraph"/>
      </w:pPr>
      <w:r w:rsidRPr="00E64B0C">
        <w:t>Superannuation funds pool the contributions of their members and invest them in a variety of assets in order to generate investment earnings. As with other forms of income, investment earnings are subject to taxation.</w:t>
      </w:r>
    </w:p>
    <w:p w14:paraId="1E3104AF" w14:textId="77777777" w:rsidR="00562281" w:rsidRPr="00E64B0C" w:rsidRDefault="00562281" w:rsidP="00562281">
      <w:pPr>
        <w:pStyle w:val="Paragraph"/>
      </w:pPr>
      <w:r>
        <w:t>While an individual is still working and actively making and/or receiving superannuation contributions</w:t>
      </w:r>
      <w:r w:rsidDel="00180FC0">
        <w:t xml:space="preserve"> </w:t>
      </w:r>
      <w:r>
        <w:t xml:space="preserve">(known as the accumulation phase), investment earnings made by their superannuation fund are taxed at a maximum rate of </w:t>
      </w:r>
      <w:r>
        <w:lastRenderedPageBreak/>
        <w:t>15 per cent.</w:t>
      </w:r>
      <w:r w:rsidRPr="00A61258">
        <w:rPr>
          <w:vertAlign w:val="superscript"/>
        </w:rPr>
        <w:footnoteReference w:id="149"/>
      </w:r>
      <w:r>
        <w:t xml:space="preserve"> The effective rate of tax may be reduced in respect of some investments, for example, due to a capital gains tax discount being available if </w:t>
      </w:r>
      <w:r w:rsidRPr="00E64B0C">
        <w:t xml:space="preserve">earnings are made from the sale of assets that were held for at least 12 months, or in circumstances where the fund receives franking credits. </w:t>
      </w:r>
    </w:p>
    <w:p w14:paraId="598D5E0D" w14:textId="37D1E957" w:rsidR="00562281" w:rsidRDefault="00562281" w:rsidP="00562281">
      <w:pPr>
        <w:pStyle w:val="Paragraph"/>
      </w:pPr>
      <w:r w:rsidRPr="00E64B0C">
        <w:t>Once an individual meets the requirements for accessing their superannuation, they may choose to move some or all of their superannuation into the</w:t>
      </w:r>
      <w:r>
        <w:t xml:space="preserve"> </w:t>
      </w:r>
      <w:r w:rsidRPr="00E64B0C">
        <w:t>retirement phase, in order to use that money to fund an account-based pension. Investment earnings made on superannuation which has been transferred into the retirement phase are tax-free.</w:t>
      </w:r>
      <w:r w:rsidRPr="00A61258">
        <w:rPr>
          <w:vertAlign w:val="superscript"/>
        </w:rPr>
        <w:footnoteReference w:id="150"/>
      </w:r>
      <w:r w:rsidRPr="00E64B0C">
        <w:t xml:space="preserve"> However, the amount of superannuation that can be moved by an individual into the retirement phase is subject to a limit under Commonwealth law, known as the transfer balance cap ($1.6 million for the 2020</w:t>
      </w:r>
      <w:r w:rsidR="003859BE">
        <w:noBreakHyphen/>
      </w:r>
      <w:r w:rsidRPr="00E64B0C">
        <w:t>21 financial year).</w:t>
      </w:r>
      <w:r w:rsidRPr="00A61258">
        <w:rPr>
          <w:vertAlign w:val="superscript"/>
        </w:rPr>
        <w:footnoteReference w:id="151"/>
      </w:r>
      <w:r w:rsidRPr="00E64B0C">
        <w:t xml:space="preserve"> Superannuation which remains in the accumulation phase (as a result of not having been moved into the retirement phase) continues to be taxed.</w:t>
      </w:r>
    </w:p>
    <w:p w14:paraId="1F5E0692" w14:textId="77777777" w:rsidR="00562281" w:rsidRDefault="00562281" w:rsidP="00562281">
      <w:pPr>
        <w:pStyle w:val="VIRTHeading2"/>
      </w:pPr>
      <w:bookmarkStart w:id="154" w:name="_Toc51061842"/>
      <w:bookmarkStart w:id="155" w:name="_Toc51061936"/>
      <w:bookmarkStart w:id="156" w:name="_Toc51234171"/>
      <w:r>
        <w:t>C3. Taxes on benefits and restrictions on accessing superannuation</w:t>
      </w:r>
      <w:bookmarkEnd w:id="154"/>
      <w:bookmarkEnd w:id="155"/>
      <w:bookmarkEnd w:id="156"/>
    </w:p>
    <w:p w14:paraId="752ECD74" w14:textId="77777777" w:rsidR="00562281" w:rsidRDefault="00562281" w:rsidP="00562281">
      <w:pPr>
        <w:pStyle w:val="Paragraph"/>
      </w:pPr>
      <w:r>
        <w:t xml:space="preserve">Commonwealth law provides rules on when MPs in the accumulation scheme can access their superannuation balance (which consists of contributions and investment earnings). </w:t>
      </w:r>
    </w:p>
    <w:p w14:paraId="1F8CC0BF" w14:textId="1FDB78A7" w:rsidR="00562281" w:rsidRDefault="00562281" w:rsidP="00562281">
      <w:pPr>
        <w:pStyle w:val="Parabeforeabulletlist"/>
      </w:pPr>
      <w:r>
        <w:t xml:space="preserve">Generally speaking, an existing or former MP can access their superannuation when they satisfy </w:t>
      </w:r>
      <w:r w:rsidRPr="00154E96">
        <w:t>one of the following conditions of release:</w:t>
      </w:r>
      <w:r w:rsidRPr="00DC71BD">
        <w:rPr>
          <w:vertAlign w:val="superscript"/>
        </w:rPr>
        <w:footnoteReference w:id="152"/>
      </w:r>
    </w:p>
    <w:p w14:paraId="75CB1E8C" w14:textId="77777777" w:rsidR="00562281" w:rsidRPr="00154E96" w:rsidRDefault="00562281" w:rsidP="00562281">
      <w:pPr>
        <w:pStyle w:val="VIRTBulletpoints"/>
        <w:numPr>
          <w:ilvl w:val="0"/>
          <w:numId w:val="43"/>
        </w:numPr>
        <w:spacing w:after="120"/>
      </w:pPr>
      <w:r w:rsidRPr="00154E96">
        <w:t>reach their ‘preservation age’</w:t>
      </w:r>
      <w:r w:rsidRPr="00C81908">
        <w:rPr>
          <w:vertAlign w:val="superscript"/>
        </w:rPr>
        <w:footnoteReference w:id="153"/>
      </w:r>
      <w:r w:rsidRPr="00154E96">
        <w:t xml:space="preserve"> and: </w:t>
      </w:r>
    </w:p>
    <w:p w14:paraId="0C5FE5C9" w14:textId="77777777" w:rsidR="00562281" w:rsidRPr="00154E96" w:rsidRDefault="00562281" w:rsidP="00562281">
      <w:pPr>
        <w:pStyle w:val="VIRTBulletpoints"/>
        <w:numPr>
          <w:ilvl w:val="1"/>
          <w:numId w:val="43"/>
        </w:numPr>
        <w:spacing w:after="120"/>
      </w:pPr>
      <w:r w:rsidRPr="00154E96">
        <w:t>retire from the workforce;</w:t>
      </w:r>
      <w:r w:rsidRPr="00C81908">
        <w:rPr>
          <w:vertAlign w:val="superscript"/>
        </w:rPr>
        <w:footnoteReference w:id="154"/>
      </w:r>
      <w:r w:rsidRPr="00154E96">
        <w:t xml:space="preserve"> or </w:t>
      </w:r>
    </w:p>
    <w:p w14:paraId="55FF0C7C" w14:textId="77777777" w:rsidR="00562281" w:rsidRPr="00154E96" w:rsidRDefault="00562281" w:rsidP="00562281">
      <w:pPr>
        <w:pStyle w:val="VIRTBulletpoints"/>
        <w:numPr>
          <w:ilvl w:val="1"/>
          <w:numId w:val="43"/>
        </w:numPr>
        <w:spacing w:after="120"/>
      </w:pPr>
      <w:r w:rsidRPr="00154E96">
        <w:t>commence a transition-to-retirement income stream</w:t>
      </w:r>
    </w:p>
    <w:p w14:paraId="348EE14A" w14:textId="77777777" w:rsidR="00562281" w:rsidRPr="00154E96" w:rsidRDefault="00562281" w:rsidP="00562281">
      <w:pPr>
        <w:pStyle w:val="VIRTBulletpoints"/>
        <w:numPr>
          <w:ilvl w:val="0"/>
          <w:numId w:val="43"/>
        </w:numPr>
        <w:spacing w:after="120"/>
      </w:pPr>
      <w:r w:rsidRPr="00154E96">
        <w:t>reach the age of 60 and cease an employment arrangement</w:t>
      </w:r>
    </w:p>
    <w:p w14:paraId="6865B177" w14:textId="77777777" w:rsidR="00562281" w:rsidRPr="00154E96" w:rsidRDefault="00562281" w:rsidP="00562281">
      <w:pPr>
        <w:pStyle w:val="VIRTBulletpoints"/>
        <w:numPr>
          <w:ilvl w:val="0"/>
          <w:numId w:val="43"/>
        </w:numPr>
        <w:spacing w:after="120"/>
      </w:pPr>
      <w:r w:rsidRPr="00154E96">
        <w:t>reach the age of 65.</w:t>
      </w:r>
    </w:p>
    <w:p w14:paraId="20561D6A" w14:textId="77777777" w:rsidR="00562281" w:rsidRDefault="00562281" w:rsidP="00562281">
      <w:pPr>
        <w:pStyle w:val="Paragraph"/>
      </w:pPr>
      <w:r>
        <w:lastRenderedPageBreak/>
        <w:t xml:space="preserve">There are a number of circumstances where an individual in an accumulation scheme may be able to access their superannuation early, for example, due to financial hardship or permanent incapacity. </w:t>
      </w:r>
    </w:p>
    <w:p w14:paraId="22B336AA" w14:textId="77777777" w:rsidR="00562281" w:rsidRDefault="00562281" w:rsidP="00562281">
      <w:pPr>
        <w:pStyle w:val="Paragraph"/>
      </w:pPr>
      <w:r>
        <w:t xml:space="preserve">These rules also apply to former MPs in the defined benefit schemes who are required to, or choose to, access their superannuation benefits as a lump sum. However, these rules do not prevent eligible former MPs in the defined benefit schemes from receiving a pension under the rules of those schemes. </w:t>
      </w:r>
    </w:p>
    <w:p w14:paraId="5044D25A" w14:textId="77777777" w:rsidR="00562281" w:rsidRDefault="00562281" w:rsidP="00562281">
      <w:pPr>
        <w:pStyle w:val="Parabeforeabulletlist"/>
      </w:pPr>
      <w:r>
        <w:t>The amount of tax payable on an MP’s superannuation benefits depends on a number of factors, including:</w:t>
      </w:r>
    </w:p>
    <w:p w14:paraId="7B46A22E" w14:textId="77777777" w:rsidR="00562281" w:rsidRDefault="00562281" w:rsidP="00562281">
      <w:pPr>
        <w:pStyle w:val="VIRTBulletpoints"/>
        <w:numPr>
          <w:ilvl w:val="0"/>
          <w:numId w:val="43"/>
        </w:numPr>
        <w:spacing w:after="120"/>
      </w:pPr>
      <w:r>
        <w:t>their age</w:t>
      </w:r>
    </w:p>
    <w:p w14:paraId="5FC8B698" w14:textId="77777777" w:rsidR="00562281" w:rsidRDefault="00562281" w:rsidP="00562281">
      <w:pPr>
        <w:pStyle w:val="VIRTBulletpoints"/>
        <w:numPr>
          <w:ilvl w:val="0"/>
          <w:numId w:val="43"/>
        </w:numPr>
        <w:spacing w:after="120"/>
      </w:pPr>
      <w:r>
        <w:t>the benefit amount and its composition (i.e. proportion of tax-free and taxable components)</w:t>
      </w:r>
      <w:r w:rsidRPr="00C81908">
        <w:rPr>
          <w:rFonts w:eastAsia="Wingdings"/>
          <w:vertAlign w:val="superscript"/>
        </w:rPr>
        <w:footnoteReference w:id="155"/>
      </w:r>
    </w:p>
    <w:p w14:paraId="3211D709" w14:textId="77777777" w:rsidR="00562281" w:rsidRDefault="00562281" w:rsidP="00562281">
      <w:pPr>
        <w:pStyle w:val="VIRTBulletpoints"/>
        <w:numPr>
          <w:ilvl w:val="0"/>
          <w:numId w:val="43"/>
        </w:numPr>
        <w:spacing w:after="120"/>
      </w:pPr>
      <w:r>
        <w:t>the type of benefit (e.g. lump sum or pension).</w:t>
      </w:r>
    </w:p>
    <w:p w14:paraId="71734ABC" w14:textId="54133F5C" w:rsidR="00562281" w:rsidRDefault="00562281" w:rsidP="00562281">
      <w:pPr>
        <w:pStyle w:val="Parabeforeabulletlist"/>
      </w:pPr>
      <w:r w:rsidRPr="002656E6">
        <w:t>Superannuation benefits may be composed of</w:t>
      </w:r>
      <w:r>
        <w:t>:</w:t>
      </w:r>
    </w:p>
    <w:p w14:paraId="6F06FFA9" w14:textId="77777777" w:rsidR="00562281" w:rsidRDefault="00562281" w:rsidP="00562281">
      <w:pPr>
        <w:pStyle w:val="VIRTBulletpoints"/>
        <w:numPr>
          <w:ilvl w:val="0"/>
          <w:numId w:val="43"/>
        </w:numPr>
        <w:spacing w:after="120"/>
      </w:pPr>
      <w:r>
        <w:t xml:space="preserve">a </w:t>
      </w:r>
      <w:r w:rsidRPr="002656E6">
        <w:t>tax-free component</w:t>
      </w:r>
      <w:r>
        <w:t>, which generally includes non-concessional contributions and government co-contributions</w:t>
      </w:r>
    </w:p>
    <w:p w14:paraId="7A8AEFDA" w14:textId="77777777" w:rsidR="00562281" w:rsidRDefault="00562281" w:rsidP="00562281">
      <w:pPr>
        <w:pStyle w:val="VIRTBulletpoints"/>
        <w:numPr>
          <w:ilvl w:val="0"/>
          <w:numId w:val="43"/>
        </w:numPr>
        <w:spacing w:after="120"/>
      </w:pPr>
      <w:r>
        <w:t>a taxed element of the taxable component, which generally includes concessional contributions and earnings on which the fund has paid tax</w:t>
      </w:r>
    </w:p>
    <w:p w14:paraId="3F2068F8" w14:textId="77777777" w:rsidR="00562281" w:rsidRDefault="00562281" w:rsidP="00562281">
      <w:pPr>
        <w:pStyle w:val="VIRTBulletpoints"/>
        <w:numPr>
          <w:ilvl w:val="0"/>
          <w:numId w:val="43"/>
        </w:numPr>
        <w:spacing w:after="120"/>
      </w:pPr>
      <w:r>
        <w:t>an untaxed element of the taxable component, which relates to amounts and earnings on which the fund has not paid tax.</w:t>
      </w:r>
      <w:r w:rsidRPr="00C81908">
        <w:rPr>
          <w:rFonts w:eastAsia="Wingdings"/>
          <w:vertAlign w:val="superscript"/>
        </w:rPr>
        <w:footnoteReference w:id="156"/>
      </w:r>
    </w:p>
    <w:p w14:paraId="5967C5CA" w14:textId="162B7759" w:rsidR="00562281" w:rsidRDefault="00562281" w:rsidP="00562281">
      <w:pPr>
        <w:pStyle w:val="VIRTHeading3"/>
      </w:pPr>
      <w:r>
        <w:t>Lump sum withdrawals</w:t>
      </w:r>
    </w:p>
    <w:p w14:paraId="7D1BAC19" w14:textId="457F0F9F" w:rsidR="00562281" w:rsidRDefault="00562281" w:rsidP="00562281">
      <w:pPr>
        <w:pStyle w:val="Paragraph"/>
      </w:pPr>
      <w:r>
        <w:t>The taxation rules for existing and former MPs in the defined benefit and accumulation schemes accessing superannuation benefits as a lump sum are the same</w:t>
      </w:r>
      <w:r w:rsidR="00E16CCC">
        <w:t xml:space="preserve"> (</w:t>
      </w:r>
      <w:r>
        <w:t>table C1</w:t>
      </w:r>
      <w:r w:rsidR="0028457A">
        <w:t xml:space="preserve"> overleaf</w:t>
      </w:r>
      <w:r w:rsidR="00E16CCC">
        <w:t>)</w:t>
      </w:r>
      <w:r>
        <w:t>.</w:t>
      </w:r>
    </w:p>
    <w:p w14:paraId="29A6337E" w14:textId="41B05750" w:rsidR="00562281" w:rsidRPr="00C81908" w:rsidRDefault="00562281" w:rsidP="000B718F">
      <w:pPr>
        <w:pStyle w:val="Tableheading"/>
      </w:pPr>
      <w:r>
        <w:br w:type="page"/>
      </w:r>
      <w:r w:rsidRPr="00954521">
        <w:lastRenderedPageBreak/>
        <w:t>Table C1: summary of tax on superannuation lump sums</w:t>
      </w:r>
    </w:p>
    <w:tbl>
      <w:tblPr>
        <w:tblW w:w="0" w:type="auto"/>
        <w:tblInd w:w="108" w:type="dxa"/>
        <w:tblLook w:val="04A0" w:firstRow="1" w:lastRow="0" w:firstColumn="1" w:lastColumn="0" w:noHBand="0" w:noVBand="1"/>
      </w:tblPr>
      <w:tblGrid>
        <w:gridCol w:w="981"/>
        <w:gridCol w:w="1810"/>
        <w:gridCol w:w="5599"/>
      </w:tblGrid>
      <w:tr w:rsidR="00562281" w14:paraId="652E40D4" w14:textId="77777777" w:rsidTr="00562281">
        <w:trPr>
          <w:trHeight w:val="342"/>
        </w:trPr>
        <w:tc>
          <w:tcPr>
            <w:tcW w:w="2794" w:type="dxa"/>
            <w:gridSpan w:val="2"/>
            <w:tcBorders>
              <w:top w:val="single" w:sz="4" w:space="0" w:color="148A5D" w:themeColor="accent2"/>
              <w:left w:val="nil"/>
              <w:bottom w:val="nil"/>
              <w:right w:val="nil"/>
            </w:tcBorders>
            <w:shd w:val="clear" w:color="auto" w:fill="148A5D" w:themeFill="accent2"/>
          </w:tcPr>
          <w:p w14:paraId="68123EB7" w14:textId="77777777" w:rsidR="00562281" w:rsidRPr="006D733C" w:rsidRDefault="00562281" w:rsidP="00B716B2">
            <w:pPr>
              <w:pStyle w:val="Tableheaderrow"/>
              <w:jc w:val="left"/>
              <w:rPr>
                <w:b w:val="0"/>
              </w:rPr>
            </w:pPr>
            <w:r w:rsidRPr="006D733C">
              <w:t>Component</w:t>
            </w:r>
          </w:p>
        </w:tc>
        <w:tc>
          <w:tcPr>
            <w:tcW w:w="5610" w:type="dxa"/>
            <w:tcBorders>
              <w:top w:val="single" w:sz="4" w:space="0" w:color="148A5D" w:themeColor="accent2"/>
              <w:left w:val="nil"/>
              <w:bottom w:val="nil"/>
              <w:right w:val="nil"/>
            </w:tcBorders>
            <w:shd w:val="clear" w:color="auto" w:fill="148A5D" w:themeFill="accent2"/>
          </w:tcPr>
          <w:p w14:paraId="1EFCD96F" w14:textId="77777777" w:rsidR="00562281" w:rsidRPr="006D733C" w:rsidRDefault="00562281" w:rsidP="00B716B2">
            <w:pPr>
              <w:pStyle w:val="Tableheaderrow"/>
              <w:jc w:val="left"/>
              <w:rPr>
                <w:b w:val="0"/>
              </w:rPr>
            </w:pPr>
            <w:r w:rsidRPr="006D733C">
              <w:t>Tax treatment</w:t>
            </w:r>
            <w:r w:rsidRPr="006D733C">
              <w:rPr>
                <w:b w:val="0"/>
                <w:vertAlign w:val="superscript"/>
              </w:rPr>
              <w:t>(a)</w:t>
            </w:r>
          </w:p>
        </w:tc>
      </w:tr>
      <w:tr w:rsidR="00562281" w14:paraId="717E1CAF" w14:textId="77777777" w:rsidTr="00562281">
        <w:trPr>
          <w:trHeight w:val="225"/>
        </w:trPr>
        <w:tc>
          <w:tcPr>
            <w:tcW w:w="8405" w:type="dxa"/>
            <w:gridSpan w:val="3"/>
            <w:tcBorders>
              <w:top w:val="nil"/>
              <w:left w:val="nil"/>
              <w:bottom w:val="single" w:sz="4" w:space="0" w:color="148A5D" w:themeColor="accent2"/>
              <w:right w:val="nil"/>
            </w:tcBorders>
            <w:shd w:val="clear" w:color="auto" w:fill="E2F1E6" w:themeFill="accent3" w:themeFillTint="33"/>
          </w:tcPr>
          <w:p w14:paraId="3A79E620" w14:textId="77777777" w:rsidR="00562281" w:rsidRPr="0035186B" w:rsidRDefault="00562281" w:rsidP="000B718F">
            <w:pPr>
              <w:pStyle w:val="Textinthetable"/>
            </w:pPr>
            <w:r w:rsidRPr="0035186B">
              <w:t>60</w:t>
            </w:r>
            <w:r>
              <w:t xml:space="preserve"> years or over</w:t>
            </w:r>
          </w:p>
        </w:tc>
      </w:tr>
      <w:tr w:rsidR="00562281" w14:paraId="3A54B706" w14:textId="77777777" w:rsidTr="00562281">
        <w:trPr>
          <w:trHeight w:val="294"/>
        </w:trPr>
        <w:tc>
          <w:tcPr>
            <w:tcW w:w="2794" w:type="dxa"/>
            <w:gridSpan w:val="2"/>
            <w:tcBorders>
              <w:top w:val="single" w:sz="4" w:space="0" w:color="148A5D" w:themeColor="accent2"/>
              <w:left w:val="nil"/>
              <w:bottom w:val="single" w:sz="4" w:space="0" w:color="148A5D" w:themeColor="accent2"/>
              <w:right w:val="nil"/>
            </w:tcBorders>
          </w:tcPr>
          <w:p w14:paraId="0E1F5539" w14:textId="77777777" w:rsidR="00562281" w:rsidRPr="0035186B" w:rsidRDefault="00562281" w:rsidP="000B718F">
            <w:pPr>
              <w:pStyle w:val="Textinthetable"/>
            </w:pPr>
            <w:r w:rsidRPr="0035186B">
              <w:t>Tax-free</w:t>
            </w:r>
          </w:p>
        </w:tc>
        <w:tc>
          <w:tcPr>
            <w:tcW w:w="5610" w:type="dxa"/>
            <w:tcBorders>
              <w:top w:val="single" w:sz="4" w:space="0" w:color="148A5D" w:themeColor="accent2"/>
              <w:left w:val="nil"/>
              <w:bottom w:val="single" w:sz="4" w:space="0" w:color="148A5D" w:themeColor="accent2"/>
              <w:right w:val="nil"/>
            </w:tcBorders>
          </w:tcPr>
          <w:p w14:paraId="631511B2" w14:textId="77777777" w:rsidR="00562281" w:rsidRPr="004F0DEB" w:rsidRDefault="00562281" w:rsidP="000B718F">
            <w:pPr>
              <w:pStyle w:val="Textinthetable"/>
            </w:pPr>
            <w:r>
              <w:t>No further tax is payable</w:t>
            </w:r>
          </w:p>
        </w:tc>
      </w:tr>
      <w:tr w:rsidR="00562281" w14:paraId="53DB4C5B" w14:textId="77777777" w:rsidTr="00562281">
        <w:trPr>
          <w:trHeight w:val="281"/>
        </w:trPr>
        <w:tc>
          <w:tcPr>
            <w:tcW w:w="981" w:type="dxa"/>
            <w:vMerge w:val="restart"/>
            <w:tcBorders>
              <w:top w:val="single" w:sz="4" w:space="0" w:color="148A5D" w:themeColor="accent2"/>
              <w:left w:val="nil"/>
              <w:bottom w:val="single" w:sz="4" w:space="0" w:color="BFBFBF" w:themeColor="background2" w:themeShade="BF"/>
            </w:tcBorders>
            <w:vAlign w:val="center"/>
          </w:tcPr>
          <w:p w14:paraId="5EFE4775" w14:textId="77777777" w:rsidR="00562281" w:rsidRPr="0035186B" w:rsidRDefault="00562281" w:rsidP="000B718F">
            <w:pPr>
              <w:pStyle w:val="Textinthetable"/>
            </w:pPr>
            <w:r w:rsidRPr="0035186B">
              <w:t>Taxable</w:t>
            </w:r>
          </w:p>
        </w:tc>
        <w:tc>
          <w:tcPr>
            <w:tcW w:w="1813" w:type="dxa"/>
            <w:tcBorders>
              <w:top w:val="single" w:sz="4" w:space="0" w:color="148A5D" w:themeColor="accent2"/>
              <w:bottom w:val="single" w:sz="4" w:space="0" w:color="148A5D" w:themeColor="accent2"/>
              <w:right w:val="nil"/>
            </w:tcBorders>
          </w:tcPr>
          <w:p w14:paraId="5C082B05" w14:textId="77777777" w:rsidR="00562281" w:rsidRPr="0035186B" w:rsidRDefault="00562281" w:rsidP="000B718F">
            <w:pPr>
              <w:pStyle w:val="Textinthetable"/>
            </w:pPr>
            <w:r w:rsidRPr="0035186B">
              <w:t>Taxed element</w:t>
            </w:r>
          </w:p>
        </w:tc>
        <w:tc>
          <w:tcPr>
            <w:tcW w:w="5610" w:type="dxa"/>
            <w:tcBorders>
              <w:top w:val="single" w:sz="4" w:space="0" w:color="148A5D" w:themeColor="accent2"/>
              <w:left w:val="nil"/>
              <w:bottom w:val="single" w:sz="4" w:space="0" w:color="148A5D" w:themeColor="accent2"/>
              <w:right w:val="nil"/>
            </w:tcBorders>
          </w:tcPr>
          <w:p w14:paraId="40673EA6" w14:textId="77777777" w:rsidR="00562281" w:rsidRPr="004F0DEB" w:rsidRDefault="00562281" w:rsidP="000B718F">
            <w:pPr>
              <w:pStyle w:val="Textinthetable"/>
            </w:pPr>
            <w:r>
              <w:t>No further tax is payable</w:t>
            </w:r>
          </w:p>
        </w:tc>
      </w:tr>
      <w:tr w:rsidR="00562281" w14:paraId="19B41D29" w14:textId="77777777" w:rsidTr="00562281">
        <w:trPr>
          <w:trHeight w:val="1203"/>
        </w:trPr>
        <w:tc>
          <w:tcPr>
            <w:tcW w:w="981" w:type="dxa"/>
            <w:vMerge/>
          </w:tcPr>
          <w:p w14:paraId="1F0D2809" w14:textId="77777777" w:rsidR="00562281" w:rsidRPr="0035186B" w:rsidRDefault="00562281" w:rsidP="000B718F">
            <w:pPr>
              <w:pStyle w:val="Textinthetable"/>
            </w:pPr>
          </w:p>
        </w:tc>
        <w:tc>
          <w:tcPr>
            <w:tcW w:w="1813" w:type="dxa"/>
            <w:tcBorders>
              <w:top w:val="single" w:sz="4" w:space="0" w:color="148A5D" w:themeColor="accent2"/>
              <w:bottom w:val="single" w:sz="4" w:space="0" w:color="148A5D" w:themeColor="accent2"/>
              <w:right w:val="nil"/>
            </w:tcBorders>
            <w:vAlign w:val="center"/>
          </w:tcPr>
          <w:p w14:paraId="56C5A71A" w14:textId="77777777" w:rsidR="00562281" w:rsidRPr="0035186B" w:rsidRDefault="00562281" w:rsidP="000B718F">
            <w:pPr>
              <w:pStyle w:val="Textinthetable"/>
            </w:pPr>
            <w:r w:rsidRPr="0035186B">
              <w:t>Untaxed element</w:t>
            </w:r>
          </w:p>
        </w:tc>
        <w:tc>
          <w:tcPr>
            <w:tcW w:w="5610" w:type="dxa"/>
            <w:tcBorders>
              <w:top w:val="single" w:sz="4" w:space="0" w:color="148A5D" w:themeColor="accent2"/>
              <w:left w:val="nil"/>
              <w:bottom w:val="single" w:sz="4" w:space="0" w:color="148A5D" w:themeColor="accent2"/>
              <w:right w:val="nil"/>
            </w:tcBorders>
          </w:tcPr>
          <w:p w14:paraId="77A8755F" w14:textId="77777777" w:rsidR="00562281" w:rsidRDefault="00562281" w:rsidP="007C755A">
            <w:pPr>
              <w:pStyle w:val="Bulletsinatable"/>
              <w:numPr>
                <w:ilvl w:val="0"/>
                <w:numId w:val="41"/>
              </w:numPr>
              <w:ind w:left="360"/>
            </w:pPr>
            <w:r>
              <w:t xml:space="preserve">amounts up to the </w:t>
            </w:r>
            <w:r w:rsidRPr="007C755A">
              <w:t>‘untaxed plan cap amount’ (</w:t>
            </w:r>
            <w:r>
              <w:t>$1,565,000 for the 2020-21 financial year)</w:t>
            </w:r>
            <w:r w:rsidRPr="007C755A">
              <w:rPr>
                <w:vertAlign w:val="superscript"/>
              </w:rPr>
              <w:t xml:space="preserve">(b) </w:t>
            </w:r>
            <w:r>
              <w:t>are taxed at 15%</w:t>
            </w:r>
          </w:p>
          <w:p w14:paraId="14ABB10E" w14:textId="77777777" w:rsidR="00562281" w:rsidRPr="004F0DEB" w:rsidRDefault="00562281" w:rsidP="007C755A">
            <w:pPr>
              <w:pStyle w:val="Bulletsinatable"/>
              <w:numPr>
                <w:ilvl w:val="0"/>
                <w:numId w:val="41"/>
              </w:numPr>
              <w:ind w:left="360"/>
            </w:pPr>
            <w:r>
              <w:t>amounts exceeding the ‘untaxed plan cap amount’ are taxed at 45%</w:t>
            </w:r>
          </w:p>
        </w:tc>
      </w:tr>
      <w:tr w:rsidR="00562281" w14:paraId="0ABFC9B1" w14:textId="77777777" w:rsidTr="00562281">
        <w:trPr>
          <w:trHeight w:val="225"/>
        </w:trPr>
        <w:tc>
          <w:tcPr>
            <w:tcW w:w="8405"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2DCF74C7" w14:textId="77777777" w:rsidR="00562281" w:rsidRPr="0035186B" w:rsidRDefault="00562281" w:rsidP="000B718F">
            <w:pPr>
              <w:pStyle w:val="Textinthetable"/>
            </w:pPr>
            <w:r w:rsidRPr="0035186B">
              <w:t>Between preservation age and 60</w:t>
            </w:r>
            <w:r>
              <w:t xml:space="preserve"> years</w:t>
            </w:r>
          </w:p>
        </w:tc>
      </w:tr>
      <w:tr w:rsidR="00562281" w14:paraId="6EE9EAE6" w14:textId="77777777" w:rsidTr="00562281">
        <w:trPr>
          <w:trHeight w:val="294"/>
        </w:trPr>
        <w:tc>
          <w:tcPr>
            <w:tcW w:w="2794" w:type="dxa"/>
            <w:gridSpan w:val="2"/>
            <w:tcBorders>
              <w:top w:val="single" w:sz="4" w:space="0" w:color="148A5D" w:themeColor="accent2"/>
              <w:left w:val="nil"/>
              <w:bottom w:val="single" w:sz="4" w:space="0" w:color="148A5D" w:themeColor="accent2"/>
              <w:right w:val="nil"/>
            </w:tcBorders>
          </w:tcPr>
          <w:p w14:paraId="7AA94524" w14:textId="77777777" w:rsidR="00562281" w:rsidRPr="0035186B" w:rsidRDefault="00562281" w:rsidP="000B718F">
            <w:pPr>
              <w:pStyle w:val="Textinthetable"/>
            </w:pPr>
            <w:r w:rsidRPr="0035186B">
              <w:t>Tax-free</w:t>
            </w:r>
          </w:p>
        </w:tc>
        <w:tc>
          <w:tcPr>
            <w:tcW w:w="5610" w:type="dxa"/>
            <w:tcBorders>
              <w:top w:val="single" w:sz="4" w:space="0" w:color="148A5D" w:themeColor="accent2"/>
              <w:left w:val="nil"/>
              <w:bottom w:val="single" w:sz="4" w:space="0" w:color="148A5D" w:themeColor="accent2"/>
              <w:right w:val="nil"/>
            </w:tcBorders>
          </w:tcPr>
          <w:p w14:paraId="4ACE7EF9" w14:textId="77777777" w:rsidR="00562281" w:rsidRPr="004F0DEB" w:rsidRDefault="00562281" w:rsidP="000B718F">
            <w:pPr>
              <w:pStyle w:val="Textinthetable"/>
            </w:pPr>
            <w:r>
              <w:t>No further tax is payable</w:t>
            </w:r>
          </w:p>
        </w:tc>
      </w:tr>
      <w:tr w:rsidR="00562281" w14:paraId="21E50A95" w14:textId="77777777" w:rsidTr="00950B4B">
        <w:trPr>
          <w:trHeight w:val="882"/>
        </w:trPr>
        <w:tc>
          <w:tcPr>
            <w:tcW w:w="981" w:type="dxa"/>
            <w:vMerge w:val="restart"/>
            <w:tcBorders>
              <w:top w:val="single" w:sz="4" w:space="0" w:color="148A5D" w:themeColor="accent2"/>
              <w:left w:val="nil"/>
              <w:bottom w:val="single" w:sz="4" w:space="0" w:color="148A5D" w:themeColor="accent2"/>
            </w:tcBorders>
            <w:vAlign w:val="center"/>
          </w:tcPr>
          <w:p w14:paraId="1EE56E98" w14:textId="77777777" w:rsidR="00562281" w:rsidRPr="0035186B" w:rsidRDefault="00562281" w:rsidP="000B718F">
            <w:pPr>
              <w:pStyle w:val="Textinthetable"/>
            </w:pPr>
            <w:r w:rsidRPr="005D601E">
              <w:t>Taxable</w:t>
            </w:r>
          </w:p>
        </w:tc>
        <w:tc>
          <w:tcPr>
            <w:tcW w:w="1813" w:type="dxa"/>
            <w:tcBorders>
              <w:top w:val="single" w:sz="4" w:space="0" w:color="148A5D" w:themeColor="accent2"/>
              <w:bottom w:val="single" w:sz="4" w:space="0" w:color="148A5D" w:themeColor="accent2"/>
              <w:right w:val="nil"/>
            </w:tcBorders>
            <w:vAlign w:val="center"/>
          </w:tcPr>
          <w:p w14:paraId="62D08C91" w14:textId="77777777" w:rsidR="00562281" w:rsidRPr="0035186B" w:rsidRDefault="00562281" w:rsidP="000B718F">
            <w:pPr>
              <w:pStyle w:val="Textinthetable"/>
            </w:pPr>
            <w:r w:rsidRPr="0035186B">
              <w:t>Taxed element</w:t>
            </w:r>
          </w:p>
        </w:tc>
        <w:tc>
          <w:tcPr>
            <w:tcW w:w="5610" w:type="dxa"/>
            <w:tcBorders>
              <w:top w:val="single" w:sz="4" w:space="0" w:color="148A5D" w:themeColor="accent2"/>
              <w:left w:val="nil"/>
              <w:bottom w:val="single" w:sz="4" w:space="0" w:color="148A5D" w:themeColor="accent2"/>
              <w:right w:val="nil"/>
            </w:tcBorders>
          </w:tcPr>
          <w:p w14:paraId="75AD7E39" w14:textId="77777777" w:rsidR="00562281" w:rsidRDefault="00562281" w:rsidP="007C755A">
            <w:pPr>
              <w:pStyle w:val="Bulletsinatable"/>
              <w:numPr>
                <w:ilvl w:val="0"/>
                <w:numId w:val="41"/>
              </w:numPr>
              <w:ind w:left="360"/>
            </w:pPr>
            <w:r>
              <w:t xml:space="preserve">No further tax is payable up to the </w:t>
            </w:r>
            <w:r w:rsidRPr="00E503B2">
              <w:t xml:space="preserve">‘low rate </w:t>
            </w:r>
            <w:r>
              <w:t>cap amount’</w:t>
            </w:r>
            <w:r w:rsidRPr="007C755A">
              <w:rPr>
                <w:vertAlign w:val="superscript"/>
              </w:rPr>
              <w:t>(c)</w:t>
            </w:r>
            <w:r w:rsidRPr="00E503B2">
              <w:t xml:space="preserve"> </w:t>
            </w:r>
            <w:r>
              <w:t>($215,000 for the 2020-21 financial year)</w:t>
            </w:r>
          </w:p>
          <w:p w14:paraId="1BD051F6" w14:textId="77777777" w:rsidR="00562281" w:rsidRPr="004F0DEB" w:rsidRDefault="00562281" w:rsidP="007C755A">
            <w:pPr>
              <w:pStyle w:val="Bulletsinatable"/>
              <w:numPr>
                <w:ilvl w:val="0"/>
                <w:numId w:val="41"/>
              </w:numPr>
              <w:ind w:left="360"/>
            </w:pPr>
            <w:r>
              <w:t xml:space="preserve">amounts exceeding the </w:t>
            </w:r>
            <w:r w:rsidRPr="00E503B2">
              <w:t xml:space="preserve">‘low rate </w:t>
            </w:r>
            <w:r>
              <w:t>cap amount’ are taxed at 15%</w:t>
            </w:r>
          </w:p>
        </w:tc>
      </w:tr>
      <w:tr w:rsidR="00562281" w14:paraId="49C0FC8A" w14:textId="77777777" w:rsidTr="003C1910">
        <w:trPr>
          <w:trHeight w:val="1498"/>
        </w:trPr>
        <w:tc>
          <w:tcPr>
            <w:tcW w:w="981" w:type="dxa"/>
            <w:vMerge/>
            <w:tcBorders>
              <w:bottom w:val="single" w:sz="4" w:space="0" w:color="148A5D" w:themeColor="accent2"/>
            </w:tcBorders>
          </w:tcPr>
          <w:p w14:paraId="6AD3C327" w14:textId="77777777" w:rsidR="00562281" w:rsidRPr="0035186B" w:rsidRDefault="00562281" w:rsidP="00562281"/>
        </w:tc>
        <w:tc>
          <w:tcPr>
            <w:tcW w:w="1813" w:type="dxa"/>
            <w:tcBorders>
              <w:top w:val="single" w:sz="4" w:space="0" w:color="148A5D" w:themeColor="accent2"/>
              <w:bottom w:val="single" w:sz="4" w:space="0" w:color="148A5D" w:themeColor="accent2"/>
              <w:right w:val="nil"/>
            </w:tcBorders>
            <w:vAlign w:val="center"/>
          </w:tcPr>
          <w:p w14:paraId="58F2A4E1" w14:textId="77777777" w:rsidR="00562281" w:rsidRPr="0035186B" w:rsidRDefault="00562281" w:rsidP="000B718F">
            <w:pPr>
              <w:pStyle w:val="Textinthetable"/>
            </w:pPr>
            <w:r w:rsidRPr="0035186B">
              <w:t>Untaxed element</w:t>
            </w:r>
          </w:p>
        </w:tc>
        <w:tc>
          <w:tcPr>
            <w:tcW w:w="5610" w:type="dxa"/>
            <w:tcBorders>
              <w:top w:val="single" w:sz="4" w:space="0" w:color="148A5D" w:themeColor="accent2"/>
              <w:left w:val="nil"/>
              <w:bottom w:val="single" w:sz="4" w:space="0" w:color="148A5D" w:themeColor="accent2"/>
              <w:right w:val="nil"/>
            </w:tcBorders>
          </w:tcPr>
          <w:p w14:paraId="6FAC335D" w14:textId="77777777" w:rsidR="00562281" w:rsidRDefault="00562281" w:rsidP="007C755A">
            <w:pPr>
              <w:pStyle w:val="Bulletsinatable"/>
              <w:numPr>
                <w:ilvl w:val="0"/>
                <w:numId w:val="41"/>
              </w:numPr>
              <w:ind w:left="360"/>
            </w:pPr>
            <w:r>
              <w:t xml:space="preserve">amounts up to the </w:t>
            </w:r>
            <w:r w:rsidRPr="00E503B2">
              <w:t xml:space="preserve">‘low rate </w:t>
            </w:r>
            <w:r>
              <w:t>cap amount’ are taxed at 15%</w:t>
            </w:r>
          </w:p>
          <w:p w14:paraId="3C3B58A4" w14:textId="77777777" w:rsidR="00562281" w:rsidRDefault="00562281" w:rsidP="007C755A">
            <w:pPr>
              <w:pStyle w:val="Bulletsinatable"/>
              <w:numPr>
                <w:ilvl w:val="0"/>
                <w:numId w:val="41"/>
              </w:numPr>
              <w:ind w:left="360"/>
            </w:pPr>
            <w:r>
              <w:t xml:space="preserve">amounts between the </w:t>
            </w:r>
            <w:r w:rsidRPr="00E503B2">
              <w:t xml:space="preserve">‘low rate </w:t>
            </w:r>
            <w:r>
              <w:t xml:space="preserve">cap amount’ and the </w:t>
            </w:r>
            <w:r w:rsidRPr="00026CFC">
              <w:t>‘untaxed plan cap amount’</w:t>
            </w:r>
            <w:r>
              <w:t xml:space="preserve"> are taxed at 30%</w:t>
            </w:r>
          </w:p>
          <w:p w14:paraId="4BC46E1C" w14:textId="77777777" w:rsidR="00562281" w:rsidRPr="004F0DEB" w:rsidRDefault="00562281" w:rsidP="007C755A">
            <w:pPr>
              <w:pStyle w:val="Bulletsinatable"/>
              <w:numPr>
                <w:ilvl w:val="0"/>
                <w:numId w:val="41"/>
              </w:numPr>
              <w:ind w:left="360"/>
            </w:pPr>
            <w:r>
              <w:t xml:space="preserve">amounts exceeding the </w:t>
            </w:r>
            <w:r w:rsidRPr="007C755A">
              <w:t xml:space="preserve">‘untaxed plan cap amount’ are taxed at </w:t>
            </w:r>
            <w:r>
              <w:t>45%</w:t>
            </w:r>
          </w:p>
        </w:tc>
      </w:tr>
      <w:tr w:rsidR="00562281" w14:paraId="5A042636" w14:textId="77777777" w:rsidTr="003C1910">
        <w:trPr>
          <w:trHeight w:val="225"/>
        </w:trPr>
        <w:tc>
          <w:tcPr>
            <w:tcW w:w="8405"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0BA52835" w14:textId="77777777" w:rsidR="00562281" w:rsidRPr="007B76E0" w:rsidRDefault="00562281" w:rsidP="000B718F">
            <w:pPr>
              <w:pStyle w:val="Textinthetable"/>
            </w:pPr>
            <w:r w:rsidRPr="0035186B">
              <w:t>Under preservation age</w:t>
            </w:r>
          </w:p>
        </w:tc>
      </w:tr>
      <w:tr w:rsidR="00562281" w14:paraId="5E65F1C3" w14:textId="77777777" w:rsidTr="00562281">
        <w:trPr>
          <w:trHeight w:val="294"/>
        </w:trPr>
        <w:tc>
          <w:tcPr>
            <w:tcW w:w="2794" w:type="dxa"/>
            <w:gridSpan w:val="2"/>
            <w:tcBorders>
              <w:top w:val="single" w:sz="4" w:space="0" w:color="148A5D" w:themeColor="accent2"/>
              <w:left w:val="nil"/>
              <w:right w:val="nil"/>
            </w:tcBorders>
          </w:tcPr>
          <w:p w14:paraId="6C3ABEDB" w14:textId="77777777" w:rsidR="00562281" w:rsidRPr="0035186B" w:rsidRDefault="00562281" w:rsidP="000B718F">
            <w:pPr>
              <w:pStyle w:val="Textinthetable"/>
            </w:pPr>
            <w:r w:rsidRPr="0035186B">
              <w:t>Tax-free</w:t>
            </w:r>
          </w:p>
        </w:tc>
        <w:tc>
          <w:tcPr>
            <w:tcW w:w="5610" w:type="dxa"/>
            <w:tcBorders>
              <w:top w:val="single" w:sz="4" w:space="0" w:color="148A5D" w:themeColor="accent2"/>
              <w:left w:val="nil"/>
              <w:bottom w:val="single" w:sz="4" w:space="0" w:color="148A5D" w:themeColor="accent2"/>
              <w:right w:val="nil"/>
            </w:tcBorders>
          </w:tcPr>
          <w:p w14:paraId="24B8BE36" w14:textId="77777777" w:rsidR="00562281" w:rsidRPr="004F0DEB" w:rsidRDefault="00562281" w:rsidP="000B718F">
            <w:pPr>
              <w:pStyle w:val="Textinthetable"/>
            </w:pPr>
            <w:r>
              <w:t>No further tax is payable</w:t>
            </w:r>
          </w:p>
        </w:tc>
      </w:tr>
      <w:tr w:rsidR="00562281" w14:paraId="6183782C" w14:textId="77777777" w:rsidTr="00E01B96">
        <w:trPr>
          <w:trHeight w:val="294"/>
        </w:trPr>
        <w:tc>
          <w:tcPr>
            <w:tcW w:w="981" w:type="dxa"/>
            <w:vMerge w:val="restart"/>
            <w:tcBorders>
              <w:top w:val="single" w:sz="4" w:space="0" w:color="148A5D" w:themeColor="accent2"/>
              <w:left w:val="nil"/>
              <w:bottom w:val="single" w:sz="4" w:space="0" w:color="148A5D" w:themeColor="accent2"/>
            </w:tcBorders>
            <w:vAlign w:val="center"/>
          </w:tcPr>
          <w:p w14:paraId="07F89F02" w14:textId="77777777" w:rsidR="00562281" w:rsidRPr="0035186B" w:rsidRDefault="00562281" w:rsidP="000B718F">
            <w:pPr>
              <w:pStyle w:val="Textinthetable"/>
            </w:pPr>
            <w:r w:rsidRPr="0035186B">
              <w:t>Taxable</w:t>
            </w:r>
          </w:p>
        </w:tc>
        <w:tc>
          <w:tcPr>
            <w:tcW w:w="1813" w:type="dxa"/>
            <w:tcBorders>
              <w:top w:val="single" w:sz="4" w:space="0" w:color="148A5D" w:themeColor="accent2"/>
              <w:bottom w:val="single" w:sz="4" w:space="0" w:color="148A5D" w:themeColor="accent2"/>
              <w:right w:val="nil"/>
            </w:tcBorders>
          </w:tcPr>
          <w:p w14:paraId="67F8C90B" w14:textId="77777777" w:rsidR="00562281" w:rsidRPr="0035186B" w:rsidRDefault="00562281" w:rsidP="000B718F">
            <w:pPr>
              <w:pStyle w:val="Textinthetable"/>
            </w:pPr>
            <w:r w:rsidRPr="0035186B">
              <w:t>Taxed element</w:t>
            </w:r>
          </w:p>
        </w:tc>
        <w:tc>
          <w:tcPr>
            <w:tcW w:w="5610" w:type="dxa"/>
            <w:tcBorders>
              <w:top w:val="single" w:sz="4" w:space="0" w:color="148A5D" w:themeColor="accent2"/>
              <w:left w:val="nil"/>
              <w:bottom w:val="single" w:sz="4" w:space="0" w:color="148A5D" w:themeColor="accent2"/>
              <w:right w:val="nil"/>
            </w:tcBorders>
          </w:tcPr>
          <w:p w14:paraId="4E45A979" w14:textId="77777777" w:rsidR="00562281" w:rsidRPr="004F0DEB" w:rsidRDefault="00562281" w:rsidP="000B718F">
            <w:pPr>
              <w:pStyle w:val="Textinthetable"/>
            </w:pPr>
            <w:r>
              <w:t>20% tax is payable on the whole amount</w:t>
            </w:r>
          </w:p>
        </w:tc>
      </w:tr>
      <w:tr w:rsidR="00562281" w14:paraId="725BECAC" w14:textId="77777777" w:rsidTr="00A929D0">
        <w:trPr>
          <w:trHeight w:val="278"/>
        </w:trPr>
        <w:tc>
          <w:tcPr>
            <w:tcW w:w="981" w:type="dxa"/>
            <w:vMerge/>
            <w:tcBorders>
              <w:top w:val="single" w:sz="4" w:space="0" w:color="auto"/>
              <w:bottom w:val="single" w:sz="4" w:space="0" w:color="148A5D" w:themeColor="accent2"/>
            </w:tcBorders>
          </w:tcPr>
          <w:p w14:paraId="0BA61B6F" w14:textId="77777777" w:rsidR="00562281" w:rsidRPr="0035186B" w:rsidRDefault="00562281" w:rsidP="00562281">
            <w:pPr>
              <w:pStyle w:val="Tabletext"/>
            </w:pPr>
          </w:p>
        </w:tc>
        <w:tc>
          <w:tcPr>
            <w:tcW w:w="1813" w:type="dxa"/>
            <w:tcBorders>
              <w:top w:val="single" w:sz="4" w:space="0" w:color="148A5D" w:themeColor="accent2"/>
              <w:bottom w:val="single" w:sz="4" w:space="0" w:color="148A5D" w:themeColor="accent2"/>
              <w:right w:val="nil"/>
            </w:tcBorders>
            <w:vAlign w:val="center"/>
          </w:tcPr>
          <w:p w14:paraId="7E7736EE" w14:textId="77777777" w:rsidR="00562281" w:rsidRPr="0035186B" w:rsidRDefault="00562281" w:rsidP="000B718F">
            <w:pPr>
              <w:pStyle w:val="Textinthetable"/>
            </w:pPr>
            <w:r w:rsidRPr="0035186B">
              <w:t>Untaxed element</w:t>
            </w:r>
          </w:p>
        </w:tc>
        <w:tc>
          <w:tcPr>
            <w:tcW w:w="5610" w:type="dxa"/>
            <w:tcBorders>
              <w:top w:val="single" w:sz="4" w:space="0" w:color="148A5D" w:themeColor="accent2"/>
              <w:left w:val="nil"/>
              <w:bottom w:val="single" w:sz="4" w:space="0" w:color="148A5D" w:themeColor="accent2"/>
              <w:right w:val="nil"/>
            </w:tcBorders>
          </w:tcPr>
          <w:p w14:paraId="3E833ED9" w14:textId="77777777" w:rsidR="00562281" w:rsidRPr="007C755A" w:rsidRDefault="00562281" w:rsidP="007C755A">
            <w:pPr>
              <w:pStyle w:val="Bulletsinatable"/>
              <w:numPr>
                <w:ilvl w:val="0"/>
                <w:numId w:val="41"/>
              </w:numPr>
              <w:ind w:left="360"/>
            </w:pPr>
            <w:r w:rsidRPr="007C755A">
              <w:t>amounts up to the ‘untaxed plan cap amount’ are taxed at 30%</w:t>
            </w:r>
          </w:p>
          <w:p w14:paraId="4C0EE45F" w14:textId="77777777" w:rsidR="00562281" w:rsidRPr="00A929D0" w:rsidRDefault="00562281" w:rsidP="007C755A">
            <w:pPr>
              <w:pStyle w:val="Bulletsinatable"/>
              <w:numPr>
                <w:ilvl w:val="0"/>
                <w:numId w:val="41"/>
              </w:numPr>
              <w:ind w:left="360"/>
              <w:rPr>
                <w:lang w:val="en-US"/>
              </w:rPr>
            </w:pPr>
            <w:r w:rsidRPr="007C755A">
              <w:t>amounts over the ‘untaxed plan cap amount’ are taxed at 45%</w:t>
            </w:r>
          </w:p>
        </w:tc>
      </w:tr>
    </w:tbl>
    <w:p w14:paraId="4B936C5C" w14:textId="2BF72AC7" w:rsidR="00562281" w:rsidRPr="00075C9B" w:rsidRDefault="00562281" w:rsidP="00562281">
      <w:pPr>
        <w:pStyle w:val="Notesfortablesfigures"/>
      </w:pPr>
      <w:r w:rsidRPr="00075C9B">
        <w:t>Notes:</w:t>
      </w:r>
      <w:r>
        <w:t xml:space="preserve"> (a) Tax rates referred to in this table do not include the 2 per cent Medicare levy, which may apply in addition to those rates</w:t>
      </w:r>
      <w:r w:rsidR="00636D84">
        <w:t>.</w:t>
      </w:r>
      <w:r>
        <w:t xml:space="preserve"> (b) </w:t>
      </w:r>
      <w:r w:rsidR="00636D84">
        <w:t>T</w:t>
      </w:r>
      <w:r>
        <w:t>he untaxed plan cap amount is a lifetime limit that applies to each superannuation plan that the recipient receives benefits from</w:t>
      </w:r>
      <w:r w:rsidR="00636D84">
        <w:t>.</w:t>
      </w:r>
      <w:r>
        <w:t xml:space="preserve"> (c) </w:t>
      </w:r>
      <w:r w:rsidR="00636D84">
        <w:t>T</w:t>
      </w:r>
      <w:r>
        <w:t xml:space="preserve">he low rate cap amount is a lifetime limit that applies to each individual. </w:t>
      </w:r>
    </w:p>
    <w:p w14:paraId="71B0D238" w14:textId="76270676" w:rsidR="00562281" w:rsidRPr="0043036C" w:rsidRDefault="00562281" w:rsidP="000E6A78">
      <w:pPr>
        <w:pStyle w:val="Notesfortablesfigures"/>
      </w:pPr>
      <w:r w:rsidRPr="0043036C">
        <w:t>Source</w:t>
      </w:r>
      <w:r w:rsidR="008D2CC1">
        <w:t>s</w:t>
      </w:r>
      <w:r w:rsidRPr="0043036C">
        <w:t>:</w:t>
      </w:r>
      <w:r>
        <w:t xml:space="preserve"> </w:t>
      </w:r>
      <w:r w:rsidRPr="003C1910">
        <w:rPr>
          <w:i/>
          <w:iCs/>
        </w:rPr>
        <w:t>Income Tax Assessment Act 1997</w:t>
      </w:r>
      <w:r>
        <w:t xml:space="preserve"> (Cth)</w:t>
      </w:r>
      <w:r w:rsidR="008D2CC1">
        <w:t>,</w:t>
      </w:r>
      <w:r>
        <w:t xml:space="preserve"> Division 301; </w:t>
      </w:r>
      <w:r w:rsidRPr="003C1910">
        <w:rPr>
          <w:i/>
          <w:iCs/>
        </w:rPr>
        <w:t>Income Tax Rates Act 1986</w:t>
      </w:r>
      <w:r>
        <w:t xml:space="preserve"> (Cth).</w:t>
      </w:r>
    </w:p>
    <w:p w14:paraId="277DB584" w14:textId="35CB9598" w:rsidR="00562281" w:rsidRPr="0044642D" w:rsidRDefault="00562281" w:rsidP="00562281">
      <w:pPr>
        <w:pStyle w:val="VIRTHeading3"/>
      </w:pPr>
      <w:r w:rsidRPr="0044642D">
        <w:t>Pensions and income streams</w:t>
      </w:r>
    </w:p>
    <w:p w14:paraId="1CA95682" w14:textId="28EE1F42" w:rsidR="00562281" w:rsidRDefault="00562281" w:rsidP="00562281">
      <w:pPr>
        <w:pStyle w:val="Paragraph"/>
      </w:pPr>
      <w:r>
        <w:t xml:space="preserve">Former </w:t>
      </w:r>
      <w:r w:rsidRPr="002656E6">
        <w:t xml:space="preserve">MPs who access their superannuation as an income stream are taxed differently depending on whether they are in the accumulation scheme or one of the defined benefit schemes. </w:t>
      </w:r>
      <w:r>
        <w:t>These rules are summarised in tables C2 and C3</w:t>
      </w:r>
      <w:r w:rsidR="0028457A">
        <w:t xml:space="preserve"> (overleaf)</w:t>
      </w:r>
      <w:r>
        <w:t>.</w:t>
      </w:r>
    </w:p>
    <w:p w14:paraId="27686CA1" w14:textId="77777777" w:rsidR="00562281" w:rsidRPr="00363E71" w:rsidRDefault="00562281" w:rsidP="00562281">
      <w:pPr>
        <w:pStyle w:val="Paragraph"/>
      </w:pPr>
      <w:r w:rsidRPr="00363E71">
        <w:rPr>
          <w:rFonts w:eastAsia="Wingdings"/>
        </w:rPr>
        <w:t xml:space="preserve">The key difference is that the defined benefit income cap </w:t>
      </w:r>
      <w:r w:rsidRPr="00363E71">
        <w:t xml:space="preserve">($100,000 for the </w:t>
      </w:r>
      <w:r>
        <w:br/>
      </w:r>
      <w:r w:rsidRPr="00363E71">
        <w:t>2020-21 financial year) applies to former MPs in the defined benefit schemes. This</w:t>
      </w:r>
      <w:r>
        <w:t xml:space="preserve"> </w:t>
      </w:r>
      <w:r w:rsidRPr="00363E71">
        <w:t>cap may result in some former MPs in the defined benefit income schemes, who are at least 60 years or over and receive a pension, having to pay additional tax.</w:t>
      </w:r>
    </w:p>
    <w:p w14:paraId="6C1C2730" w14:textId="73C28B11" w:rsidR="00562281" w:rsidRDefault="00562281" w:rsidP="00562281">
      <w:pPr>
        <w:pStyle w:val="Paragraph"/>
        <w:rPr>
          <w:rFonts w:eastAsia="Wingdings"/>
        </w:rPr>
      </w:pPr>
      <w:r w:rsidRPr="00363E71">
        <w:lastRenderedPageBreak/>
        <w:t>The defined benefit income cap was introduced in 2016, as a part of a package of superannuation taxation reforms.</w:t>
      </w:r>
      <w:r w:rsidRPr="005A0061">
        <w:rPr>
          <w:vertAlign w:val="superscript"/>
        </w:rPr>
        <w:footnoteReference w:id="157"/>
      </w:r>
      <w:r w:rsidRPr="00363E71">
        <w:t xml:space="preserve"> It was introduced to ensure that defined benefit schemes and accumulation schemes would be subject to broadly commensurate tax changes.</w:t>
      </w:r>
      <w:r w:rsidRPr="005A0061">
        <w:rPr>
          <w:vertAlign w:val="superscript"/>
        </w:rPr>
        <w:footnoteReference w:id="158"/>
      </w:r>
      <w:r w:rsidRPr="00363E71">
        <w:t xml:space="preserve"> For example, the transfer balance cap was also introduced in 2016 and primarily applies to individuals in accumulation schemes, and the defined benefit income cap provides a comparable limit for individuals in defined benefit schemes.</w:t>
      </w:r>
      <w:r>
        <w:t xml:space="preserve"> </w:t>
      </w:r>
    </w:p>
    <w:p w14:paraId="0F186051" w14:textId="77777777" w:rsidR="00562281" w:rsidRDefault="00562281" w:rsidP="00562281">
      <w:pPr>
        <w:pStyle w:val="Tableheading"/>
      </w:pPr>
      <w:r w:rsidRPr="00D20280">
        <w:t xml:space="preserve">Table </w:t>
      </w:r>
      <w:r>
        <w:t>C2</w:t>
      </w:r>
      <w:r w:rsidRPr="00D20280">
        <w:t>: summary of</w:t>
      </w:r>
      <w:r>
        <w:t xml:space="preserve"> tax on income streams from the accumulation scheme</w:t>
      </w:r>
    </w:p>
    <w:tbl>
      <w:tblPr>
        <w:tblW w:w="0" w:type="auto"/>
        <w:tblInd w:w="108" w:type="dxa"/>
        <w:tblLook w:val="04A0" w:firstRow="1" w:lastRow="0" w:firstColumn="1" w:lastColumn="0" w:noHBand="0" w:noVBand="1"/>
      </w:tblPr>
      <w:tblGrid>
        <w:gridCol w:w="993"/>
        <w:gridCol w:w="1814"/>
        <w:gridCol w:w="5583"/>
      </w:tblGrid>
      <w:tr w:rsidR="005F5F3B" w14:paraId="0CBE0353" w14:textId="77777777" w:rsidTr="00DA3D89">
        <w:trPr>
          <w:trHeight w:val="205"/>
        </w:trPr>
        <w:tc>
          <w:tcPr>
            <w:tcW w:w="2807" w:type="dxa"/>
            <w:gridSpan w:val="2"/>
            <w:tcBorders>
              <w:top w:val="single" w:sz="4" w:space="0" w:color="148A5D" w:themeColor="accent2"/>
              <w:left w:val="nil"/>
              <w:bottom w:val="nil"/>
              <w:right w:val="nil"/>
            </w:tcBorders>
            <w:shd w:val="clear" w:color="auto" w:fill="148A5D" w:themeFill="accent2"/>
          </w:tcPr>
          <w:p w14:paraId="2AE44623" w14:textId="77777777" w:rsidR="005F5F3B" w:rsidRPr="0091227F" w:rsidRDefault="005F5F3B" w:rsidP="00DA3D89">
            <w:pPr>
              <w:pStyle w:val="Textinthetable"/>
              <w:rPr>
                <w:b/>
                <w:bCs/>
                <w:color w:val="FFFFFF" w:themeColor="background1"/>
              </w:rPr>
            </w:pPr>
            <w:r w:rsidRPr="0091227F">
              <w:rPr>
                <w:b/>
                <w:bCs/>
                <w:color w:val="FFFFFF" w:themeColor="background1"/>
              </w:rPr>
              <w:t>Component</w:t>
            </w:r>
          </w:p>
        </w:tc>
        <w:tc>
          <w:tcPr>
            <w:tcW w:w="5583" w:type="dxa"/>
            <w:tcBorders>
              <w:top w:val="single" w:sz="4" w:space="0" w:color="148A5D" w:themeColor="accent2"/>
              <w:left w:val="nil"/>
              <w:bottom w:val="nil"/>
              <w:right w:val="nil"/>
            </w:tcBorders>
            <w:shd w:val="clear" w:color="auto" w:fill="148A5D" w:themeFill="accent2"/>
          </w:tcPr>
          <w:p w14:paraId="1263764C" w14:textId="77777777" w:rsidR="005F5F3B" w:rsidRPr="0091227F" w:rsidRDefault="005F5F3B" w:rsidP="00DA3D89">
            <w:pPr>
              <w:pStyle w:val="Textinthetable"/>
              <w:rPr>
                <w:b/>
                <w:bCs/>
                <w:color w:val="FFFFFF" w:themeColor="background1"/>
              </w:rPr>
            </w:pPr>
            <w:r w:rsidRPr="0091227F">
              <w:rPr>
                <w:b/>
                <w:bCs/>
                <w:color w:val="FFFFFF" w:themeColor="background1"/>
              </w:rPr>
              <w:t>Tax treatment</w:t>
            </w:r>
          </w:p>
        </w:tc>
      </w:tr>
      <w:tr w:rsidR="005F5F3B" w14:paraId="3697D060" w14:textId="77777777" w:rsidTr="00DA3D89">
        <w:trPr>
          <w:trHeight w:val="205"/>
        </w:trPr>
        <w:tc>
          <w:tcPr>
            <w:tcW w:w="8390" w:type="dxa"/>
            <w:gridSpan w:val="3"/>
            <w:tcBorders>
              <w:top w:val="nil"/>
              <w:left w:val="nil"/>
              <w:bottom w:val="single" w:sz="4" w:space="0" w:color="148A5D" w:themeColor="accent2"/>
              <w:right w:val="nil"/>
            </w:tcBorders>
            <w:shd w:val="clear" w:color="auto" w:fill="E2F1E6" w:themeFill="accent3" w:themeFillTint="33"/>
          </w:tcPr>
          <w:p w14:paraId="70924617" w14:textId="77777777" w:rsidR="005F5F3B" w:rsidRPr="00E51BDE" w:rsidRDefault="005F5F3B" w:rsidP="00DA3D89">
            <w:pPr>
              <w:pStyle w:val="Textinthetable"/>
            </w:pPr>
            <w:r w:rsidRPr="00884BC4">
              <w:t>60</w:t>
            </w:r>
            <w:r>
              <w:t xml:space="preserve"> years and over</w:t>
            </w:r>
          </w:p>
        </w:tc>
      </w:tr>
      <w:tr w:rsidR="005F5F3B" w14:paraId="7E5414A2" w14:textId="77777777" w:rsidTr="00484637">
        <w:trPr>
          <w:trHeight w:val="304"/>
        </w:trPr>
        <w:tc>
          <w:tcPr>
            <w:tcW w:w="2807" w:type="dxa"/>
            <w:gridSpan w:val="2"/>
            <w:tcBorders>
              <w:top w:val="single" w:sz="4" w:space="0" w:color="148A5D" w:themeColor="accent2"/>
              <w:left w:val="nil"/>
              <w:right w:val="nil"/>
            </w:tcBorders>
          </w:tcPr>
          <w:p w14:paraId="7921BBA1" w14:textId="77777777" w:rsidR="005F5F3B" w:rsidRPr="008B7EFF" w:rsidRDefault="005F5F3B" w:rsidP="00DA3D89">
            <w:pPr>
              <w:pStyle w:val="Textinthetable"/>
            </w:pPr>
            <w:r w:rsidRPr="008B7EFF">
              <w:t>Tax-free</w:t>
            </w:r>
          </w:p>
        </w:tc>
        <w:tc>
          <w:tcPr>
            <w:tcW w:w="5583" w:type="dxa"/>
            <w:tcBorders>
              <w:top w:val="single" w:sz="4" w:space="0" w:color="148A5D" w:themeColor="accent2"/>
              <w:left w:val="nil"/>
              <w:bottom w:val="single" w:sz="4" w:space="0" w:color="148A5D" w:themeColor="accent2"/>
              <w:right w:val="nil"/>
            </w:tcBorders>
          </w:tcPr>
          <w:p w14:paraId="1E27F7A4" w14:textId="77777777" w:rsidR="005F5F3B" w:rsidRPr="004F0DEB" w:rsidRDefault="005F5F3B" w:rsidP="00DA3D89">
            <w:pPr>
              <w:pStyle w:val="Textinthetable"/>
            </w:pPr>
            <w:r>
              <w:t>No further tax is payable</w:t>
            </w:r>
          </w:p>
        </w:tc>
      </w:tr>
      <w:tr w:rsidR="005F5F3B" w14:paraId="70DDF54A" w14:textId="77777777" w:rsidTr="00484637">
        <w:trPr>
          <w:trHeight w:val="292"/>
        </w:trPr>
        <w:tc>
          <w:tcPr>
            <w:tcW w:w="993" w:type="dxa"/>
            <w:vMerge w:val="restart"/>
            <w:tcBorders>
              <w:top w:val="single" w:sz="4" w:space="0" w:color="148A5D" w:themeColor="accent2"/>
              <w:left w:val="nil"/>
            </w:tcBorders>
            <w:vAlign w:val="center"/>
          </w:tcPr>
          <w:p w14:paraId="7AA884AF" w14:textId="77777777" w:rsidR="005F5F3B" w:rsidRPr="008B7EFF" w:rsidRDefault="005F5F3B" w:rsidP="00DA3D89">
            <w:pPr>
              <w:pStyle w:val="Textinthetable"/>
            </w:pPr>
            <w:r w:rsidRPr="008B7EFF">
              <w:t>Taxable</w:t>
            </w:r>
          </w:p>
        </w:tc>
        <w:tc>
          <w:tcPr>
            <w:tcW w:w="1814" w:type="dxa"/>
            <w:tcBorders>
              <w:top w:val="single" w:sz="4" w:space="0" w:color="148A5D" w:themeColor="accent2"/>
              <w:bottom w:val="single" w:sz="4" w:space="0" w:color="148A5D" w:themeColor="accent2"/>
              <w:right w:val="nil"/>
            </w:tcBorders>
          </w:tcPr>
          <w:p w14:paraId="2DF714E7" w14:textId="77777777" w:rsidR="005F5F3B" w:rsidRPr="008B7EFF" w:rsidRDefault="005F5F3B" w:rsidP="00DA3D89">
            <w:pPr>
              <w:pStyle w:val="Textinthetable"/>
            </w:pPr>
            <w:r w:rsidRPr="008B7EFF">
              <w:t>Taxed element</w:t>
            </w:r>
          </w:p>
        </w:tc>
        <w:tc>
          <w:tcPr>
            <w:tcW w:w="5583" w:type="dxa"/>
            <w:tcBorders>
              <w:top w:val="single" w:sz="4" w:space="0" w:color="148A5D" w:themeColor="accent2"/>
            </w:tcBorders>
          </w:tcPr>
          <w:p w14:paraId="7AE9A7F9" w14:textId="77777777" w:rsidR="005F5F3B" w:rsidRPr="004F0DEB" w:rsidRDefault="005F5F3B" w:rsidP="00DA3D89">
            <w:pPr>
              <w:pStyle w:val="Textinthetable"/>
            </w:pPr>
            <w:r>
              <w:t>No further tax is payable</w:t>
            </w:r>
          </w:p>
        </w:tc>
      </w:tr>
      <w:tr w:rsidR="005F5F3B" w14:paraId="78E74A99" w14:textId="77777777" w:rsidTr="00DA3D89">
        <w:trPr>
          <w:trHeight w:val="304"/>
        </w:trPr>
        <w:tc>
          <w:tcPr>
            <w:tcW w:w="993" w:type="dxa"/>
            <w:vMerge/>
          </w:tcPr>
          <w:p w14:paraId="0E17FF36" w14:textId="77777777" w:rsidR="005F5F3B" w:rsidRPr="008B7EFF" w:rsidRDefault="005F5F3B" w:rsidP="00DA3D89">
            <w:pPr>
              <w:pStyle w:val="Tabletext"/>
            </w:pPr>
          </w:p>
        </w:tc>
        <w:tc>
          <w:tcPr>
            <w:tcW w:w="1814" w:type="dxa"/>
            <w:tcBorders>
              <w:top w:val="single" w:sz="4" w:space="0" w:color="148A5D" w:themeColor="accent2"/>
              <w:bottom w:val="single" w:sz="4" w:space="0" w:color="148A5D" w:themeColor="accent2"/>
              <w:right w:val="nil"/>
            </w:tcBorders>
          </w:tcPr>
          <w:p w14:paraId="49A680AD" w14:textId="77777777" w:rsidR="005F5F3B" w:rsidRPr="008B7EFF" w:rsidRDefault="005F5F3B" w:rsidP="00DA3D89">
            <w:pPr>
              <w:pStyle w:val="Textinthetable"/>
            </w:pPr>
            <w:r w:rsidRPr="008B7EFF">
              <w:t>Untaxed element</w:t>
            </w:r>
          </w:p>
        </w:tc>
        <w:tc>
          <w:tcPr>
            <w:tcW w:w="5583" w:type="dxa"/>
            <w:tcBorders>
              <w:top w:val="single" w:sz="4" w:space="0" w:color="148A5D" w:themeColor="accent2"/>
              <w:left w:val="nil"/>
              <w:bottom w:val="single" w:sz="4" w:space="0" w:color="148A5D" w:themeColor="accent2"/>
              <w:right w:val="nil"/>
            </w:tcBorders>
          </w:tcPr>
          <w:p w14:paraId="13A34052" w14:textId="77777777" w:rsidR="005F5F3B" w:rsidRPr="004F0DEB" w:rsidRDefault="005F5F3B" w:rsidP="00DA3D89">
            <w:pPr>
              <w:pStyle w:val="Textinthetable"/>
            </w:pPr>
            <w:r>
              <w:t>Included in assessable income with a 10% offset</w:t>
            </w:r>
          </w:p>
        </w:tc>
      </w:tr>
      <w:tr w:rsidR="005F5F3B" w14:paraId="32507BCE" w14:textId="77777777" w:rsidTr="00DA3D89">
        <w:trPr>
          <w:trHeight w:val="205"/>
        </w:trPr>
        <w:tc>
          <w:tcPr>
            <w:tcW w:w="8390"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5C25D45B" w14:textId="77777777" w:rsidR="005F5F3B" w:rsidRPr="00E51BDE" w:rsidRDefault="005F5F3B" w:rsidP="00DA3D89">
            <w:pPr>
              <w:pStyle w:val="Textinthetable"/>
            </w:pPr>
            <w:r w:rsidRPr="00884BC4">
              <w:t>Between preservation and 60</w:t>
            </w:r>
            <w:r>
              <w:t xml:space="preserve"> years</w:t>
            </w:r>
          </w:p>
        </w:tc>
      </w:tr>
      <w:tr w:rsidR="005F5F3B" w14:paraId="5BC0224E" w14:textId="77777777" w:rsidTr="00DA3D89">
        <w:trPr>
          <w:trHeight w:val="292"/>
        </w:trPr>
        <w:tc>
          <w:tcPr>
            <w:tcW w:w="2807" w:type="dxa"/>
            <w:gridSpan w:val="2"/>
            <w:tcBorders>
              <w:top w:val="single" w:sz="4" w:space="0" w:color="148A5D" w:themeColor="accent2"/>
              <w:left w:val="nil"/>
              <w:bottom w:val="single" w:sz="4" w:space="0" w:color="148A5D" w:themeColor="accent2"/>
              <w:right w:val="nil"/>
            </w:tcBorders>
          </w:tcPr>
          <w:p w14:paraId="54AA5205" w14:textId="77777777" w:rsidR="005F5F3B" w:rsidRPr="008B7EFF" w:rsidRDefault="005F5F3B" w:rsidP="00DA3D89">
            <w:pPr>
              <w:pStyle w:val="Textinthetable"/>
            </w:pPr>
            <w:r w:rsidRPr="008B7EFF">
              <w:t>Tax-free</w:t>
            </w:r>
          </w:p>
        </w:tc>
        <w:tc>
          <w:tcPr>
            <w:tcW w:w="5583" w:type="dxa"/>
            <w:tcBorders>
              <w:top w:val="single" w:sz="4" w:space="0" w:color="148A5D" w:themeColor="accent2"/>
              <w:left w:val="nil"/>
              <w:bottom w:val="single" w:sz="4" w:space="0" w:color="148A5D" w:themeColor="accent2"/>
              <w:right w:val="nil"/>
            </w:tcBorders>
          </w:tcPr>
          <w:p w14:paraId="25196EE6" w14:textId="77777777" w:rsidR="005F5F3B" w:rsidRPr="00BE7AF3" w:rsidRDefault="005F5F3B" w:rsidP="00DA3D89">
            <w:pPr>
              <w:pStyle w:val="Textinthetable"/>
            </w:pPr>
            <w:r w:rsidRPr="00BE7AF3">
              <w:t xml:space="preserve">No </w:t>
            </w:r>
            <w:r>
              <w:t xml:space="preserve">further </w:t>
            </w:r>
            <w:r w:rsidRPr="00BE7AF3">
              <w:t xml:space="preserve">tax </w:t>
            </w:r>
            <w:r>
              <w:t xml:space="preserve">is </w:t>
            </w:r>
            <w:r w:rsidRPr="00BE7AF3">
              <w:t>payable</w:t>
            </w:r>
          </w:p>
        </w:tc>
      </w:tr>
      <w:tr w:rsidR="005F5F3B" w14:paraId="2B2D8B3F" w14:textId="77777777" w:rsidTr="00DA3D89">
        <w:trPr>
          <w:trHeight w:val="292"/>
        </w:trPr>
        <w:tc>
          <w:tcPr>
            <w:tcW w:w="993" w:type="dxa"/>
            <w:vMerge w:val="restart"/>
            <w:tcBorders>
              <w:top w:val="single" w:sz="4" w:space="0" w:color="148A5D" w:themeColor="accent2"/>
              <w:left w:val="nil"/>
            </w:tcBorders>
            <w:vAlign w:val="center"/>
          </w:tcPr>
          <w:p w14:paraId="74F0DF60" w14:textId="77777777" w:rsidR="005F5F3B" w:rsidRPr="008B7EFF" w:rsidRDefault="005F5F3B" w:rsidP="00DA3D89">
            <w:pPr>
              <w:pStyle w:val="Textinthetable"/>
            </w:pPr>
            <w:r w:rsidRPr="008B7EFF">
              <w:t>Taxable</w:t>
            </w:r>
          </w:p>
        </w:tc>
        <w:tc>
          <w:tcPr>
            <w:tcW w:w="1814" w:type="dxa"/>
            <w:tcBorders>
              <w:top w:val="single" w:sz="4" w:space="0" w:color="148A5D" w:themeColor="accent2"/>
              <w:bottom w:val="single" w:sz="4" w:space="0" w:color="148A5D" w:themeColor="accent2"/>
              <w:right w:val="nil"/>
            </w:tcBorders>
          </w:tcPr>
          <w:p w14:paraId="57B66C4C" w14:textId="77777777" w:rsidR="005F5F3B" w:rsidRPr="008B7EFF" w:rsidRDefault="005F5F3B" w:rsidP="00DA3D89">
            <w:pPr>
              <w:pStyle w:val="Textinthetable"/>
            </w:pPr>
            <w:r w:rsidRPr="008B7EFF">
              <w:t>Taxed element</w:t>
            </w:r>
          </w:p>
        </w:tc>
        <w:tc>
          <w:tcPr>
            <w:tcW w:w="5583" w:type="dxa"/>
            <w:tcBorders>
              <w:top w:val="single" w:sz="4" w:space="0" w:color="148A5D" w:themeColor="accent2"/>
              <w:left w:val="nil"/>
              <w:bottom w:val="single" w:sz="4" w:space="0" w:color="148A5D" w:themeColor="accent2"/>
              <w:right w:val="nil"/>
            </w:tcBorders>
          </w:tcPr>
          <w:p w14:paraId="0C65745B" w14:textId="77777777" w:rsidR="005F5F3B" w:rsidRPr="00BE7AF3" w:rsidRDefault="005F5F3B" w:rsidP="00DA3D89">
            <w:pPr>
              <w:pStyle w:val="Textinthetable"/>
            </w:pPr>
            <w:r w:rsidRPr="00BE7AF3">
              <w:t>Included in assessable income</w:t>
            </w:r>
            <w:r>
              <w:t xml:space="preserve"> with a 15% offset</w:t>
            </w:r>
          </w:p>
        </w:tc>
      </w:tr>
      <w:tr w:rsidR="005F5F3B" w14:paraId="607E12E8" w14:textId="77777777" w:rsidTr="00DA3D89">
        <w:trPr>
          <w:trHeight w:val="304"/>
        </w:trPr>
        <w:tc>
          <w:tcPr>
            <w:tcW w:w="993" w:type="dxa"/>
            <w:vMerge/>
          </w:tcPr>
          <w:p w14:paraId="0D43AE9B" w14:textId="77777777" w:rsidR="005F5F3B" w:rsidRPr="008B7EFF" w:rsidRDefault="005F5F3B" w:rsidP="00DA3D89">
            <w:pPr>
              <w:pStyle w:val="Tabletext"/>
            </w:pPr>
          </w:p>
        </w:tc>
        <w:tc>
          <w:tcPr>
            <w:tcW w:w="1814" w:type="dxa"/>
            <w:tcBorders>
              <w:top w:val="single" w:sz="4" w:space="0" w:color="148A5D" w:themeColor="accent2"/>
              <w:bottom w:val="single" w:sz="4" w:space="0" w:color="148A5D" w:themeColor="accent2"/>
              <w:right w:val="nil"/>
            </w:tcBorders>
          </w:tcPr>
          <w:p w14:paraId="788E250E" w14:textId="77777777" w:rsidR="005F5F3B" w:rsidRPr="008B7EFF" w:rsidRDefault="005F5F3B" w:rsidP="00DA3D89">
            <w:pPr>
              <w:pStyle w:val="Textinthetable"/>
            </w:pPr>
            <w:r w:rsidRPr="008B7EFF">
              <w:t>Untaxed element</w:t>
            </w:r>
          </w:p>
        </w:tc>
        <w:tc>
          <w:tcPr>
            <w:tcW w:w="5583" w:type="dxa"/>
            <w:tcBorders>
              <w:top w:val="single" w:sz="4" w:space="0" w:color="148A5D" w:themeColor="accent2"/>
              <w:left w:val="nil"/>
              <w:bottom w:val="single" w:sz="4" w:space="0" w:color="148A5D" w:themeColor="accent2"/>
              <w:right w:val="nil"/>
            </w:tcBorders>
          </w:tcPr>
          <w:p w14:paraId="0030857F" w14:textId="77777777" w:rsidR="005F5F3B" w:rsidRPr="00BE7AF3" w:rsidRDefault="005F5F3B" w:rsidP="00DA3D89">
            <w:pPr>
              <w:pStyle w:val="Textinthetable"/>
            </w:pPr>
            <w:r w:rsidRPr="00BE7AF3">
              <w:t>Included in assessable income</w:t>
            </w:r>
          </w:p>
        </w:tc>
      </w:tr>
      <w:tr w:rsidR="005F5F3B" w14:paraId="515A2A58" w14:textId="77777777" w:rsidTr="00DA3D89">
        <w:trPr>
          <w:trHeight w:val="205"/>
        </w:trPr>
        <w:tc>
          <w:tcPr>
            <w:tcW w:w="8390"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5FA829D8" w14:textId="77777777" w:rsidR="005F5F3B" w:rsidRPr="00884BC4" w:rsidRDefault="005F5F3B" w:rsidP="00DA3D89">
            <w:pPr>
              <w:pStyle w:val="Textinthetable"/>
            </w:pPr>
            <w:r w:rsidRPr="00884BC4">
              <w:t>Under preservation</w:t>
            </w:r>
            <w:r>
              <w:t xml:space="preserve"> age</w:t>
            </w:r>
          </w:p>
        </w:tc>
      </w:tr>
      <w:tr w:rsidR="005F5F3B" w14:paraId="6DD1096C" w14:textId="77777777" w:rsidTr="00DA3D89">
        <w:trPr>
          <w:trHeight w:val="292"/>
        </w:trPr>
        <w:tc>
          <w:tcPr>
            <w:tcW w:w="2807" w:type="dxa"/>
            <w:gridSpan w:val="2"/>
            <w:tcBorders>
              <w:top w:val="single" w:sz="4" w:space="0" w:color="148A5D" w:themeColor="accent2"/>
              <w:left w:val="nil"/>
              <w:right w:val="nil"/>
            </w:tcBorders>
          </w:tcPr>
          <w:p w14:paraId="0B175ADF" w14:textId="77777777" w:rsidR="005F5F3B" w:rsidRPr="008B7EFF" w:rsidRDefault="005F5F3B" w:rsidP="00DA3D89">
            <w:pPr>
              <w:pStyle w:val="Textinthetable"/>
            </w:pPr>
            <w:r w:rsidRPr="008B7EFF">
              <w:t>Tax-free</w:t>
            </w:r>
          </w:p>
        </w:tc>
        <w:tc>
          <w:tcPr>
            <w:tcW w:w="5583" w:type="dxa"/>
            <w:tcBorders>
              <w:top w:val="single" w:sz="4" w:space="0" w:color="148A5D" w:themeColor="accent2"/>
              <w:left w:val="nil"/>
              <w:bottom w:val="single" w:sz="4" w:space="0" w:color="148A5D" w:themeColor="accent2"/>
              <w:right w:val="nil"/>
            </w:tcBorders>
          </w:tcPr>
          <w:p w14:paraId="1A05DBE1" w14:textId="77777777" w:rsidR="005F5F3B" w:rsidRPr="00BE7AF3" w:rsidRDefault="005F5F3B" w:rsidP="00DA3D89">
            <w:pPr>
              <w:pStyle w:val="Textinthetable"/>
            </w:pPr>
            <w:r w:rsidRPr="00BE7AF3">
              <w:t xml:space="preserve">No </w:t>
            </w:r>
            <w:r>
              <w:t xml:space="preserve">further </w:t>
            </w:r>
            <w:r w:rsidRPr="00BE7AF3">
              <w:t xml:space="preserve">tax </w:t>
            </w:r>
            <w:r>
              <w:t xml:space="preserve">is </w:t>
            </w:r>
            <w:r w:rsidRPr="00BE7AF3">
              <w:t>payable</w:t>
            </w:r>
          </w:p>
        </w:tc>
      </w:tr>
      <w:tr w:rsidR="005F5F3B" w14:paraId="74595C21" w14:textId="77777777" w:rsidTr="00DA3D89">
        <w:trPr>
          <w:trHeight w:val="900"/>
        </w:trPr>
        <w:tc>
          <w:tcPr>
            <w:tcW w:w="993" w:type="dxa"/>
            <w:vMerge w:val="restart"/>
            <w:tcBorders>
              <w:top w:val="single" w:sz="4" w:space="0" w:color="148A5D" w:themeColor="accent2"/>
              <w:left w:val="nil"/>
            </w:tcBorders>
            <w:vAlign w:val="center"/>
          </w:tcPr>
          <w:p w14:paraId="07636767" w14:textId="77777777" w:rsidR="005F5F3B" w:rsidRPr="008B7EFF" w:rsidRDefault="005F5F3B" w:rsidP="00DA3D89">
            <w:pPr>
              <w:pStyle w:val="Textinthetable"/>
            </w:pPr>
            <w:r w:rsidRPr="008B7EFF">
              <w:t>Taxable</w:t>
            </w:r>
          </w:p>
        </w:tc>
        <w:tc>
          <w:tcPr>
            <w:tcW w:w="1814" w:type="dxa"/>
            <w:tcBorders>
              <w:top w:val="single" w:sz="4" w:space="0" w:color="148A5D" w:themeColor="accent2"/>
              <w:bottom w:val="single" w:sz="4" w:space="0" w:color="148A5D" w:themeColor="accent2"/>
              <w:right w:val="nil"/>
            </w:tcBorders>
            <w:vAlign w:val="center"/>
          </w:tcPr>
          <w:p w14:paraId="0B8294F1" w14:textId="77777777" w:rsidR="005F5F3B" w:rsidRPr="008B7EFF" w:rsidRDefault="005F5F3B" w:rsidP="00DA3D89">
            <w:pPr>
              <w:pStyle w:val="Textinthetable"/>
            </w:pPr>
            <w:r w:rsidRPr="008B7EFF">
              <w:t>Taxed element</w:t>
            </w:r>
          </w:p>
        </w:tc>
        <w:tc>
          <w:tcPr>
            <w:tcW w:w="5583" w:type="dxa"/>
            <w:tcBorders>
              <w:top w:val="single" w:sz="4" w:space="0" w:color="148A5D" w:themeColor="accent2"/>
              <w:left w:val="nil"/>
              <w:bottom w:val="single" w:sz="4" w:space="0" w:color="148A5D" w:themeColor="accent2"/>
              <w:right w:val="nil"/>
            </w:tcBorders>
          </w:tcPr>
          <w:p w14:paraId="2B988FB5" w14:textId="77777777" w:rsidR="005F5F3B" w:rsidRDefault="005F5F3B" w:rsidP="005F5F3B">
            <w:pPr>
              <w:pStyle w:val="Bulletsinatable"/>
              <w:numPr>
                <w:ilvl w:val="0"/>
                <w:numId w:val="41"/>
              </w:numPr>
              <w:ind w:left="360"/>
            </w:pPr>
            <w:r w:rsidRPr="00BE7AF3">
              <w:t>Included in assessable income</w:t>
            </w:r>
          </w:p>
          <w:p w14:paraId="16CDE866" w14:textId="77777777" w:rsidR="005F5F3B" w:rsidRPr="00BE7AF3" w:rsidRDefault="005F5F3B" w:rsidP="005F5F3B">
            <w:pPr>
              <w:pStyle w:val="Bulletsinatable"/>
              <w:numPr>
                <w:ilvl w:val="0"/>
                <w:numId w:val="41"/>
              </w:numPr>
              <w:ind w:left="360"/>
            </w:pPr>
            <w:r>
              <w:t>15% offset applies if provided as a disability superannuation benefit</w:t>
            </w:r>
          </w:p>
        </w:tc>
      </w:tr>
      <w:tr w:rsidR="005F5F3B" w14:paraId="32F764DB" w14:textId="77777777" w:rsidTr="00DA3D89">
        <w:trPr>
          <w:trHeight w:val="316"/>
        </w:trPr>
        <w:tc>
          <w:tcPr>
            <w:tcW w:w="993" w:type="dxa"/>
            <w:vMerge/>
            <w:tcBorders>
              <w:bottom w:val="single" w:sz="4" w:space="0" w:color="148A5D" w:themeColor="accent2"/>
            </w:tcBorders>
          </w:tcPr>
          <w:p w14:paraId="23305E58" w14:textId="77777777" w:rsidR="005F5F3B" w:rsidRPr="008B7EFF" w:rsidRDefault="005F5F3B" w:rsidP="00DA3D89">
            <w:pPr>
              <w:pStyle w:val="Tabletext"/>
            </w:pPr>
          </w:p>
        </w:tc>
        <w:tc>
          <w:tcPr>
            <w:tcW w:w="1814" w:type="dxa"/>
            <w:tcBorders>
              <w:top w:val="single" w:sz="4" w:space="0" w:color="148A5D" w:themeColor="accent2"/>
              <w:bottom w:val="single" w:sz="4" w:space="0" w:color="148A5D" w:themeColor="accent2"/>
              <w:right w:val="nil"/>
            </w:tcBorders>
          </w:tcPr>
          <w:p w14:paraId="11A00F4B" w14:textId="77777777" w:rsidR="005F5F3B" w:rsidRPr="008B7EFF" w:rsidRDefault="005F5F3B" w:rsidP="00DA3D89">
            <w:pPr>
              <w:pStyle w:val="Textinthetable"/>
            </w:pPr>
            <w:r w:rsidRPr="008B7EFF">
              <w:t>Untaxed element</w:t>
            </w:r>
          </w:p>
        </w:tc>
        <w:tc>
          <w:tcPr>
            <w:tcW w:w="5583" w:type="dxa"/>
            <w:tcBorders>
              <w:top w:val="single" w:sz="4" w:space="0" w:color="148A5D" w:themeColor="accent2"/>
              <w:left w:val="nil"/>
              <w:bottom w:val="single" w:sz="4" w:space="0" w:color="148A5D" w:themeColor="accent2"/>
              <w:right w:val="nil"/>
            </w:tcBorders>
          </w:tcPr>
          <w:p w14:paraId="44776200" w14:textId="77777777" w:rsidR="005F5F3B" w:rsidRPr="00BE7AF3" w:rsidRDefault="005F5F3B" w:rsidP="00DA3D89">
            <w:pPr>
              <w:pStyle w:val="Textinthetable"/>
            </w:pPr>
            <w:r w:rsidRPr="00BE7AF3">
              <w:t>Included in assessable income</w:t>
            </w:r>
          </w:p>
        </w:tc>
      </w:tr>
    </w:tbl>
    <w:p w14:paraId="73C40903" w14:textId="30EA1208" w:rsidR="00562281" w:rsidRPr="0021497E" w:rsidRDefault="00562281" w:rsidP="000E6A78">
      <w:pPr>
        <w:pStyle w:val="Notesfortablesfigures"/>
      </w:pPr>
      <w:r w:rsidRPr="0021497E">
        <w:t>Source:</w:t>
      </w:r>
      <w:r w:rsidRPr="000E6A78">
        <w:t xml:space="preserve"> </w:t>
      </w:r>
      <w:r w:rsidRPr="0021497E">
        <w:rPr>
          <w:i/>
          <w:iCs/>
        </w:rPr>
        <w:t>Income Tax Assessment Act 1997</w:t>
      </w:r>
      <w:r w:rsidRPr="000E6A78">
        <w:t xml:space="preserve"> </w:t>
      </w:r>
      <w:r>
        <w:t>(Cth</w:t>
      </w:r>
      <w:r w:rsidRPr="000E6A78">
        <w:t>)</w:t>
      </w:r>
      <w:r w:rsidR="000E6A78">
        <w:t>,</w:t>
      </w:r>
      <w:r>
        <w:t xml:space="preserve"> Division 301.</w:t>
      </w:r>
    </w:p>
    <w:p w14:paraId="429A9DEB" w14:textId="77777777" w:rsidR="00562281" w:rsidRDefault="00562281" w:rsidP="00562281">
      <w:pPr>
        <w:pStyle w:val="Tableheading"/>
      </w:pPr>
      <w:r>
        <w:br w:type="page"/>
      </w:r>
      <w:r w:rsidRPr="00D20280">
        <w:lastRenderedPageBreak/>
        <w:t xml:space="preserve">Table </w:t>
      </w:r>
      <w:r>
        <w:t>C3</w:t>
      </w:r>
      <w:r w:rsidRPr="00D20280">
        <w:t>: summary of</w:t>
      </w:r>
      <w:r>
        <w:t xml:space="preserve"> tax on pensions under the defined benefit schemes</w:t>
      </w:r>
    </w:p>
    <w:tbl>
      <w:tblPr>
        <w:tblW w:w="0" w:type="auto"/>
        <w:tblInd w:w="108" w:type="dxa"/>
        <w:tblLook w:val="04A0" w:firstRow="1" w:lastRow="0" w:firstColumn="1" w:lastColumn="0" w:noHBand="0" w:noVBand="1"/>
      </w:tblPr>
      <w:tblGrid>
        <w:gridCol w:w="997"/>
        <w:gridCol w:w="1821"/>
        <w:gridCol w:w="5572"/>
      </w:tblGrid>
      <w:tr w:rsidR="00562281" w14:paraId="52568F95" w14:textId="77777777" w:rsidTr="00DE4B4D">
        <w:trPr>
          <w:trHeight w:val="205"/>
        </w:trPr>
        <w:tc>
          <w:tcPr>
            <w:tcW w:w="2818" w:type="dxa"/>
            <w:gridSpan w:val="2"/>
            <w:tcBorders>
              <w:top w:val="single" w:sz="4" w:space="0" w:color="148A5D" w:themeColor="accent2"/>
              <w:left w:val="nil"/>
              <w:bottom w:val="nil"/>
              <w:right w:val="nil"/>
            </w:tcBorders>
            <w:shd w:val="clear" w:color="auto" w:fill="148A5D" w:themeFill="accent2"/>
          </w:tcPr>
          <w:p w14:paraId="40A91484" w14:textId="77777777" w:rsidR="00562281" w:rsidRPr="00622DF7" w:rsidRDefault="00562281" w:rsidP="00E1334B">
            <w:pPr>
              <w:pStyle w:val="Tableheaderrow"/>
              <w:jc w:val="left"/>
            </w:pPr>
            <w:r w:rsidRPr="00622DF7">
              <w:t>Component</w:t>
            </w:r>
          </w:p>
        </w:tc>
        <w:tc>
          <w:tcPr>
            <w:tcW w:w="5572" w:type="dxa"/>
            <w:tcBorders>
              <w:top w:val="single" w:sz="4" w:space="0" w:color="148A5D" w:themeColor="accent2"/>
              <w:left w:val="nil"/>
              <w:bottom w:val="nil"/>
              <w:right w:val="nil"/>
            </w:tcBorders>
            <w:shd w:val="clear" w:color="auto" w:fill="148A5D" w:themeFill="accent2"/>
          </w:tcPr>
          <w:p w14:paraId="3184E51E" w14:textId="77777777" w:rsidR="00562281" w:rsidRPr="00622DF7" w:rsidRDefault="00562281" w:rsidP="00E1334B">
            <w:pPr>
              <w:pStyle w:val="Tableheaderrow"/>
              <w:jc w:val="left"/>
            </w:pPr>
            <w:r w:rsidRPr="00622DF7">
              <w:t>Tax treatment</w:t>
            </w:r>
          </w:p>
        </w:tc>
      </w:tr>
      <w:tr w:rsidR="00562281" w14:paraId="6DEE7EBD" w14:textId="77777777" w:rsidTr="00DE4B4D">
        <w:trPr>
          <w:trHeight w:val="205"/>
        </w:trPr>
        <w:tc>
          <w:tcPr>
            <w:tcW w:w="8390" w:type="dxa"/>
            <w:gridSpan w:val="3"/>
            <w:tcBorders>
              <w:top w:val="nil"/>
              <w:left w:val="nil"/>
              <w:bottom w:val="single" w:sz="4" w:space="0" w:color="148A5D" w:themeColor="accent2"/>
              <w:right w:val="nil"/>
            </w:tcBorders>
            <w:shd w:val="clear" w:color="auto" w:fill="E2F1E6" w:themeFill="accent3" w:themeFillTint="33"/>
          </w:tcPr>
          <w:p w14:paraId="5DCF1F3E" w14:textId="77777777" w:rsidR="00562281" w:rsidRPr="00E51BDE" w:rsidRDefault="00562281" w:rsidP="000B718F">
            <w:pPr>
              <w:pStyle w:val="Textinthetable"/>
            </w:pPr>
            <w:r w:rsidRPr="00884BC4">
              <w:t>60</w:t>
            </w:r>
            <w:r>
              <w:t xml:space="preserve"> years and over</w:t>
            </w:r>
          </w:p>
        </w:tc>
      </w:tr>
      <w:tr w:rsidR="00562281" w14:paraId="0E434B7B" w14:textId="77777777" w:rsidTr="00953DDF">
        <w:trPr>
          <w:trHeight w:val="1780"/>
        </w:trPr>
        <w:tc>
          <w:tcPr>
            <w:tcW w:w="2818" w:type="dxa"/>
            <w:gridSpan w:val="2"/>
            <w:tcBorders>
              <w:top w:val="single" w:sz="4" w:space="0" w:color="148A5D" w:themeColor="accent2"/>
              <w:left w:val="nil"/>
              <w:bottom w:val="single" w:sz="4" w:space="0" w:color="148A5D" w:themeColor="accent2"/>
              <w:right w:val="nil"/>
            </w:tcBorders>
          </w:tcPr>
          <w:p w14:paraId="7181041B" w14:textId="6EF74066" w:rsidR="00562281" w:rsidRPr="008B7EFF" w:rsidRDefault="002E6123" w:rsidP="000B718F">
            <w:pPr>
              <w:pStyle w:val="Textinthetable"/>
            </w:pPr>
            <w:r>
              <w:t>Tax-free component and taxed element</w:t>
            </w:r>
          </w:p>
        </w:tc>
        <w:tc>
          <w:tcPr>
            <w:tcW w:w="5572" w:type="dxa"/>
            <w:tcBorders>
              <w:top w:val="single" w:sz="4" w:space="0" w:color="148A5D" w:themeColor="accent2"/>
              <w:left w:val="nil"/>
              <w:bottom w:val="single" w:sz="4" w:space="0" w:color="148A5D" w:themeColor="accent2"/>
              <w:right w:val="nil"/>
            </w:tcBorders>
          </w:tcPr>
          <w:p w14:paraId="7D876BED" w14:textId="4FC9E592" w:rsidR="00562281" w:rsidRPr="006638F7" w:rsidRDefault="00562281" w:rsidP="002936C2">
            <w:pPr>
              <w:pStyle w:val="Bulletsinatable"/>
              <w:numPr>
                <w:ilvl w:val="0"/>
                <w:numId w:val="41"/>
              </w:numPr>
              <w:ind w:left="360"/>
            </w:pPr>
            <w:r>
              <w:t>If the combined tax-free component and taxed element are equal to or less than the ‘defined benefit income cap’</w:t>
            </w:r>
            <w:r w:rsidRPr="002936C2">
              <w:t>(a)</w:t>
            </w:r>
            <w:r>
              <w:t xml:space="preserve"> ($100,000 for the 2020</w:t>
            </w:r>
            <w:r w:rsidR="00AC5469">
              <w:noBreakHyphen/>
            </w:r>
            <w:r>
              <w:t>21 financial year), then no further tax is payable</w:t>
            </w:r>
          </w:p>
          <w:p w14:paraId="4F44677F" w14:textId="77777777" w:rsidR="00562281" w:rsidRPr="006638F7" w:rsidRDefault="00562281" w:rsidP="002936C2">
            <w:pPr>
              <w:pStyle w:val="Bulletsinatable"/>
              <w:numPr>
                <w:ilvl w:val="0"/>
                <w:numId w:val="41"/>
              </w:numPr>
              <w:ind w:left="360"/>
            </w:pPr>
            <w:r w:rsidRPr="006638F7">
              <w:t>Otherwise, 50% of the amount over the defined benefit income cap is included in assessable income</w:t>
            </w:r>
          </w:p>
        </w:tc>
      </w:tr>
      <w:tr w:rsidR="00562281" w14:paraId="01C16151" w14:textId="77777777" w:rsidTr="0096012E">
        <w:trPr>
          <w:trHeight w:val="1216"/>
        </w:trPr>
        <w:tc>
          <w:tcPr>
            <w:tcW w:w="2818" w:type="dxa"/>
            <w:gridSpan w:val="2"/>
            <w:tcBorders>
              <w:top w:val="single" w:sz="4" w:space="0" w:color="148A5D" w:themeColor="accent2"/>
            </w:tcBorders>
          </w:tcPr>
          <w:p w14:paraId="5733A992" w14:textId="6A495754" w:rsidR="00562281" w:rsidRPr="008B7EFF" w:rsidRDefault="00562281" w:rsidP="000B718F">
            <w:pPr>
              <w:pStyle w:val="Textinthetable"/>
            </w:pPr>
            <w:r w:rsidRPr="008B7EFF">
              <w:t>Untaxed element</w:t>
            </w:r>
          </w:p>
        </w:tc>
        <w:tc>
          <w:tcPr>
            <w:tcW w:w="5572" w:type="dxa"/>
            <w:tcBorders>
              <w:top w:val="single" w:sz="4" w:space="0" w:color="148A5D" w:themeColor="accent2"/>
              <w:left w:val="nil"/>
              <w:bottom w:val="single" w:sz="4" w:space="0" w:color="148A5D" w:themeColor="accent2"/>
              <w:right w:val="nil"/>
            </w:tcBorders>
          </w:tcPr>
          <w:p w14:paraId="73FD2173" w14:textId="77777777" w:rsidR="00562281" w:rsidRPr="006638F7" w:rsidRDefault="00562281" w:rsidP="002936C2">
            <w:pPr>
              <w:pStyle w:val="Bulletsinatable"/>
              <w:numPr>
                <w:ilvl w:val="0"/>
                <w:numId w:val="41"/>
              </w:numPr>
              <w:ind w:left="360"/>
            </w:pPr>
            <w:r w:rsidRPr="006638F7">
              <w:t>Included in assessable income</w:t>
            </w:r>
          </w:p>
          <w:p w14:paraId="50F929B2" w14:textId="77777777" w:rsidR="00562281" w:rsidRPr="006638F7" w:rsidRDefault="00562281" w:rsidP="002936C2">
            <w:pPr>
              <w:pStyle w:val="Bulletsinatable"/>
              <w:numPr>
                <w:ilvl w:val="0"/>
                <w:numId w:val="41"/>
              </w:numPr>
              <w:ind w:left="360"/>
            </w:pPr>
            <w:r w:rsidRPr="006638F7">
              <w:t>10% offset applies</w:t>
            </w:r>
            <w:r>
              <w:t xml:space="preserve"> to the untaxed element</w:t>
            </w:r>
            <w:r w:rsidRPr="006638F7">
              <w:t xml:space="preserve"> minus the amount by which the pension exceeds the defined benefit income cap</w:t>
            </w:r>
          </w:p>
        </w:tc>
      </w:tr>
      <w:tr w:rsidR="00562281" w14:paraId="27E6F108" w14:textId="77777777" w:rsidTr="00DE4B4D">
        <w:trPr>
          <w:trHeight w:val="205"/>
        </w:trPr>
        <w:tc>
          <w:tcPr>
            <w:tcW w:w="8390"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72BF171F" w14:textId="77777777" w:rsidR="00562281" w:rsidRPr="00E51BDE" w:rsidRDefault="00562281" w:rsidP="000B718F">
            <w:pPr>
              <w:pStyle w:val="Textinthetable"/>
            </w:pPr>
            <w:r w:rsidRPr="00884BC4">
              <w:t>Between preservation and 60</w:t>
            </w:r>
            <w:r>
              <w:t xml:space="preserve"> years</w:t>
            </w:r>
          </w:p>
        </w:tc>
      </w:tr>
      <w:tr w:rsidR="00562281" w14:paraId="232AA897" w14:textId="77777777" w:rsidTr="00DE4B4D">
        <w:trPr>
          <w:trHeight w:val="292"/>
        </w:trPr>
        <w:tc>
          <w:tcPr>
            <w:tcW w:w="2818" w:type="dxa"/>
            <w:gridSpan w:val="2"/>
            <w:tcBorders>
              <w:top w:val="single" w:sz="4" w:space="0" w:color="148A5D" w:themeColor="accent2"/>
              <w:left w:val="nil"/>
              <w:bottom w:val="single" w:sz="4" w:space="0" w:color="148A5D" w:themeColor="accent2"/>
              <w:right w:val="nil"/>
            </w:tcBorders>
          </w:tcPr>
          <w:p w14:paraId="61B9988B" w14:textId="77777777" w:rsidR="00562281" w:rsidRPr="008B7EFF" w:rsidRDefault="00562281" w:rsidP="000B718F">
            <w:pPr>
              <w:pStyle w:val="Textinthetable"/>
            </w:pPr>
            <w:r w:rsidRPr="008B7EFF">
              <w:t>Tax-free</w:t>
            </w:r>
          </w:p>
        </w:tc>
        <w:tc>
          <w:tcPr>
            <w:tcW w:w="5572" w:type="dxa"/>
            <w:tcBorders>
              <w:top w:val="single" w:sz="4" w:space="0" w:color="148A5D" w:themeColor="accent2"/>
              <w:left w:val="nil"/>
              <w:bottom w:val="single" w:sz="4" w:space="0" w:color="148A5D" w:themeColor="accent2"/>
              <w:right w:val="nil"/>
            </w:tcBorders>
          </w:tcPr>
          <w:p w14:paraId="281E0821" w14:textId="77777777" w:rsidR="00562281" w:rsidRPr="00F14444" w:rsidRDefault="00562281" w:rsidP="000B718F">
            <w:pPr>
              <w:pStyle w:val="Textinthetable"/>
            </w:pPr>
            <w:r w:rsidRPr="00F14444">
              <w:t xml:space="preserve">No </w:t>
            </w:r>
            <w:r>
              <w:t xml:space="preserve">further </w:t>
            </w:r>
            <w:r w:rsidRPr="00F14444">
              <w:t>tax is payable</w:t>
            </w:r>
          </w:p>
        </w:tc>
      </w:tr>
      <w:tr w:rsidR="00562281" w14:paraId="66CD396D" w14:textId="77777777" w:rsidTr="00DE4B4D">
        <w:trPr>
          <w:trHeight w:val="292"/>
        </w:trPr>
        <w:tc>
          <w:tcPr>
            <w:tcW w:w="997" w:type="dxa"/>
            <w:vMerge w:val="restart"/>
            <w:tcBorders>
              <w:top w:val="single" w:sz="4" w:space="0" w:color="148A5D" w:themeColor="accent2"/>
              <w:left w:val="nil"/>
            </w:tcBorders>
            <w:vAlign w:val="center"/>
          </w:tcPr>
          <w:p w14:paraId="36927116" w14:textId="77777777" w:rsidR="00562281" w:rsidRPr="008B7EFF" w:rsidRDefault="00562281" w:rsidP="000B718F">
            <w:pPr>
              <w:pStyle w:val="Textinthetable"/>
            </w:pPr>
            <w:r w:rsidRPr="008B7EFF">
              <w:t>Taxable</w:t>
            </w:r>
          </w:p>
        </w:tc>
        <w:tc>
          <w:tcPr>
            <w:tcW w:w="1821" w:type="dxa"/>
            <w:tcBorders>
              <w:top w:val="single" w:sz="4" w:space="0" w:color="148A5D" w:themeColor="accent2"/>
              <w:bottom w:val="single" w:sz="4" w:space="0" w:color="148A5D" w:themeColor="accent2"/>
              <w:right w:val="nil"/>
            </w:tcBorders>
          </w:tcPr>
          <w:p w14:paraId="2B0936BB" w14:textId="77777777" w:rsidR="00562281" w:rsidRPr="008B7EFF" w:rsidRDefault="00562281" w:rsidP="000B718F">
            <w:pPr>
              <w:pStyle w:val="Textinthetable"/>
            </w:pPr>
            <w:r w:rsidRPr="008B7EFF">
              <w:t>Taxed element</w:t>
            </w:r>
          </w:p>
        </w:tc>
        <w:tc>
          <w:tcPr>
            <w:tcW w:w="5572" w:type="dxa"/>
            <w:tcBorders>
              <w:top w:val="single" w:sz="4" w:space="0" w:color="148A5D" w:themeColor="accent2"/>
              <w:left w:val="nil"/>
              <w:bottom w:val="single" w:sz="4" w:space="0" w:color="148A5D" w:themeColor="accent2"/>
              <w:right w:val="nil"/>
            </w:tcBorders>
          </w:tcPr>
          <w:p w14:paraId="1B856054" w14:textId="77777777" w:rsidR="00562281" w:rsidRPr="00F14444" w:rsidRDefault="00562281" w:rsidP="000B718F">
            <w:pPr>
              <w:pStyle w:val="Textinthetable"/>
            </w:pPr>
            <w:r w:rsidRPr="00F14444">
              <w:t>Included in assessable income with a 15% offset</w:t>
            </w:r>
          </w:p>
        </w:tc>
      </w:tr>
      <w:tr w:rsidR="00562281" w14:paraId="7DE61713" w14:textId="77777777" w:rsidTr="00DE4B4D">
        <w:trPr>
          <w:trHeight w:val="304"/>
        </w:trPr>
        <w:tc>
          <w:tcPr>
            <w:tcW w:w="997" w:type="dxa"/>
            <w:vMerge/>
          </w:tcPr>
          <w:p w14:paraId="6A20EC4D" w14:textId="77777777" w:rsidR="00562281" w:rsidRPr="008B7EFF" w:rsidRDefault="00562281" w:rsidP="00562281">
            <w:pPr>
              <w:pStyle w:val="Tabletext"/>
            </w:pPr>
          </w:p>
        </w:tc>
        <w:tc>
          <w:tcPr>
            <w:tcW w:w="1821" w:type="dxa"/>
            <w:tcBorders>
              <w:top w:val="single" w:sz="4" w:space="0" w:color="148A5D" w:themeColor="accent2"/>
              <w:bottom w:val="single" w:sz="4" w:space="0" w:color="148A5D" w:themeColor="accent2"/>
              <w:right w:val="nil"/>
            </w:tcBorders>
          </w:tcPr>
          <w:p w14:paraId="0C1640C9" w14:textId="77777777" w:rsidR="00562281" w:rsidRPr="008B7EFF" w:rsidRDefault="00562281" w:rsidP="000B718F">
            <w:pPr>
              <w:pStyle w:val="Textinthetable"/>
            </w:pPr>
            <w:r w:rsidRPr="008B7EFF">
              <w:t>Untaxed element</w:t>
            </w:r>
          </w:p>
        </w:tc>
        <w:tc>
          <w:tcPr>
            <w:tcW w:w="5572" w:type="dxa"/>
            <w:tcBorders>
              <w:top w:val="single" w:sz="4" w:space="0" w:color="148A5D" w:themeColor="accent2"/>
              <w:left w:val="nil"/>
              <w:bottom w:val="single" w:sz="4" w:space="0" w:color="148A5D" w:themeColor="accent2"/>
              <w:right w:val="nil"/>
            </w:tcBorders>
          </w:tcPr>
          <w:p w14:paraId="4CC00755" w14:textId="77777777" w:rsidR="00562281" w:rsidRPr="00F14444" w:rsidRDefault="00562281" w:rsidP="000B718F">
            <w:pPr>
              <w:pStyle w:val="Textinthetable"/>
            </w:pPr>
            <w:r w:rsidRPr="00F14444">
              <w:t>Included in assessable income</w:t>
            </w:r>
          </w:p>
        </w:tc>
      </w:tr>
      <w:tr w:rsidR="00562281" w14:paraId="2BA321DF" w14:textId="77777777" w:rsidTr="00DE4B4D">
        <w:trPr>
          <w:trHeight w:val="205"/>
        </w:trPr>
        <w:tc>
          <w:tcPr>
            <w:tcW w:w="8390" w:type="dxa"/>
            <w:gridSpan w:val="3"/>
            <w:tcBorders>
              <w:top w:val="single" w:sz="4" w:space="0" w:color="148A5D" w:themeColor="accent2"/>
              <w:left w:val="nil"/>
              <w:bottom w:val="single" w:sz="4" w:space="0" w:color="148A5D" w:themeColor="accent2"/>
              <w:right w:val="nil"/>
            </w:tcBorders>
            <w:shd w:val="clear" w:color="auto" w:fill="E2F1E6" w:themeFill="accent3" w:themeFillTint="33"/>
          </w:tcPr>
          <w:p w14:paraId="7F1033E0" w14:textId="77777777" w:rsidR="00562281" w:rsidRPr="00884BC4" w:rsidRDefault="00562281" w:rsidP="000B718F">
            <w:pPr>
              <w:pStyle w:val="Textinthetable"/>
            </w:pPr>
            <w:r w:rsidRPr="00884BC4">
              <w:t>Under preservation</w:t>
            </w:r>
            <w:r>
              <w:t xml:space="preserve"> age</w:t>
            </w:r>
          </w:p>
        </w:tc>
      </w:tr>
      <w:tr w:rsidR="00562281" w14:paraId="54C99986" w14:textId="77777777" w:rsidTr="00DE4B4D">
        <w:trPr>
          <w:trHeight w:val="292"/>
        </w:trPr>
        <w:tc>
          <w:tcPr>
            <w:tcW w:w="2818" w:type="dxa"/>
            <w:gridSpan w:val="2"/>
            <w:tcBorders>
              <w:top w:val="single" w:sz="4" w:space="0" w:color="148A5D" w:themeColor="accent2"/>
              <w:left w:val="nil"/>
              <w:right w:val="nil"/>
            </w:tcBorders>
          </w:tcPr>
          <w:p w14:paraId="2C57277A" w14:textId="77777777" w:rsidR="00562281" w:rsidRPr="008B7EFF" w:rsidRDefault="00562281" w:rsidP="000B718F">
            <w:pPr>
              <w:pStyle w:val="Textinthetable"/>
            </w:pPr>
            <w:r w:rsidRPr="008B7EFF">
              <w:t>Tax-free</w:t>
            </w:r>
          </w:p>
        </w:tc>
        <w:tc>
          <w:tcPr>
            <w:tcW w:w="5572" w:type="dxa"/>
            <w:tcBorders>
              <w:top w:val="single" w:sz="4" w:space="0" w:color="148A5D" w:themeColor="accent2"/>
              <w:left w:val="nil"/>
              <w:bottom w:val="single" w:sz="4" w:space="0" w:color="148A5D" w:themeColor="accent2"/>
              <w:right w:val="nil"/>
            </w:tcBorders>
          </w:tcPr>
          <w:p w14:paraId="26924764" w14:textId="77777777" w:rsidR="00562281" w:rsidRPr="00BE7AF3" w:rsidRDefault="00562281" w:rsidP="000B718F">
            <w:pPr>
              <w:pStyle w:val="Textinthetable"/>
            </w:pPr>
            <w:r w:rsidRPr="00C322ED">
              <w:t>No further tax is payable</w:t>
            </w:r>
          </w:p>
        </w:tc>
      </w:tr>
      <w:tr w:rsidR="00562281" w14:paraId="0BDD155C" w14:textId="77777777" w:rsidTr="00DE4B4D">
        <w:trPr>
          <w:trHeight w:val="912"/>
        </w:trPr>
        <w:tc>
          <w:tcPr>
            <w:tcW w:w="997" w:type="dxa"/>
            <w:vMerge w:val="restart"/>
            <w:tcBorders>
              <w:top w:val="single" w:sz="4" w:space="0" w:color="148A5D" w:themeColor="accent2"/>
              <w:left w:val="nil"/>
              <w:bottom w:val="single" w:sz="4" w:space="0" w:color="148A5D" w:themeColor="accent2"/>
            </w:tcBorders>
            <w:vAlign w:val="center"/>
          </w:tcPr>
          <w:p w14:paraId="55138D7C" w14:textId="77777777" w:rsidR="00562281" w:rsidRPr="008B7EFF" w:rsidRDefault="00562281" w:rsidP="000B718F">
            <w:pPr>
              <w:pStyle w:val="Textinthetable"/>
            </w:pPr>
            <w:r w:rsidRPr="008B7EFF">
              <w:t>Taxable</w:t>
            </w:r>
          </w:p>
        </w:tc>
        <w:tc>
          <w:tcPr>
            <w:tcW w:w="1821" w:type="dxa"/>
            <w:tcBorders>
              <w:top w:val="single" w:sz="4" w:space="0" w:color="148A5D" w:themeColor="accent2"/>
              <w:bottom w:val="single" w:sz="4" w:space="0" w:color="148A5D" w:themeColor="accent2"/>
              <w:right w:val="nil"/>
            </w:tcBorders>
            <w:vAlign w:val="center"/>
          </w:tcPr>
          <w:p w14:paraId="6A27A5C9" w14:textId="77777777" w:rsidR="00562281" w:rsidRPr="008B7EFF" w:rsidRDefault="00562281" w:rsidP="000B718F">
            <w:pPr>
              <w:pStyle w:val="Textinthetable"/>
            </w:pPr>
            <w:r w:rsidRPr="008B7EFF">
              <w:t>Taxed element</w:t>
            </w:r>
          </w:p>
        </w:tc>
        <w:tc>
          <w:tcPr>
            <w:tcW w:w="5572" w:type="dxa"/>
            <w:tcBorders>
              <w:top w:val="single" w:sz="4" w:space="0" w:color="148A5D" w:themeColor="accent2"/>
              <w:left w:val="nil"/>
              <w:bottom w:val="single" w:sz="4" w:space="0" w:color="148A5D" w:themeColor="accent2"/>
              <w:right w:val="nil"/>
            </w:tcBorders>
          </w:tcPr>
          <w:p w14:paraId="0E1004C3" w14:textId="77777777" w:rsidR="00562281" w:rsidRPr="00C322ED" w:rsidRDefault="00562281" w:rsidP="002936C2">
            <w:pPr>
              <w:pStyle w:val="Bulletsinatable"/>
              <w:numPr>
                <w:ilvl w:val="0"/>
                <w:numId w:val="41"/>
              </w:numPr>
              <w:ind w:left="360"/>
            </w:pPr>
            <w:r w:rsidRPr="00C322ED">
              <w:t>Included in assessable income</w:t>
            </w:r>
          </w:p>
          <w:p w14:paraId="1793602B" w14:textId="77777777" w:rsidR="00562281" w:rsidRPr="00BE7AF3" w:rsidRDefault="00562281" w:rsidP="002936C2">
            <w:pPr>
              <w:pStyle w:val="Bulletsinatable"/>
              <w:numPr>
                <w:ilvl w:val="0"/>
                <w:numId w:val="41"/>
              </w:numPr>
              <w:ind w:left="360"/>
            </w:pPr>
            <w:r w:rsidRPr="00C322ED">
              <w:t>15% offset applies if provided as a disability superannuation benefit</w:t>
            </w:r>
          </w:p>
        </w:tc>
      </w:tr>
      <w:tr w:rsidR="00562281" w14:paraId="62C9162E" w14:textId="77777777" w:rsidTr="00DE4B4D">
        <w:trPr>
          <w:trHeight w:val="304"/>
        </w:trPr>
        <w:tc>
          <w:tcPr>
            <w:tcW w:w="997" w:type="dxa"/>
            <w:vMerge/>
            <w:tcBorders>
              <w:bottom w:val="single" w:sz="4" w:space="0" w:color="148A5D" w:themeColor="accent2"/>
            </w:tcBorders>
          </w:tcPr>
          <w:p w14:paraId="3B8925B1" w14:textId="77777777" w:rsidR="00562281" w:rsidRPr="008B7EFF" w:rsidRDefault="00562281" w:rsidP="00562281">
            <w:pPr>
              <w:pStyle w:val="Tabletext"/>
            </w:pPr>
          </w:p>
        </w:tc>
        <w:tc>
          <w:tcPr>
            <w:tcW w:w="1821" w:type="dxa"/>
            <w:tcBorders>
              <w:top w:val="single" w:sz="4" w:space="0" w:color="148A5D" w:themeColor="accent2"/>
              <w:bottom w:val="single" w:sz="4" w:space="0" w:color="148A5D" w:themeColor="accent2"/>
              <w:right w:val="nil"/>
            </w:tcBorders>
          </w:tcPr>
          <w:p w14:paraId="1777C4C8" w14:textId="77777777" w:rsidR="00562281" w:rsidRPr="008B7EFF" w:rsidRDefault="00562281" w:rsidP="000B718F">
            <w:pPr>
              <w:pStyle w:val="Textinthetable"/>
            </w:pPr>
            <w:r w:rsidRPr="008B7EFF">
              <w:t>Untaxed element</w:t>
            </w:r>
          </w:p>
        </w:tc>
        <w:tc>
          <w:tcPr>
            <w:tcW w:w="5572" w:type="dxa"/>
            <w:tcBorders>
              <w:top w:val="single" w:sz="4" w:space="0" w:color="148A5D" w:themeColor="accent2"/>
              <w:left w:val="nil"/>
              <w:bottom w:val="single" w:sz="4" w:space="0" w:color="148A5D" w:themeColor="accent2"/>
              <w:right w:val="nil"/>
            </w:tcBorders>
          </w:tcPr>
          <w:p w14:paraId="68C4D916" w14:textId="77777777" w:rsidR="00562281" w:rsidRPr="00C322ED" w:rsidRDefault="00562281" w:rsidP="000B718F">
            <w:pPr>
              <w:pStyle w:val="Textinthetable"/>
            </w:pPr>
            <w:r w:rsidRPr="00C322ED">
              <w:t xml:space="preserve">Included in assessable income </w:t>
            </w:r>
          </w:p>
        </w:tc>
      </w:tr>
    </w:tbl>
    <w:p w14:paraId="5764BFD8" w14:textId="51A847F6" w:rsidR="00562281" w:rsidRDefault="00562281" w:rsidP="00562281">
      <w:pPr>
        <w:pStyle w:val="Notesfortablesfigures"/>
      </w:pPr>
      <w:r w:rsidRPr="00075C9B">
        <w:t>Note:</w:t>
      </w:r>
      <w:r>
        <w:t xml:space="preserve"> (a) </w:t>
      </w:r>
      <w:r w:rsidR="00B8348E">
        <w:t>T</w:t>
      </w:r>
      <w:r>
        <w:t>he defined benefit income cap is an annual limit on the amount of tax-free income that can be received from a capped defined benefit income stream.</w:t>
      </w:r>
    </w:p>
    <w:p w14:paraId="4F20B934" w14:textId="559E91BD" w:rsidR="00562281" w:rsidRPr="001F451E" w:rsidRDefault="00562281" w:rsidP="00562281">
      <w:pPr>
        <w:pStyle w:val="Notesfortablesfigures"/>
      </w:pPr>
      <w:r w:rsidRPr="0021497E">
        <w:t>Source</w:t>
      </w:r>
      <w:r w:rsidR="00B8348E">
        <w:t>s</w:t>
      </w:r>
      <w:r w:rsidRPr="0021497E">
        <w:t>:</w:t>
      </w:r>
      <w:r>
        <w:t xml:space="preserve"> </w:t>
      </w:r>
      <w:r w:rsidRPr="009B72A2">
        <w:rPr>
          <w:i/>
          <w:iCs/>
        </w:rPr>
        <w:t>Income Tax Assessment Act 1997</w:t>
      </w:r>
      <w:r>
        <w:t xml:space="preserve"> (Cth)</w:t>
      </w:r>
      <w:r w:rsidR="00B8348E">
        <w:t>,</w:t>
      </w:r>
      <w:r>
        <w:t xml:space="preserve"> Division 301 and Division 303; </w:t>
      </w:r>
      <w:r w:rsidR="00203E85">
        <w:t>ATO</w:t>
      </w:r>
      <w:r>
        <w:t>, ‘Law Companion Ruling 2017/1 - Superannuation reform: capped defined benefit income streams - pensions or annuities paid from non-commutable, life expectancy or market linked products’, 10 October 2018.</w:t>
      </w:r>
    </w:p>
    <w:p w14:paraId="14A729A3" w14:textId="77777777" w:rsidR="00562281" w:rsidRPr="00175E74" w:rsidRDefault="00562281" w:rsidP="007D2211">
      <w:pPr>
        <w:pStyle w:val="ChapterHeading0"/>
        <w:rPr>
          <w:rFonts w:ascii="Rockwell" w:hAnsi="Rockwell"/>
        </w:rPr>
      </w:pPr>
      <w:bookmarkStart w:id="157" w:name="_Toc51234172"/>
      <w:r>
        <w:br w:type="page"/>
      </w:r>
      <w:bookmarkStart w:id="158" w:name="_Hlk47597003"/>
      <w:r w:rsidRPr="00E64B0C">
        <w:lastRenderedPageBreak/>
        <w:t xml:space="preserve">Appendix </w:t>
      </w:r>
      <w:r>
        <w:t>D</w:t>
      </w:r>
      <w:r w:rsidRPr="00E64B0C">
        <w:t xml:space="preserve"> – </w:t>
      </w:r>
      <w:r>
        <w:t>Actuarial modelling methodology</w:t>
      </w:r>
      <w:r w:rsidR="007D2211">
        <w:br/>
      </w:r>
      <w:r w:rsidR="007D2211">
        <w:drawing>
          <wp:anchor distT="0" distB="0" distL="114300" distR="114300" simplePos="0" relativeHeight="251658244" behindDoc="1" locked="0" layoutInCell="1" allowOverlap="1" wp14:anchorId="3ACE5661" wp14:editId="0E2A9124">
            <wp:simplePos x="0" y="0"/>
            <wp:positionH relativeFrom="margin">
              <wp:posOffset>-635</wp:posOffset>
            </wp:positionH>
            <wp:positionV relativeFrom="paragraph">
              <wp:posOffset>1266290</wp:posOffset>
            </wp:positionV>
            <wp:extent cx="2222500" cy="2533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7"/>
    </w:p>
    <w:p w14:paraId="3533FD0C" w14:textId="77777777" w:rsidR="00562281" w:rsidRPr="00F7682C" w:rsidRDefault="00562281" w:rsidP="00562281">
      <w:pPr>
        <w:pStyle w:val="Paragraph"/>
      </w:pPr>
      <w:r w:rsidRPr="00F7682C">
        <w:t xml:space="preserve">The Tribunal commissioned PwC, consultants, to carry out actuarial modelling to compare the expected superannuation benefits that may be payable from the New Benefits Scheme and the accumulation scheme. </w:t>
      </w:r>
    </w:p>
    <w:p w14:paraId="267F8F6D" w14:textId="66160FF4" w:rsidR="00562281" w:rsidRPr="00F7682C" w:rsidRDefault="00562281" w:rsidP="00562281">
      <w:pPr>
        <w:pStyle w:val="Parabeforeabulletlist"/>
      </w:pPr>
      <w:r w:rsidRPr="00F7682C">
        <w:t>The modelling incorporated both</w:t>
      </w:r>
      <w:r w:rsidR="001104FE">
        <w:t xml:space="preserve"> a</w:t>
      </w:r>
      <w:r w:rsidRPr="00F7682C">
        <w:t>:</w:t>
      </w:r>
    </w:p>
    <w:p w14:paraId="06AE08D1" w14:textId="75896E74" w:rsidR="00562281" w:rsidRPr="00F7682C" w:rsidRDefault="00562281" w:rsidP="00562281">
      <w:pPr>
        <w:pStyle w:val="VIRTBulletpoints"/>
      </w:pPr>
      <w:r w:rsidRPr="00F7682C">
        <w:rPr>
          <w:i/>
          <w:iCs/>
        </w:rPr>
        <w:t>backward-looking approach</w:t>
      </w:r>
      <w:r w:rsidRPr="00F7682C">
        <w:t>: estimating the total superannuation benefit of a hypothetical MP who was a member of either scheme and who served in the Parliament between 2004 and 2019</w:t>
      </w:r>
    </w:p>
    <w:p w14:paraId="5D94E096" w14:textId="46C790FE" w:rsidR="00562281" w:rsidRPr="00F7682C" w:rsidRDefault="00562281" w:rsidP="00562281">
      <w:pPr>
        <w:pStyle w:val="VIRTBulletpoints"/>
      </w:pPr>
      <w:r w:rsidRPr="00F7682C">
        <w:rPr>
          <w:i/>
          <w:iCs/>
        </w:rPr>
        <w:t>forward-looking approach</w:t>
      </w:r>
      <w:r w:rsidRPr="00F7682C">
        <w:t>: estimating the total superannuation benefit of a hypothetical MP who was a member of either scheme and who served in the Parliament from 2020 and left Parliament on a specified end date, for example, 2032.</w:t>
      </w:r>
    </w:p>
    <w:p w14:paraId="3CD84271" w14:textId="0AE38EEF" w:rsidR="00562281" w:rsidRPr="00F7682C" w:rsidRDefault="00562281" w:rsidP="00562281">
      <w:pPr>
        <w:pStyle w:val="Paragraph"/>
      </w:pPr>
      <w:r w:rsidRPr="00F7682C">
        <w:t>This appendix explains the industry standard assumptions and methodology used in the modelling.</w:t>
      </w:r>
      <w:r>
        <w:t xml:space="preserve"> </w:t>
      </w:r>
    </w:p>
    <w:p w14:paraId="4F79C3F0" w14:textId="77777777" w:rsidR="00562281" w:rsidRPr="00175E74" w:rsidRDefault="00562281" w:rsidP="00562281">
      <w:pPr>
        <w:pStyle w:val="VIRTHeading2"/>
      </w:pPr>
      <w:bookmarkStart w:id="159" w:name="_Toc51061938"/>
      <w:bookmarkStart w:id="160" w:name="_Toc51234173"/>
      <w:r>
        <w:t>D1. Methodology</w:t>
      </w:r>
      <w:bookmarkEnd w:id="159"/>
      <w:bookmarkEnd w:id="160"/>
    </w:p>
    <w:p w14:paraId="0D5EB4B1" w14:textId="59275AD8" w:rsidR="00562281" w:rsidRDefault="00562281" w:rsidP="00562281">
      <w:pPr>
        <w:pStyle w:val="VIRTHeading3"/>
        <w:rPr>
          <w:rFonts w:ascii="Rockwell" w:hAnsi="Rockwell"/>
        </w:rPr>
      </w:pPr>
      <w:r>
        <w:rPr>
          <w:rFonts w:ascii="Rockwell" w:hAnsi="Rockwell"/>
        </w:rPr>
        <w:t>Benefit comparisons</w:t>
      </w:r>
      <w:r w:rsidRPr="00CD286C" w:rsidDel="00CD286C">
        <w:rPr>
          <w:rFonts w:ascii="Rockwell" w:hAnsi="Rockwell"/>
        </w:rPr>
        <w:t xml:space="preserve"> </w:t>
      </w:r>
    </w:p>
    <w:p w14:paraId="0546B05D" w14:textId="0FE761E3" w:rsidR="00562281" w:rsidRPr="008E1BD2" w:rsidRDefault="00562281" w:rsidP="00562281">
      <w:pPr>
        <w:pStyle w:val="Paragraph"/>
      </w:pPr>
      <w:r w:rsidRPr="005B5962">
        <w:t xml:space="preserve">The modelling used several methodologies to enable the benefits provided by the New Benefits Scheme and accumulation scheme to be directly compared, taking into account differences in the time at which lump sum and pension benefits can be accessed. The value of benefits was calculated at the point of exiting the Parliament for new MPs (i.e. no previous service has been allowed for) and was then </w:t>
      </w:r>
      <w:r w:rsidR="00413DBE">
        <w:t>expressed</w:t>
      </w:r>
      <w:r w:rsidRPr="005B5962">
        <w:t xml:space="preserve"> in present</w:t>
      </w:r>
      <w:r>
        <w:t xml:space="preserve"> value terms.</w:t>
      </w:r>
    </w:p>
    <w:p w14:paraId="292732ED" w14:textId="77777777" w:rsidR="008872BF" w:rsidRDefault="008872BF" w:rsidP="00562281">
      <w:pPr>
        <w:pStyle w:val="Parabeforeabulletlist"/>
      </w:pPr>
      <w:r>
        <w:br w:type="page"/>
      </w:r>
    </w:p>
    <w:p w14:paraId="03E88CE5" w14:textId="61F9044F" w:rsidR="00562281" w:rsidRPr="008E1BD2" w:rsidRDefault="00562281" w:rsidP="00562281">
      <w:pPr>
        <w:pStyle w:val="Parabeforeabulletlist"/>
      </w:pPr>
      <w:r w:rsidRPr="008E1BD2">
        <w:lastRenderedPageBreak/>
        <w:t xml:space="preserve">Where possible the benefits </w:t>
      </w:r>
      <w:r>
        <w:t>were</w:t>
      </w:r>
      <w:r w:rsidRPr="008E1BD2">
        <w:t xml:space="preserve"> compared on a </w:t>
      </w:r>
      <w:r>
        <w:t>‘</w:t>
      </w:r>
      <w:r w:rsidRPr="008E1BD2">
        <w:t>like</w:t>
      </w:r>
      <w:r>
        <w:t>-</w:t>
      </w:r>
      <w:r w:rsidRPr="008E1BD2">
        <w:t>for</w:t>
      </w:r>
      <w:r>
        <w:t>-</w:t>
      </w:r>
      <w:r w:rsidRPr="008E1BD2">
        <w:t>like</w:t>
      </w:r>
      <w:r>
        <w:t>’</w:t>
      </w:r>
      <w:r w:rsidRPr="008E1BD2">
        <w:t xml:space="preserve"> basis</w:t>
      </w:r>
      <w:r>
        <w:t>,</w:t>
      </w:r>
      <w:r w:rsidRPr="008E1BD2">
        <w:t xml:space="preserve"> </w:t>
      </w:r>
      <w:r>
        <w:t>taking into</w:t>
      </w:r>
      <w:r w:rsidRPr="008E1BD2">
        <w:t xml:space="preserve"> account:</w:t>
      </w:r>
    </w:p>
    <w:p w14:paraId="0B71EE02" w14:textId="77777777" w:rsidR="00562281" w:rsidRPr="00124BEA" w:rsidRDefault="00562281" w:rsidP="00606DE8">
      <w:pPr>
        <w:pStyle w:val="VIRTBulletpoints"/>
        <w:numPr>
          <w:ilvl w:val="0"/>
          <w:numId w:val="14"/>
        </w:numPr>
        <w:spacing w:after="120"/>
        <w:ind w:left="357" w:hanging="357"/>
      </w:pPr>
      <w:r w:rsidRPr="00124BEA">
        <w:t xml:space="preserve">any compulsory employee contributions payable </w:t>
      </w:r>
      <w:r>
        <w:t xml:space="preserve">by members of the New Benefits Scheme </w:t>
      </w:r>
      <w:r w:rsidRPr="00124BEA">
        <w:t xml:space="preserve">(e.g. equivalent contributions </w:t>
      </w:r>
      <w:r>
        <w:t>were assumed to be</w:t>
      </w:r>
      <w:r w:rsidRPr="00124BEA">
        <w:t xml:space="preserve"> </w:t>
      </w:r>
      <w:r>
        <w:t>made by members of</w:t>
      </w:r>
      <w:r w:rsidRPr="00124BEA">
        <w:t xml:space="preserve"> the accumulation </w:t>
      </w:r>
      <w:r>
        <w:t>scheme</w:t>
      </w:r>
      <w:r w:rsidRPr="00124BEA">
        <w:t>)</w:t>
      </w:r>
    </w:p>
    <w:p w14:paraId="2CC47AC6" w14:textId="011B65C4" w:rsidR="00562281" w:rsidRPr="00124BEA" w:rsidRDefault="00562281" w:rsidP="00562281">
      <w:pPr>
        <w:pStyle w:val="VIRTBulletpoints"/>
        <w:numPr>
          <w:ilvl w:val="0"/>
          <w:numId w:val="14"/>
        </w:numPr>
        <w:spacing w:after="120"/>
      </w:pPr>
      <w:r w:rsidRPr="00124BEA">
        <w:t xml:space="preserve">the tax status of </w:t>
      </w:r>
      <w:r>
        <w:t xml:space="preserve">the </w:t>
      </w:r>
      <w:r w:rsidRPr="00124BEA">
        <w:t xml:space="preserve">employee contributions (e.g. </w:t>
      </w:r>
      <w:r>
        <w:t xml:space="preserve">the </w:t>
      </w:r>
      <w:r w:rsidRPr="00124BEA">
        <w:t>model</w:t>
      </w:r>
      <w:r>
        <w:t>ling</w:t>
      </w:r>
      <w:r w:rsidRPr="00124BEA">
        <w:t xml:space="preserve"> assume</w:t>
      </w:r>
      <w:r>
        <w:t>d</w:t>
      </w:r>
      <w:r w:rsidRPr="00124BEA">
        <w:t xml:space="preserve"> that additional employee contributions to the accumulation scheme </w:t>
      </w:r>
      <w:r>
        <w:t>were</w:t>
      </w:r>
      <w:r w:rsidRPr="00124BEA">
        <w:t xml:space="preserve"> also after-tax and based on the </w:t>
      </w:r>
      <w:r w:rsidR="00606DE8">
        <w:t>BSP</w:t>
      </w:r>
      <w:r w:rsidRPr="00124BEA">
        <w:t>)</w:t>
      </w:r>
    </w:p>
    <w:p w14:paraId="08A6D2AD" w14:textId="77777777" w:rsidR="00562281" w:rsidRPr="00124BEA" w:rsidRDefault="00562281" w:rsidP="00562281">
      <w:pPr>
        <w:pStyle w:val="VIRTBulletpoints"/>
        <w:numPr>
          <w:ilvl w:val="0"/>
          <w:numId w:val="14"/>
        </w:numPr>
        <w:spacing w:after="120"/>
      </w:pPr>
      <w:r w:rsidRPr="00124BEA">
        <w:t>insurance benefits (death and total and permanent disability)</w:t>
      </w:r>
      <w:r w:rsidRPr="00124BEA" w:rsidDel="00BE074E">
        <w:t xml:space="preserve"> </w:t>
      </w:r>
      <w:r w:rsidRPr="00124BEA">
        <w:t xml:space="preserve">provided in the New Benefits Scheme, </w:t>
      </w:r>
      <w:r>
        <w:t xml:space="preserve">so the </w:t>
      </w:r>
      <w:r w:rsidRPr="00124BEA">
        <w:t>modelling assume</w:t>
      </w:r>
      <w:r>
        <w:t>d</w:t>
      </w:r>
      <w:r w:rsidRPr="00124BEA">
        <w:t xml:space="preserve"> that the accumulation member would take out an ‘equivalent’ value of insurance (premiums deducted from accumulation balance)</w:t>
      </w:r>
    </w:p>
    <w:p w14:paraId="02ECFB09" w14:textId="77777777" w:rsidR="00562281" w:rsidRPr="00124BEA" w:rsidRDefault="00562281" w:rsidP="00562281">
      <w:pPr>
        <w:pStyle w:val="VIRTBulletpoints"/>
        <w:numPr>
          <w:ilvl w:val="0"/>
          <w:numId w:val="14"/>
        </w:numPr>
        <w:spacing w:after="120"/>
      </w:pPr>
      <w:r w:rsidRPr="00124BEA">
        <w:t>administration costs, which are borne by an accumulation member, and deducted from the accumulation balance.</w:t>
      </w:r>
    </w:p>
    <w:p w14:paraId="586746FC" w14:textId="131BBD2A" w:rsidR="00562281" w:rsidRDefault="00562281" w:rsidP="00562281">
      <w:pPr>
        <w:pStyle w:val="VIRTHeading3"/>
        <w:rPr>
          <w:rFonts w:ascii="Rockwell" w:hAnsi="Rockwell"/>
        </w:rPr>
      </w:pPr>
      <w:r>
        <w:rPr>
          <w:rFonts w:ascii="Rockwell" w:hAnsi="Rockwell"/>
        </w:rPr>
        <w:t>Calculation of accumulation scheme</w:t>
      </w:r>
      <w:r w:rsidRPr="19523574">
        <w:rPr>
          <w:rFonts w:ascii="Rockwell" w:hAnsi="Rockwell"/>
        </w:rPr>
        <w:t xml:space="preserve"> benefits</w:t>
      </w:r>
    </w:p>
    <w:p w14:paraId="0D1B0CAA" w14:textId="77777777" w:rsidR="00562281" w:rsidRDefault="00562281" w:rsidP="00562281">
      <w:pPr>
        <w:pStyle w:val="Paragraph"/>
      </w:pPr>
      <w:r>
        <w:t xml:space="preserve">Accumulation scheme benefits were calculated based on the sum of employer and employee contributions and investment returns (after-tax), with deductions made for insurance premiums and administration costs that were borne by the member. </w:t>
      </w:r>
    </w:p>
    <w:p w14:paraId="61C19B70" w14:textId="1F24F2D1" w:rsidR="00562281" w:rsidRDefault="00562281" w:rsidP="00562281">
      <w:pPr>
        <w:pStyle w:val="Paragraph"/>
      </w:pPr>
      <w:r>
        <w:t xml:space="preserve">In addition, </w:t>
      </w:r>
      <w:r w:rsidR="00E57E71">
        <w:t>provision was</w:t>
      </w:r>
      <w:r>
        <w:t xml:space="preserve"> made for the separation payment (for exits from </w:t>
      </w:r>
      <w:r w:rsidR="00E57E71">
        <w:br/>
      </w:r>
      <w:r>
        <w:t xml:space="preserve">30 June 2019) and the resettlement allowance (for involuntary exits between </w:t>
      </w:r>
      <w:r w:rsidR="00E57E71">
        <w:br/>
      </w:r>
      <w:r>
        <w:t>30 June 2014 to 30 June 2018) payable to MPs.</w:t>
      </w:r>
    </w:p>
    <w:p w14:paraId="5B75150B" w14:textId="5230FE24" w:rsidR="00562281" w:rsidRPr="00544473" w:rsidRDefault="008F4949" w:rsidP="00562281">
      <w:pPr>
        <w:pStyle w:val="VIRTheading40"/>
      </w:pPr>
      <w:r>
        <w:t>C</w:t>
      </w:r>
      <w:r w:rsidR="00562281" w:rsidRPr="00544473">
        <w:t>ontributions</w:t>
      </w:r>
    </w:p>
    <w:p w14:paraId="35B51C6A" w14:textId="5D3F6944" w:rsidR="00562281" w:rsidRDefault="008F4949" w:rsidP="00562281">
      <w:pPr>
        <w:pStyle w:val="Paragraph"/>
      </w:pPr>
      <w:r>
        <w:t>C</w:t>
      </w:r>
      <w:r w:rsidR="00562281">
        <w:t xml:space="preserve">ontributions historically ranged from between 9 per cent (2004-05 financial year) to 15.5 per cent (2018-19 financial year) of salary. Future rates were assumed to be the SG percentage plus 6 per cent. </w:t>
      </w:r>
      <w:r w:rsidR="00562281" w:rsidRPr="00F7682C">
        <w:t xml:space="preserve">The modelling assumed that the </w:t>
      </w:r>
      <w:r w:rsidR="00BC1EF9">
        <w:t>SG</w:t>
      </w:r>
      <w:r w:rsidR="00562281" w:rsidRPr="00F7682C">
        <w:t xml:space="preserve"> percentage will incrementally increase to 12 per cent by the </w:t>
      </w:r>
      <w:r w:rsidR="00811C5E">
        <w:br/>
      </w:r>
      <w:r w:rsidR="00562281" w:rsidRPr="00F7682C">
        <w:t xml:space="preserve">2024-25 financial year, as is currently legislated to occur. </w:t>
      </w:r>
    </w:p>
    <w:p w14:paraId="000FEB0C" w14:textId="3B53268D" w:rsidR="00562281" w:rsidRDefault="00562281" w:rsidP="00562281">
      <w:pPr>
        <w:pStyle w:val="Paragraph"/>
      </w:pPr>
      <w:r>
        <w:t xml:space="preserve">Additional non-concessional employee contributions were included at a rate of </w:t>
      </w:r>
      <w:r>
        <w:br/>
        <w:t xml:space="preserve">11.5 per cent (after-tax) of the </w:t>
      </w:r>
      <w:r w:rsidR="008F4949">
        <w:t>BSP</w:t>
      </w:r>
      <w:r>
        <w:t xml:space="preserve"> to be equivalent with the contributions made in the New Benefits Scheme (for periods where contributions would still be payable by a member of that scheme).</w:t>
      </w:r>
    </w:p>
    <w:p w14:paraId="7DB8EB58" w14:textId="77777777" w:rsidR="00562281" w:rsidRPr="00544473" w:rsidRDefault="00562281" w:rsidP="00562281">
      <w:pPr>
        <w:pStyle w:val="VIRTheading40"/>
      </w:pPr>
      <w:r w:rsidRPr="00544473">
        <w:lastRenderedPageBreak/>
        <w:t>Accumulation scheme administration costs, insurance premiums and taxes</w:t>
      </w:r>
    </w:p>
    <w:p w14:paraId="3A2993D2" w14:textId="77777777" w:rsidR="00562281" w:rsidRDefault="00562281" w:rsidP="00562281">
      <w:pPr>
        <w:pStyle w:val="Paragraph"/>
      </w:pPr>
      <w:r>
        <w:t>Under the accumulation scheme, members must pay for their own insurance (which is provided under the New Benefits Scheme). To calculate a ‘like-for-like’ basis, the cost of insurance was deducted from the accumulation balance.</w:t>
      </w:r>
    </w:p>
    <w:p w14:paraId="6818A259" w14:textId="77777777" w:rsidR="00562281" w:rsidRDefault="00562281" w:rsidP="00562281">
      <w:pPr>
        <w:pStyle w:val="Parabeforeabulletlist"/>
      </w:pPr>
      <w:r>
        <w:t>The modelling assumed that premium costs are consistent with the default superannuation fund (</w:t>
      </w:r>
      <w:proofErr w:type="spellStart"/>
      <w:r>
        <w:t>VicSuper</w:t>
      </w:r>
      <w:proofErr w:type="spellEnd"/>
      <w:r>
        <w:t>) at 30 June 2020. The value of the insurance benefit was based on the insured amount in the New Benefits Scheme, calculated as:</w:t>
      </w:r>
    </w:p>
    <w:p w14:paraId="14191FFA" w14:textId="701A90A2" w:rsidR="00562281" w:rsidRPr="008E1BD2" w:rsidRDefault="00562281" w:rsidP="00562281">
      <w:pPr>
        <w:pStyle w:val="VIRTBulletpoints"/>
        <w:numPr>
          <w:ilvl w:val="0"/>
          <w:numId w:val="14"/>
        </w:numPr>
        <w:spacing w:after="120"/>
      </w:pPr>
      <w:r w:rsidRPr="00A036FA">
        <w:rPr>
          <w:i/>
          <w:iCs/>
        </w:rPr>
        <w:t>death</w:t>
      </w:r>
      <w:r>
        <w:t xml:space="preserve">: present value of </w:t>
      </w:r>
      <w:r w:rsidR="00EA45E5">
        <w:t>partner</w:t>
      </w:r>
      <w:r>
        <w:t>’s pension under the New Benefits Scheme minus the accrued benefit under that scheme</w:t>
      </w:r>
    </w:p>
    <w:p w14:paraId="22EC8606" w14:textId="77777777" w:rsidR="00562281" w:rsidRPr="008E1BD2" w:rsidRDefault="00562281" w:rsidP="00562281">
      <w:pPr>
        <w:pStyle w:val="VIRTBulletpoints"/>
        <w:numPr>
          <w:ilvl w:val="0"/>
          <w:numId w:val="14"/>
        </w:numPr>
        <w:spacing w:after="120"/>
      </w:pPr>
      <w:r w:rsidRPr="00A036FA">
        <w:rPr>
          <w:i/>
          <w:iCs/>
        </w:rPr>
        <w:t>disability</w:t>
      </w:r>
      <w:r>
        <w:t>: present value of invalidity pension under the New Benefits Scheme minus the accrued benefit under that scheme.</w:t>
      </w:r>
    </w:p>
    <w:p w14:paraId="66DE639A" w14:textId="77777777" w:rsidR="00562281" w:rsidRPr="00EF64E8" w:rsidRDefault="00562281" w:rsidP="00562281">
      <w:pPr>
        <w:pStyle w:val="Paragraph"/>
      </w:pPr>
      <w:r>
        <w:t>Accumulation members are also charged administration fees. These were deducted in line with default superannuation fund fees as at 30 June 2020.</w:t>
      </w:r>
    </w:p>
    <w:p w14:paraId="7C9FF976" w14:textId="77777777" w:rsidR="00562281" w:rsidRDefault="00562281" w:rsidP="00562281">
      <w:pPr>
        <w:pStyle w:val="Paragraph"/>
      </w:pPr>
      <w:r>
        <w:t>Taxation on concessional contributions was 15 per cent after deductions for insurance and administration fee costs (plus any excess concessional charges). For modelling purposes, all future fees were indexed annually by the assumed salary growth rate of 4 per cent, based on Average Weekly Ordinary Time Earnings.</w:t>
      </w:r>
    </w:p>
    <w:p w14:paraId="20322100" w14:textId="77777777" w:rsidR="00562281" w:rsidRPr="00544473" w:rsidRDefault="00562281" w:rsidP="00562281">
      <w:pPr>
        <w:pStyle w:val="VIRTheading40"/>
      </w:pPr>
      <w:r w:rsidRPr="00544473">
        <w:t>Investment returns</w:t>
      </w:r>
    </w:p>
    <w:p w14:paraId="3E28BDAA" w14:textId="77777777" w:rsidR="00562281" w:rsidRDefault="00562281" w:rsidP="00562281">
      <w:pPr>
        <w:pStyle w:val="Paragraph"/>
      </w:pPr>
      <w:r>
        <w:t>For historical returns, the modelling was based on the default investment option (</w:t>
      </w:r>
      <w:proofErr w:type="spellStart"/>
      <w:r>
        <w:t>VicSuper</w:t>
      </w:r>
      <w:proofErr w:type="spellEnd"/>
      <w:r>
        <w:t xml:space="preserve"> </w:t>
      </w:r>
      <w:proofErr w:type="spellStart"/>
      <w:r>
        <w:t>FutureSaver</w:t>
      </w:r>
      <w:proofErr w:type="spellEnd"/>
      <w:r>
        <w:t xml:space="preserve"> Growth) returns, after investment fees and tax.</w:t>
      </w:r>
    </w:p>
    <w:p w14:paraId="3C00F33B" w14:textId="0A3B12F0" w:rsidR="00562281" w:rsidRDefault="00562281" w:rsidP="00562281">
      <w:pPr>
        <w:pStyle w:val="Paragraph"/>
      </w:pPr>
      <w:r>
        <w:t xml:space="preserve">Future assumed returns considered the investment return objectives of the default investment option as well as assumptions used by the Australian Securities and Investments Commission (ASIC) in its </w:t>
      </w:r>
      <w:proofErr w:type="spellStart"/>
      <w:r>
        <w:t>Money</w:t>
      </w:r>
      <w:r w:rsidR="00726001">
        <w:t>s</w:t>
      </w:r>
      <w:r>
        <w:t>mart</w:t>
      </w:r>
      <w:proofErr w:type="spellEnd"/>
      <w:r>
        <w:t xml:space="preserve"> superannuation calculator.</w:t>
      </w:r>
      <w:r>
        <w:rPr>
          <w:rStyle w:val="FootnoteReference"/>
        </w:rPr>
        <w:footnoteReference w:id="159"/>
      </w:r>
      <w:r>
        <w:t xml:space="preserve"> T</w:t>
      </w:r>
      <w:r w:rsidRPr="00B340C8">
        <w:t>he gross investment return</w:t>
      </w:r>
      <w:r>
        <w:t xml:space="preserve"> was estimated at</w:t>
      </w:r>
      <w:r w:rsidRPr="00B340C8">
        <w:t xml:space="preserve"> 7.5 per cent p.a., with the net investment return assumed to be 6 per cent p.a. due to investment fees (0.85 per cent p.a.) and tax (0.525 per cent p.a.).</w:t>
      </w:r>
    </w:p>
    <w:p w14:paraId="0B7FFB6C" w14:textId="77777777" w:rsidR="00562281" w:rsidRPr="00544473" w:rsidRDefault="00562281" w:rsidP="00562281">
      <w:pPr>
        <w:pStyle w:val="VIRTheading40"/>
      </w:pPr>
      <w:r w:rsidRPr="00544473">
        <w:t>Separation payment/resettlement allowance</w:t>
      </w:r>
    </w:p>
    <w:p w14:paraId="47DD21AB" w14:textId="5785EA89" w:rsidR="00562281" w:rsidRDefault="00562281" w:rsidP="00562281">
      <w:pPr>
        <w:pStyle w:val="Paragraph"/>
      </w:pPr>
      <w:r>
        <w:t xml:space="preserve">On 1 July 2013, the resettlement allowance was introduced providing MPs in the accumulation scheme with an additional payment if they were defeated at a general election or did not seek re-election as a result of not being endorsed by a </w:t>
      </w:r>
      <w:r>
        <w:lastRenderedPageBreak/>
        <w:t xml:space="preserve">registered political party. The value of this allowance was either </w:t>
      </w:r>
      <w:r w:rsidR="00811C5E">
        <w:t>3</w:t>
      </w:r>
      <w:r>
        <w:t xml:space="preserve"> or </w:t>
      </w:r>
      <w:r w:rsidR="00811C5E">
        <w:t>6</w:t>
      </w:r>
      <w:r>
        <w:t xml:space="preserve"> months’ basic salary and based on the number of terms served by the MP.</w:t>
      </w:r>
    </w:p>
    <w:p w14:paraId="0961893F" w14:textId="3608A06B" w:rsidR="00562281" w:rsidRPr="003F52F9" w:rsidRDefault="00562281" w:rsidP="00562281">
      <w:pPr>
        <w:pStyle w:val="Paragraph"/>
      </w:pPr>
      <w:r w:rsidRPr="003F52F9">
        <w:t xml:space="preserve">In 2019, the resettlement allowance was replaced by the separation payment. This is provided to all MPs who leave the Parliament for reasons other than corrupt conduct or wilful breach of duties. The value of the payment </w:t>
      </w:r>
      <w:r>
        <w:t>is</w:t>
      </w:r>
      <w:r w:rsidRPr="003F52F9">
        <w:t xml:space="preserve"> between </w:t>
      </w:r>
      <w:r w:rsidR="00CC1422">
        <w:t>3</w:t>
      </w:r>
      <w:r w:rsidRPr="003F52F9">
        <w:t xml:space="preserve"> and </w:t>
      </w:r>
      <w:r w:rsidR="00CC1422">
        <w:t>6</w:t>
      </w:r>
      <w:r w:rsidRPr="003F52F9">
        <w:t xml:space="preserve"> months’ basic salary, depending on the number of terms served by the MP. </w:t>
      </w:r>
    </w:p>
    <w:p w14:paraId="7DDAED7B" w14:textId="17E4D0F4" w:rsidR="00F7682C" w:rsidRDefault="00562281" w:rsidP="00F7682C">
      <w:pPr>
        <w:pStyle w:val="Paragraph"/>
      </w:pPr>
      <w:r w:rsidRPr="00F7682C">
        <w:t xml:space="preserve">These payments are treated as ‘employment termination payments’ for tax purposes. Based on the relevant tax rules and MP salaries, the modelling assumed these payments were taxed at the MP’s marginal rate. </w:t>
      </w:r>
    </w:p>
    <w:p w14:paraId="2F9B8116" w14:textId="03FF094F" w:rsidR="00562281" w:rsidRDefault="00562281" w:rsidP="00562281">
      <w:pPr>
        <w:pStyle w:val="VIRTHeading3"/>
        <w:rPr>
          <w:rFonts w:ascii="Rockwell" w:hAnsi="Rockwell"/>
        </w:rPr>
      </w:pPr>
      <w:r>
        <w:rPr>
          <w:rFonts w:ascii="Rockwell" w:hAnsi="Rockwell"/>
        </w:rPr>
        <w:t>Taxes</w:t>
      </w:r>
    </w:p>
    <w:p w14:paraId="445351C0" w14:textId="580A958C" w:rsidR="00562281" w:rsidRDefault="00562281" w:rsidP="00562281">
      <w:pPr>
        <w:pStyle w:val="Paragraph"/>
      </w:pPr>
      <w:r>
        <w:t>The modelling considered the tax implications associated with the accumulation scheme and the New Benefits Scheme</w:t>
      </w:r>
      <w:r w:rsidR="00EA01BD">
        <w:t xml:space="preserve"> as outlined in appendix C</w:t>
      </w:r>
      <w:r>
        <w:t>.</w:t>
      </w:r>
    </w:p>
    <w:p w14:paraId="29180D9A" w14:textId="62590FF2" w:rsidR="00545D12" w:rsidRDefault="0091697C" w:rsidP="00562281">
      <w:pPr>
        <w:pStyle w:val="Paragraph"/>
      </w:pPr>
      <w:r w:rsidRPr="0091697C">
        <w:t>The modelling assume</w:t>
      </w:r>
      <w:r>
        <w:t>d</w:t>
      </w:r>
      <w:r w:rsidRPr="0091697C">
        <w:t xml:space="preserve"> that contributions which exceed Commonwealth tax caps are retained within superannuation and taxed accordingly, even where MPs would have </w:t>
      </w:r>
      <w:r w:rsidR="0089156A" w:rsidRPr="0027117F">
        <w:t>had</w:t>
      </w:r>
      <w:r w:rsidRPr="0027117F">
        <w:t xml:space="preserve"> </w:t>
      </w:r>
      <w:r w:rsidRPr="0091697C">
        <w:t>the option to withdraw some or all of the excess contributions to potentially reduce the tax incurred.</w:t>
      </w:r>
    </w:p>
    <w:p w14:paraId="4B73FCB4" w14:textId="23ABCCA5" w:rsidR="00562281" w:rsidRDefault="00562281" w:rsidP="00562281">
      <w:pPr>
        <w:pStyle w:val="Paragraph"/>
      </w:pPr>
      <w:r w:rsidRPr="00D26DB5">
        <w:t>Taxes were estimated on the basis that MPs did not have other sources of income</w:t>
      </w:r>
      <w:r w:rsidR="005324FA">
        <w:t xml:space="preserve"> or assets</w:t>
      </w:r>
      <w:r w:rsidRPr="00D26DB5">
        <w:t>.</w:t>
      </w:r>
    </w:p>
    <w:p w14:paraId="3BB269F2" w14:textId="77777777" w:rsidR="00562281" w:rsidRDefault="00562281" w:rsidP="00562281">
      <w:pPr>
        <w:pStyle w:val="VIRTHeading2"/>
      </w:pPr>
      <w:bookmarkStart w:id="161" w:name="_Toc51061939"/>
      <w:bookmarkStart w:id="162" w:name="_Toc51234174"/>
      <w:r>
        <w:t>D2. Other assumptions</w:t>
      </w:r>
      <w:bookmarkEnd w:id="161"/>
      <w:bookmarkEnd w:id="162"/>
    </w:p>
    <w:p w14:paraId="4697399D" w14:textId="15EF5505" w:rsidR="00562281" w:rsidRDefault="00562281" w:rsidP="00562281">
      <w:pPr>
        <w:pStyle w:val="Parabeforeabulletlist"/>
      </w:pPr>
      <w:r>
        <w:t xml:space="preserve">Other modelling assumptions </w:t>
      </w:r>
      <w:r w:rsidR="0005024A">
        <w:t>made by PwC</w:t>
      </w:r>
      <w:r>
        <w:t xml:space="preserve"> related to:</w:t>
      </w:r>
    </w:p>
    <w:p w14:paraId="328A0790" w14:textId="3E186B37" w:rsidR="00562281" w:rsidRPr="00E21900" w:rsidRDefault="00562281" w:rsidP="0005024A">
      <w:pPr>
        <w:pStyle w:val="VIRTBulletpoints"/>
        <w:numPr>
          <w:ilvl w:val="0"/>
          <w:numId w:val="14"/>
        </w:numPr>
        <w:spacing w:before="120" w:after="120"/>
        <w:ind w:left="357" w:hanging="357"/>
      </w:pPr>
      <w:r w:rsidRPr="002E747B">
        <w:rPr>
          <w:i/>
          <w:iCs/>
        </w:rPr>
        <w:t>inflation</w:t>
      </w:r>
      <w:r w:rsidRPr="00D801CC">
        <w:t>:</w:t>
      </w:r>
      <w:r w:rsidRPr="002E747B">
        <w:rPr>
          <w:i/>
          <w:iCs/>
        </w:rPr>
        <w:t xml:space="preserve"> </w:t>
      </w:r>
      <w:r w:rsidRPr="00E21900">
        <w:t>based on the Consumer Price Index</w:t>
      </w:r>
      <w:r>
        <w:t xml:space="preserve"> and </w:t>
      </w:r>
      <w:r w:rsidRPr="00E21900">
        <w:t xml:space="preserve">expected to grow at </w:t>
      </w:r>
      <w:r w:rsidR="0005024A">
        <w:br/>
      </w:r>
      <w:r w:rsidRPr="00E21900">
        <w:t xml:space="preserve">2.5 per cent p.a. </w:t>
      </w:r>
      <w:r>
        <w:t xml:space="preserve">as assumed by the ASIC </w:t>
      </w:r>
      <w:proofErr w:type="spellStart"/>
      <w:r>
        <w:t>Moneysmart</w:t>
      </w:r>
      <w:proofErr w:type="spellEnd"/>
      <w:r>
        <w:t xml:space="preserve"> </w:t>
      </w:r>
      <w:r w:rsidR="00726001">
        <w:t>s</w:t>
      </w:r>
      <w:r>
        <w:t xml:space="preserve">uperannuation </w:t>
      </w:r>
      <w:r w:rsidR="00726001">
        <w:t>c</w:t>
      </w:r>
      <w:r>
        <w:t>alculator</w:t>
      </w:r>
    </w:p>
    <w:p w14:paraId="7450FCBF" w14:textId="49D5F77E" w:rsidR="00562281" w:rsidRDefault="00562281" w:rsidP="00562281">
      <w:pPr>
        <w:pStyle w:val="VIRTBulletpoints"/>
        <w:numPr>
          <w:ilvl w:val="0"/>
          <w:numId w:val="14"/>
        </w:numPr>
        <w:spacing w:after="120"/>
      </w:pPr>
      <w:r w:rsidRPr="00E21900">
        <w:rPr>
          <w:i/>
          <w:iCs/>
        </w:rPr>
        <w:t>the marital status of MPs</w:t>
      </w:r>
      <w:r>
        <w:t xml:space="preserve">: MPs were assumed to be married (so that pension payments will revert to a </w:t>
      </w:r>
      <w:r w:rsidR="00C06C51">
        <w:t>partner</w:t>
      </w:r>
      <w:r>
        <w:t xml:space="preserve"> on the MP’s death), with the </w:t>
      </w:r>
      <w:r w:rsidR="00C06C51">
        <w:t>partner</w:t>
      </w:r>
      <w:r>
        <w:t xml:space="preserve"> being </w:t>
      </w:r>
      <w:r w:rsidR="0005024A">
        <w:br/>
      </w:r>
      <w:r w:rsidR="00C06C51">
        <w:t>5</w:t>
      </w:r>
      <w:r>
        <w:t xml:space="preserve"> years younger if female and </w:t>
      </w:r>
      <w:r w:rsidR="00C06C51">
        <w:t>5</w:t>
      </w:r>
      <w:r>
        <w:t xml:space="preserve"> years older if male</w:t>
      </w:r>
    </w:p>
    <w:p w14:paraId="61FD18A1" w14:textId="77777777" w:rsidR="00562281" w:rsidRPr="0002501E" w:rsidRDefault="00562281" w:rsidP="00562281">
      <w:pPr>
        <w:pStyle w:val="VIRTBulletpoints"/>
        <w:numPr>
          <w:ilvl w:val="0"/>
          <w:numId w:val="14"/>
        </w:numPr>
        <w:spacing w:after="120"/>
      </w:pPr>
      <w:r w:rsidRPr="00E21900">
        <w:rPr>
          <w:i/>
          <w:iCs/>
        </w:rPr>
        <w:t>the preservation age for all MPs for tax purposes</w:t>
      </w:r>
      <w:r>
        <w:t>:</w:t>
      </w:r>
      <w:r w:rsidRPr="0002501E">
        <w:t xml:space="preserve"> 60 years</w:t>
      </w:r>
      <w:r>
        <w:t>.</w:t>
      </w:r>
    </w:p>
    <w:bookmarkEnd w:id="158"/>
    <w:p w14:paraId="5E8751A6" w14:textId="77777777" w:rsidR="000B718F" w:rsidRDefault="000B718F" w:rsidP="00562281">
      <w:pPr>
        <w:pStyle w:val="Paragraph"/>
        <w:sectPr w:rsidR="000B718F" w:rsidSect="008872BF">
          <w:type w:val="oddPage"/>
          <w:pgSz w:w="11900" w:h="16840"/>
          <w:pgMar w:top="1701" w:right="1701" w:bottom="1559" w:left="1701" w:header="709" w:footer="709" w:gutter="0"/>
          <w:cols w:space="708"/>
          <w:titlePg/>
          <w:docGrid w:linePitch="299"/>
        </w:sectPr>
      </w:pPr>
    </w:p>
    <w:p w14:paraId="34EBC9DC" w14:textId="6F4471E6" w:rsidR="00841A8F" w:rsidRPr="000740FC" w:rsidRDefault="00841A8F" w:rsidP="00841A8F">
      <w:pPr>
        <w:pStyle w:val="ChapterHeading0"/>
        <w:rPr>
          <w:lang w:val="en-AU"/>
        </w:rPr>
      </w:pPr>
      <w:bookmarkStart w:id="163" w:name="_Toc51234176"/>
      <w:r w:rsidRPr="000740FC">
        <w:rPr>
          <w:lang w:val="en-AU"/>
        </w:rPr>
        <w:lastRenderedPageBreak/>
        <w:t>References</w:t>
      </w:r>
      <w:r w:rsidRPr="000740FC">
        <w:rPr>
          <w:lang w:val="en-AU"/>
        </w:rPr>
        <w:br/>
      </w:r>
      <w:r w:rsidRPr="000740FC">
        <w:rPr>
          <w:lang w:val="en-AU"/>
        </w:rPr>
        <w:drawing>
          <wp:inline distT="0" distB="0" distL="0" distR="0" wp14:anchorId="05CEE7B7" wp14:editId="6D9C1572">
            <wp:extent cx="2218055" cy="254635"/>
            <wp:effectExtent l="0" t="0" r="0" b="0"/>
            <wp:docPr id="1269490302" name="Picture 12694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63"/>
    </w:p>
    <w:p w14:paraId="1E2E9679" w14:textId="77777777" w:rsidR="00564FF9" w:rsidRPr="00AA1081" w:rsidRDefault="00564FF9" w:rsidP="00564FF9">
      <w:pPr>
        <w:spacing w:before="120" w:after="240"/>
        <w:outlineLvl w:val="0"/>
        <w:rPr>
          <w:rFonts w:ascii="Rockwell" w:eastAsia="Rockwell" w:hAnsi="Rockwell" w:cs="Arial"/>
          <w:noProof/>
          <w:color w:val="0F6745"/>
          <w:spacing w:val="20"/>
          <w:sz w:val="30"/>
        </w:rPr>
      </w:pPr>
      <w:r w:rsidRPr="00AA1081">
        <w:rPr>
          <w:rFonts w:ascii="Rockwell" w:eastAsia="Rockwell" w:hAnsi="Rockwell" w:cs="Arial"/>
          <w:noProof/>
          <w:color w:val="0F6745"/>
          <w:spacing w:val="20"/>
          <w:sz w:val="30"/>
        </w:rPr>
        <w:t>Legislation</w:t>
      </w:r>
    </w:p>
    <w:p w14:paraId="7C4F530E"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Constitution Act 1975</w:t>
      </w:r>
      <w:r w:rsidRPr="00AA1081">
        <w:rPr>
          <w:rFonts w:ascii="Calibri Light" w:eastAsia="Rockwell" w:hAnsi="Calibri Light" w:cs="Arial"/>
          <w:color w:val="4D4D4D"/>
          <w:sz w:val="26"/>
          <w:szCs w:val="20"/>
          <w:lang w:val="en-US"/>
        </w:rPr>
        <w:t xml:space="preserve"> (Vic).</w:t>
      </w:r>
    </w:p>
    <w:p w14:paraId="0A323BA5"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Constitution (Parliamentary Reform) Act 2003</w:t>
      </w:r>
      <w:r w:rsidRPr="00AA1081">
        <w:rPr>
          <w:rFonts w:ascii="Calibri Light" w:eastAsia="Rockwell" w:hAnsi="Calibri Light" w:cs="Arial"/>
          <w:color w:val="4D4D4D"/>
          <w:sz w:val="26"/>
          <w:szCs w:val="20"/>
        </w:rPr>
        <w:t xml:space="preserve"> (Vic).</w:t>
      </w:r>
    </w:p>
    <w:p w14:paraId="4426F0A6"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County Court Act 1958</w:t>
      </w:r>
      <w:r w:rsidRPr="00AA1081">
        <w:rPr>
          <w:rFonts w:ascii="Calibri Light" w:eastAsia="Rockwell" w:hAnsi="Calibri Light" w:cs="Arial"/>
          <w:color w:val="4D4D4D"/>
          <w:sz w:val="26"/>
          <w:szCs w:val="20"/>
          <w:lang w:val="en-US"/>
        </w:rPr>
        <w:t xml:space="preserve"> (Vic).</w:t>
      </w:r>
    </w:p>
    <w:p w14:paraId="24EAE3A0"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iCs/>
          <w:color w:val="4D4D4D"/>
          <w:sz w:val="26"/>
          <w:szCs w:val="20"/>
        </w:rPr>
        <w:t>Disability Services Act 1986</w:t>
      </w:r>
      <w:r w:rsidRPr="00AA1081">
        <w:rPr>
          <w:rFonts w:ascii="Calibri Light" w:eastAsia="Rockwell" w:hAnsi="Calibri Light" w:cs="Arial"/>
          <w:color w:val="4D4D4D"/>
          <w:sz w:val="26"/>
          <w:szCs w:val="20"/>
        </w:rPr>
        <w:t xml:space="preserve"> (Cth).</w:t>
      </w:r>
    </w:p>
    <w:p w14:paraId="622B4A5D"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iCs/>
          <w:color w:val="4D4D4D"/>
          <w:sz w:val="26"/>
          <w:szCs w:val="20"/>
        </w:rPr>
        <w:t>Electorate Act 2002</w:t>
      </w:r>
      <w:r w:rsidRPr="00AA1081">
        <w:rPr>
          <w:rFonts w:ascii="Calibri Light" w:eastAsia="Rockwell" w:hAnsi="Calibri Light" w:cs="Arial"/>
          <w:color w:val="4D4D4D"/>
          <w:sz w:val="26"/>
          <w:szCs w:val="20"/>
        </w:rPr>
        <w:t xml:space="preserve"> (Vic).</w:t>
      </w:r>
    </w:p>
    <w:p w14:paraId="31D0B870"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color w:val="4D4D4D"/>
          <w:sz w:val="26"/>
          <w:szCs w:val="20"/>
        </w:rPr>
        <w:t>Income Tax Assessment Act 1997</w:t>
      </w:r>
      <w:r w:rsidRPr="00AA1081">
        <w:rPr>
          <w:rFonts w:ascii="Calibri Light" w:eastAsia="Rockwell" w:hAnsi="Calibri Light" w:cs="Arial"/>
          <w:color w:val="4D4D4D"/>
          <w:sz w:val="26"/>
          <w:szCs w:val="20"/>
        </w:rPr>
        <w:t xml:space="preserve"> (Cth).</w:t>
      </w:r>
    </w:p>
    <w:p w14:paraId="2F4074AF" w14:textId="77777777" w:rsidR="00564FF9" w:rsidRPr="00AA1081" w:rsidRDefault="00564FF9" w:rsidP="00564FF9">
      <w:pPr>
        <w:spacing w:before="120" w:after="120" w:line="276" w:lineRule="auto"/>
        <w:jc w:val="both"/>
        <w:rPr>
          <w:rFonts w:ascii="Calibri Light" w:eastAsia="Rockwell" w:hAnsi="Calibri Light" w:cs="Arial"/>
          <w:iCs/>
          <w:color w:val="4D4D4D"/>
          <w:sz w:val="26"/>
          <w:szCs w:val="20"/>
        </w:rPr>
      </w:pPr>
      <w:r w:rsidRPr="00AA1081">
        <w:rPr>
          <w:rFonts w:ascii="Calibri Light" w:eastAsia="Rockwell" w:hAnsi="Calibri Light" w:cs="Arial"/>
          <w:i/>
          <w:color w:val="4D4D4D"/>
          <w:sz w:val="26"/>
          <w:szCs w:val="20"/>
        </w:rPr>
        <w:t>Income Tax Assessment Regulations 1997</w:t>
      </w:r>
      <w:r w:rsidRPr="00AA1081">
        <w:rPr>
          <w:rFonts w:ascii="Calibri Light" w:eastAsia="Rockwell" w:hAnsi="Calibri Light" w:cs="Arial"/>
          <w:iCs/>
          <w:color w:val="4D4D4D"/>
          <w:sz w:val="26"/>
          <w:szCs w:val="20"/>
        </w:rPr>
        <w:t xml:space="preserve"> (Cth).</w:t>
      </w:r>
    </w:p>
    <w:p w14:paraId="56C928CD" w14:textId="77777777" w:rsidR="00564FF9" w:rsidRPr="00AA1081" w:rsidRDefault="00564FF9" w:rsidP="00564FF9">
      <w:pPr>
        <w:spacing w:before="120" w:after="120" w:line="276" w:lineRule="auto"/>
        <w:jc w:val="both"/>
        <w:rPr>
          <w:rFonts w:ascii="Calibri Light" w:eastAsia="Rockwell" w:hAnsi="Calibri Light" w:cs="Arial"/>
          <w:iCs/>
          <w:color w:val="4D4D4D"/>
          <w:sz w:val="26"/>
          <w:szCs w:val="20"/>
        </w:rPr>
      </w:pPr>
      <w:r w:rsidRPr="00AA1081">
        <w:rPr>
          <w:rFonts w:ascii="Calibri Light" w:eastAsia="Rockwell" w:hAnsi="Calibri Light" w:cs="Arial"/>
          <w:i/>
          <w:iCs/>
          <w:color w:val="4D4D4D"/>
          <w:sz w:val="26"/>
          <w:szCs w:val="20"/>
        </w:rPr>
        <w:t>Income Tax Rates Act 1986</w:t>
      </w:r>
      <w:r w:rsidRPr="00AA1081">
        <w:rPr>
          <w:rFonts w:ascii="Calibri Light" w:eastAsia="Rockwell" w:hAnsi="Calibri Light" w:cs="Arial"/>
          <w:iCs/>
          <w:color w:val="4D4D4D"/>
          <w:sz w:val="26"/>
          <w:szCs w:val="20"/>
        </w:rPr>
        <w:t xml:space="preserve"> (Cth).</w:t>
      </w:r>
    </w:p>
    <w:p w14:paraId="7E2F2865"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color w:val="4D4D4D"/>
          <w:sz w:val="26"/>
          <w:szCs w:val="20"/>
        </w:rPr>
        <w:t>Income Tax (Transitional Provisions) Act 1997</w:t>
      </w:r>
      <w:r w:rsidRPr="00AA1081">
        <w:rPr>
          <w:rFonts w:ascii="Calibri Light" w:eastAsia="Rockwell" w:hAnsi="Calibri Light" w:cs="Arial"/>
          <w:color w:val="4D4D4D"/>
          <w:sz w:val="26"/>
          <w:szCs w:val="20"/>
        </w:rPr>
        <w:t xml:space="preserve"> (Cth).</w:t>
      </w:r>
    </w:p>
    <w:p w14:paraId="722DA86B"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Judicial Remuneration Tribunal Act 1995</w:t>
      </w:r>
      <w:r w:rsidRPr="00AA1081">
        <w:rPr>
          <w:rFonts w:ascii="Calibri Light" w:eastAsia="Rockwell" w:hAnsi="Calibri Light" w:cs="Arial"/>
          <w:color w:val="4D4D4D"/>
          <w:sz w:val="26"/>
          <w:szCs w:val="20"/>
        </w:rPr>
        <w:t xml:space="preserve"> (Vic).</w:t>
      </w:r>
    </w:p>
    <w:p w14:paraId="5CA30948"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Legislative Assembly (Members’ Superannuation) Act 1991</w:t>
      </w:r>
      <w:r w:rsidRPr="00AA1081">
        <w:rPr>
          <w:rFonts w:ascii="Calibri Light" w:eastAsia="Rockwell" w:hAnsi="Calibri Light" w:cs="Arial"/>
          <w:color w:val="4D4D4D"/>
          <w:sz w:val="26"/>
          <w:szCs w:val="20"/>
          <w:lang w:val="en-US"/>
        </w:rPr>
        <w:t xml:space="preserve"> (ACT).</w:t>
      </w:r>
    </w:p>
    <w:p w14:paraId="75A7E519"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Legislative Assembly Members’ Superannuation Contributions Act 2004</w:t>
      </w:r>
      <w:r w:rsidRPr="00AA1081">
        <w:rPr>
          <w:rFonts w:ascii="Calibri Light" w:eastAsia="Rockwell" w:hAnsi="Calibri Light" w:cs="Arial"/>
          <w:color w:val="4D4D4D"/>
          <w:sz w:val="26"/>
          <w:szCs w:val="20"/>
          <w:lang w:val="en-US"/>
        </w:rPr>
        <w:t xml:space="preserve"> (NT).</w:t>
      </w:r>
    </w:p>
    <w:p w14:paraId="450CD709"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Magistrates’ Court Act 1989</w:t>
      </w:r>
      <w:r w:rsidRPr="00AA1081">
        <w:rPr>
          <w:rFonts w:ascii="Calibri Light" w:eastAsia="Rockwell" w:hAnsi="Calibri Light" w:cs="Arial"/>
          <w:color w:val="4D4D4D"/>
          <w:sz w:val="26"/>
          <w:szCs w:val="20"/>
          <w:lang w:val="en-US"/>
        </w:rPr>
        <w:t xml:space="preserve"> (Vic).</w:t>
      </w:r>
    </w:p>
    <w:p w14:paraId="18A23DED"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Miscellaneous Acts (Omnibus Amendments) Act 1996</w:t>
      </w:r>
      <w:r w:rsidRPr="00AA1081">
        <w:rPr>
          <w:rFonts w:ascii="Calibri Light" w:eastAsia="Rockwell" w:hAnsi="Calibri Light" w:cs="Arial"/>
          <w:color w:val="4D4D4D"/>
          <w:sz w:val="26"/>
          <w:szCs w:val="20"/>
          <w:lang w:val="en-US"/>
        </w:rPr>
        <w:t xml:space="preserve"> (Vic).</w:t>
      </w:r>
    </w:p>
    <w:p w14:paraId="232E75C8"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Parliamentary Contributory Retirement Fund Act 1946</w:t>
      </w:r>
      <w:r w:rsidRPr="00AA1081">
        <w:rPr>
          <w:rFonts w:ascii="Calibri Light" w:eastAsia="Rockwell" w:hAnsi="Calibri Light" w:cs="Arial"/>
          <w:color w:val="4D4D4D"/>
          <w:sz w:val="26"/>
          <w:szCs w:val="20"/>
          <w:lang w:val="en-US"/>
        </w:rPr>
        <w:t xml:space="preserve"> (Vic).</w:t>
      </w:r>
    </w:p>
    <w:p w14:paraId="4869347A" w14:textId="77777777" w:rsidR="00564FF9"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 xml:space="preserve">Parliamentary Remuneration Act 1989 </w:t>
      </w:r>
      <w:r w:rsidRPr="00AA1081">
        <w:rPr>
          <w:rFonts w:ascii="Calibri Light" w:eastAsia="Rockwell" w:hAnsi="Calibri Light" w:cs="Arial"/>
          <w:color w:val="4D4D4D"/>
          <w:sz w:val="26"/>
          <w:szCs w:val="20"/>
          <w:lang w:val="en-US"/>
        </w:rPr>
        <w:t>(NSW).</w:t>
      </w:r>
    </w:p>
    <w:p w14:paraId="070EF65A"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4839B7">
        <w:rPr>
          <w:rFonts w:ascii="Calibri Light" w:eastAsia="Rockwell" w:hAnsi="Calibri Light" w:cs="Arial"/>
          <w:i/>
          <w:iCs/>
          <w:color w:val="4D4D4D"/>
          <w:sz w:val="26"/>
          <w:szCs w:val="20"/>
        </w:rPr>
        <w:t>Parliamentary Remuneration Act 1990</w:t>
      </w:r>
      <w:r w:rsidRPr="00AA1081">
        <w:rPr>
          <w:rFonts w:ascii="Calibri Light" w:eastAsia="Rockwell" w:hAnsi="Calibri Light" w:cs="Arial"/>
          <w:color w:val="4D4D4D"/>
          <w:sz w:val="26"/>
          <w:szCs w:val="20"/>
        </w:rPr>
        <w:t xml:space="preserve"> (SA)</w:t>
      </w:r>
      <w:r>
        <w:rPr>
          <w:rFonts w:ascii="Calibri Light" w:eastAsia="Rockwell" w:hAnsi="Calibri Light" w:cs="Arial"/>
          <w:color w:val="4D4D4D"/>
          <w:sz w:val="26"/>
          <w:szCs w:val="20"/>
        </w:rPr>
        <w:t>.</w:t>
      </w:r>
    </w:p>
    <w:p w14:paraId="640D9FDA"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Parliamentary Salaries, Allowances and Superannuation Act 1968</w:t>
      </w:r>
      <w:r w:rsidRPr="00AA1081">
        <w:rPr>
          <w:rFonts w:ascii="Calibri Light" w:eastAsia="Rockwell" w:hAnsi="Calibri Light" w:cs="Arial"/>
          <w:color w:val="4D4D4D"/>
          <w:sz w:val="26"/>
          <w:szCs w:val="20"/>
          <w:lang w:val="en-US"/>
        </w:rPr>
        <w:t xml:space="preserve"> (Vic).</w:t>
      </w:r>
    </w:p>
    <w:p w14:paraId="79BA6122"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Parliamentary Salaries, Allowances and Superannuation Act 2012</w:t>
      </w:r>
      <w:r w:rsidRPr="00AA1081">
        <w:rPr>
          <w:rFonts w:ascii="Calibri Light" w:eastAsia="Rockwell" w:hAnsi="Calibri Light" w:cs="Arial"/>
          <w:color w:val="4D4D4D"/>
          <w:sz w:val="26"/>
          <w:szCs w:val="20"/>
          <w:lang w:val="en-US"/>
        </w:rPr>
        <w:t xml:space="preserve"> (Tas).</w:t>
      </w:r>
    </w:p>
    <w:p w14:paraId="7E2D479D"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 xml:space="preserve">Parliamentary Salaries and Superannuation (Amendment) Act 1975 </w:t>
      </w:r>
      <w:r w:rsidRPr="00AA1081">
        <w:rPr>
          <w:rFonts w:ascii="Calibri Light" w:eastAsia="Rockwell" w:hAnsi="Calibri Light" w:cs="Arial"/>
          <w:color w:val="4D4D4D"/>
          <w:sz w:val="26"/>
          <w:szCs w:val="20"/>
        </w:rPr>
        <w:t>(Vic).</w:t>
      </w:r>
    </w:p>
    <w:p w14:paraId="2A215264"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Parliamentary Superannuation Act 1970</w:t>
      </w:r>
      <w:r w:rsidRPr="00AA1081">
        <w:rPr>
          <w:rFonts w:ascii="Calibri Light" w:eastAsia="Rockwell" w:hAnsi="Calibri Light" w:cs="Arial"/>
          <w:color w:val="4D4D4D"/>
          <w:sz w:val="26"/>
          <w:szCs w:val="20"/>
          <w:lang w:val="en-US"/>
        </w:rPr>
        <w:t xml:space="preserve"> (WA).</w:t>
      </w:r>
    </w:p>
    <w:p w14:paraId="5B627FA6"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Parliamentary Superannuation Act 1974</w:t>
      </w:r>
      <w:r w:rsidRPr="00AA1081">
        <w:rPr>
          <w:rFonts w:ascii="Calibri Light" w:eastAsia="Rockwell" w:hAnsi="Calibri Light" w:cs="Arial"/>
          <w:color w:val="4D4D4D"/>
          <w:sz w:val="26"/>
          <w:szCs w:val="20"/>
          <w:lang w:val="en-US"/>
        </w:rPr>
        <w:t xml:space="preserve"> (SA).</w:t>
      </w:r>
    </w:p>
    <w:p w14:paraId="6CC7DB6B"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lastRenderedPageBreak/>
        <w:t>Parliamentary Superannuation Act 2004</w:t>
      </w:r>
      <w:r w:rsidRPr="00AA1081">
        <w:rPr>
          <w:rFonts w:ascii="Calibri Light" w:eastAsia="Rockwell" w:hAnsi="Calibri Light" w:cs="Arial"/>
          <w:color w:val="4D4D4D"/>
          <w:sz w:val="26"/>
          <w:szCs w:val="20"/>
          <w:lang w:val="en-US"/>
        </w:rPr>
        <w:t xml:space="preserve"> (Cth).</w:t>
      </w:r>
    </w:p>
    <w:p w14:paraId="4A398916"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Public Sector Superannuation (Administration) Act 1993</w:t>
      </w:r>
      <w:r w:rsidRPr="00AA1081">
        <w:rPr>
          <w:rFonts w:ascii="Calibri Light" w:eastAsia="Rockwell" w:hAnsi="Calibri Light" w:cs="Arial"/>
          <w:color w:val="4D4D4D"/>
          <w:sz w:val="26"/>
          <w:szCs w:val="20"/>
        </w:rPr>
        <w:t xml:space="preserve"> (Vic).</w:t>
      </w:r>
    </w:p>
    <w:p w14:paraId="1C4CFC84"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Social Security Act 1991</w:t>
      </w:r>
      <w:r w:rsidRPr="00AA1081">
        <w:rPr>
          <w:rFonts w:ascii="Calibri Light" w:eastAsia="Rockwell" w:hAnsi="Calibri Light" w:cs="Arial"/>
          <w:color w:val="4D4D4D"/>
          <w:sz w:val="26"/>
          <w:szCs w:val="20"/>
          <w:lang w:val="en-US"/>
        </w:rPr>
        <w:t xml:space="preserve"> (Cth).</w:t>
      </w:r>
    </w:p>
    <w:p w14:paraId="50802087"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color w:val="4D4D4D"/>
          <w:sz w:val="26"/>
          <w:szCs w:val="20"/>
        </w:rPr>
        <w:t>Superannuation (Excess Non-concessional Contributions Tax) Act 2007</w:t>
      </w:r>
      <w:r w:rsidRPr="00AA1081">
        <w:rPr>
          <w:rFonts w:ascii="Calibri Light" w:eastAsia="Rockwell" w:hAnsi="Calibri Light" w:cs="Arial"/>
          <w:color w:val="4D4D4D"/>
          <w:sz w:val="26"/>
          <w:szCs w:val="20"/>
        </w:rPr>
        <w:t xml:space="preserve"> (Cth).</w:t>
      </w:r>
    </w:p>
    <w:p w14:paraId="5E6CCD4F"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Superannuation Guarantee (Administration) Act 1992</w:t>
      </w:r>
      <w:r w:rsidRPr="00AA1081">
        <w:rPr>
          <w:rFonts w:ascii="Calibri Light" w:eastAsia="Rockwell" w:hAnsi="Calibri Light" w:cs="Arial"/>
          <w:color w:val="4D4D4D"/>
          <w:sz w:val="26"/>
          <w:szCs w:val="20"/>
        </w:rPr>
        <w:t xml:space="preserve"> (Cth).</w:t>
      </w:r>
    </w:p>
    <w:p w14:paraId="0F0D299E"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rPr>
        <w:t>Superannuation Industry (Supervision) Regulations 1994</w:t>
      </w:r>
      <w:r w:rsidRPr="00AA1081">
        <w:rPr>
          <w:rFonts w:ascii="Calibri Light" w:eastAsia="Rockwell" w:hAnsi="Calibri Light" w:cs="Arial"/>
          <w:color w:val="4D4D4D"/>
          <w:sz w:val="26"/>
          <w:szCs w:val="20"/>
        </w:rPr>
        <w:t xml:space="preserve"> (Cth).</w:t>
      </w:r>
    </w:p>
    <w:p w14:paraId="070244AE"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Superannuation Legislation Amendment Act 2019</w:t>
      </w:r>
      <w:r w:rsidRPr="00AA1081">
        <w:rPr>
          <w:rFonts w:ascii="Calibri Light" w:eastAsia="Rockwell" w:hAnsi="Calibri Light" w:cs="Arial"/>
          <w:color w:val="4D4D4D"/>
          <w:sz w:val="26"/>
          <w:szCs w:val="20"/>
          <w:lang w:val="en-US"/>
        </w:rPr>
        <w:t xml:space="preserve"> (Vic).</w:t>
      </w:r>
    </w:p>
    <w:p w14:paraId="7D11761D"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rPr>
      </w:pPr>
      <w:r w:rsidRPr="00AA1081">
        <w:rPr>
          <w:rFonts w:ascii="Calibri Light" w:eastAsia="Rockwell" w:hAnsi="Calibri Light" w:cs="Arial"/>
          <w:i/>
          <w:color w:val="4D4D4D"/>
          <w:sz w:val="26"/>
          <w:szCs w:val="20"/>
        </w:rPr>
        <w:t>Taxation Administration Act 1953</w:t>
      </w:r>
      <w:r w:rsidRPr="00AA1081">
        <w:rPr>
          <w:rFonts w:ascii="Calibri Light" w:eastAsia="Rockwell" w:hAnsi="Calibri Light" w:cs="Arial"/>
          <w:color w:val="4D4D4D"/>
          <w:sz w:val="26"/>
          <w:szCs w:val="20"/>
        </w:rPr>
        <w:t xml:space="preserve"> (Cth).</w:t>
      </w:r>
    </w:p>
    <w:p w14:paraId="21ED2B80"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color w:val="4D4D4D"/>
          <w:sz w:val="26"/>
          <w:szCs w:val="20"/>
        </w:rPr>
        <w:t xml:space="preserve">Treasury Laws Amendment (Fair and Sustainable Superannuation) Act 2016 </w:t>
      </w:r>
      <w:r w:rsidRPr="00AA1081">
        <w:rPr>
          <w:rFonts w:ascii="Calibri Light" w:eastAsia="Rockwell" w:hAnsi="Calibri Light" w:cs="Arial"/>
          <w:color w:val="4D4D4D"/>
          <w:sz w:val="26"/>
          <w:szCs w:val="20"/>
        </w:rPr>
        <w:t>(Cth).</w:t>
      </w:r>
    </w:p>
    <w:p w14:paraId="22AA95CF"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r w:rsidRPr="00AA1081">
        <w:rPr>
          <w:rFonts w:ascii="Calibri Light" w:eastAsia="Rockwell" w:hAnsi="Calibri Light" w:cs="Arial"/>
          <w:i/>
          <w:iCs/>
          <w:color w:val="4D4D4D"/>
          <w:sz w:val="26"/>
          <w:szCs w:val="20"/>
          <w:lang w:val="en-US"/>
        </w:rPr>
        <w:t>Victorian Independent Remuneration Tribunal and Improving Parliamentary Standards Act 2019</w:t>
      </w:r>
      <w:r w:rsidRPr="00AA1081">
        <w:rPr>
          <w:rFonts w:ascii="Calibri Light" w:eastAsia="Rockwell" w:hAnsi="Calibri Light" w:cs="Arial"/>
          <w:color w:val="4D4D4D"/>
          <w:sz w:val="26"/>
          <w:szCs w:val="20"/>
          <w:lang w:val="en-US"/>
        </w:rPr>
        <w:t xml:space="preserve"> (Vic).</w:t>
      </w:r>
    </w:p>
    <w:p w14:paraId="0541E48B" w14:textId="77777777" w:rsidR="00564FF9" w:rsidRPr="00AA1081" w:rsidRDefault="00564FF9" w:rsidP="00564FF9">
      <w:pPr>
        <w:spacing w:before="120" w:after="120" w:line="276" w:lineRule="auto"/>
        <w:jc w:val="both"/>
        <w:rPr>
          <w:rFonts w:ascii="Calibri Light" w:eastAsia="Rockwell" w:hAnsi="Calibri Light" w:cs="Arial"/>
          <w:color w:val="4D4D4D"/>
          <w:sz w:val="26"/>
          <w:szCs w:val="20"/>
          <w:lang w:val="en-US"/>
        </w:rPr>
      </w:pPr>
    </w:p>
    <w:p w14:paraId="4BE960C4" w14:textId="77777777" w:rsidR="00564FF9" w:rsidRPr="00AA1081" w:rsidRDefault="00564FF9" w:rsidP="00564FF9">
      <w:pPr>
        <w:spacing w:before="120" w:after="240"/>
        <w:outlineLvl w:val="0"/>
        <w:rPr>
          <w:rFonts w:ascii="Rockwell" w:eastAsia="Rockwell" w:hAnsi="Rockwell" w:cs="Arial"/>
          <w:noProof/>
          <w:color w:val="0F6745"/>
          <w:spacing w:val="20"/>
          <w:sz w:val="30"/>
        </w:rPr>
      </w:pPr>
      <w:r w:rsidRPr="00AA1081">
        <w:rPr>
          <w:rFonts w:ascii="Rockwell" w:eastAsia="Rockwell" w:hAnsi="Rockwell" w:cs="Arial"/>
          <w:noProof/>
          <w:color w:val="0F6745"/>
          <w:spacing w:val="20"/>
          <w:sz w:val="30"/>
        </w:rPr>
        <w:t>Other references</w:t>
      </w:r>
    </w:p>
    <w:p w14:paraId="533228DA" w14:textId="77777777" w:rsidR="00564FF9"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 xml:space="preserve">ABS (Australian Bureau of Statistics). </w:t>
      </w:r>
      <w:r w:rsidRPr="00AA1081">
        <w:rPr>
          <w:rFonts w:ascii="Calibri Light" w:eastAsia="Rockwell" w:hAnsi="Calibri Light" w:cs="Arial"/>
          <w:i/>
          <w:iCs/>
          <w:color w:val="4D4D4D"/>
          <w:sz w:val="26"/>
          <w:szCs w:val="20"/>
        </w:rPr>
        <w:t>Consumer Price Index, Australia</w:t>
      </w:r>
      <w:r w:rsidRPr="00AA1081">
        <w:rPr>
          <w:rFonts w:ascii="Calibri Light" w:eastAsia="Rockwell" w:hAnsi="Calibri Light" w:cs="Arial"/>
          <w:color w:val="4D4D4D"/>
          <w:sz w:val="26"/>
          <w:szCs w:val="20"/>
        </w:rPr>
        <w:t>. Cat. no. 6401.0, June 2020.</w:t>
      </w:r>
    </w:p>
    <w:p w14:paraId="46561161" w14:textId="77777777" w:rsidR="00564FF9" w:rsidRDefault="00564FF9" w:rsidP="00564FF9">
      <w:pPr>
        <w:spacing w:before="120" w:after="120" w:line="276" w:lineRule="auto"/>
        <w:ind w:left="720"/>
        <w:rPr>
          <w:rFonts w:ascii="Calibri Light" w:eastAsia="Rockwell" w:hAnsi="Calibri Light" w:cs="Arial"/>
          <w:color w:val="4D4D4D"/>
          <w:sz w:val="26"/>
          <w:szCs w:val="20"/>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Household Income and Wealth, Australia</w:t>
      </w:r>
      <w:r w:rsidRPr="00AA1081">
        <w:rPr>
          <w:rFonts w:ascii="Calibri Light" w:eastAsia="Rockwell" w:hAnsi="Calibri Light" w:cs="Arial"/>
          <w:color w:val="4D4D4D"/>
          <w:sz w:val="26"/>
          <w:szCs w:val="20"/>
        </w:rPr>
        <w:t>. Cat. no. 6523.0, 2017-18.</w:t>
      </w:r>
    </w:p>
    <w:p w14:paraId="6EE59C70" w14:textId="77777777" w:rsidR="00564FF9" w:rsidRDefault="00564FF9" w:rsidP="00564FF9">
      <w:pPr>
        <w:spacing w:before="120" w:after="120" w:line="276" w:lineRule="auto"/>
        <w:ind w:firstLine="720"/>
        <w:rPr>
          <w:rFonts w:ascii="Calibri Light" w:eastAsia="Rockwell" w:hAnsi="Calibri Light" w:cs="Arial"/>
          <w:color w:val="4D4D4D"/>
          <w:sz w:val="26"/>
          <w:szCs w:val="20"/>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Labour Force, Australia</w:t>
      </w:r>
      <w:r w:rsidRPr="00AA1081">
        <w:rPr>
          <w:rFonts w:ascii="Calibri Light" w:eastAsia="Rockwell" w:hAnsi="Calibri Light" w:cs="Arial"/>
          <w:color w:val="4D4D4D"/>
          <w:sz w:val="26"/>
          <w:szCs w:val="20"/>
        </w:rPr>
        <w:t>. Cat. no. 6202.0, July 2020.</w:t>
      </w:r>
      <w:r>
        <w:rPr>
          <w:rFonts w:ascii="Calibri Light" w:eastAsia="Rockwell" w:hAnsi="Calibri Light" w:cs="Arial"/>
          <w:color w:val="4D4D4D"/>
          <w:sz w:val="26"/>
          <w:szCs w:val="20"/>
        </w:rPr>
        <w:t xml:space="preserve">  </w:t>
      </w:r>
    </w:p>
    <w:p w14:paraId="79AF6B98"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rPr>
      </w:pPr>
      <w:r w:rsidRPr="00AA1081">
        <w:rPr>
          <w:rFonts w:ascii="Calibri-Light" w:eastAsia="Rockwell" w:hAnsi="Calibri-Light" w:cs="Calibri-Light"/>
          <w:color w:val="7F7F7F"/>
          <w:sz w:val="26"/>
          <w:szCs w:val="26"/>
          <w:lang w:val="en-US"/>
        </w:rPr>
        <w:t>―</w:t>
      </w:r>
      <w:r>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Official Yearbook of the Commonwealth of Australia No. 43 – 1957</w:t>
      </w:r>
      <w:r w:rsidRPr="00AA1081">
        <w:rPr>
          <w:rFonts w:ascii="Calibri Light" w:eastAsia="Rockwell" w:hAnsi="Calibri Light" w:cs="Arial"/>
          <w:color w:val="4D4D4D"/>
          <w:sz w:val="26"/>
          <w:szCs w:val="20"/>
        </w:rPr>
        <w:t>. Commonwealth of Australia: Canberra, 1957.</w:t>
      </w:r>
    </w:p>
    <w:p w14:paraId="59BFB09C"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ab/>
      </w: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Official Yearbook of the Commonwealth of Australia No. 60 – 1974</w:t>
      </w:r>
      <w:r w:rsidRPr="00AA1081">
        <w:rPr>
          <w:rFonts w:ascii="Calibri Light" w:eastAsia="Rockwell" w:hAnsi="Calibri Light" w:cs="Arial"/>
          <w:color w:val="4D4D4D"/>
          <w:sz w:val="26"/>
          <w:szCs w:val="20"/>
        </w:rPr>
        <w:t>. Commonwealth of Australia: Canberra, 1975.</w:t>
      </w:r>
    </w:p>
    <w:p w14:paraId="29E73D65" w14:textId="77777777" w:rsidR="00564FF9" w:rsidRPr="00AA1081" w:rsidRDefault="00564FF9" w:rsidP="00564FF9">
      <w:pPr>
        <w:spacing w:before="120" w:after="120" w:line="276" w:lineRule="auto"/>
        <w:ind w:firstLine="720"/>
        <w:rPr>
          <w:rFonts w:ascii="Calibri Light" w:eastAsia="Rockwell" w:hAnsi="Calibri Light" w:cs="Arial"/>
          <w:color w:val="4D4D4D"/>
          <w:sz w:val="26"/>
          <w:szCs w:val="20"/>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Retirement and Retirement Intentions</w:t>
      </w:r>
      <w:r w:rsidRPr="00AA1081">
        <w:rPr>
          <w:rFonts w:ascii="Calibri Light" w:eastAsia="Rockwell" w:hAnsi="Calibri Light" w:cs="Arial"/>
          <w:color w:val="4D4D4D"/>
          <w:sz w:val="26"/>
          <w:szCs w:val="20"/>
        </w:rPr>
        <w:t>. Cat. no. 6238, 2018-19.</w:t>
      </w:r>
      <w:r>
        <w:rPr>
          <w:rFonts w:ascii="Calibri Light" w:eastAsia="Rockwell" w:hAnsi="Calibri Light" w:cs="Arial"/>
          <w:color w:val="4D4D4D"/>
          <w:sz w:val="26"/>
          <w:szCs w:val="20"/>
        </w:rPr>
        <w:t xml:space="preserve"> </w:t>
      </w:r>
    </w:p>
    <w:p w14:paraId="272B14AC"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t xml:space="preserve">ACT RT (ACT Remuneration Tribunal). </w:t>
      </w:r>
      <w:r w:rsidRPr="00AA1081">
        <w:rPr>
          <w:rFonts w:ascii="Calibri Light" w:eastAsia="Rockwell" w:hAnsi="Calibri Light" w:cs="Arial"/>
          <w:i/>
          <w:iCs/>
          <w:color w:val="4D4D4D"/>
          <w:sz w:val="26"/>
          <w:szCs w:val="20"/>
        </w:rPr>
        <w:t>Determination 1 of 2016 – Members of the ACT Legislative Assembly</w:t>
      </w:r>
      <w:r w:rsidRPr="00AA1081">
        <w:rPr>
          <w:rFonts w:ascii="Calibri Light" w:eastAsia="Rockwell" w:hAnsi="Calibri Light" w:cs="Arial"/>
          <w:color w:val="4D4D4D"/>
          <w:sz w:val="26"/>
          <w:szCs w:val="20"/>
        </w:rPr>
        <w:t>. ACT RT: Canberra, 2016.</w:t>
      </w:r>
    </w:p>
    <w:p w14:paraId="3AC4E12D"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AHRC (Australian Human Rights Commission). </w:t>
      </w:r>
      <w:r w:rsidRPr="00AA1081">
        <w:rPr>
          <w:rFonts w:ascii="Calibri Light" w:eastAsia="Rockwell" w:hAnsi="Calibri Light" w:cs="Arial"/>
          <w:i/>
          <w:iCs/>
          <w:color w:val="4D4D4D"/>
          <w:sz w:val="26"/>
          <w:szCs w:val="20"/>
          <w:lang w:val="en-US"/>
        </w:rPr>
        <w:t>Willing to Work: National</w:t>
      </w:r>
      <w:r>
        <w:rPr>
          <w:rFonts w:ascii="Calibri Light" w:eastAsia="Rockwell" w:hAnsi="Calibri Light" w:cs="Arial"/>
          <w:i/>
          <w:iCs/>
          <w:color w:val="4D4D4D"/>
          <w:sz w:val="26"/>
          <w:szCs w:val="20"/>
          <w:lang w:val="en-US"/>
        </w:rPr>
        <w:t xml:space="preserve"> I</w:t>
      </w:r>
      <w:r w:rsidRPr="00AA1081">
        <w:rPr>
          <w:rFonts w:ascii="Calibri Light" w:eastAsia="Rockwell" w:hAnsi="Calibri Light" w:cs="Arial"/>
          <w:i/>
          <w:iCs/>
          <w:color w:val="4D4D4D"/>
          <w:sz w:val="26"/>
          <w:szCs w:val="20"/>
          <w:lang w:val="en-US"/>
        </w:rPr>
        <w:t>nquiry into Employment Discrimination Against Older Australians and Australians with Disability</w:t>
      </w:r>
      <w:r w:rsidRPr="00AA1081">
        <w:rPr>
          <w:rFonts w:ascii="Calibri Light" w:eastAsia="Rockwell" w:hAnsi="Calibri Light" w:cs="Arial"/>
          <w:color w:val="4D4D4D"/>
          <w:sz w:val="26"/>
          <w:szCs w:val="20"/>
          <w:lang w:val="en-US"/>
        </w:rPr>
        <w:t>. AHRC: Sydney, 2016.</w:t>
      </w:r>
    </w:p>
    <w:p w14:paraId="2DFF5B42" w14:textId="77777777" w:rsidR="00564FF9" w:rsidRDefault="00564FF9" w:rsidP="00564FF9">
      <w:pPr>
        <w:spacing w:before="120" w:after="120" w:line="276" w:lineRule="auto"/>
        <w:ind w:left="720" w:hanging="720"/>
        <w:rPr>
          <w:rFonts w:ascii="Calibri Light" w:eastAsia="Rockwell" w:hAnsi="Calibri Light" w:cs="Arial"/>
          <w:color w:val="FF0000"/>
          <w:sz w:val="26"/>
          <w:szCs w:val="20"/>
          <w:lang w:val="en-US"/>
        </w:rPr>
      </w:pPr>
      <w:r w:rsidRPr="00AA1081">
        <w:rPr>
          <w:rFonts w:ascii="Calibri Light" w:eastAsia="Rockwell" w:hAnsi="Calibri Light" w:cs="Arial"/>
          <w:color w:val="4D4D4D"/>
          <w:sz w:val="26"/>
          <w:szCs w:val="20"/>
        </w:rPr>
        <w:t xml:space="preserve">APRA (Australian Prudential Regulation Authority). </w:t>
      </w:r>
      <w:r w:rsidRPr="00AA1081">
        <w:rPr>
          <w:rFonts w:ascii="Calibri Light" w:eastAsia="Rockwell" w:hAnsi="Calibri Light" w:cs="Arial"/>
          <w:i/>
          <w:iCs/>
          <w:color w:val="4D4D4D"/>
          <w:sz w:val="26"/>
          <w:szCs w:val="20"/>
        </w:rPr>
        <w:t>Annual Superannuation Bulletin June 2019</w:t>
      </w:r>
      <w:r w:rsidRPr="00AA1081">
        <w:rPr>
          <w:rFonts w:ascii="Calibri Light" w:eastAsia="Rockwell" w:hAnsi="Calibri Light" w:cs="Arial"/>
          <w:color w:val="4D4D4D"/>
          <w:sz w:val="26"/>
          <w:szCs w:val="20"/>
        </w:rPr>
        <w:t>. APRA: Sydney, 2020.</w:t>
      </w:r>
      <w:r>
        <w:rPr>
          <w:rFonts w:ascii="Calibri Light" w:eastAsia="Rockwell" w:hAnsi="Calibri Light" w:cs="Arial"/>
          <w:color w:val="4D4D4D"/>
          <w:sz w:val="26"/>
          <w:szCs w:val="20"/>
        </w:rPr>
        <w:t xml:space="preserve"> </w:t>
      </w:r>
    </w:p>
    <w:p w14:paraId="385CB9A2"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lastRenderedPageBreak/>
        <w:t xml:space="preserve">ARC Centre of Excellence in Population Ageing Research. </w:t>
      </w:r>
      <w:r w:rsidRPr="00AA1081">
        <w:rPr>
          <w:rFonts w:ascii="Calibri Light" w:eastAsia="Rockwell" w:hAnsi="Calibri Light" w:cs="Arial"/>
          <w:i/>
          <w:iCs/>
          <w:color w:val="4D4D4D"/>
          <w:sz w:val="26"/>
          <w:szCs w:val="20"/>
        </w:rPr>
        <w:t xml:space="preserve">Retirement income in Australia: Part 3 – Private </w:t>
      </w:r>
      <w:r w:rsidRPr="00AA1081">
        <w:rPr>
          <w:rFonts w:ascii="Calibri Light" w:eastAsia="Rockwell" w:hAnsi="Calibri Light" w:cs="Arial"/>
          <w:color w:val="4D4D4D"/>
          <w:sz w:val="26"/>
          <w:szCs w:val="20"/>
        </w:rPr>
        <w:t>resources. ARC Centre of Excellence in Population Ageing Research: Sydney, 2018.</w:t>
      </w:r>
      <w:r>
        <w:rPr>
          <w:rFonts w:ascii="Calibri Light" w:eastAsia="Rockwell" w:hAnsi="Calibri Light" w:cs="Arial"/>
          <w:color w:val="4D4D4D"/>
          <w:sz w:val="26"/>
          <w:szCs w:val="20"/>
          <w:lang w:val="en-US"/>
        </w:rPr>
        <w:t xml:space="preserve"> </w:t>
      </w:r>
    </w:p>
    <w:p w14:paraId="584A60B4"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 xml:space="preserve">ASFA (Association of Superannuation Funds of Australia). </w:t>
      </w:r>
      <w:r w:rsidRPr="00AA1081">
        <w:rPr>
          <w:rFonts w:ascii="Calibri Light" w:eastAsia="Rockwell" w:hAnsi="Calibri Light" w:cs="Arial"/>
          <w:i/>
          <w:iCs/>
          <w:color w:val="4D4D4D"/>
          <w:sz w:val="26"/>
          <w:szCs w:val="20"/>
        </w:rPr>
        <w:t>ASFA Retirement Standard</w:t>
      </w:r>
      <w:r w:rsidRPr="00AA1081">
        <w:rPr>
          <w:rFonts w:ascii="Calibri Light" w:eastAsia="Rockwell" w:hAnsi="Calibri Light" w:cs="Arial"/>
          <w:color w:val="4D4D4D"/>
          <w:sz w:val="26"/>
          <w:szCs w:val="20"/>
        </w:rPr>
        <w:t>. ASFA: Sydney, 2018.</w:t>
      </w:r>
      <w:r>
        <w:rPr>
          <w:rFonts w:ascii="Calibri Light" w:eastAsia="Rockwell" w:hAnsi="Calibri Light" w:cs="Arial"/>
          <w:color w:val="4D4D4D"/>
          <w:sz w:val="26"/>
          <w:szCs w:val="20"/>
        </w:rPr>
        <w:t xml:space="preserve"> </w:t>
      </w:r>
    </w:p>
    <w:p w14:paraId="386CC5F6" w14:textId="77777777" w:rsidR="00564FF9" w:rsidRPr="00AA1081" w:rsidRDefault="00564FF9" w:rsidP="00564FF9">
      <w:pPr>
        <w:spacing w:before="120" w:after="120" w:line="276" w:lineRule="auto"/>
        <w:ind w:left="720" w:hanging="720"/>
        <w:rPr>
          <w:rFonts w:ascii="Calibri Light" w:eastAsia="Rockwell" w:hAnsi="Calibri Light" w:cs="Arial"/>
          <w:color w:val="FF0000"/>
          <w:sz w:val="26"/>
          <w:szCs w:val="20"/>
          <w:lang w:val="en-US"/>
        </w:rPr>
      </w:pPr>
      <w:r w:rsidRPr="00AA1081">
        <w:rPr>
          <w:rFonts w:ascii="Calibri Light" w:eastAsia="Rockwell" w:hAnsi="Calibri Light" w:cs="Arial"/>
          <w:color w:val="4D4D4D"/>
          <w:sz w:val="26"/>
          <w:szCs w:val="20"/>
          <w:lang w:val="en-US"/>
        </w:rPr>
        <w:t xml:space="preserve">Asher, A. ‘Equity in Retirement: Are All Australians Getting a Fair Deal?’. </w:t>
      </w:r>
      <w:r w:rsidRPr="00AA1081">
        <w:rPr>
          <w:rFonts w:ascii="Calibri Light" w:eastAsia="Rockwell" w:hAnsi="Calibri Light" w:cs="Arial"/>
          <w:i/>
          <w:iCs/>
          <w:color w:val="4D4D4D"/>
          <w:sz w:val="26"/>
          <w:szCs w:val="20"/>
          <w:lang w:val="en-US"/>
        </w:rPr>
        <w:t xml:space="preserve">The Economic and </w:t>
      </w:r>
      <w:proofErr w:type="spellStart"/>
      <w:r w:rsidRPr="00AA1081">
        <w:rPr>
          <w:rFonts w:ascii="Calibri Light" w:eastAsia="Rockwell" w:hAnsi="Calibri Light" w:cs="Arial"/>
          <w:i/>
          <w:iCs/>
          <w:color w:val="4D4D4D"/>
          <w:sz w:val="26"/>
          <w:szCs w:val="20"/>
          <w:lang w:val="en-US"/>
        </w:rPr>
        <w:t>Labour</w:t>
      </w:r>
      <w:proofErr w:type="spellEnd"/>
      <w:r w:rsidRPr="00AA1081">
        <w:rPr>
          <w:rFonts w:ascii="Calibri Light" w:eastAsia="Rockwell" w:hAnsi="Calibri Light" w:cs="Arial"/>
          <w:i/>
          <w:iCs/>
          <w:color w:val="4D4D4D"/>
          <w:sz w:val="26"/>
          <w:szCs w:val="20"/>
          <w:lang w:val="en-US"/>
        </w:rPr>
        <w:t xml:space="preserve"> Relations Review</w:t>
      </w:r>
      <w:r w:rsidRPr="00AA1081">
        <w:rPr>
          <w:rFonts w:ascii="Calibri Light" w:eastAsia="Rockwell" w:hAnsi="Calibri Light" w:cs="Arial"/>
          <w:color w:val="4D4D4D"/>
          <w:sz w:val="26"/>
          <w:szCs w:val="20"/>
          <w:lang w:val="en-US"/>
        </w:rPr>
        <w:t xml:space="preserve"> 22, no. 3 (2011): 65-84.</w:t>
      </w:r>
      <w:r>
        <w:rPr>
          <w:rFonts w:ascii="Calibri Light" w:eastAsia="Rockwell" w:hAnsi="Calibri Light" w:cs="Arial"/>
          <w:color w:val="4D4D4D"/>
          <w:sz w:val="26"/>
          <w:szCs w:val="20"/>
          <w:lang w:val="en-US"/>
        </w:rPr>
        <w:t xml:space="preserve"> </w:t>
      </w:r>
    </w:p>
    <w:p w14:paraId="3FF34FC6"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ASIC (Australian Securities and Investments Commission). </w:t>
      </w:r>
      <w:r w:rsidRPr="00AA1081">
        <w:rPr>
          <w:rFonts w:ascii="Calibri Light" w:eastAsia="Rockwell" w:hAnsi="Calibri Light" w:cs="Arial"/>
          <w:color w:val="4D4D4D"/>
          <w:sz w:val="26"/>
          <w:szCs w:val="20"/>
        </w:rPr>
        <w:t>‘Superannuation calculator’. Accessed 14 September 2020. https://moneysmart.gov.au/how-super-works/superannuation-calculator.</w:t>
      </w:r>
    </w:p>
    <w:p w14:paraId="74483DDC" w14:textId="77777777" w:rsidR="00564FF9" w:rsidRPr="00B74D6A"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ATO (Australian Taxation Office). ‘How tax applies to your super’. Accessed 16 September 2020. https://www.ato.gov.au/individuals/super/in-detail/withdrawing-and-using-your-super/withdrawing-your-super-and-paying-tax/?page=4.</w:t>
      </w:r>
    </w:p>
    <w:p w14:paraId="127A2672"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000000"/>
          <w:sz w:val="26"/>
          <w:szCs w:val="26"/>
          <w:lang w:val="en-US"/>
        </w:rPr>
        <w:t>―</w:t>
      </w:r>
      <w:r w:rsidRPr="00AA1081">
        <w:rPr>
          <w:rFonts w:ascii="Calibri Light" w:eastAsia="Rockwell" w:hAnsi="Calibri Light" w:cs="Arial"/>
          <w:color w:val="4D4D4D"/>
          <w:sz w:val="26"/>
          <w:szCs w:val="20"/>
          <w:lang w:val="en-US"/>
        </w:rPr>
        <w:t xml:space="preserve"> ‘Law Companion Ruling 2017/1 - Superannuation reform: capped defined benefit income streams - pensions or annuities paid from non-commutable, life expectancy or market linked </w:t>
      </w:r>
      <w:proofErr w:type="gramStart"/>
      <w:r w:rsidRPr="00AA1081">
        <w:rPr>
          <w:rFonts w:ascii="Calibri Light" w:eastAsia="Rockwell" w:hAnsi="Calibri Light" w:cs="Arial"/>
          <w:color w:val="4D4D4D"/>
          <w:sz w:val="26"/>
          <w:szCs w:val="20"/>
          <w:lang w:val="en-US"/>
        </w:rPr>
        <w:t>products’</w:t>
      </w:r>
      <w:proofErr w:type="gramEnd"/>
      <w:r w:rsidRPr="00AA1081">
        <w:rPr>
          <w:rFonts w:ascii="Calibri Light" w:eastAsia="Rockwell" w:hAnsi="Calibri Light" w:cs="Arial"/>
          <w:color w:val="4D4D4D"/>
          <w:sz w:val="26"/>
          <w:szCs w:val="20"/>
          <w:lang w:val="en-US"/>
        </w:rPr>
        <w:t>. 10 October 2018.</w:t>
      </w:r>
    </w:p>
    <w:p w14:paraId="7321B143"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6"/>
          <w:lang w:val="en-US"/>
        </w:rPr>
      </w:pPr>
      <w:r w:rsidRPr="00AA1081">
        <w:rPr>
          <w:rFonts w:ascii="Calibri-Light" w:eastAsia="Rockwell" w:hAnsi="Calibri-Light" w:cs="Calibri-Light"/>
          <w:color w:val="000000"/>
          <w:sz w:val="26"/>
          <w:szCs w:val="26"/>
          <w:lang w:val="en-US"/>
        </w:rPr>
        <w:t>―</w:t>
      </w:r>
      <w:r w:rsidRPr="00AA1081">
        <w:rPr>
          <w:rFonts w:ascii="Calibri Light" w:eastAsia="Rockwell" w:hAnsi="Calibri Light" w:cs="Arial"/>
          <w:color w:val="4D4D4D"/>
          <w:sz w:val="26"/>
          <w:szCs w:val="26"/>
          <w:lang w:val="en-US"/>
        </w:rPr>
        <w:t xml:space="preserve"> ‘Multiple Super Accounts Data. Accessed 3 June 2020. https://www.ato.gov.au/About-ATO/Reserach-and-statistics/In-detail/Super-statistics/Super-accounts-data/Multiple-super-accounts-data/.</w:t>
      </w:r>
      <w:r>
        <w:rPr>
          <w:rFonts w:ascii="Calibri Light" w:eastAsia="Rockwell" w:hAnsi="Calibri Light" w:cs="Arial"/>
          <w:color w:val="4D4D4D"/>
          <w:sz w:val="26"/>
          <w:szCs w:val="26"/>
          <w:lang w:val="en-US"/>
        </w:rPr>
        <w:t xml:space="preserve"> </w:t>
      </w:r>
    </w:p>
    <w:p w14:paraId="6E9A4CFA"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Clare, R. </w:t>
      </w:r>
      <w:r w:rsidRPr="00AA1081">
        <w:rPr>
          <w:rFonts w:ascii="Calibri Light" w:eastAsia="Rockwell" w:hAnsi="Calibri Light" w:cs="Arial"/>
          <w:i/>
          <w:iCs/>
          <w:color w:val="4D4D4D"/>
          <w:sz w:val="26"/>
          <w:szCs w:val="20"/>
          <w:lang w:val="en-US"/>
        </w:rPr>
        <w:t>Equity and Retirement Income Provision in Australia</w:t>
      </w:r>
      <w:r w:rsidRPr="00AA1081">
        <w:rPr>
          <w:rFonts w:ascii="Calibri Light" w:eastAsia="Rockwell" w:hAnsi="Calibri Light" w:cs="Arial"/>
          <w:color w:val="4D4D4D"/>
          <w:sz w:val="26"/>
          <w:szCs w:val="20"/>
          <w:lang w:val="en-US"/>
        </w:rPr>
        <w:t>. Association of Superannuation Funds Australia: Sydney, 2001.</w:t>
      </w:r>
      <w:r>
        <w:rPr>
          <w:rFonts w:ascii="Calibri Light" w:eastAsia="Rockwell" w:hAnsi="Calibri Light" w:cs="Arial"/>
          <w:color w:val="4D4D4D"/>
          <w:sz w:val="26"/>
          <w:szCs w:val="20"/>
          <w:lang w:val="en-US"/>
        </w:rPr>
        <w:t xml:space="preserve"> </w:t>
      </w:r>
    </w:p>
    <w:p w14:paraId="3087F38E"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 xml:space="preserve">Deloitte Access Economics. </w:t>
      </w:r>
      <w:r w:rsidRPr="00AA1081">
        <w:rPr>
          <w:rFonts w:ascii="Calibri Light" w:eastAsia="Rockwell" w:hAnsi="Calibri Light" w:cs="Arial"/>
          <w:i/>
          <w:iCs/>
          <w:color w:val="4D4D4D"/>
          <w:sz w:val="26"/>
          <w:szCs w:val="20"/>
        </w:rPr>
        <w:t>Modelling the value of unpaid work and care</w:t>
      </w:r>
      <w:r w:rsidRPr="00AA1081">
        <w:rPr>
          <w:rFonts w:ascii="Calibri Light" w:eastAsia="Rockwell" w:hAnsi="Calibri Light" w:cs="Arial"/>
          <w:color w:val="4D4D4D"/>
          <w:sz w:val="26"/>
          <w:szCs w:val="20"/>
        </w:rPr>
        <w:t>. Deloitte Access Economics: Canberra, 2018.</w:t>
      </w:r>
      <w:r>
        <w:rPr>
          <w:rFonts w:ascii="Calibri Light" w:eastAsia="Rockwell" w:hAnsi="Calibri Light" w:cs="Arial"/>
          <w:color w:val="4D4D4D"/>
          <w:sz w:val="26"/>
          <w:szCs w:val="20"/>
        </w:rPr>
        <w:t xml:space="preserve"> </w:t>
      </w:r>
    </w:p>
    <w:p w14:paraId="6A97553E"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Department of Jobs and Small Business (Cth). Workplace Agreements Database, 2019.</w:t>
      </w:r>
      <w:r>
        <w:rPr>
          <w:rFonts w:ascii="Calibri Light" w:eastAsia="Rockwell" w:hAnsi="Calibri Light" w:cs="Arial"/>
          <w:color w:val="4D4D4D"/>
          <w:sz w:val="26"/>
          <w:szCs w:val="20"/>
        </w:rPr>
        <w:t xml:space="preserve"> </w:t>
      </w:r>
    </w:p>
    <w:p w14:paraId="4AAE1060"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ESSSuper Board (</w:t>
      </w:r>
      <w:r w:rsidRPr="00AA1081">
        <w:rPr>
          <w:rFonts w:ascii="Calibri Light" w:eastAsia="Rockwell" w:hAnsi="Calibri Light" w:cs="Arial"/>
          <w:color w:val="4D4D4D"/>
          <w:sz w:val="26"/>
          <w:szCs w:val="20"/>
        </w:rPr>
        <w:fldChar w:fldCharType="begin"/>
      </w:r>
      <w:r w:rsidRPr="00AA1081">
        <w:rPr>
          <w:rFonts w:ascii="Calibri Light" w:eastAsia="Rockwell" w:hAnsi="Calibri Light" w:cs="Arial"/>
          <w:color w:val="4D4D4D"/>
          <w:sz w:val="26"/>
          <w:szCs w:val="20"/>
        </w:rPr>
        <w:instrText xml:space="preserve"> ADDIN ZOTERO_ITEM CSL_CITATION {"citationID":"KY94Hajs","properties":{"formattedCitation":"Emergency Services Superannuation Board, \\uc0\\u8216{}Parliamentary Contributory Superannuation Fund Member Handbook - New Benefits Scheme (Division 3)\\uc0\\u8217{}, 2017, 9.","plainCitation":"Emergency Services Superannuation Board, ‘Parliamentary Contributory Superannuation Fund Member Handbook - New Benefits Scheme (Division 3)’, 2017, 9.","noteIndex":3},"citationItems":[{"id":425,"uris":["http://zotero.org/groups/2355244/items/YBRVPYGW"],"uri":["http://zotero.org/groups/2355244/items/YBRVPYGW"],"itemData":{"id":425,"type":"article","title":"Parliamentary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Board","given":""}],"issued":{"date-parts":[["2017"]]}},"locator":"9"}],"schema":"https://github.com/citation-style-language/schema/raw/master/csl-citation.json"} </w:instrText>
      </w:r>
      <w:r w:rsidRPr="00AA1081">
        <w:rPr>
          <w:rFonts w:ascii="Calibri Light" w:eastAsia="Rockwell" w:hAnsi="Calibri Light" w:cs="Arial"/>
          <w:color w:val="4D4D4D"/>
          <w:sz w:val="26"/>
          <w:szCs w:val="20"/>
        </w:rPr>
        <w:fldChar w:fldCharType="separate"/>
      </w:r>
      <w:r w:rsidRPr="00AA1081">
        <w:rPr>
          <w:rFonts w:ascii="Calibri Light" w:eastAsia="Rockwell" w:hAnsi="Calibri Light" w:cs="Arial"/>
          <w:color w:val="4D4D4D"/>
          <w:sz w:val="26"/>
          <w:szCs w:val="20"/>
        </w:rPr>
        <w:t xml:space="preserve">Emergency Services and State Superannuation Board). </w:t>
      </w:r>
      <w:r w:rsidRPr="00AA1081">
        <w:rPr>
          <w:rFonts w:ascii="Calibri Light" w:eastAsia="Rockwell" w:hAnsi="Calibri Light" w:cs="Arial"/>
          <w:i/>
          <w:color w:val="4D4D4D"/>
          <w:sz w:val="26"/>
          <w:szCs w:val="20"/>
        </w:rPr>
        <w:t>Parliamentary Contributory Superannuation Fund Member Handbook - New Benefits Scheme (Division 3)</w:t>
      </w:r>
      <w:r w:rsidRPr="00AA1081">
        <w:rPr>
          <w:rFonts w:ascii="Calibri Light" w:eastAsia="Rockwell" w:hAnsi="Calibri Light" w:cs="Arial"/>
          <w:color w:val="4D4D4D"/>
          <w:sz w:val="26"/>
          <w:szCs w:val="20"/>
        </w:rPr>
        <w:t>. ESSSuper Board: Melbourne, 2017.</w:t>
      </w:r>
      <w:r w:rsidRPr="00AA1081">
        <w:rPr>
          <w:rFonts w:ascii="Calibri Light" w:eastAsia="Rockwell" w:hAnsi="Calibri Light" w:cs="Arial"/>
          <w:color w:val="4D4D4D"/>
          <w:sz w:val="26"/>
          <w:szCs w:val="20"/>
        </w:rPr>
        <w:fldChar w:fldCharType="end"/>
      </w:r>
    </w:p>
    <w:p w14:paraId="12B71F73" w14:textId="38FD6109"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t>Explanatory Memorand</w:t>
      </w:r>
      <w:r w:rsidR="00F04C68">
        <w:rPr>
          <w:rFonts w:ascii="Calibri Light" w:eastAsia="Rockwell" w:hAnsi="Calibri Light" w:cs="Arial"/>
          <w:color w:val="4D4D4D"/>
          <w:sz w:val="26"/>
          <w:szCs w:val="20"/>
        </w:rPr>
        <w:t>a</w:t>
      </w:r>
      <w:r w:rsidRPr="00AA1081">
        <w:rPr>
          <w:rFonts w:ascii="Calibri Light" w:eastAsia="Rockwell" w:hAnsi="Calibri Light" w:cs="Arial"/>
          <w:color w:val="4D4D4D"/>
          <w:sz w:val="26"/>
          <w:szCs w:val="20"/>
        </w:rPr>
        <w:t>. Superannuation (Objective) Bill 2016 (Cth). Treasury Laws Amendment (Fair and Sustainable Superannuation) Bill 2016 (Cth). Superannuation (Excess Transfer Balance Tax) Imposition Bill 2016 (Cth).</w:t>
      </w:r>
    </w:p>
    <w:p w14:paraId="163E39D3"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lastRenderedPageBreak/>
        <w:t xml:space="preserve">Gilfillan, G. </w:t>
      </w:r>
      <w:r w:rsidRPr="00AA1081">
        <w:rPr>
          <w:rFonts w:ascii="Calibri Light" w:eastAsia="Rockwell" w:hAnsi="Calibri Light" w:cs="Arial"/>
          <w:i/>
          <w:iCs/>
          <w:color w:val="4D4D4D"/>
          <w:sz w:val="26"/>
          <w:szCs w:val="20"/>
        </w:rPr>
        <w:t>Trends in use of non-standard forms of employment</w:t>
      </w:r>
      <w:r w:rsidRPr="00AA1081">
        <w:rPr>
          <w:rFonts w:ascii="Calibri Light" w:eastAsia="Rockwell" w:hAnsi="Calibri Light" w:cs="Arial"/>
          <w:color w:val="4D4D4D"/>
          <w:sz w:val="26"/>
          <w:szCs w:val="20"/>
        </w:rPr>
        <w:t>. Research Paper Series, 2018-19. Commonwealth of Australia: Canberra, 10 December 2018.</w:t>
      </w:r>
    </w:p>
    <w:p w14:paraId="6C3D0C39" w14:textId="77777777" w:rsidR="00564FF9" w:rsidRPr="00AA1081" w:rsidRDefault="00564FF9" w:rsidP="00564FF9">
      <w:pPr>
        <w:spacing w:before="120" w:after="120" w:line="276" w:lineRule="auto"/>
        <w:ind w:left="720" w:hanging="720"/>
        <w:rPr>
          <w:rFonts w:ascii="Calibri Light" w:eastAsia="Rockwell" w:hAnsi="Calibri Light" w:cs="Arial"/>
          <w:color w:val="FF0000"/>
          <w:sz w:val="26"/>
          <w:szCs w:val="20"/>
          <w:lang w:val="en-US"/>
        </w:rPr>
      </w:pPr>
      <w:r w:rsidRPr="00AA1081">
        <w:rPr>
          <w:rFonts w:ascii="Calibri Light" w:eastAsia="Rockwell" w:hAnsi="Calibri Light" w:cs="Arial"/>
          <w:color w:val="4D4D4D"/>
          <w:sz w:val="26"/>
          <w:szCs w:val="20"/>
          <w:lang w:val="en-US"/>
        </w:rPr>
        <w:t xml:space="preserve">Harrison, J. ‘Assessing the Taxation of Superannuation in Terms of Horizontal and Vertical Equity’. </w:t>
      </w:r>
      <w:r w:rsidRPr="00AA1081">
        <w:rPr>
          <w:rFonts w:ascii="Calibri Light" w:eastAsia="Rockwell" w:hAnsi="Calibri Light" w:cs="Arial"/>
          <w:i/>
          <w:iCs/>
          <w:color w:val="4D4D4D"/>
          <w:sz w:val="26"/>
          <w:szCs w:val="20"/>
          <w:lang w:val="en-US"/>
        </w:rPr>
        <w:t>Journal of the Australasian Tax Teachers Association</w:t>
      </w:r>
      <w:r w:rsidRPr="00AA1081">
        <w:rPr>
          <w:rFonts w:ascii="Calibri Light" w:eastAsia="Rockwell" w:hAnsi="Calibri Light" w:cs="Arial"/>
          <w:color w:val="4D4D4D"/>
          <w:sz w:val="26"/>
          <w:szCs w:val="20"/>
          <w:lang w:val="en-US"/>
        </w:rPr>
        <w:t xml:space="preserve"> 13, no. 1 (2018): 114-151. </w:t>
      </w:r>
    </w:p>
    <w:p w14:paraId="7D0AC5DD" w14:textId="77777777" w:rsidR="00564FF9" w:rsidRPr="00AA1081" w:rsidRDefault="00564FF9" w:rsidP="00564FF9">
      <w:pPr>
        <w:spacing w:before="120" w:after="120" w:line="276" w:lineRule="auto"/>
        <w:ind w:left="720" w:hanging="720"/>
        <w:rPr>
          <w:rFonts w:ascii="Calibri Light" w:eastAsia="Rockwell" w:hAnsi="Calibri Light" w:cs="Arial"/>
          <w:color w:val="FF0000"/>
          <w:sz w:val="26"/>
          <w:szCs w:val="20"/>
          <w:lang w:val="en-US"/>
        </w:rPr>
      </w:pPr>
      <w:r w:rsidRPr="00AA1081">
        <w:rPr>
          <w:rFonts w:ascii="Calibri Light" w:eastAsia="Rockwell" w:hAnsi="Calibri Light" w:cs="Arial"/>
          <w:color w:val="4D4D4D"/>
          <w:sz w:val="26"/>
          <w:szCs w:val="20"/>
          <w:lang w:val="en-US"/>
        </w:rPr>
        <w:t xml:space="preserve">Hazell, M (CVO AM). </w:t>
      </w:r>
      <w:r w:rsidRPr="00AA1081">
        <w:rPr>
          <w:rFonts w:ascii="Calibri Light" w:eastAsia="Rockwell" w:hAnsi="Calibri Light" w:cs="Arial"/>
          <w:i/>
          <w:iCs/>
          <w:color w:val="4D4D4D"/>
          <w:sz w:val="26"/>
          <w:szCs w:val="20"/>
          <w:lang w:val="en-US"/>
        </w:rPr>
        <w:t>Independent Review of Victorian MPs’ Salary Entitlements, Allowance</w:t>
      </w:r>
      <w:r>
        <w:rPr>
          <w:rFonts w:ascii="Calibri Light" w:eastAsia="Rockwell" w:hAnsi="Calibri Light" w:cs="Arial"/>
          <w:i/>
          <w:iCs/>
          <w:color w:val="4D4D4D"/>
          <w:sz w:val="26"/>
          <w:szCs w:val="20"/>
          <w:lang w:val="en-US"/>
        </w:rPr>
        <w:t>s</w:t>
      </w:r>
      <w:r w:rsidRPr="00AA1081">
        <w:rPr>
          <w:rFonts w:ascii="Calibri Light" w:eastAsia="Rockwell" w:hAnsi="Calibri Light" w:cs="Arial"/>
          <w:i/>
          <w:iCs/>
          <w:color w:val="4D4D4D"/>
          <w:sz w:val="26"/>
          <w:szCs w:val="20"/>
          <w:lang w:val="en-US"/>
        </w:rPr>
        <w:t xml:space="preserve"> and Other Arrangements</w:t>
      </w:r>
      <w:r w:rsidRPr="00AA1081">
        <w:rPr>
          <w:rFonts w:ascii="Calibri Light" w:eastAsia="Rockwell" w:hAnsi="Calibri Light" w:cs="Arial"/>
          <w:color w:val="4D4D4D"/>
          <w:sz w:val="26"/>
          <w:szCs w:val="20"/>
          <w:lang w:val="en-US"/>
        </w:rPr>
        <w:t>. Report prepared for the Department of Premier and Cabinet</w:t>
      </w:r>
      <w:r>
        <w:rPr>
          <w:rFonts w:ascii="Calibri Light" w:eastAsia="Rockwell" w:hAnsi="Calibri Light" w:cs="Arial"/>
          <w:color w:val="4D4D4D"/>
          <w:sz w:val="26"/>
          <w:szCs w:val="20"/>
          <w:lang w:val="en-US"/>
        </w:rPr>
        <w:t>,</w:t>
      </w:r>
      <w:r w:rsidRPr="00AA1081">
        <w:rPr>
          <w:rFonts w:ascii="Calibri Light" w:eastAsia="Rockwell" w:hAnsi="Calibri Light" w:cs="Arial"/>
          <w:color w:val="4D4D4D"/>
          <w:sz w:val="26"/>
          <w:szCs w:val="20"/>
          <w:lang w:val="en-US"/>
        </w:rPr>
        <w:t xml:space="preserve"> Victoria, 2013.</w:t>
      </w:r>
      <w:r>
        <w:rPr>
          <w:rFonts w:ascii="Calibri Light" w:eastAsia="Rockwell" w:hAnsi="Calibri Light" w:cs="Arial"/>
          <w:color w:val="4D4D4D"/>
          <w:sz w:val="26"/>
          <w:szCs w:val="20"/>
          <w:lang w:val="en-US"/>
        </w:rPr>
        <w:t xml:space="preserve"> </w:t>
      </w:r>
    </w:p>
    <w:p w14:paraId="2155A380"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t>Howard, J. Press Conference Transcript. Parliament House, Canberra. 12 February 2004.</w:t>
      </w:r>
    </w:p>
    <w:p w14:paraId="6D6E34D9"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t xml:space="preserve">Industrial Relations Victoria. </w:t>
      </w:r>
      <w:r w:rsidRPr="00AA1081">
        <w:rPr>
          <w:rFonts w:ascii="Calibri Light" w:eastAsia="Rockwell" w:hAnsi="Calibri Light" w:cs="Arial"/>
          <w:i/>
          <w:iCs/>
          <w:color w:val="4D4D4D"/>
          <w:sz w:val="26"/>
          <w:szCs w:val="20"/>
        </w:rPr>
        <w:t>Victorian Government Submission to the Commonwealth Government’s Review of the Retirement Income System</w:t>
      </w:r>
      <w:r w:rsidRPr="00AA1081">
        <w:rPr>
          <w:rFonts w:ascii="Calibri Light" w:eastAsia="Rockwell" w:hAnsi="Calibri Light" w:cs="Arial"/>
          <w:color w:val="4D4D4D"/>
          <w:sz w:val="26"/>
          <w:szCs w:val="20"/>
        </w:rPr>
        <w:t>, 10 February 2020.</w:t>
      </w:r>
      <w:r>
        <w:rPr>
          <w:rFonts w:ascii="Calibri Light" w:eastAsia="Rockwell" w:hAnsi="Calibri Light" w:cs="Arial"/>
          <w:color w:val="4D4D4D"/>
          <w:sz w:val="26"/>
          <w:szCs w:val="20"/>
        </w:rPr>
        <w:t xml:space="preserve"> </w:t>
      </w:r>
    </w:p>
    <w:p w14:paraId="37EE5062" w14:textId="1D8A2F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rPr>
        <w:t xml:space="preserve">NT RT (Northern Territory Remuneration Tribunal). </w:t>
      </w:r>
      <w:r w:rsidRPr="00AA1081">
        <w:rPr>
          <w:rFonts w:ascii="Calibri Light" w:eastAsia="Rockwell" w:hAnsi="Calibri Light" w:cs="Arial"/>
          <w:i/>
          <w:iCs/>
          <w:color w:val="4D4D4D"/>
          <w:sz w:val="26"/>
          <w:szCs w:val="20"/>
        </w:rPr>
        <w:t>Remuneration Tribunal Report and Determination No. 1 of 20</w:t>
      </w:r>
      <w:r w:rsidR="008B4559">
        <w:rPr>
          <w:rFonts w:ascii="Calibri Light" w:eastAsia="Rockwell" w:hAnsi="Calibri Light" w:cs="Arial"/>
          <w:i/>
          <w:iCs/>
          <w:color w:val="4D4D4D"/>
          <w:sz w:val="26"/>
          <w:szCs w:val="20"/>
        </w:rPr>
        <w:t>20</w:t>
      </w:r>
      <w:r w:rsidRPr="00AA1081">
        <w:rPr>
          <w:rFonts w:ascii="Calibri Light" w:eastAsia="Rockwell" w:hAnsi="Calibri Light" w:cs="Arial"/>
          <w:color w:val="4D4D4D"/>
          <w:sz w:val="26"/>
          <w:szCs w:val="20"/>
        </w:rPr>
        <w:t>. NT RT: Darwin, 20</w:t>
      </w:r>
      <w:r w:rsidR="008B4559">
        <w:rPr>
          <w:rFonts w:ascii="Calibri Light" w:eastAsia="Rockwell" w:hAnsi="Calibri Light" w:cs="Arial"/>
          <w:color w:val="4D4D4D"/>
          <w:sz w:val="26"/>
          <w:szCs w:val="20"/>
        </w:rPr>
        <w:t>20</w:t>
      </w:r>
      <w:r w:rsidRPr="00AA1081">
        <w:rPr>
          <w:rFonts w:ascii="Calibri Light" w:eastAsia="Rockwell" w:hAnsi="Calibri Light" w:cs="Arial"/>
          <w:color w:val="4D4D4D"/>
          <w:sz w:val="26"/>
          <w:szCs w:val="20"/>
        </w:rPr>
        <w:t>.</w:t>
      </w:r>
    </w:p>
    <w:p w14:paraId="4C8E9AA4" w14:textId="77777777" w:rsidR="00564FF9"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 xml:space="preserve">Parliament of Australia. </w:t>
      </w:r>
      <w:r w:rsidRPr="00AA1081">
        <w:rPr>
          <w:rFonts w:ascii="Calibri Light" w:eastAsia="Rockwell" w:hAnsi="Calibri Light" w:cs="Arial"/>
          <w:i/>
          <w:iCs/>
          <w:color w:val="4D4D4D"/>
          <w:sz w:val="26"/>
          <w:szCs w:val="20"/>
        </w:rPr>
        <w:t>Parliamentary Debates</w:t>
      </w:r>
      <w:r w:rsidRPr="00AA1081">
        <w:rPr>
          <w:rFonts w:ascii="Calibri Light" w:eastAsia="Rockwell" w:hAnsi="Calibri Light" w:cs="Arial"/>
          <w:color w:val="4D4D4D"/>
          <w:sz w:val="26"/>
          <w:szCs w:val="20"/>
        </w:rPr>
        <w:t>. ‘House of Representatives’. 1 December 1948.</w:t>
      </w:r>
    </w:p>
    <w:p w14:paraId="15CF53A8" w14:textId="77777777" w:rsidR="00564FF9" w:rsidRPr="00E970F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w:t>
      </w:r>
      <w:r w:rsidRPr="00AA1081">
        <w:rPr>
          <w:rFonts w:ascii="Calibri Light" w:eastAsia="Rockwell" w:hAnsi="Calibri Light" w:cs="Arial"/>
          <w:color w:val="4D4D4D"/>
          <w:sz w:val="26"/>
          <w:szCs w:val="20"/>
        </w:rPr>
        <w:t xml:space="preserve"> ‘Parliamentary Superannuation Bill 2004, Bills Digest No. 131 2003-04’. Parliamentary Library: Canberra, 2004.</w:t>
      </w:r>
    </w:p>
    <w:p w14:paraId="4DC911D9"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rPr>
      </w:pPr>
      <w:r w:rsidRPr="00AA1081">
        <w:rPr>
          <w:rFonts w:ascii="Calibri-Light" w:eastAsia="Rockwell" w:hAnsi="Calibri-Light" w:cs="Calibri-Light"/>
          <w:color w:val="7F7F7F"/>
          <w:sz w:val="26"/>
          <w:szCs w:val="26"/>
          <w:lang w:val="en-US"/>
        </w:rPr>
        <w:t>―</w:t>
      </w:r>
      <w:r>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rPr>
        <w:t>Safeguarding Super: The Regulation of Superannuation</w:t>
      </w:r>
      <w:r w:rsidRPr="00AA1081">
        <w:rPr>
          <w:rFonts w:ascii="Calibri Light" w:eastAsia="Rockwell" w:hAnsi="Calibri Light" w:cs="Arial"/>
          <w:color w:val="4D4D4D"/>
          <w:sz w:val="26"/>
          <w:szCs w:val="20"/>
        </w:rPr>
        <w:t>. First Report of the Senate Select Committee on Superannuation. Commonwealth of Australia: Canberra, 1992.</w:t>
      </w:r>
    </w:p>
    <w:p w14:paraId="35BE860D"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Parliament of Queensland. </w:t>
      </w:r>
      <w:r w:rsidRPr="00AA1081">
        <w:rPr>
          <w:rFonts w:ascii="Calibri Light" w:eastAsia="Rockwell" w:hAnsi="Calibri Light" w:cs="Arial"/>
          <w:i/>
          <w:iCs/>
          <w:color w:val="4D4D4D"/>
          <w:sz w:val="26"/>
          <w:szCs w:val="20"/>
          <w:lang w:val="en-US"/>
        </w:rPr>
        <w:t>Members’ Remuneration Handbook</w:t>
      </w:r>
      <w:r w:rsidRPr="00AA1081">
        <w:rPr>
          <w:rFonts w:ascii="Calibri Light" w:eastAsia="Rockwell" w:hAnsi="Calibri Light" w:cs="Arial"/>
          <w:color w:val="4D4D4D"/>
          <w:sz w:val="26"/>
          <w:szCs w:val="20"/>
          <w:lang w:val="en-US"/>
        </w:rPr>
        <w:t>. Parliament of Queensland: Brisbane, November 2019.</w:t>
      </w:r>
    </w:p>
    <w:p w14:paraId="692980DA" w14:textId="77777777" w:rsidR="00564FF9"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rPr>
        <w:t xml:space="preserve">Parliament of Victoria. </w:t>
      </w:r>
      <w:r w:rsidRPr="00AA1081">
        <w:rPr>
          <w:rFonts w:ascii="Calibri Light" w:eastAsia="Rockwell" w:hAnsi="Calibri Light" w:cs="Arial"/>
          <w:i/>
          <w:iCs/>
          <w:color w:val="4D4D4D"/>
          <w:sz w:val="26"/>
          <w:szCs w:val="20"/>
        </w:rPr>
        <w:t>Minutes of the Proceedings of the Legislative Council of Victoria – Volume 3, Session 1982-85</w:t>
      </w:r>
      <w:r w:rsidRPr="00AA1081">
        <w:rPr>
          <w:rFonts w:ascii="Calibri Light" w:eastAsia="Rockwell" w:hAnsi="Calibri Light" w:cs="Arial"/>
          <w:color w:val="4D4D4D"/>
          <w:sz w:val="26"/>
          <w:szCs w:val="20"/>
        </w:rPr>
        <w:t>. Parliament of Victoria Library: Melbourne, 1985.</w:t>
      </w:r>
    </w:p>
    <w:p w14:paraId="78412D1E" w14:textId="77777777" w:rsidR="00564FF9" w:rsidRPr="00AA1081" w:rsidRDefault="00564FF9" w:rsidP="00564FF9">
      <w:pPr>
        <w:spacing w:before="120" w:after="120" w:line="276" w:lineRule="auto"/>
        <w:ind w:left="720"/>
        <w:rPr>
          <w:rFonts w:ascii="Calibri Light" w:eastAsia="Rockwell" w:hAnsi="Calibri Light" w:cs="Arial"/>
          <w:color w:val="4D4D4D"/>
          <w:sz w:val="26"/>
        </w:rPr>
      </w:pPr>
      <w:r w:rsidRPr="00AA1081">
        <w:rPr>
          <w:rFonts w:ascii="Calibri-Light" w:eastAsia="Rockwell" w:hAnsi="Calibri-Light" w:cs="Calibri-Light"/>
          <w:color w:val="7F7F7F"/>
          <w:sz w:val="26"/>
          <w:szCs w:val="26"/>
          <w:lang w:val="en-US"/>
        </w:rPr>
        <w:t>―</w:t>
      </w:r>
      <w:r>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rPr>
        <w:t>Parliamentary Debates</w:t>
      </w:r>
      <w:r w:rsidRPr="00AA1081">
        <w:rPr>
          <w:rFonts w:ascii="Calibri Light" w:eastAsia="Rockwell" w:hAnsi="Calibri Light" w:cs="Arial"/>
          <w:color w:val="4D4D4D"/>
          <w:sz w:val="26"/>
        </w:rPr>
        <w:t>. ‘Legislative Assembly’. 11 December 1946.</w:t>
      </w:r>
    </w:p>
    <w:p w14:paraId="776CD6C0" w14:textId="77777777" w:rsidR="00564FF9" w:rsidRPr="00AA1081" w:rsidRDefault="00564FF9" w:rsidP="00564FF9">
      <w:pPr>
        <w:spacing w:before="120" w:after="120" w:line="276" w:lineRule="auto"/>
        <w:ind w:left="720"/>
        <w:rPr>
          <w:rFonts w:ascii="Calibri Light" w:eastAsia="Rockwell" w:hAnsi="Calibri Light" w:cs="Arial"/>
          <w:color w:val="4D4D4D"/>
          <w:sz w:val="26"/>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rPr>
        <w:t>Parliamentary Debates</w:t>
      </w:r>
      <w:r w:rsidRPr="00AA1081">
        <w:rPr>
          <w:rFonts w:ascii="Calibri Light" w:eastAsia="Rockwell" w:hAnsi="Calibri Light" w:cs="Arial"/>
          <w:color w:val="4D4D4D"/>
          <w:sz w:val="26"/>
        </w:rPr>
        <w:t>. ‘Legislative Assembly’. 17 December 1946.</w:t>
      </w:r>
    </w:p>
    <w:p w14:paraId="25777186" w14:textId="77777777" w:rsidR="00564FF9" w:rsidRPr="00AA1081" w:rsidRDefault="00564FF9" w:rsidP="00564FF9">
      <w:pPr>
        <w:spacing w:before="120" w:after="120" w:line="276" w:lineRule="auto"/>
        <w:ind w:left="720"/>
        <w:rPr>
          <w:rFonts w:ascii="Calibri Light" w:eastAsia="Rockwell" w:hAnsi="Calibri Light" w:cs="Arial"/>
          <w:color w:val="4D4D4D"/>
          <w:sz w:val="26"/>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rPr>
        <w:t>Parliamentary Debates</w:t>
      </w:r>
      <w:r w:rsidRPr="00AA1081">
        <w:rPr>
          <w:rFonts w:ascii="Calibri Light" w:eastAsia="Rockwell" w:hAnsi="Calibri Light" w:cs="Arial"/>
          <w:color w:val="4D4D4D"/>
          <w:sz w:val="26"/>
        </w:rPr>
        <w:t>. ‘Legislative Assembly’. 18 December 1946.</w:t>
      </w:r>
    </w:p>
    <w:p w14:paraId="724AD933" w14:textId="77777777" w:rsidR="00564FF9" w:rsidRPr="00AA1081" w:rsidRDefault="00564FF9" w:rsidP="00564FF9">
      <w:pPr>
        <w:spacing w:before="120" w:after="120" w:line="276" w:lineRule="auto"/>
        <w:ind w:left="720"/>
        <w:rPr>
          <w:rFonts w:ascii="Calibri Light" w:eastAsia="Rockwell" w:hAnsi="Calibri Light" w:cs="Arial"/>
          <w:color w:val="4D4D4D"/>
          <w:sz w:val="26"/>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rPr>
        <w:t>Parliamentary Debates</w:t>
      </w:r>
      <w:r w:rsidRPr="00AA1081">
        <w:rPr>
          <w:rFonts w:ascii="Calibri Light" w:eastAsia="Rockwell" w:hAnsi="Calibri Light" w:cs="Arial"/>
          <w:color w:val="4D4D4D"/>
          <w:sz w:val="26"/>
        </w:rPr>
        <w:t>. ‘Legislative Assembly’. 19 November 1968.</w:t>
      </w:r>
    </w:p>
    <w:p w14:paraId="3C7B6A38" w14:textId="77777777" w:rsidR="00564FF9" w:rsidRPr="00AA1081" w:rsidRDefault="00564FF9" w:rsidP="00564FF9">
      <w:pPr>
        <w:spacing w:before="120" w:after="120" w:line="276" w:lineRule="auto"/>
        <w:ind w:firstLine="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lastRenderedPageBreak/>
        <w:t>―</w:t>
      </w:r>
      <w:r w:rsidRPr="00AA1081">
        <w:rPr>
          <w:rFonts w:ascii="Calibri Light" w:eastAsia="Rockwell" w:hAnsi="Calibri Light" w:cs="Arial"/>
          <w:color w:val="4D4D4D"/>
          <w:sz w:val="26"/>
          <w:szCs w:val="20"/>
          <w:lang w:val="en-US"/>
        </w:rPr>
        <w:t xml:space="preserve"> </w:t>
      </w:r>
      <w:r w:rsidRPr="00AA1081">
        <w:rPr>
          <w:rFonts w:ascii="Calibri Light" w:eastAsia="Rockwell" w:hAnsi="Calibri Light" w:cs="Arial"/>
          <w:i/>
          <w:iCs/>
          <w:color w:val="4D4D4D"/>
          <w:sz w:val="26"/>
          <w:szCs w:val="20"/>
          <w:lang w:val="en-US"/>
        </w:rPr>
        <w:t>Parliamentary Debates</w:t>
      </w:r>
      <w:r w:rsidRPr="00AA1081">
        <w:rPr>
          <w:rFonts w:ascii="Calibri Light" w:eastAsia="Rockwell" w:hAnsi="Calibri Light" w:cs="Arial"/>
          <w:color w:val="4D4D4D"/>
          <w:sz w:val="26"/>
          <w:szCs w:val="20"/>
          <w:lang w:val="en-US"/>
        </w:rPr>
        <w:t>. ‘Legislative Council’. 18 December 1946.</w:t>
      </w:r>
    </w:p>
    <w:p w14:paraId="65A6C760"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color w:val="4D4D4D"/>
          <w:sz w:val="26"/>
          <w:szCs w:val="20"/>
          <w:lang w:val="en-US"/>
        </w:rPr>
        <w:t>Parliamentary Debates</w:t>
      </w:r>
      <w:r w:rsidRPr="00AA1081">
        <w:rPr>
          <w:rFonts w:ascii="Calibri Light" w:eastAsia="Rockwell" w:hAnsi="Calibri Light" w:cs="Arial"/>
          <w:color w:val="4D4D4D"/>
          <w:sz w:val="26"/>
          <w:szCs w:val="20"/>
          <w:lang w:val="en-US"/>
        </w:rPr>
        <w:t>. ‘Legislative Council’. 11 December 1962.</w:t>
      </w:r>
    </w:p>
    <w:p w14:paraId="4A3B9055"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color w:val="4D4D4D"/>
          <w:sz w:val="26"/>
          <w:szCs w:val="20"/>
          <w:lang w:val="en-US"/>
        </w:rPr>
        <w:t>Parliamentary Debates</w:t>
      </w:r>
      <w:r w:rsidRPr="00AA1081">
        <w:rPr>
          <w:rFonts w:ascii="Calibri Light" w:eastAsia="Rockwell" w:hAnsi="Calibri Light" w:cs="Arial"/>
          <w:color w:val="4D4D4D"/>
          <w:sz w:val="26"/>
          <w:szCs w:val="20"/>
          <w:lang w:val="en-US"/>
        </w:rPr>
        <w:t>. ‘Legislative Council’. 24 November 1993.</w:t>
      </w:r>
    </w:p>
    <w:p w14:paraId="6A1CDA47"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color w:val="4D4D4D"/>
          <w:sz w:val="26"/>
          <w:szCs w:val="20"/>
          <w:lang w:val="en-US"/>
        </w:rPr>
        <w:t>Parliamentary Debates</w:t>
      </w:r>
      <w:r w:rsidRPr="00AA1081">
        <w:rPr>
          <w:rFonts w:ascii="Calibri Light" w:eastAsia="Rockwell" w:hAnsi="Calibri Light" w:cs="Arial"/>
          <w:color w:val="4D4D4D"/>
          <w:sz w:val="26"/>
          <w:szCs w:val="20"/>
          <w:lang w:val="en-US"/>
        </w:rPr>
        <w:t>. ‘Legislative Council’. 3 November 2004.</w:t>
      </w:r>
    </w:p>
    <w:p w14:paraId="6FEEC7FB" w14:textId="77777777" w:rsidR="00564FF9" w:rsidRPr="00AA1081"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 xml:space="preserve">― </w:t>
      </w:r>
      <w:r w:rsidRPr="00AA1081">
        <w:rPr>
          <w:rFonts w:ascii="Calibri Light" w:eastAsia="Rockwell" w:hAnsi="Calibri Light" w:cs="Arial"/>
          <w:i/>
          <w:color w:val="4D4D4D"/>
          <w:sz w:val="26"/>
          <w:szCs w:val="20"/>
          <w:lang w:val="en-US"/>
        </w:rPr>
        <w:t>Parliamentary Debates</w:t>
      </w:r>
      <w:r w:rsidRPr="00AA1081">
        <w:rPr>
          <w:rFonts w:ascii="Calibri Light" w:eastAsia="Rockwell" w:hAnsi="Calibri Light" w:cs="Arial"/>
          <w:color w:val="4D4D4D"/>
          <w:sz w:val="26"/>
          <w:szCs w:val="20"/>
          <w:lang w:val="en-US"/>
        </w:rPr>
        <w:t>. ‘Legislative Council’. 15 October 2019.</w:t>
      </w:r>
    </w:p>
    <w:p w14:paraId="367AE17E"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Remuneration Tribunal (Cth). </w:t>
      </w:r>
      <w:r w:rsidRPr="00AA1081">
        <w:rPr>
          <w:rFonts w:ascii="Calibri Light" w:eastAsia="Rockwell" w:hAnsi="Calibri Light" w:cs="Arial"/>
          <w:i/>
          <w:iCs/>
          <w:color w:val="4D4D4D"/>
          <w:sz w:val="26"/>
          <w:szCs w:val="20"/>
          <w:lang w:val="en-US"/>
        </w:rPr>
        <w:t>Remuneration Tribunal (Members of Parliament) Determination No. 2 2019</w:t>
      </w:r>
      <w:r w:rsidRPr="00AA1081">
        <w:rPr>
          <w:rFonts w:ascii="Calibri Light" w:eastAsia="Rockwell" w:hAnsi="Calibri Light" w:cs="Arial"/>
          <w:color w:val="4D4D4D"/>
          <w:sz w:val="26"/>
          <w:szCs w:val="20"/>
          <w:lang w:val="en-US"/>
        </w:rPr>
        <w:t>. Remuneration Tribunal: Canberra, 2019.</w:t>
      </w:r>
    </w:p>
    <w:p w14:paraId="23297B9D" w14:textId="77777777" w:rsidR="00564FF9" w:rsidRPr="00B74D6A"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Salaries and Allowances Tribunal (WA). </w:t>
      </w:r>
      <w:r w:rsidRPr="00AA1081">
        <w:rPr>
          <w:rFonts w:ascii="Calibri Light" w:eastAsia="Rockwell" w:hAnsi="Calibri Light" w:cs="Arial"/>
          <w:i/>
          <w:iCs/>
          <w:color w:val="4D4D4D"/>
          <w:sz w:val="26"/>
          <w:szCs w:val="20"/>
          <w:lang w:val="en-US"/>
        </w:rPr>
        <w:t>Determination (Members of Parliament) 2017</w:t>
      </w:r>
      <w:r w:rsidRPr="00AA1081">
        <w:rPr>
          <w:rFonts w:ascii="Calibri Light" w:eastAsia="Rockwell" w:hAnsi="Calibri Light" w:cs="Arial"/>
          <w:color w:val="4D4D4D"/>
          <w:sz w:val="26"/>
          <w:szCs w:val="20"/>
          <w:lang w:val="en-US"/>
        </w:rPr>
        <w:t>. Salaries and Allowances Tribunal: West Perth, 2017.</w:t>
      </w:r>
    </w:p>
    <w:p w14:paraId="0977EB8A" w14:textId="77777777" w:rsidR="00564FF9" w:rsidRDefault="00564FF9" w:rsidP="00564FF9">
      <w:pPr>
        <w:spacing w:before="120" w:after="120" w:line="276" w:lineRule="auto"/>
        <w:ind w:left="720"/>
        <w:rPr>
          <w:rFonts w:ascii="Calibri Light" w:eastAsia="Rockwell" w:hAnsi="Calibri Light" w:cs="Arial"/>
          <w:color w:val="4D4D4D"/>
          <w:sz w:val="26"/>
          <w:szCs w:val="20"/>
          <w:lang w:val="en-US"/>
        </w:rPr>
      </w:pPr>
      <w:r w:rsidRPr="00AA1081">
        <w:rPr>
          <w:rFonts w:ascii="Calibri-Light" w:eastAsia="Rockwell" w:hAnsi="Calibri-Light" w:cs="Calibri-Light"/>
          <w:color w:val="7F7F7F"/>
          <w:sz w:val="26"/>
          <w:szCs w:val="26"/>
          <w:lang w:val="en-US"/>
        </w:rPr>
        <w:t>―</w:t>
      </w:r>
      <w:r>
        <w:rPr>
          <w:rFonts w:ascii="Calibri-Light" w:eastAsia="Rockwell" w:hAnsi="Calibri-Light" w:cs="Calibri-Light"/>
          <w:color w:val="7F7F7F"/>
          <w:sz w:val="26"/>
          <w:szCs w:val="26"/>
          <w:lang w:val="en-US"/>
        </w:rPr>
        <w:t xml:space="preserve"> </w:t>
      </w:r>
      <w:r w:rsidRPr="00AA1081">
        <w:rPr>
          <w:rFonts w:ascii="Calibri Light" w:eastAsia="Rockwell" w:hAnsi="Calibri Light" w:cs="Arial"/>
          <w:i/>
          <w:iCs/>
          <w:color w:val="4D4D4D"/>
          <w:sz w:val="26"/>
          <w:szCs w:val="20"/>
          <w:lang w:val="en-US"/>
        </w:rPr>
        <w:t>Post 2000s Non-Pension Scheme Determination of Contribution Rate</w:t>
      </w:r>
      <w:r w:rsidRPr="00AA1081">
        <w:rPr>
          <w:rFonts w:ascii="Calibri Light" w:eastAsia="Rockwell" w:hAnsi="Calibri Light" w:cs="Arial"/>
          <w:color w:val="4D4D4D"/>
          <w:sz w:val="26"/>
          <w:szCs w:val="20"/>
          <w:lang w:val="en-US"/>
        </w:rPr>
        <w:t>. Salaries and Allowances Tribunal: West Perth, 2016.</w:t>
      </w:r>
    </w:p>
    <w:p w14:paraId="5893B4C5" w14:textId="77777777" w:rsidR="00564FF9" w:rsidRPr="00AA1081" w:rsidRDefault="00564FF9" w:rsidP="00564FF9">
      <w:pPr>
        <w:spacing w:before="120" w:after="120" w:line="276" w:lineRule="auto"/>
        <w:ind w:left="720" w:hanging="720"/>
        <w:rPr>
          <w:rFonts w:ascii="Calibri Light" w:eastAsia="Rockwell" w:hAnsi="Calibri Light" w:cs="Arial"/>
          <w:color w:val="4D4D4D"/>
          <w:sz w:val="26"/>
          <w:szCs w:val="20"/>
          <w:lang w:val="en-US"/>
        </w:rPr>
      </w:pPr>
      <w:r w:rsidRPr="00AA1081">
        <w:rPr>
          <w:rFonts w:ascii="Calibri Light" w:eastAsia="Rockwell" w:hAnsi="Calibri Light" w:cs="Arial"/>
          <w:color w:val="4D4D4D"/>
          <w:sz w:val="26"/>
          <w:szCs w:val="20"/>
          <w:lang w:val="en-US"/>
        </w:rPr>
        <w:t xml:space="preserve">Victorian Independent Remuneration Tribunal. </w:t>
      </w:r>
      <w:r w:rsidRPr="00AA1081">
        <w:rPr>
          <w:rFonts w:ascii="Calibri Light" w:eastAsia="Rockwell" w:hAnsi="Calibri Light" w:cs="Arial"/>
          <w:i/>
          <w:iCs/>
          <w:color w:val="4D4D4D"/>
          <w:sz w:val="26"/>
          <w:szCs w:val="20"/>
          <w:lang w:val="en-US"/>
        </w:rPr>
        <w:t>Members of Parliament (Victoria) Determination 01/2019</w:t>
      </w:r>
      <w:r w:rsidRPr="00AA1081">
        <w:rPr>
          <w:rFonts w:ascii="Calibri Light" w:eastAsia="Rockwell" w:hAnsi="Calibri Light" w:cs="Arial"/>
          <w:color w:val="4D4D4D"/>
          <w:sz w:val="26"/>
          <w:szCs w:val="20"/>
          <w:lang w:val="en-US"/>
        </w:rPr>
        <w:t>. Victorian Independent Remuneration Tribunal: Melbourne, 2019.</w:t>
      </w:r>
    </w:p>
    <w:p w14:paraId="358AC6C7" w14:textId="77777777" w:rsidR="00564FF9" w:rsidRPr="00AA1081" w:rsidRDefault="00564FF9" w:rsidP="00564FF9">
      <w:pPr>
        <w:spacing w:before="120" w:after="120" w:line="276" w:lineRule="auto"/>
        <w:ind w:left="720" w:hanging="720"/>
        <w:rPr>
          <w:rFonts w:ascii="Calibri Light" w:eastAsia="Rockwell" w:hAnsi="Calibri Light" w:cs="Arial"/>
          <w:color w:val="FF0000"/>
          <w:sz w:val="26"/>
          <w:szCs w:val="20"/>
          <w:lang w:val="en-US"/>
        </w:rPr>
      </w:pPr>
      <w:r w:rsidRPr="00AA1081">
        <w:rPr>
          <w:rFonts w:ascii="Calibri Light" w:eastAsia="Rockwell" w:hAnsi="Calibri Light" w:cs="Arial"/>
          <w:color w:val="4D4D4D"/>
          <w:sz w:val="26"/>
          <w:szCs w:val="20"/>
          <w:lang w:val="en-US"/>
        </w:rPr>
        <w:t xml:space="preserve">VPSC (Victorian Public Sector Commission). </w:t>
      </w:r>
      <w:r w:rsidRPr="00AA1081">
        <w:rPr>
          <w:rFonts w:ascii="Calibri Light" w:eastAsia="Rockwell" w:hAnsi="Calibri Light" w:cs="Arial"/>
          <w:i/>
          <w:color w:val="4D4D4D"/>
          <w:sz w:val="26"/>
          <w:szCs w:val="20"/>
          <w:lang w:val="en-US"/>
        </w:rPr>
        <w:t>The State of the Public Sector in Victoria 2015-2016</w:t>
      </w:r>
      <w:r w:rsidRPr="00AA1081">
        <w:rPr>
          <w:rFonts w:ascii="Calibri Light" w:eastAsia="Rockwell" w:hAnsi="Calibri Light" w:cs="Arial"/>
          <w:color w:val="4D4D4D"/>
          <w:sz w:val="26"/>
          <w:szCs w:val="20"/>
          <w:lang w:val="en-US"/>
        </w:rPr>
        <w:t xml:space="preserve">. </w:t>
      </w:r>
      <w:r>
        <w:rPr>
          <w:rFonts w:ascii="Calibri Light" w:eastAsia="Rockwell" w:hAnsi="Calibri Light" w:cs="Arial"/>
          <w:color w:val="4D4D4D"/>
          <w:sz w:val="26"/>
          <w:szCs w:val="20"/>
          <w:lang w:val="en-US"/>
        </w:rPr>
        <w:t xml:space="preserve">State </w:t>
      </w:r>
      <w:r w:rsidRPr="00AA1081">
        <w:rPr>
          <w:rFonts w:ascii="Calibri Light" w:eastAsia="Rockwell" w:hAnsi="Calibri Light" w:cs="Arial"/>
          <w:color w:val="4D4D4D"/>
          <w:sz w:val="26"/>
          <w:szCs w:val="20"/>
          <w:lang w:val="en-US"/>
        </w:rPr>
        <w:t>Government of Victoria: Melbourne, 2016.</w:t>
      </w:r>
      <w:r>
        <w:rPr>
          <w:rFonts w:ascii="Calibri Light" w:eastAsia="Rockwell" w:hAnsi="Calibri Light" w:cs="Arial"/>
          <w:color w:val="4D4D4D"/>
          <w:sz w:val="26"/>
          <w:szCs w:val="20"/>
          <w:lang w:val="en-US"/>
        </w:rPr>
        <w:t xml:space="preserve"> </w:t>
      </w:r>
    </w:p>
    <w:p w14:paraId="27F898A3" w14:textId="77777777" w:rsidR="00564FF9" w:rsidRDefault="00564FF9" w:rsidP="00564FF9">
      <w:pPr>
        <w:spacing w:before="120" w:after="120" w:line="276" w:lineRule="auto"/>
        <w:ind w:left="720" w:hanging="720"/>
        <w:rPr>
          <w:rFonts w:ascii="Calibri Light" w:eastAsia="Rockwell" w:hAnsi="Calibri Light" w:cs="Arial"/>
          <w:color w:val="4D4D4D"/>
          <w:sz w:val="26"/>
          <w:szCs w:val="20"/>
        </w:rPr>
      </w:pPr>
      <w:r w:rsidRPr="00AA1081">
        <w:rPr>
          <w:rFonts w:ascii="Calibri Light" w:eastAsia="Rockwell" w:hAnsi="Calibri Light" w:cs="Arial"/>
          <w:color w:val="4D4D4D"/>
          <w:sz w:val="26"/>
          <w:szCs w:val="20"/>
          <w:lang w:val="en-US"/>
        </w:rPr>
        <w:t xml:space="preserve">WGEA (Workplace Gender Equality Agency). </w:t>
      </w:r>
      <w:r w:rsidRPr="00AA1081">
        <w:rPr>
          <w:rFonts w:ascii="Calibri Light" w:eastAsia="Rockwell" w:hAnsi="Calibri Light" w:cs="Arial"/>
          <w:i/>
          <w:iCs/>
          <w:color w:val="4D4D4D"/>
          <w:sz w:val="26"/>
          <w:szCs w:val="20"/>
        </w:rPr>
        <w:t>Gender Equity Insights 2020</w:t>
      </w:r>
      <w:r w:rsidRPr="00AA1081">
        <w:rPr>
          <w:rFonts w:ascii="Calibri Light" w:eastAsia="Rockwell" w:hAnsi="Calibri Light" w:cs="Arial"/>
          <w:color w:val="4D4D4D"/>
          <w:sz w:val="26"/>
          <w:szCs w:val="20"/>
        </w:rPr>
        <w:t>. WGEA: Sydney, 2020.</w:t>
      </w:r>
    </w:p>
    <w:p w14:paraId="07045E9D" w14:textId="77777777" w:rsidR="00564FF9" w:rsidRDefault="00564FF9" w:rsidP="00564FF9">
      <w:pPr>
        <w:rPr>
          <w:rFonts w:ascii="Calibri Light" w:eastAsia="Rockwell" w:hAnsi="Calibri Light" w:cs="Arial"/>
          <w:color w:val="4D4D4D"/>
          <w:sz w:val="26"/>
          <w:szCs w:val="26"/>
        </w:rPr>
      </w:pPr>
    </w:p>
    <w:p w14:paraId="4DAE65C1" w14:textId="77777777" w:rsidR="00564FF9" w:rsidRPr="00AA1081" w:rsidRDefault="00564FF9" w:rsidP="00564FF9">
      <w:pPr>
        <w:spacing w:before="120" w:after="120" w:line="276" w:lineRule="auto"/>
        <w:ind w:left="720" w:hanging="720"/>
        <w:rPr>
          <w:rFonts w:ascii="Calibri Light" w:eastAsia="Rockwell" w:hAnsi="Calibri Light" w:cs="Arial"/>
          <w:color w:val="FF0000"/>
          <w:sz w:val="26"/>
          <w:szCs w:val="20"/>
          <w:lang w:val="en-US"/>
        </w:rPr>
      </w:pPr>
    </w:p>
    <w:p w14:paraId="36828A36" w14:textId="77777777" w:rsidR="00564FF9" w:rsidRDefault="00564FF9" w:rsidP="00564FF9"/>
    <w:p w14:paraId="637B21DC" w14:textId="64AB642A" w:rsidR="00566A13" w:rsidRPr="00943D31" w:rsidRDefault="00566A13" w:rsidP="00564FF9">
      <w:pPr>
        <w:spacing w:before="120" w:after="240"/>
        <w:outlineLvl w:val="0"/>
        <w:rPr>
          <w:rFonts w:ascii="Calibri Light" w:eastAsia="Rockwell" w:hAnsi="Calibri Light" w:cs="Arial"/>
          <w:color w:val="4D4D4D"/>
          <w:sz w:val="26"/>
          <w:szCs w:val="20"/>
          <w:lang w:val="en-US"/>
        </w:rPr>
      </w:pPr>
    </w:p>
    <w:sectPr w:rsidR="00566A13" w:rsidRPr="00943D31" w:rsidSect="00390BF8">
      <w:footerReference w:type="first" r:id="rId73"/>
      <w:pgSz w:w="11900" w:h="16840"/>
      <w:pgMar w:top="1701" w:right="1701" w:bottom="1559" w:left="170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6F739" w14:textId="77777777" w:rsidR="00456016" w:rsidRPr="00333B58" w:rsidRDefault="00456016" w:rsidP="00333B58">
      <w:r>
        <w:separator/>
      </w:r>
    </w:p>
  </w:endnote>
  <w:endnote w:type="continuationSeparator" w:id="0">
    <w:p w14:paraId="50C7EEA1" w14:textId="77777777" w:rsidR="00456016" w:rsidRPr="00333B58" w:rsidRDefault="00456016" w:rsidP="00333B58">
      <w:r>
        <w:continuationSeparator/>
      </w:r>
    </w:p>
  </w:endnote>
  <w:endnote w:type="continuationNotice" w:id="1">
    <w:p w14:paraId="1028A31C" w14:textId="77777777" w:rsidR="00456016" w:rsidRDefault="004560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Times New Roman (Headings CS)">
    <w:altName w:val="Times New Roman"/>
    <w:charset w:val="00"/>
    <w:family w:val="roman"/>
    <w:pitch w:val="variable"/>
    <w:sig w:usb0="E0002AE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HGMinchoB">
    <w:altName w:val="HG明朝B"/>
    <w:panose1 w:val="00000000000000000000"/>
    <w:charset w:val="80"/>
    <w:family w:val="roman"/>
    <w:notTrueType/>
    <w:pitch w:val="default"/>
  </w:font>
  <w:font w:name="Calibri Light">
    <w:panose1 w:val="020F0302020204030204"/>
    <w:charset w:val="00"/>
    <w:family w:val="swiss"/>
    <w:pitch w:val="variable"/>
    <w:sig w:usb0="A0002AEF" w:usb1="4000207B" w:usb2="00000000" w:usb3="00000000" w:csb0="000001FF" w:csb1="00000000"/>
  </w:font>
  <w:font w:name="Times New Roman (Body CS)">
    <w:altName w:val="Times New Roman"/>
    <w:charset w:val="00"/>
    <w:family w:val="roman"/>
    <w:pitch w:val="variable"/>
    <w:sig w:usb0="E0002AEF" w:usb1="C0007841"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Neue">
    <w:altName w:val="Sylfae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Rockwell (body)">
    <w:altName w:val="Rockwel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Light">
    <w:altName w:val="Calibr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A5CC7" w14:textId="77777777" w:rsidR="007B61C5" w:rsidRDefault="007B61C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1A24B" w14:textId="77777777" w:rsidR="00DB5FD1" w:rsidRPr="00245F6C" w:rsidRDefault="00DB5FD1" w:rsidP="0017754B">
    <w:pPr>
      <w:pStyle w:val="Footer"/>
      <w:tabs>
        <w:tab w:val="center" w:pos="4249"/>
        <w:tab w:val="right" w:pos="8498"/>
      </w:tabs>
      <w:jc w:val="center"/>
      <w:rPr>
        <w:rFonts w:ascii="Calibri Light" w:hAnsi="Calibri Light" w:cs="Calibri Light"/>
      </w:rPr>
    </w:pPr>
    <w:r>
      <w:rPr>
        <w:noProof/>
      </w:rPr>
      <mc:AlternateContent>
        <mc:Choice Requires="wps">
          <w:drawing>
            <wp:anchor distT="0" distB="0" distL="114300" distR="114300" simplePos="0" relativeHeight="251667476" behindDoc="0" locked="0" layoutInCell="0" allowOverlap="1" wp14:anchorId="29BBD4D7" wp14:editId="25E0FB6C">
              <wp:simplePos x="0" y="0"/>
              <wp:positionH relativeFrom="page">
                <wp:align>left</wp:align>
              </wp:positionH>
              <wp:positionV relativeFrom="page">
                <wp:align>bottom</wp:align>
              </wp:positionV>
              <wp:extent cx="7772400" cy="266700"/>
              <wp:effectExtent l="0" t="0" r="0" b="0"/>
              <wp:wrapNone/>
              <wp:docPr id="15" name="MSIPCM43714843865f793d34ade025" descr="{&quot;HashCode&quot;:-156385822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47241" w14:textId="77777777" w:rsidR="00DB5FD1" w:rsidRPr="00BA005A" w:rsidRDefault="00DB5FD1"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BBD4D7" id="_x0000_t202" coordsize="21600,21600" o:spt="202" path="m,l,21600r21600,l21600,xe">
              <v:stroke joinstyle="miter"/>
              <v:path gradientshapeok="t" o:connecttype="rect"/>
            </v:shapetype>
            <v:shape id="_x0000_s1109" type="#_x0000_t202" alt="{&quot;HashCode&quot;:-1563858221,&quot;Height&quot;:9999999.0,&quot;Width&quot;:9999999.0,&quot;Placement&quot;:&quot;Footer&quot;,&quot;Index&quot;:&quot;Primary&quot;,&quot;Section&quot;:5,&quot;Top&quot;:0.0,&quot;Left&quot;:0.0}" style="position:absolute;left:0;text-align:left;margin-left:0;margin-top:0;width:612pt;height:21pt;z-index:2516674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Ow44TK0AgAAWAUAAA4A&#10;AAAAAAAAAAAAAAAALgIAAGRycy9lMm9Eb2MueG1sUEsBAi0AFAAGAAgAAAAhAFsixSHbAAAABQEA&#10;AA8AAAAAAAAAAAAAAAAADgUAAGRycy9kb3ducmV2LnhtbFBLBQYAAAAABAAEAPMAAAAWBgAAAAA=&#10;" o:allowincell="f" filled="f" stroked="f" strokeweight=".5pt">
              <v:textbox inset="20pt,0,,0">
                <w:txbxContent>
                  <w:p w14:paraId="03347241" w14:textId="77777777" w:rsidR="00DB5FD1" w:rsidRPr="00BA005A" w:rsidRDefault="00DB5FD1" w:rsidP="00BA005A">
                    <w:pPr>
                      <w:spacing w:after="0"/>
                      <w:rPr>
                        <w:rFonts w:ascii="Calibri" w:hAnsi="Calibri" w:cs="Calibri"/>
                        <w:color w:val="000000"/>
                        <w:sz w:val="22"/>
                      </w:rPr>
                    </w:pPr>
                  </w:p>
                </w:txbxContent>
              </v:textbox>
              <w10:wrap anchorx="page" anchory="page"/>
            </v:shape>
          </w:pict>
        </mc:Fallback>
      </mc:AlternateContent>
    </w:r>
    <w:sdt>
      <w:sdtPr>
        <w:id w:val="1729099833"/>
        <w:docPartObj>
          <w:docPartGallery w:val="Page Numbers (Bottom of Page)"/>
          <w:docPartUnique/>
        </w:docPartObj>
      </w:sdtPr>
      <w:sdtEndPr>
        <w:rPr>
          <w:rFonts w:ascii="Calibri Light" w:hAnsi="Calibri Light" w:cs="Calibri Light"/>
          <w:noProof/>
        </w:rPr>
      </w:sdtEndPr>
      <w:sdtContent>
        <w:r w:rsidRPr="00245F6C">
          <w:rPr>
            <w:rFonts w:ascii="Calibri Light" w:hAnsi="Calibri Light" w:cs="Calibri Light"/>
          </w:rPr>
          <w:fldChar w:fldCharType="begin"/>
        </w:r>
        <w:r w:rsidRPr="00245F6C">
          <w:rPr>
            <w:rFonts w:ascii="Calibri Light" w:hAnsi="Calibri Light" w:cs="Calibri Light"/>
          </w:rPr>
          <w:instrText xml:space="preserve"> PAGE   \* MERGEFORMAT </w:instrText>
        </w:r>
        <w:r w:rsidRPr="00245F6C">
          <w:rPr>
            <w:rFonts w:ascii="Calibri Light" w:hAnsi="Calibri Light" w:cs="Calibri Light"/>
          </w:rPr>
          <w:fldChar w:fldCharType="separate"/>
        </w:r>
        <w:r w:rsidRPr="00245F6C">
          <w:rPr>
            <w:rFonts w:ascii="Calibri Light" w:hAnsi="Calibri Light" w:cs="Calibri Light"/>
            <w:noProof/>
          </w:rPr>
          <w:t>2</w:t>
        </w:r>
        <w:r w:rsidRPr="00245F6C">
          <w:rPr>
            <w:rFonts w:ascii="Calibri Light" w:hAnsi="Calibri Light" w:cs="Calibri Light"/>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F36D" w14:textId="471C427F" w:rsidR="00DA3D89" w:rsidRPr="00245F6C" w:rsidRDefault="00DA3D89" w:rsidP="00F95266">
    <w:pPr>
      <w:pStyle w:val="Footer"/>
      <w:jc w:val="center"/>
      <w:rPr>
        <w:rFonts w:ascii="Calibri Light" w:hAnsi="Calibri Light" w:cs="Calibri Light"/>
        <w:szCs w:val="20"/>
      </w:rPr>
    </w:pPr>
    <w:r>
      <w:rPr>
        <w:rFonts w:ascii="Rockwell" w:hAnsi="Rockwell"/>
        <w:noProof/>
        <w:sz w:val="24"/>
      </w:rPr>
      <mc:AlternateContent>
        <mc:Choice Requires="wps">
          <w:drawing>
            <wp:anchor distT="0" distB="0" distL="114300" distR="114300" simplePos="0" relativeHeight="251661332" behindDoc="0" locked="0" layoutInCell="0" allowOverlap="1" wp14:anchorId="222FED5C" wp14:editId="7BB6CC6C">
              <wp:simplePos x="0" y="0"/>
              <wp:positionH relativeFrom="page">
                <wp:align>left</wp:align>
              </wp:positionH>
              <wp:positionV relativeFrom="page">
                <wp:align>bottom</wp:align>
              </wp:positionV>
              <wp:extent cx="7772400" cy="266700"/>
              <wp:effectExtent l="0" t="0" r="0" b="0"/>
              <wp:wrapNone/>
              <wp:docPr id="28" name="MSIPCMa9a44289a386d3cf89d25ad6" descr="{&quot;HashCode&quot;:-1563858221,&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E8686" w14:textId="618DC94A"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FED5C" id="_x0000_t202" coordsize="21600,21600" o:spt="202" path="m,l,21600r21600,l21600,xe">
              <v:stroke joinstyle="miter"/>
              <v:path gradientshapeok="t" o:connecttype="rect"/>
            </v:shapetype>
            <v:shape id="MSIPCMa9a44289a386d3cf89d25ad6" o:spid="_x0000_s1110" type="#_x0000_t202" alt="{&quot;HashCode&quot;:-1563858221,&quot;Height&quot;:9999999.0,&quot;Width&quot;:9999999.0,&quot;Placement&quot;:&quot;Footer&quot;,&quot;Index&quot;:&quot;FirstPage&quot;,&quot;Section&quot;:8,&quot;Top&quot;:0.0,&quot;Left&quot;:0.0}" style="position:absolute;left:0;text-align:left;margin-left:0;margin-top:0;width:612pt;height:21pt;z-index:25166133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BLdCocsgIAAFoFAAAOAAAA&#10;AAAAAAAAAAAAAC4CAABkcnMvZTJvRG9jLnhtbFBLAQItABQABgAIAAAAIQBbIsUh2wAAAAUBAAAP&#10;AAAAAAAAAAAAAAAAAAwFAABkcnMvZG93bnJldi54bWxQSwUGAAAAAAQABADzAAAAFAYAAAAA&#10;" o:allowincell="f" filled="f" stroked="f" strokeweight=".5pt">
              <v:textbox inset="20pt,0,,0">
                <w:txbxContent>
                  <w:p w14:paraId="692E8686" w14:textId="618DC94A"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rPr>
          <w:rFonts w:ascii="Rockwell" w:hAnsi="Rockwell"/>
          <w:sz w:val="24"/>
        </w:rPr>
        <w:id w:val="1169985682"/>
        <w:docPartObj>
          <w:docPartGallery w:val="Page Numbers (Bottom of Page)"/>
          <w:docPartUnique/>
        </w:docPartObj>
      </w:sdtPr>
      <w:sdtEndPr>
        <w:rPr>
          <w:rFonts w:ascii="Calibri Light" w:hAnsi="Calibri Light" w:cs="Calibri Light"/>
          <w:sz w:val="22"/>
          <w:szCs w:val="20"/>
        </w:rPr>
      </w:sdtEndPr>
      <w:sdtContent>
        <w:r w:rsidRPr="00245F6C">
          <w:rPr>
            <w:rFonts w:ascii="Calibri Light" w:hAnsi="Calibri Light" w:cs="Calibri Light"/>
            <w:szCs w:val="20"/>
          </w:rPr>
          <w:fldChar w:fldCharType="begin"/>
        </w:r>
        <w:r w:rsidRPr="00245F6C">
          <w:rPr>
            <w:rFonts w:ascii="Calibri Light" w:hAnsi="Calibri Light" w:cs="Calibri Light"/>
            <w:szCs w:val="20"/>
          </w:rPr>
          <w:instrText xml:space="preserve"> PAGE   \* MERGEFORMAT </w:instrText>
        </w:r>
        <w:r w:rsidRPr="00245F6C">
          <w:rPr>
            <w:rFonts w:ascii="Calibri Light" w:hAnsi="Calibri Light" w:cs="Calibri Light"/>
            <w:szCs w:val="20"/>
          </w:rPr>
          <w:fldChar w:fldCharType="separate"/>
        </w:r>
        <w:r w:rsidRPr="00245F6C">
          <w:rPr>
            <w:rFonts w:ascii="Calibri Light" w:hAnsi="Calibri Light" w:cs="Calibri Light"/>
            <w:szCs w:val="20"/>
          </w:rPr>
          <w:t>2</w:t>
        </w:r>
        <w:r w:rsidRPr="00245F6C">
          <w:rPr>
            <w:rFonts w:ascii="Calibri Light" w:hAnsi="Calibri Light" w:cs="Calibri Light"/>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BBA5" w14:textId="13BD060F" w:rsidR="00DA3D89" w:rsidRPr="00245F6C" w:rsidRDefault="00DA3D89" w:rsidP="00F95266">
    <w:pPr>
      <w:pStyle w:val="Footer"/>
      <w:jc w:val="center"/>
      <w:rPr>
        <w:rFonts w:ascii="Calibri Light" w:hAnsi="Calibri Light" w:cs="Calibri Light"/>
        <w:szCs w:val="20"/>
      </w:rPr>
    </w:pPr>
    <w:r>
      <w:rPr>
        <w:rFonts w:ascii="Rockwell" w:hAnsi="Rockwell"/>
        <w:noProof/>
        <w:sz w:val="24"/>
      </w:rPr>
      <mc:AlternateContent>
        <mc:Choice Requires="wps">
          <w:drawing>
            <wp:anchor distT="0" distB="0" distL="114300" distR="114300" simplePos="0" relativeHeight="251662356" behindDoc="0" locked="0" layoutInCell="0" allowOverlap="1" wp14:anchorId="559E1828" wp14:editId="672796D6">
              <wp:simplePos x="0" y="0"/>
              <wp:positionH relativeFrom="page">
                <wp:align>left</wp:align>
              </wp:positionH>
              <wp:positionV relativeFrom="page">
                <wp:align>bottom</wp:align>
              </wp:positionV>
              <wp:extent cx="7772400" cy="266700"/>
              <wp:effectExtent l="0" t="0" r="0" b="0"/>
              <wp:wrapNone/>
              <wp:docPr id="2031193043" name="MSIPCM910a45d7ad3001ef3a5491fb" descr="{&quot;HashCode&quot;:-1563858221,&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36081" w14:textId="176FF4C0"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9E1828" id="_x0000_t202" coordsize="21600,21600" o:spt="202" path="m,l,21600r21600,l21600,xe">
              <v:stroke joinstyle="miter"/>
              <v:path gradientshapeok="t" o:connecttype="rect"/>
            </v:shapetype>
            <v:shape id="MSIPCM910a45d7ad3001ef3a5491fb" o:spid="_x0000_s1111" type="#_x0000_t202" alt="{&quot;HashCode&quot;:-1563858221,&quot;Height&quot;:9999999.0,&quot;Width&quot;:9999999.0,&quot;Placement&quot;:&quot;Footer&quot;,&quot;Index&quot;:&quot;FirstPage&quot;,&quot;Section&quot;:9,&quot;Top&quot;:0.0,&quot;Left&quot;:0.0}" style="position:absolute;left:0;text-align:left;margin-left:0;margin-top:0;width:612pt;height:21pt;z-index:25166235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" o:allowincell="f" filled="f" stroked="f" strokeweight=".5pt">
              <v:textbox inset="20pt,0,,0">
                <w:txbxContent>
                  <w:p w14:paraId="49736081" w14:textId="176FF4C0"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r>
      <w:rPr>
        <w:rFonts w:ascii="Rockwell" w:hAnsi="Rockwell"/>
        <w:noProof/>
        <w:sz w:val="24"/>
      </w:rPr>
      <w:drawing>
        <wp:anchor distT="0" distB="0" distL="114300" distR="114300" simplePos="0" relativeHeight="251658250" behindDoc="0" locked="0" layoutInCell="1" allowOverlap="1" wp14:anchorId="4B15B558" wp14:editId="58FF3A38">
          <wp:simplePos x="0" y="0"/>
          <wp:positionH relativeFrom="column">
            <wp:posOffset>5909755</wp:posOffset>
          </wp:positionH>
          <wp:positionV relativeFrom="paragraph">
            <wp:posOffset>-1676400</wp:posOffset>
          </wp:positionV>
          <wp:extent cx="548640" cy="2286000"/>
          <wp:effectExtent l="0" t="0" r="3810" b="0"/>
          <wp:wrapSquare wrapText="bothSides"/>
          <wp:docPr id="1398068742" name="Picture 139806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sdt>
      <w:sdtPr>
        <w:rPr>
          <w:rFonts w:ascii="Rockwell" w:hAnsi="Rockwell"/>
          <w:sz w:val="24"/>
        </w:rPr>
        <w:id w:val="669756908"/>
        <w:docPartObj>
          <w:docPartGallery w:val="Page Numbers (Bottom of Page)"/>
          <w:docPartUnique/>
        </w:docPartObj>
      </w:sdtPr>
      <w:sdtEndPr>
        <w:rPr>
          <w:rFonts w:ascii="Calibri Light" w:hAnsi="Calibri Light" w:cs="Calibri Light"/>
          <w:sz w:val="22"/>
          <w:szCs w:val="20"/>
        </w:rPr>
      </w:sdtEndPr>
      <w:sdtContent>
        <w:r w:rsidRPr="00245F6C">
          <w:rPr>
            <w:rFonts w:ascii="Calibri Light" w:hAnsi="Calibri Light" w:cs="Calibri Light"/>
            <w:szCs w:val="20"/>
          </w:rPr>
          <w:fldChar w:fldCharType="begin"/>
        </w:r>
        <w:r w:rsidRPr="00245F6C">
          <w:rPr>
            <w:rFonts w:ascii="Calibri Light" w:hAnsi="Calibri Light" w:cs="Calibri Light"/>
            <w:szCs w:val="20"/>
          </w:rPr>
          <w:instrText xml:space="preserve"> PAGE   \* MERGEFORMAT </w:instrText>
        </w:r>
        <w:r w:rsidRPr="00245F6C">
          <w:rPr>
            <w:rFonts w:ascii="Calibri Light" w:hAnsi="Calibri Light" w:cs="Calibri Light"/>
            <w:szCs w:val="20"/>
          </w:rPr>
          <w:fldChar w:fldCharType="separate"/>
        </w:r>
        <w:r w:rsidRPr="00245F6C">
          <w:rPr>
            <w:rFonts w:ascii="Calibri Light" w:hAnsi="Calibri Light" w:cs="Calibri Light"/>
            <w:szCs w:val="20"/>
          </w:rPr>
          <w:t>2</w:t>
        </w:r>
        <w:r w:rsidRPr="00245F6C">
          <w:rPr>
            <w:rFonts w:ascii="Calibri Light" w:hAnsi="Calibri Light" w:cs="Calibri Light"/>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0EAF6" w14:textId="49C42CCC" w:rsidR="00DA3D89" w:rsidRPr="00245F6C" w:rsidRDefault="00DA3D89" w:rsidP="00F95266">
    <w:pPr>
      <w:pStyle w:val="Footer"/>
      <w:jc w:val="center"/>
      <w:rPr>
        <w:rFonts w:ascii="Calibri Light" w:hAnsi="Calibri Light" w:cs="Calibri Light"/>
      </w:rPr>
    </w:pPr>
    <w:r>
      <w:rPr>
        <w:rFonts w:ascii="Rockwell" w:hAnsi="Rockwell"/>
        <w:noProof/>
        <w:sz w:val="24"/>
      </w:rPr>
      <mc:AlternateContent>
        <mc:Choice Requires="wps">
          <w:drawing>
            <wp:anchor distT="0" distB="0" distL="114300" distR="114300" simplePos="0" relativeHeight="251663380" behindDoc="0" locked="0" layoutInCell="0" allowOverlap="1" wp14:anchorId="05F76AA6" wp14:editId="79B73D38">
              <wp:simplePos x="0" y="0"/>
              <wp:positionH relativeFrom="page">
                <wp:align>left</wp:align>
              </wp:positionH>
              <wp:positionV relativeFrom="page">
                <wp:align>bottom</wp:align>
              </wp:positionV>
              <wp:extent cx="7772400" cy="266700"/>
              <wp:effectExtent l="0" t="0" r="0" b="0"/>
              <wp:wrapNone/>
              <wp:docPr id="2031193045" name="MSIPCMc2ef4af19f9458b158bced46" descr="{&quot;HashCode&quot;:-1563858221,&quot;Height&quot;:9999999.0,&quot;Width&quot;:9999999.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C62B9" w14:textId="3D0D2D90"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F76AA6" id="_x0000_t202" coordsize="21600,21600" o:spt="202" path="m,l,21600r21600,l21600,xe">
              <v:stroke joinstyle="miter"/>
              <v:path gradientshapeok="t" o:connecttype="rect"/>
            </v:shapetype>
            <v:shape id="MSIPCMc2ef4af19f9458b158bced46" o:spid="_x0000_s1112" type="#_x0000_t202" alt="{&quot;HashCode&quot;:-1563858221,&quot;Height&quot;:9999999.0,&quot;Width&quot;:9999999.0,&quot;Placement&quot;:&quot;Footer&quot;,&quot;Index&quot;:&quot;FirstPage&quot;,&quot;Section&quot;:14,&quot;Top&quot;:0.0,&quot;Left&quot;:0.0}" style="position:absolute;left:0;text-align:left;margin-left:0;margin-top:0;width:612pt;height:21pt;z-index:25166338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" o:allowincell="f" filled="f" stroked="f" strokeweight=".5pt">
              <v:textbox inset="20pt,0,,0">
                <w:txbxContent>
                  <w:p w14:paraId="453C62B9" w14:textId="3D0D2D90"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rPr>
          <w:rFonts w:ascii="Rockwell" w:hAnsi="Rockwell"/>
          <w:sz w:val="24"/>
        </w:rPr>
        <w:id w:val="-1724132451"/>
        <w:docPartObj>
          <w:docPartGallery w:val="Page Numbers (Bottom of Page)"/>
          <w:docPartUnique/>
        </w:docPartObj>
      </w:sdtPr>
      <w:sdtEndPr>
        <w:rPr>
          <w:rFonts w:ascii="Calibri Light" w:hAnsi="Calibri Light" w:cs="Calibri Light"/>
          <w:sz w:val="22"/>
        </w:rPr>
      </w:sdtEndPr>
      <w:sdtContent>
        <w:r w:rsidRPr="00245F6C">
          <w:rPr>
            <w:rFonts w:ascii="Calibri Light" w:hAnsi="Calibri Light" w:cs="Calibri Light"/>
          </w:rPr>
          <w:fldChar w:fldCharType="begin"/>
        </w:r>
        <w:r w:rsidRPr="00245F6C">
          <w:rPr>
            <w:rFonts w:ascii="Calibri Light" w:hAnsi="Calibri Light" w:cs="Calibri Light"/>
          </w:rPr>
          <w:instrText xml:space="preserve"> PAGE   \* MERGEFORMAT </w:instrText>
        </w:r>
        <w:r w:rsidRPr="00245F6C">
          <w:rPr>
            <w:rFonts w:ascii="Calibri Light" w:hAnsi="Calibri Light" w:cs="Calibri Light"/>
          </w:rPr>
          <w:fldChar w:fldCharType="separate"/>
        </w:r>
        <w:r w:rsidRPr="00245F6C">
          <w:rPr>
            <w:rFonts w:ascii="Calibri Light" w:hAnsi="Calibri Light" w:cs="Calibri Light"/>
          </w:rPr>
          <w:t>2</w:t>
        </w:r>
        <w:r w:rsidRPr="00245F6C">
          <w:rPr>
            <w:rFonts w:ascii="Calibri Light" w:hAnsi="Calibri Light" w:cs="Calibri Light"/>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016CD" w14:textId="7B22A01E" w:rsidR="00DA3D89" w:rsidRPr="008872BF" w:rsidRDefault="00DA3D89">
    <w:pPr>
      <w:pStyle w:val="Footer"/>
      <w:jc w:val="center"/>
      <w:rPr>
        <w:rFonts w:ascii="Calibri Light" w:hAnsi="Calibri Light" w:cs="Calibri Light"/>
        <w:sz w:val="26"/>
        <w:szCs w:val="26"/>
      </w:rPr>
    </w:pPr>
    <w:r>
      <w:rPr>
        <w:noProof/>
      </w:rPr>
      <mc:AlternateContent>
        <mc:Choice Requires="wps">
          <w:drawing>
            <wp:anchor distT="0" distB="0" distL="114300" distR="114300" simplePos="0" relativeHeight="251664404" behindDoc="0" locked="0" layoutInCell="0" allowOverlap="1" wp14:anchorId="7A6594D5" wp14:editId="18C31676">
              <wp:simplePos x="0" y="0"/>
              <wp:positionH relativeFrom="page">
                <wp:align>left</wp:align>
              </wp:positionH>
              <wp:positionV relativeFrom="page">
                <wp:align>bottom</wp:align>
              </wp:positionV>
              <wp:extent cx="7772400" cy="266700"/>
              <wp:effectExtent l="0" t="0" r="0" b="0"/>
              <wp:wrapNone/>
              <wp:docPr id="2031193051" name="MSIPCMc9b54feb8d04471e70c745d8" descr="{&quot;HashCode&quot;:-156385822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C6EFC" w14:textId="3D99AF8D"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A6594D5" id="_x0000_t202" coordsize="21600,21600" o:spt="202" path="m,l,21600r21600,l21600,xe">
              <v:stroke joinstyle="miter"/>
              <v:path gradientshapeok="t" o:connecttype="rect"/>
            </v:shapetype>
            <v:shape id="MSIPCMc9b54feb8d04471e70c745d8" o:spid="_x0000_s1113" type="#_x0000_t202" alt="{&quot;HashCode&quot;:-1563858221,&quot;Height&quot;:9999999.0,&quot;Width&quot;:9999999.0,&quot;Placement&quot;:&quot;Footer&quot;,&quot;Index&quot;:&quot;Primary&quot;,&quot;Section&quot;:16,&quot;Top&quot;:0.0,&quot;Left&quot;:0.0}" style="position:absolute;left:0;text-align:left;margin-left:0;margin-top:0;width:612pt;height:21pt;z-index:25166440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" o:allowincell="f" filled="f" stroked="f" strokeweight=".5pt">
              <v:textbox inset="20pt,0,,0">
                <w:txbxContent>
                  <w:p w14:paraId="119C6EFC" w14:textId="3D99AF8D"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id w:val="-625002422"/>
        <w:docPartObj>
          <w:docPartGallery w:val="Page Numbers (Bottom of Page)"/>
          <w:docPartUnique/>
        </w:docPartObj>
      </w:sdtPr>
      <w:sdtEndPr>
        <w:rPr>
          <w:rFonts w:ascii="Calibri Light" w:hAnsi="Calibri Light" w:cs="Calibri Light"/>
          <w:noProof/>
          <w:sz w:val="26"/>
          <w:szCs w:val="26"/>
        </w:rPr>
      </w:sdtEndPr>
      <w:sdtContent>
        <w:r w:rsidRPr="008872BF">
          <w:rPr>
            <w:rFonts w:ascii="Calibri Light" w:hAnsi="Calibri Light" w:cs="Calibri Light"/>
            <w:sz w:val="26"/>
            <w:szCs w:val="26"/>
          </w:rPr>
          <w:fldChar w:fldCharType="begin"/>
        </w:r>
        <w:r w:rsidRPr="008872BF">
          <w:rPr>
            <w:rFonts w:ascii="Calibri Light" w:hAnsi="Calibri Light" w:cs="Calibri Light"/>
            <w:sz w:val="26"/>
            <w:szCs w:val="26"/>
          </w:rPr>
          <w:instrText xml:space="preserve"> PAGE   \* MERGEFORMAT </w:instrText>
        </w:r>
        <w:r w:rsidRPr="008872BF">
          <w:rPr>
            <w:rFonts w:ascii="Calibri Light" w:hAnsi="Calibri Light" w:cs="Calibri Light"/>
            <w:sz w:val="26"/>
            <w:szCs w:val="26"/>
          </w:rPr>
          <w:fldChar w:fldCharType="separate"/>
        </w:r>
        <w:r w:rsidRPr="008872BF">
          <w:rPr>
            <w:rFonts w:ascii="Calibri Light" w:hAnsi="Calibri Light" w:cs="Calibri Light"/>
            <w:noProof/>
            <w:sz w:val="26"/>
            <w:szCs w:val="26"/>
          </w:rPr>
          <w:t>2</w:t>
        </w:r>
        <w:r w:rsidRPr="008872BF">
          <w:rPr>
            <w:rFonts w:ascii="Calibri Light" w:hAnsi="Calibri Light" w:cs="Calibri Light"/>
            <w:noProof/>
            <w:sz w:val="26"/>
            <w:szCs w:val="2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3803" w14:textId="5DD71693" w:rsidR="00DA3D89" w:rsidRPr="008872BF" w:rsidRDefault="00DA3D89" w:rsidP="00562281">
    <w:pPr>
      <w:pStyle w:val="Footer"/>
      <w:jc w:val="center"/>
      <w:rPr>
        <w:rFonts w:ascii="Calibri Light" w:hAnsi="Calibri Light" w:cs="Calibri Light"/>
        <w:sz w:val="26"/>
        <w:szCs w:val="26"/>
      </w:rPr>
    </w:pPr>
    <w:r>
      <w:rPr>
        <w:noProof/>
        <w:sz w:val="26"/>
        <w:szCs w:val="26"/>
      </w:rPr>
      <mc:AlternateContent>
        <mc:Choice Requires="wps">
          <w:drawing>
            <wp:anchor distT="0" distB="0" distL="114300" distR="114300" simplePos="0" relativeHeight="251665428" behindDoc="0" locked="0" layoutInCell="0" allowOverlap="1" wp14:anchorId="1F89E790" wp14:editId="22BD85F5">
              <wp:simplePos x="0" y="0"/>
              <wp:positionH relativeFrom="page">
                <wp:align>left</wp:align>
              </wp:positionH>
              <wp:positionV relativeFrom="page">
                <wp:align>bottom</wp:align>
              </wp:positionV>
              <wp:extent cx="7772400" cy="266700"/>
              <wp:effectExtent l="0" t="0" r="0" b="0"/>
              <wp:wrapNone/>
              <wp:docPr id="2031193053" name="MSIPCM4503401c80a5e78590629f47" descr="{&quot;HashCode&quot;:-1563858221,&quot;Height&quot;:9999999.0,&quot;Width&quot;:9999999.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7CE53" w14:textId="640E69EF"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89E790" id="_x0000_t202" coordsize="21600,21600" o:spt="202" path="m,l,21600r21600,l21600,xe">
              <v:stroke joinstyle="miter"/>
              <v:path gradientshapeok="t" o:connecttype="rect"/>
            </v:shapetype>
            <v:shape id="MSIPCM4503401c80a5e78590629f47" o:spid="_x0000_s1114" type="#_x0000_t202" alt="{&quot;HashCode&quot;:-1563858221,&quot;Height&quot;:9999999.0,&quot;Width&quot;:9999999.0,&quot;Placement&quot;:&quot;Footer&quot;,&quot;Index&quot;:&quot;FirstPage&quot;,&quot;Section&quot;:16,&quot;Top&quot;:0.0,&quot;Left&quot;:0.0}" style="position:absolute;left:0;text-align:left;margin-left:0;margin-top:0;width:612pt;height:21pt;z-index:2516654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" o:allowincell="f" filled="f" stroked="f" strokeweight=".5pt">
              <v:textbox inset="20pt,0,,0">
                <w:txbxContent>
                  <w:p w14:paraId="0077CE53" w14:textId="640E69EF"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rPr>
          <w:sz w:val="26"/>
          <w:szCs w:val="26"/>
        </w:rPr>
        <w:id w:val="-1004208690"/>
        <w:docPartObj>
          <w:docPartGallery w:val="Page Numbers (Bottom of Page)"/>
          <w:docPartUnique/>
        </w:docPartObj>
      </w:sdtPr>
      <w:sdtEndPr>
        <w:rPr>
          <w:rFonts w:ascii="Calibri Light" w:hAnsi="Calibri Light" w:cs="Calibri Light"/>
          <w:noProof/>
        </w:rPr>
      </w:sdtEndPr>
      <w:sdtContent>
        <w:r>
          <w:rPr>
            <w:rFonts w:ascii="Rockwell" w:hAnsi="Rockwell"/>
            <w:noProof/>
            <w:sz w:val="24"/>
          </w:rPr>
          <w:drawing>
            <wp:anchor distT="0" distB="0" distL="114300" distR="114300" simplePos="0" relativeHeight="251658258" behindDoc="0" locked="0" layoutInCell="1" allowOverlap="1" wp14:anchorId="53621988" wp14:editId="2E1EE86C">
              <wp:simplePos x="0" y="0"/>
              <wp:positionH relativeFrom="column">
                <wp:posOffset>5923473</wp:posOffset>
              </wp:positionH>
              <wp:positionV relativeFrom="paragraph">
                <wp:posOffset>-1622673</wp:posOffset>
              </wp:positionV>
              <wp:extent cx="548640" cy="2286000"/>
              <wp:effectExtent l="0" t="0" r="3810" b="0"/>
              <wp:wrapSquare wrapText="bothSides"/>
              <wp:docPr id="1398068743" name="Picture 139806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r w:rsidR="00205CE3">
          <w:rPr>
            <w:rFonts w:ascii="Calibri Light" w:hAnsi="Calibri Light" w:cs="Calibri Light"/>
            <w:noProof/>
            <w:sz w:val="26"/>
            <w:szCs w:val="26"/>
          </w:rPr>
          <w:pict w14:anchorId="699A3133">
            <v:shapetype id="_x0000_t202" coordsize="21600,21600" o:spt="202" path="m,l,21600r21600,l21600,xe">
              <v:stroke joinstyle="miter"/>
              <v:path gradientshapeok="t" o:connecttype="rect"/>
            </v:shapetype>
            <v:shape id="_x0000_s2147" type="#_x0000_t202" alt="{&quot;HashCode&quot;:-1267603503,&quot;Height&quot;:9999999.0,&quot;Width&quot;:9999999.0,&quot;Placement&quot;:&quot;Footer&quot;,&quot;Index&quot;:&quot;FirstPage&quot;,&quot;Section&quot;:1,&quot;Top&quot;:0.0,&quot;Left&quot;:0.0}" style="position:absolute;left:0;text-align:left;margin-left:0;margin-top:0;width:226.4pt;height:7.75pt;z-index:251658256;mso-position-horizontal:left;mso-position-horizontal-relative:page;mso-position-vertical:bottom;mso-position-vertical-relative:page;v-text-anchor:bottom" o:allowincell="f" filled="f" stroked="f">
              <v:textbox style="mso-next-textbox:#_x0000_s2147" inset="20pt,0,,0">
                <w:txbxContent>
                  <w:p w14:paraId="613708D1" w14:textId="5299DBCE" w:rsidR="00DA3D89" w:rsidRDefault="00DA3D89" w:rsidP="00DC7F77">
                    <w:pPr>
                      <w:jc w:val="center"/>
                      <w:rPr>
                        <w:sz w:val="24"/>
                        <w:szCs w:val="24"/>
                      </w:rPr>
                    </w:pPr>
                    <w:r>
                      <w:rPr>
                        <w:rFonts w:ascii="Calibri" w:hAnsi="Calibri"/>
                        <w:color w:val="C0C0C0"/>
                        <w:sz w:val="16"/>
                        <w:szCs w:val="16"/>
                        <w:lang w:val="en-GB"/>
                        <w14:textFill>
                          <w14:solidFill>
                            <w14:srgbClr w14:val="C0C0C0">
                              <w14:alpha w14:val="50000"/>
                            </w14:srgbClr>
                          </w14:solidFill>
                        </w14:textFill>
                      </w:rPr>
                      <w:t>DRAFT</w:t>
                    </w:r>
                  </w:p>
                </w:txbxContent>
              </v:textbox>
              <w10:wrap anchorx="page" anchory="page"/>
            </v:shape>
          </w:pict>
        </w:r>
        <w:r w:rsidRPr="008872BF">
          <w:rPr>
            <w:rFonts w:ascii="Calibri Light" w:hAnsi="Calibri Light" w:cs="Calibri Light"/>
            <w:sz w:val="26"/>
            <w:szCs w:val="26"/>
          </w:rPr>
          <w:fldChar w:fldCharType="begin"/>
        </w:r>
        <w:r w:rsidRPr="008872BF">
          <w:rPr>
            <w:rFonts w:ascii="Calibri Light" w:hAnsi="Calibri Light" w:cs="Calibri Light"/>
            <w:sz w:val="26"/>
            <w:szCs w:val="26"/>
          </w:rPr>
          <w:instrText xml:space="preserve"> PAGE   \* MERGEFORMAT </w:instrText>
        </w:r>
        <w:r w:rsidRPr="008872BF">
          <w:rPr>
            <w:rFonts w:ascii="Calibri Light" w:hAnsi="Calibri Light" w:cs="Calibri Light"/>
            <w:sz w:val="26"/>
            <w:szCs w:val="26"/>
          </w:rPr>
          <w:fldChar w:fldCharType="separate"/>
        </w:r>
        <w:r w:rsidRPr="008872BF">
          <w:rPr>
            <w:rFonts w:ascii="Calibri Light" w:hAnsi="Calibri Light" w:cs="Calibri Light"/>
            <w:noProof/>
            <w:sz w:val="26"/>
            <w:szCs w:val="26"/>
          </w:rPr>
          <w:t>2</w:t>
        </w:r>
        <w:r w:rsidRPr="008872BF">
          <w:rPr>
            <w:rFonts w:ascii="Calibri Light" w:hAnsi="Calibri Light" w:cs="Calibri Light"/>
            <w:noProof/>
            <w:sz w:val="26"/>
            <w:szCs w:val="2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29923331"/>
      <w:docPartObj>
        <w:docPartGallery w:val="Page Numbers (Bottom of Page)"/>
        <w:docPartUnique/>
      </w:docPartObj>
    </w:sdtPr>
    <w:sdtEndPr>
      <w:rPr>
        <w:rFonts w:ascii="Calibri Light" w:hAnsi="Calibri Light" w:cs="Calibri Light"/>
        <w:noProof/>
      </w:rPr>
    </w:sdtEndPr>
    <w:sdtContent>
      <w:p w14:paraId="0D825BA2" w14:textId="7B08E62A" w:rsidR="00DA3D89" w:rsidRPr="008872BF" w:rsidRDefault="00205CE3" w:rsidP="00562281">
        <w:pPr>
          <w:pStyle w:val="Footer"/>
          <w:jc w:val="center"/>
          <w:rPr>
            <w:rFonts w:ascii="Calibri Light" w:hAnsi="Calibri Light" w:cs="Calibri Light"/>
            <w:sz w:val="26"/>
            <w:szCs w:val="26"/>
          </w:rPr>
        </w:pPr>
        <w:r>
          <w:rPr>
            <w:rFonts w:ascii="Calibri Light" w:hAnsi="Calibri Light" w:cs="Calibri Light"/>
            <w:noProof/>
            <w:sz w:val="26"/>
            <w:szCs w:val="26"/>
          </w:rPr>
          <w:pict w14:anchorId="79F681F2">
            <v:shapetype id="_x0000_t202" coordsize="21600,21600" o:spt="202" path="m,l,21600r21600,l21600,xe">
              <v:stroke joinstyle="miter"/>
              <v:path gradientshapeok="t" o:connecttype="rect"/>
            </v:shapetype>
            <v:shape id="_x0000_s2150" type="#_x0000_t202" alt="{&quot;HashCode&quot;:-1267603503,&quot;Height&quot;:9999999.0,&quot;Width&quot;:9999999.0,&quot;Placement&quot;:&quot;Footer&quot;,&quot;Index&quot;:&quot;FirstPage&quot;,&quot;Section&quot;:1,&quot;Top&quot;:0.0,&quot;Left&quot;:0.0}" style="position:absolute;left:0;text-align:left;margin-left:0;margin-top:0;width:226.4pt;height:7.75pt;z-index:251658259;mso-position-horizontal:left;mso-position-horizontal-relative:page;mso-position-vertical:bottom;mso-position-vertical-relative:page;v-text-anchor:bottom" o:allowincell="f" filled="f" stroked="f">
              <v:textbox style="mso-next-textbox:#_x0000_s2150" inset="20pt,0,,0">
                <w:txbxContent>
                  <w:p w14:paraId="0D6597EF" w14:textId="77777777" w:rsidR="00DA3D89" w:rsidRDefault="00DA3D89" w:rsidP="00DC7F77">
                    <w:pPr>
                      <w:jc w:val="center"/>
                      <w:rPr>
                        <w:sz w:val="24"/>
                        <w:szCs w:val="24"/>
                      </w:rPr>
                    </w:pPr>
                    <w:r>
                      <w:rPr>
                        <w:rFonts w:ascii="Calibri" w:hAnsi="Calibri"/>
                        <w:color w:val="C0C0C0"/>
                        <w:sz w:val="16"/>
                        <w:szCs w:val="16"/>
                        <w:lang w:val="en-GB"/>
                        <w14:textFill>
                          <w14:solidFill>
                            <w14:srgbClr w14:val="C0C0C0">
                              <w14:alpha w14:val="50000"/>
                            </w14:srgbClr>
                          </w14:solidFill>
                        </w14:textFill>
                      </w:rPr>
                      <w:t>DRAFT</w:t>
                    </w:r>
                  </w:p>
                </w:txbxContent>
              </v:textbox>
              <w10:wrap anchorx="page" anchory="page"/>
            </v:shape>
          </w:pict>
        </w:r>
        <w:r w:rsidR="00DA3D89" w:rsidRPr="008872BF">
          <w:rPr>
            <w:rFonts w:ascii="Calibri Light" w:hAnsi="Calibri Light" w:cs="Calibri Light"/>
            <w:sz w:val="26"/>
            <w:szCs w:val="26"/>
          </w:rPr>
          <w:fldChar w:fldCharType="begin"/>
        </w:r>
        <w:r w:rsidR="00DA3D89" w:rsidRPr="008872BF">
          <w:rPr>
            <w:rFonts w:ascii="Calibri Light" w:hAnsi="Calibri Light" w:cs="Calibri Light"/>
            <w:sz w:val="26"/>
            <w:szCs w:val="26"/>
          </w:rPr>
          <w:instrText xml:space="preserve"> PAGE   \* MERGEFORMAT </w:instrText>
        </w:r>
        <w:r w:rsidR="00DA3D89" w:rsidRPr="008872BF">
          <w:rPr>
            <w:rFonts w:ascii="Calibri Light" w:hAnsi="Calibri Light" w:cs="Calibri Light"/>
            <w:sz w:val="26"/>
            <w:szCs w:val="26"/>
          </w:rPr>
          <w:fldChar w:fldCharType="separate"/>
        </w:r>
        <w:r w:rsidR="00DA3D89" w:rsidRPr="008872BF">
          <w:rPr>
            <w:rFonts w:ascii="Calibri Light" w:hAnsi="Calibri Light" w:cs="Calibri Light"/>
            <w:noProof/>
            <w:sz w:val="26"/>
            <w:szCs w:val="26"/>
          </w:rPr>
          <w:t>2</w:t>
        </w:r>
        <w:r w:rsidR="00DA3D89" w:rsidRPr="008872BF">
          <w:rPr>
            <w:rFonts w:ascii="Calibri Light" w:hAnsi="Calibri Light" w:cs="Calibri Light"/>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4D6C" w14:textId="482324A1" w:rsidR="00DA3D89" w:rsidRDefault="00DA3D89" w:rsidP="008F51B2">
    <w:pPr>
      <w:pStyle w:val="Footer"/>
      <w:jc w:val="center"/>
    </w:pPr>
    <w:r>
      <w:rPr>
        <w:noProof/>
      </w:rPr>
      <mc:AlternateContent>
        <mc:Choice Requires="wps">
          <w:drawing>
            <wp:anchor distT="0" distB="0" distL="114300" distR="114300" simplePos="0" relativeHeight="251664896" behindDoc="0" locked="0" layoutInCell="0" allowOverlap="1" wp14:anchorId="07410F88" wp14:editId="4D96BE88">
              <wp:simplePos x="0" y="0"/>
              <wp:positionH relativeFrom="page">
                <wp:align>left</wp:align>
              </wp:positionH>
              <wp:positionV relativeFrom="page">
                <wp:align>bottom</wp:align>
              </wp:positionV>
              <wp:extent cx="7772400" cy="266700"/>
              <wp:effectExtent l="0" t="0" r="0" b="0"/>
              <wp:wrapNone/>
              <wp:docPr id="2" name="MSIPCMf38c428db82d61d01ea2448e" descr="{&quot;HashCode&quot;:-156385822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8F6F14" w14:textId="4BF07D94"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410F88" id="_x0000_t202" coordsize="21600,21600" o:spt="202" path="m,l,21600r21600,l21600,xe">
              <v:stroke joinstyle="miter"/>
              <v:path gradientshapeok="t" o:connecttype="rect"/>
            </v:shapetype>
            <v:shape id="MSIPCMf38c428db82d61d01ea2448e" o:spid="_x0000_s1102" type="#_x0000_t202" alt="{&quot;HashCode&quot;:-1563858221,&quot;Height&quot;:9999999.0,&quot;Width&quot;:9999999.0,&quot;Placement&quot;:&quot;Footer&quot;,&quot;Index&quot;:&quot;Primary&quot;,&quot;Section&quot;:1,&quot;Top&quot;:0.0,&quot;Left&quot;:0.0}" style="position:absolute;left:0;text-align:left;margin-left:0;margin-top:0;width:612pt;height:21pt;z-index:25166489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ZXPfgLMCAABXBQAADgAA&#10;AAAAAAAAAAAAAAAuAgAAZHJzL2Uyb0RvYy54bWxQSwECLQAUAAYACAAAACEAWyLFIdsAAAAFAQAA&#10;DwAAAAAAAAAAAAAAAAANBQAAZHJzL2Rvd25yZXYueG1sUEsFBgAAAAAEAAQA8wAAABUGAAAAAA==&#10;" o:allowincell="f" filled="f" stroked="f" strokeweight=".5pt">
              <v:textbox inset="20pt,0,,0">
                <w:txbxContent>
                  <w:p w14:paraId="488F6F14" w14:textId="4BF07D94"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id w:val="1410736207"/>
        <w:docPartObj>
          <w:docPartGallery w:val="Page Numbers (Bottom of Page)"/>
          <w:docPartUnique/>
        </w:docPartObj>
      </w:sdtPr>
      <w:sdtEndPr>
        <w:rPr>
          <w:noProof/>
        </w:rPr>
      </w:sdtEndPr>
      <w:sdtContent>
        <w:r w:rsidRPr="008F51B2">
          <w:rPr>
            <w:rFonts w:ascii="Calibri Light" w:hAnsi="Calibri Light" w:cs="Calibri Light"/>
          </w:rPr>
          <w:fldChar w:fldCharType="begin"/>
        </w:r>
        <w:r w:rsidRPr="008F51B2">
          <w:rPr>
            <w:rFonts w:ascii="Calibri Light" w:hAnsi="Calibri Light" w:cs="Calibri Light"/>
          </w:rPr>
          <w:instrText xml:space="preserve"> PAGE   \* MERGEFORMAT </w:instrText>
        </w:r>
        <w:r w:rsidRPr="008F51B2">
          <w:rPr>
            <w:rFonts w:ascii="Calibri Light" w:hAnsi="Calibri Light" w:cs="Calibri Light"/>
          </w:rPr>
          <w:fldChar w:fldCharType="separate"/>
        </w:r>
        <w:r w:rsidRPr="008F51B2">
          <w:rPr>
            <w:rFonts w:ascii="Calibri Light" w:hAnsi="Calibri Light" w:cs="Calibri Light"/>
            <w:noProof/>
          </w:rPr>
          <w:t>2</w:t>
        </w:r>
        <w:r w:rsidRPr="008F51B2">
          <w:rPr>
            <w:rFonts w:ascii="Calibri Light" w:hAnsi="Calibri Light" w:cs="Calibri Light"/>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A60E" w14:textId="668B248A" w:rsidR="00DA3D89" w:rsidRDefault="00DA3D89" w:rsidP="000D0AF0">
    <w:pPr>
      <w:framePr w:w="9359" w:wrap="none" w:vAnchor="text" w:hAnchor="margin" w:y="9"/>
      <w:spacing w:before="360"/>
      <w:jc w:val="center"/>
      <w:rPr>
        <w:rStyle w:val="PageNumber"/>
      </w:rPr>
    </w:pPr>
    <w:r>
      <w:rPr>
        <w:noProof/>
      </w:rPr>
      <mc:AlternateContent>
        <mc:Choice Requires="wps">
          <w:drawing>
            <wp:anchor distT="0" distB="0" distL="114300" distR="114300" simplePos="0" relativeHeight="251659776" behindDoc="0" locked="0" layoutInCell="0" allowOverlap="1" wp14:anchorId="36DCAC27" wp14:editId="5A314863">
              <wp:simplePos x="0" y="9601200"/>
              <wp:positionH relativeFrom="page">
                <wp:align>left</wp:align>
              </wp:positionH>
              <wp:positionV relativeFrom="page">
                <wp:align>bottom</wp:align>
              </wp:positionV>
              <wp:extent cx="7772400" cy="266700"/>
              <wp:effectExtent l="0" t="0" r="0" b="0"/>
              <wp:wrapNone/>
              <wp:docPr id="10" name="MSIPCM62954de7a3d3ade2393d86ae" descr="{&quot;HashCode&quot;:-156385822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2F7827" w14:textId="5E3BBDAF"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DCAC27" id="_x0000_t202" coordsize="21600,21600" o:spt="202" path="m,l,21600r21600,l21600,xe">
              <v:stroke joinstyle="miter"/>
              <v:path gradientshapeok="t" o:connecttype="rect"/>
            </v:shapetype>
            <v:shape id="MSIPCM62954de7a3d3ade2393d86ae" o:spid="_x0000_s1103" type="#_x0000_t202" alt="{&quot;HashCode&quot;:-1563858221,&quot;Height&quot;:9999999.0,&quot;Width&quot;:9999999.0,&quot;Placement&quot;:&quot;Footer&quot;,&quot;Index&quot;:&quot;FirstPage&quot;,&quot;Section&quot;:1,&quot;Top&quot;:0.0,&quot;Left&quot;:0.0}" style="position:absolute;left:0;text-align:left;margin-left:0;margin-top:0;width:612pt;height:21pt;z-index:2516597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dSonsLACAABaBQAADgAAAAAA&#10;AAAAAAAAAAAuAgAAZHJzL2Uyb0RvYy54bWxQSwECLQAUAAYACAAAACEAWyLFIdsAAAAFAQAADwAA&#10;AAAAAAAAAAAAAAAKBQAAZHJzL2Rvd25yZXYueG1sUEsFBgAAAAAEAAQA8wAAABIGAAAAAA==&#10;" o:allowincell="f" filled="f" stroked="f" strokeweight=".5pt">
              <v:textbox inset="20pt,0,,0">
                <w:txbxContent>
                  <w:p w14:paraId="092F7827" w14:textId="5E3BBDAF"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p>
  <w:sdt>
    <w:sdtPr>
      <w:rPr>
        <w:rStyle w:val="PageNumber"/>
      </w:rPr>
      <w:id w:val="-2135708359"/>
      <w:docPartObj>
        <w:docPartGallery w:val="Page Numbers (Bottom of Page)"/>
        <w:docPartUnique/>
      </w:docPartObj>
    </w:sdtPr>
    <w:sdtEndPr>
      <w:rPr>
        <w:rStyle w:val="PageNumber"/>
      </w:rPr>
    </w:sdtEndPr>
    <w:sdtContent>
      <w:p w14:paraId="00862BF3" w14:textId="77777777" w:rsidR="00DA3D89" w:rsidRDefault="00DA3D89" w:rsidP="000D0AF0">
        <w:pPr>
          <w:framePr w:w="9359" w:wrap="none" w:vAnchor="text" w:hAnchor="margin" w:y="9"/>
          <w:spacing w:before="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650B9FB" w14:textId="77777777" w:rsidR="00DA3D89" w:rsidRPr="00326932" w:rsidRDefault="00DA3D89" w:rsidP="00326932">
    <w:pPr>
      <w:ind w:firstLine="360"/>
      <w:rPr>
        <w:rFonts w:cs="Times New Roman (Body CS)"/>
        <w:sz w:val="16"/>
      </w:rPr>
    </w:pPr>
    <w:r w:rsidRPr="00326932">
      <w:rPr>
        <w:rFonts w:cs="Times New Roman (Body CS)"/>
        <w:noProof/>
        <w:sz w:val="16"/>
        <w:lang w:eastAsia="en-AU"/>
      </w:rPr>
      <w:drawing>
        <wp:anchor distT="0" distB="0" distL="114300" distR="114300" simplePos="0" relativeHeight="251654656" behindDoc="1" locked="0" layoutInCell="1" allowOverlap="1" wp14:anchorId="774D5C21" wp14:editId="2FB2D329">
          <wp:simplePos x="0" y="0"/>
          <wp:positionH relativeFrom="column">
            <wp:posOffset>6174740</wp:posOffset>
          </wp:positionH>
          <wp:positionV relativeFrom="paragraph">
            <wp:posOffset>-2078355</wp:posOffset>
          </wp:positionV>
          <wp:extent cx="914705" cy="7952400"/>
          <wp:effectExtent l="0" t="0" r="0" b="0"/>
          <wp:wrapNone/>
          <wp:docPr id="1398068738" name="Picture 1398068738" descr="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png"/>
                  <pic:cNvPicPr/>
                </pic:nvPicPr>
                <pic:blipFill>
                  <a:blip r:embed="rId1"/>
                  <a:stretch>
                    <a:fillRect/>
                  </a:stretch>
                </pic:blipFill>
                <pic:spPr>
                  <a:xfrm flipH="1">
                    <a:off x="0" y="0"/>
                    <a:ext cx="914705" cy="795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37E1" w14:textId="0E39B7B6" w:rsidR="00DA3D89" w:rsidRPr="00326932" w:rsidRDefault="00DA3D89" w:rsidP="00326932">
    <w:pPr>
      <w:ind w:firstLine="360"/>
      <w:rPr>
        <w:rFonts w:cs="Times New Roman (Body CS)"/>
        <w:sz w:val="16"/>
      </w:rPr>
    </w:pPr>
    <w:r>
      <w:rPr>
        <w:rFonts w:cs="Times New Roman (Body CS)"/>
        <w:noProof/>
        <w:sz w:val="16"/>
      </w:rPr>
      <mc:AlternateContent>
        <mc:Choice Requires="wps">
          <w:drawing>
            <wp:anchor distT="0" distB="0" distL="114300" distR="114300" simplePos="0" relativeHeight="251658251" behindDoc="0" locked="0" layoutInCell="0" allowOverlap="1" wp14:anchorId="668055E6" wp14:editId="639AA4C4">
              <wp:simplePos x="0" y="0"/>
              <wp:positionH relativeFrom="page">
                <wp:align>left</wp:align>
              </wp:positionH>
              <wp:positionV relativeFrom="page">
                <wp:align>bottom</wp:align>
              </wp:positionV>
              <wp:extent cx="7772400" cy="266700"/>
              <wp:effectExtent l="0" t="0" r="0" b="0"/>
              <wp:wrapNone/>
              <wp:docPr id="13" name="MSIPCMeb1b40b59b5fc70dcb0940cd" descr="{&quot;HashCode&quot;:-156385822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70692" w14:textId="4C2731C1"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8055E6" id="_x0000_t202" coordsize="21600,21600" o:spt="202" path="m,l,21600r21600,l21600,xe">
              <v:stroke joinstyle="miter"/>
              <v:path gradientshapeok="t" o:connecttype="rect"/>
            </v:shapetype>
            <v:shape id="MSIPCMeb1b40b59b5fc70dcb0940cd" o:spid="_x0000_s1104" type="#_x0000_t202" alt="{&quot;HashCode&quot;:-1563858221,&quot;Height&quot;:9999999.0,&quot;Width&quot;:9999999.0,&quot;Placement&quot;:&quot;Footer&quot;,&quot;Index&quot;:&quot;FirstPage&quot;,&quot;Section&quot;:2,&quot;Top&quot;:0.0,&quot;Left&quot;:0.0}" style="position:absolute;left:0;text-align:left;margin-left:0;margin-top:0;width:612pt;height:21pt;z-index:25165825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AvdnuusgIAAFoFAAAOAAAA&#10;AAAAAAAAAAAAAC4CAABkcnMvZTJvRG9jLnhtbFBLAQItABQABgAIAAAAIQBbIsUh2wAAAAUBAAAP&#10;AAAAAAAAAAAAAAAAAAwFAABkcnMvZG93bnJldi54bWxQSwUGAAAAAAQABADzAAAAFAYAAAAA&#10;" o:allowincell="f" filled="f" stroked="f" strokeweight=".5pt">
              <v:textbox inset="20pt,0,,0">
                <w:txbxContent>
                  <w:p w14:paraId="27E70692" w14:textId="4C2731C1"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3A8D6" w14:textId="77777777" w:rsidR="00DA3D89" w:rsidRDefault="00DA3D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6FA4E" w14:textId="64399406" w:rsidR="00DA3D89" w:rsidRPr="008F51B2" w:rsidRDefault="00DA3D89" w:rsidP="00326CFB">
    <w:pPr>
      <w:pStyle w:val="Footer"/>
      <w:jc w:val="center"/>
      <w:rPr>
        <w:rFonts w:ascii="Calibri Light" w:hAnsi="Calibri Light" w:cs="Calibri Light"/>
      </w:rPr>
    </w:pPr>
    <w:r>
      <w:rPr>
        <w:noProof/>
      </w:rPr>
      <mc:AlternateContent>
        <mc:Choice Requires="wps">
          <w:drawing>
            <wp:anchor distT="0" distB="0" distL="114300" distR="114300" simplePos="0" relativeHeight="251658254" behindDoc="0" locked="0" layoutInCell="0" allowOverlap="1" wp14:anchorId="3264A4C7" wp14:editId="5FAF638F">
              <wp:simplePos x="0" y="0"/>
              <wp:positionH relativeFrom="page">
                <wp:align>left</wp:align>
              </wp:positionH>
              <wp:positionV relativeFrom="page">
                <wp:align>bottom</wp:align>
              </wp:positionV>
              <wp:extent cx="7772400" cy="266700"/>
              <wp:effectExtent l="0" t="0" r="0" b="0"/>
              <wp:wrapNone/>
              <wp:docPr id="7" name="MSIPCM96604ad49a3e350e5632b64d" descr="{&quot;HashCode&quot;:-1563858221,&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1AF4BF" w14:textId="75BC6A3E"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64A4C7" id="_x0000_t202" coordsize="21600,21600" o:spt="202" path="m,l,21600r21600,l21600,xe">
              <v:stroke joinstyle="miter"/>
              <v:path gradientshapeok="t" o:connecttype="rect"/>
            </v:shapetype>
            <v:shape id="MSIPCM96604ad49a3e350e5632b64d" o:spid="_x0000_s1105" type="#_x0000_t202" alt="{&quot;HashCode&quot;:-1563858221,&quot;Height&quot;:9999999.0,&quot;Width&quot;:9999999.0,&quot;Placement&quot;:&quot;Footer&quot;,&quot;Index&quot;:&quot;FirstPage&quot;,&quot;Section&quot;:3,&quot;Top&quot;:0.0,&quot;Left&quot;:0.0}" style="position:absolute;left:0;text-align:left;margin-left:0;margin-top:0;width:612pt;height:21pt;z-index:25165825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HRlC7OxAgAAWQUAAA4AAAAA&#10;AAAAAAAAAAAALgIAAGRycy9lMm9Eb2MueG1sUEsBAi0AFAAGAAgAAAAhAFsixSHbAAAABQEAAA8A&#10;AAAAAAAAAAAAAAAACwUAAGRycy9kb3ducmV2LnhtbFBLBQYAAAAABAAEAPMAAAATBgAAAAA=&#10;" o:allowincell="f" filled="f" stroked="f" strokeweight=".5pt">
              <v:textbox inset="20pt,0,,0">
                <w:txbxContent>
                  <w:p w14:paraId="301AF4BF" w14:textId="75BC6A3E"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58253" behindDoc="0" locked="0" layoutInCell="0" allowOverlap="1" wp14:anchorId="75B2A18B" wp14:editId="543EC854">
              <wp:simplePos x="0" y="0"/>
              <wp:positionH relativeFrom="page">
                <wp:align>left</wp:align>
              </wp:positionH>
              <wp:positionV relativeFrom="page">
                <wp:align>bottom</wp:align>
              </wp:positionV>
              <wp:extent cx="7772400" cy="266700"/>
              <wp:effectExtent l="0" t="0" r="0" b="0"/>
              <wp:wrapNone/>
              <wp:docPr id="227" name="MSIPCM580e4270b4bdd7d9838bd65a" descr="{&quot;HashCode&quot;:-156385822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AF08D" w14:textId="16AC9427"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5B2A18B" id="MSIPCM580e4270b4bdd7d9838bd65a" o:spid="_x0000_s1106" type="#_x0000_t202" alt="{&quot;HashCode&quot;:-1563858221,&quot;Height&quot;:9999999.0,&quot;Width&quot;:9999999.0,&quot;Placement&quot;:&quot;Footer&quot;,&quot;Index&quot;:&quot;FirstPage&quot;,&quot;Section&quot;:4,&quot;Top&quot;:0.0,&quot;Left&quot;:0.0}" style="position:absolute;left:0;text-align:left;margin-left:0;margin-top:0;width:612pt;height:21pt;z-index:25165825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JXGGna0AgAAWwUAAA4A&#10;AAAAAAAAAAAAAAAALgIAAGRycy9lMm9Eb2MueG1sUEsBAi0AFAAGAAgAAAAhAFsixSHbAAAABQEA&#10;AA8AAAAAAAAAAAAAAAAADgUAAGRycy9kb3ducmV2LnhtbFBLBQYAAAAABAAEAPMAAAAWBgAAAAA=&#10;" o:allowincell="f" filled="f" stroked="f" strokeweight=".5pt">
              <v:textbox inset="20pt,0,,0">
                <w:txbxContent>
                  <w:p w14:paraId="625AF08D" w14:textId="16AC9427"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id w:val="-112755827"/>
        <w:docPartObj>
          <w:docPartGallery w:val="Page Numbers (Bottom of Page)"/>
          <w:docPartUnique/>
        </w:docPartObj>
      </w:sdtPr>
      <w:sdtEndPr>
        <w:rPr>
          <w:rFonts w:ascii="Calibri Light" w:hAnsi="Calibri Light" w:cs="Calibri Light"/>
          <w:noProof/>
        </w:rPr>
      </w:sdtEndPr>
      <w:sdtContent>
        <w:r w:rsidRPr="008F51B2">
          <w:rPr>
            <w:rFonts w:ascii="Calibri Light" w:hAnsi="Calibri Light" w:cs="Calibri Light"/>
            <w:noProof/>
            <w:sz w:val="16"/>
          </w:rPr>
          <w:drawing>
            <wp:anchor distT="0" distB="0" distL="114300" distR="114300" simplePos="0" relativeHeight="251658247" behindDoc="0" locked="0" layoutInCell="1" allowOverlap="1" wp14:anchorId="7127CE55" wp14:editId="07980E3E">
              <wp:simplePos x="0" y="0"/>
              <wp:positionH relativeFrom="column">
                <wp:posOffset>5915025</wp:posOffset>
              </wp:positionH>
              <wp:positionV relativeFrom="paragraph">
                <wp:posOffset>-1686560</wp:posOffset>
              </wp:positionV>
              <wp:extent cx="548640" cy="2286000"/>
              <wp:effectExtent l="0" t="0" r="3810" b="0"/>
              <wp:wrapSquare wrapText="bothSides"/>
              <wp:docPr id="1398068739" name="Picture 139806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r w:rsidRPr="008F51B2">
          <w:rPr>
            <w:rFonts w:ascii="Calibri Light" w:hAnsi="Calibri Light" w:cs="Calibri Light"/>
          </w:rPr>
          <w:fldChar w:fldCharType="begin"/>
        </w:r>
        <w:r w:rsidRPr="008F51B2">
          <w:rPr>
            <w:rFonts w:ascii="Calibri Light" w:hAnsi="Calibri Light" w:cs="Calibri Light"/>
          </w:rPr>
          <w:instrText xml:space="preserve"> PAGE   \* MERGEFORMAT </w:instrText>
        </w:r>
        <w:r w:rsidRPr="008F51B2">
          <w:rPr>
            <w:rFonts w:ascii="Calibri Light" w:hAnsi="Calibri Light" w:cs="Calibri Light"/>
          </w:rPr>
          <w:fldChar w:fldCharType="separate"/>
        </w:r>
        <w:r w:rsidRPr="008F51B2">
          <w:rPr>
            <w:rFonts w:ascii="Calibri Light" w:hAnsi="Calibri Light" w:cs="Calibri Light"/>
            <w:noProof/>
          </w:rPr>
          <w:t>2</w:t>
        </w:r>
        <w:r w:rsidRPr="008F51B2">
          <w:rPr>
            <w:rFonts w:ascii="Calibri Light" w:hAnsi="Calibri Light" w:cs="Calibri Light"/>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6F58A" w14:textId="1A19735A" w:rsidR="00DA3D89" w:rsidRPr="008F51B2" w:rsidRDefault="00205CE3" w:rsidP="00326CFB">
    <w:pPr>
      <w:pStyle w:val="Footer"/>
      <w:jc w:val="center"/>
      <w:rPr>
        <w:rFonts w:ascii="Calibri Light" w:hAnsi="Calibri Light" w:cs="Calibri Light"/>
      </w:rPr>
    </w:pPr>
    <w:sdt>
      <w:sdtPr>
        <w:id w:val="-355205407"/>
        <w:docPartObj>
          <w:docPartGallery w:val="Page Numbers (Bottom of Page)"/>
          <w:docPartUnique/>
        </w:docPartObj>
      </w:sdtPr>
      <w:sdtEndPr>
        <w:rPr>
          <w:rFonts w:ascii="Calibri Light" w:hAnsi="Calibri Light" w:cs="Calibri Light"/>
          <w:noProof/>
        </w:rPr>
      </w:sdtEndPr>
      <w:sdtContent>
        <w:r w:rsidR="00DA3D89" w:rsidRPr="008F51B2">
          <w:rPr>
            <w:rFonts w:ascii="Calibri Light" w:hAnsi="Calibri Light" w:cs="Calibri Light"/>
            <w:noProof/>
            <w:sz w:val="16"/>
          </w:rPr>
          <w:drawing>
            <wp:anchor distT="0" distB="0" distL="114300" distR="114300" simplePos="0" relativeHeight="251658252" behindDoc="0" locked="0" layoutInCell="1" allowOverlap="1" wp14:anchorId="7A20C00A" wp14:editId="6F671E30">
              <wp:simplePos x="0" y="0"/>
              <wp:positionH relativeFrom="column">
                <wp:posOffset>5915025</wp:posOffset>
              </wp:positionH>
              <wp:positionV relativeFrom="paragraph">
                <wp:posOffset>-1686560</wp:posOffset>
              </wp:positionV>
              <wp:extent cx="548640" cy="2286000"/>
              <wp:effectExtent l="0" t="0" r="3810" b="0"/>
              <wp:wrapSquare wrapText="bothSides"/>
              <wp:docPr id="1398068740" name="Picture 139806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r w:rsidR="00DA3D89" w:rsidRPr="008F51B2">
          <w:rPr>
            <w:rFonts w:ascii="Calibri Light" w:hAnsi="Calibri Light" w:cs="Calibri Light"/>
          </w:rPr>
          <w:fldChar w:fldCharType="begin"/>
        </w:r>
        <w:r w:rsidR="00DA3D89" w:rsidRPr="008F51B2">
          <w:rPr>
            <w:rFonts w:ascii="Calibri Light" w:hAnsi="Calibri Light" w:cs="Calibri Light"/>
          </w:rPr>
          <w:instrText xml:space="preserve"> PAGE   \* MERGEFORMAT </w:instrText>
        </w:r>
        <w:r w:rsidR="00DA3D89" w:rsidRPr="008F51B2">
          <w:rPr>
            <w:rFonts w:ascii="Calibri Light" w:hAnsi="Calibri Light" w:cs="Calibri Light"/>
          </w:rPr>
          <w:fldChar w:fldCharType="separate"/>
        </w:r>
        <w:r w:rsidR="00DA3D89" w:rsidRPr="008F51B2">
          <w:rPr>
            <w:rFonts w:ascii="Calibri Light" w:hAnsi="Calibri Light" w:cs="Calibri Light"/>
            <w:noProof/>
          </w:rPr>
          <w:t>2</w:t>
        </w:r>
        <w:r w:rsidR="00DA3D89" w:rsidRPr="008F51B2">
          <w:rPr>
            <w:rFonts w:ascii="Calibri Light" w:hAnsi="Calibri Light" w:cs="Calibri Light"/>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2AA1" w14:textId="5241ED3D" w:rsidR="00DA3D89" w:rsidRPr="00245F6C" w:rsidRDefault="00DA3D89" w:rsidP="0017754B">
    <w:pPr>
      <w:pStyle w:val="Footer"/>
      <w:tabs>
        <w:tab w:val="center" w:pos="4249"/>
        <w:tab w:val="right" w:pos="8498"/>
      </w:tabs>
      <w:jc w:val="center"/>
      <w:rPr>
        <w:rFonts w:ascii="Calibri Light" w:hAnsi="Calibri Light" w:cs="Calibri Light"/>
      </w:rPr>
    </w:pPr>
    <w:r>
      <w:rPr>
        <w:noProof/>
      </w:rPr>
      <mc:AlternateContent>
        <mc:Choice Requires="wps">
          <w:drawing>
            <wp:anchor distT="0" distB="0" distL="114300" distR="114300" simplePos="0" relativeHeight="251659284" behindDoc="0" locked="0" layoutInCell="0" allowOverlap="1" wp14:anchorId="4637132E" wp14:editId="4451868C">
              <wp:simplePos x="0" y="0"/>
              <wp:positionH relativeFrom="page">
                <wp:align>left</wp:align>
              </wp:positionH>
              <wp:positionV relativeFrom="page">
                <wp:align>bottom</wp:align>
              </wp:positionV>
              <wp:extent cx="7772400" cy="266700"/>
              <wp:effectExtent l="0" t="0" r="0" b="0"/>
              <wp:wrapNone/>
              <wp:docPr id="11" name="MSIPCM43714843865f793d34ade025" descr="{&quot;HashCode&quot;:-156385822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4B443" w14:textId="5844B0B4"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637132E" id="_x0000_t202" coordsize="21600,21600" o:spt="202" path="m,l,21600r21600,l21600,xe">
              <v:stroke joinstyle="miter"/>
              <v:path gradientshapeok="t" o:connecttype="rect"/>
            </v:shapetype>
            <v:shape id="MSIPCM43714843865f793d34ade025" o:spid="_x0000_s1107" type="#_x0000_t202" alt="{&quot;HashCode&quot;:-1563858221,&quot;Height&quot;:9999999.0,&quot;Width&quot;:9999999.0,&quot;Placement&quot;:&quot;Footer&quot;,&quot;Index&quot;:&quot;Primary&quot;,&quot;Section&quot;:5,&quot;Top&quot;:0.0,&quot;Left&quot;:0.0}" style="position:absolute;left:0;text-align:left;margin-left:0;margin-top:0;width:612pt;height:21pt;z-index:2516592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P6CHvG0AgAAWAUAAA4A&#10;AAAAAAAAAAAAAAAALgIAAGRycy9lMm9Eb2MueG1sUEsBAi0AFAAGAAgAAAAhAFsixSHbAAAABQEA&#10;AA8AAAAAAAAAAAAAAAAADgUAAGRycy9kb3ducmV2LnhtbFBLBQYAAAAABAAEAPMAAAAWBgAAAAA=&#10;" o:allowincell="f" filled="f" stroked="f" strokeweight=".5pt">
              <v:textbox inset="20pt,0,,0">
                <w:txbxContent>
                  <w:p w14:paraId="0C04B443" w14:textId="5844B0B4"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sdt>
      <w:sdtPr>
        <w:id w:val="456610085"/>
        <w:docPartObj>
          <w:docPartGallery w:val="Page Numbers (Bottom of Page)"/>
          <w:docPartUnique/>
        </w:docPartObj>
      </w:sdtPr>
      <w:sdtEndPr>
        <w:rPr>
          <w:rFonts w:ascii="Calibri Light" w:hAnsi="Calibri Light" w:cs="Calibri Light"/>
          <w:noProof/>
        </w:rPr>
      </w:sdtEndPr>
      <w:sdtContent>
        <w:r w:rsidRPr="00245F6C">
          <w:rPr>
            <w:rFonts w:ascii="Calibri Light" w:hAnsi="Calibri Light" w:cs="Calibri Light"/>
          </w:rPr>
          <w:fldChar w:fldCharType="begin"/>
        </w:r>
        <w:r w:rsidRPr="00245F6C">
          <w:rPr>
            <w:rFonts w:ascii="Calibri Light" w:hAnsi="Calibri Light" w:cs="Calibri Light"/>
          </w:rPr>
          <w:instrText xml:space="preserve"> PAGE   \* MERGEFORMAT </w:instrText>
        </w:r>
        <w:r w:rsidRPr="00245F6C">
          <w:rPr>
            <w:rFonts w:ascii="Calibri Light" w:hAnsi="Calibri Light" w:cs="Calibri Light"/>
          </w:rPr>
          <w:fldChar w:fldCharType="separate"/>
        </w:r>
        <w:r w:rsidRPr="00245F6C">
          <w:rPr>
            <w:rFonts w:ascii="Calibri Light" w:hAnsi="Calibri Light" w:cs="Calibri Light"/>
            <w:noProof/>
          </w:rPr>
          <w:t>2</w:t>
        </w:r>
        <w:r w:rsidRPr="00245F6C">
          <w:rPr>
            <w:rFonts w:ascii="Calibri Light" w:hAnsi="Calibri Light" w:cs="Calibri Light"/>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F52CB" w14:textId="4B7D8BD1" w:rsidR="00DA3D89" w:rsidRPr="00245F6C" w:rsidRDefault="00DA3D89" w:rsidP="00F95266">
    <w:pPr>
      <w:pStyle w:val="Footer"/>
      <w:jc w:val="center"/>
      <w:rPr>
        <w:rFonts w:ascii="Calibri Light" w:hAnsi="Calibri Light" w:cs="Calibri Light"/>
        <w:szCs w:val="20"/>
      </w:rPr>
    </w:pPr>
    <w:r>
      <w:rPr>
        <w:rFonts w:ascii="Rockwell" w:hAnsi="Rockwell"/>
        <w:noProof/>
        <w:sz w:val="24"/>
      </w:rPr>
      <mc:AlternateContent>
        <mc:Choice Requires="wps">
          <w:drawing>
            <wp:anchor distT="0" distB="0" distL="114300" distR="114300" simplePos="0" relativeHeight="251660308" behindDoc="0" locked="0" layoutInCell="0" allowOverlap="1" wp14:anchorId="2A69B675" wp14:editId="5F312AF7">
              <wp:simplePos x="0" y="0"/>
              <wp:positionH relativeFrom="page">
                <wp:align>left</wp:align>
              </wp:positionH>
              <wp:positionV relativeFrom="page">
                <wp:align>bottom</wp:align>
              </wp:positionV>
              <wp:extent cx="7772400" cy="266700"/>
              <wp:effectExtent l="0" t="0" r="0" b="0"/>
              <wp:wrapNone/>
              <wp:docPr id="20" name="MSIPCM22dd4c3a89691388cd692257" descr="{&quot;HashCode&quot;:-156385822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39110" w14:textId="34E8C9AD" w:rsidR="00DA3D89" w:rsidRPr="00BA005A" w:rsidRDefault="00DA3D89" w:rsidP="00BA005A">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69B675" id="_x0000_t202" coordsize="21600,21600" o:spt="202" path="m,l,21600r21600,l21600,xe">
              <v:stroke joinstyle="miter"/>
              <v:path gradientshapeok="t" o:connecttype="rect"/>
            </v:shapetype>
            <v:shape id="MSIPCM22dd4c3a89691388cd692257" o:spid="_x0000_s1108" type="#_x0000_t202" alt="{&quot;HashCode&quot;:-1563858221,&quot;Height&quot;:9999999.0,&quot;Width&quot;:9999999.0,&quot;Placement&quot;:&quot;Footer&quot;,&quot;Index&quot;:&quot;FirstPage&quot;,&quot;Section&quot;:5,&quot;Top&quot;:0.0,&quot;Left&quot;:0.0}" style="position:absolute;left:0;text-align:left;margin-left:0;margin-top:0;width:612pt;height:21pt;z-index:25166030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BxfibwsgIAAFoFAAAOAAAA&#10;AAAAAAAAAAAAAC4CAABkcnMvZTJvRG9jLnhtbFBLAQItABQABgAIAAAAIQBbIsUh2wAAAAUBAAAP&#10;AAAAAAAAAAAAAAAAAAwFAABkcnMvZG93bnJldi54bWxQSwUGAAAAAAQABADzAAAAFAYAAAAA&#10;" o:allowincell="f" filled="f" stroked="f" strokeweight=".5pt">
              <v:textbox inset="20pt,0,,0">
                <w:txbxContent>
                  <w:p w14:paraId="29B39110" w14:textId="34E8C9AD" w:rsidR="00DA3D89" w:rsidRPr="00BA005A" w:rsidRDefault="00DA3D89" w:rsidP="00BA005A">
                    <w:pPr>
                      <w:spacing w:after="0"/>
                      <w:rPr>
                        <w:rFonts w:ascii="Calibri" w:hAnsi="Calibri" w:cs="Calibri"/>
                        <w:color w:val="000000"/>
                        <w:sz w:val="22"/>
                      </w:rPr>
                    </w:pPr>
                  </w:p>
                </w:txbxContent>
              </v:textbox>
              <w10:wrap anchorx="page" anchory="page"/>
            </v:shape>
          </w:pict>
        </mc:Fallback>
      </mc:AlternateContent>
    </w:r>
    <w:r>
      <w:rPr>
        <w:rFonts w:ascii="Rockwell" w:hAnsi="Rockwell"/>
        <w:noProof/>
        <w:sz w:val="24"/>
      </w:rPr>
      <w:drawing>
        <wp:anchor distT="0" distB="0" distL="114300" distR="114300" simplePos="0" relativeHeight="251658249" behindDoc="0" locked="0" layoutInCell="1" allowOverlap="1" wp14:anchorId="5A27DD15" wp14:editId="6503AC8B">
          <wp:simplePos x="0" y="0"/>
          <wp:positionH relativeFrom="column">
            <wp:posOffset>5901690</wp:posOffset>
          </wp:positionH>
          <wp:positionV relativeFrom="paragraph">
            <wp:posOffset>-1672590</wp:posOffset>
          </wp:positionV>
          <wp:extent cx="548640" cy="2286000"/>
          <wp:effectExtent l="0" t="0" r="3810" b="0"/>
          <wp:wrapSquare wrapText="bothSides"/>
          <wp:docPr id="1398068741" name="Picture 13980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pic:spPr>
              </pic:pic>
            </a:graphicData>
          </a:graphic>
        </wp:anchor>
      </w:drawing>
    </w:r>
    <w:sdt>
      <w:sdtPr>
        <w:rPr>
          <w:rFonts w:ascii="Rockwell" w:hAnsi="Rockwell"/>
          <w:sz w:val="24"/>
        </w:rPr>
        <w:id w:val="1145935646"/>
        <w:docPartObj>
          <w:docPartGallery w:val="Page Numbers (Bottom of Page)"/>
          <w:docPartUnique/>
        </w:docPartObj>
      </w:sdtPr>
      <w:sdtEndPr>
        <w:rPr>
          <w:rFonts w:ascii="Calibri Light" w:hAnsi="Calibri Light" w:cs="Calibri Light"/>
          <w:noProof/>
          <w:sz w:val="22"/>
          <w:szCs w:val="20"/>
        </w:rPr>
      </w:sdtEndPr>
      <w:sdtContent>
        <w:r w:rsidRPr="00245F6C">
          <w:rPr>
            <w:rFonts w:ascii="Calibri Light" w:hAnsi="Calibri Light" w:cs="Calibri Light"/>
            <w:szCs w:val="20"/>
          </w:rPr>
          <w:fldChar w:fldCharType="begin"/>
        </w:r>
        <w:r w:rsidRPr="00245F6C">
          <w:rPr>
            <w:rFonts w:ascii="Calibri Light" w:hAnsi="Calibri Light" w:cs="Calibri Light"/>
            <w:szCs w:val="20"/>
          </w:rPr>
          <w:instrText xml:space="preserve"> PAGE   \* MERGEFORMAT </w:instrText>
        </w:r>
        <w:r w:rsidRPr="00245F6C">
          <w:rPr>
            <w:rFonts w:ascii="Calibri Light" w:hAnsi="Calibri Light" w:cs="Calibri Light"/>
            <w:szCs w:val="20"/>
          </w:rPr>
          <w:fldChar w:fldCharType="separate"/>
        </w:r>
        <w:r w:rsidRPr="00245F6C">
          <w:rPr>
            <w:rFonts w:ascii="Calibri Light" w:hAnsi="Calibri Light" w:cs="Calibri Light"/>
            <w:noProof/>
            <w:szCs w:val="20"/>
          </w:rPr>
          <w:t>2</w:t>
        </w:r>
        <w:r w:rsidRPr="00245F6C">
          <w:rPr>
            <w:rFonts w:ascii="Calibri Light" w:hAnsi="Calibri Light" w:cs="Calibri Light"/>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7D54D" w14:textId="77777777" w:rsidR="00456016" w:rsidRPr="00333B58" w:rsidRDefault="00456016" w:rsidP="0014700E">
      <w:pPr>
        <w:spacing w:after="0"/>
      </w:pPr>
      <w:r>
        <w:separator/>
      </w:r>
    </w:p>
  </w:footnote>
  <w:footnote w:type="continuationSeparator" w:id="0">
    <w:p w14:paraId="69831CBF" w14:textId="77777777" w:rsidR="00456016" w:rsidRPr="00333B58" w:rsidRDefault="00456016" w:rsidP="00333B58">
      <w:r>
        <w:continuationSeparator/>
      </w:r>
    </w:p>
  </w:footnote>
  <w:footnote w:type="continuationNotice" w:id="1">
    <w:p w14:paraId="2C59E9F9" w14:textId="77777777" w:rsidR="00456016" w:rsidRDefault="00456016">
      <w:pPr>
        <w:spacing w:after="0"/>
      </w:pPr>
    </w:p>
  </w:footnote>
  <w:footnote w:id="2">
    <w:p w14:paraId="31EBFAAF" w14:textId="2C497957" w:rsidR="00DA3D89" w:rsidRDefault="00DA3D89" w:rsidP="19C23C82">
      <w:pPr>
        <w:pStyle w:val="FootnoteText"/>
      </w:pPr>
      <w:r w:rsidRPr="19C23C82">
        <w:rPr>
          <w:rStyle w:val="FootnoteReference"/>
        </w:rPr>
        <w:footnoteRef/>
      </w:r>
      <w:r>
        <w:t xml:space="preserve"> </w:t>
      </w:r>
      <w:r w:rsidRPr="00C87895">
        <w:t>A specified parliamentary office holder is an MP who holds one or more of the additional offices listed in section 3 of the VIRTIPS Act — for example, Premier, Leader of the Opposition — and receives an additional salary for carrying out that role.</w:t>
      </w:r>
    </w:p>
  </w:footnote>
  <w:footnote w:id="3">
    <w:p w14:paraId="7458FC67" w14:textId="3ABB7E6F" w:rsidR="00DA3D89" w:rsidRPr="00265752" w:rsidRDefault="00DA3D89" w:rsidP="00411889">
      <w:pPr>
        <w:pStyle w:val="FootnoteText"/>
      </w:pPr>
      <w:r w:rsidRPr="00AB0EE8">
        <w:rPr>
          <w:rStyle w:val="FootnoteReference"/>
        </w:rPr>
        <w:footnoteRef/>
      </w:r>
      <w:r w:rsidRPr="00AB0EE8">
        <w:t xml:space="preserve"> </w:t>
      </w:r>
      <w:r>
        <w:t xml:space="preserve">Malcolm Hazell, </w:t>
      </w:r>
      <w:r w:rsidRPr="008955A0">
        <w:rPr>
          <w:i/>
          <w:iCs/>
        </w:rPr>
        <w:t>Independent Review of Victorian MPs’ Salary Entitlements, Allowances and Other Arrangements</w:t>
      </w:r>
      <w:r>
        <w:t>, report prepared for the Department of Premier and Cabinet, Victoria, 2013</w:t>
      </w:r>
      <w:r w:rsidRPr="001703E5">
        <w:t>.</w:t>
      </w:r>
    </w:p>
  </w:footnote>
  <w:footnote w:id="4">
    <w:p w14:paraId="14D7E7C4" w14:textId="6CE79CCD" w:rsidR="00DA3D89" w:rsidRDefault="00DA3D89" w:rsidP="00411889">
      <w:pPr>
        <w:pStyle w:val="FootnoteText"/>
      </w:pPr>
      <w:r>
        <w:rPr>
          <w:rStyle w:val="FootnoteReference"/>
        </w:rPr>
        <w:footnoteRef/>
      </w:r>
      <w:r>
        <w:t xml:space="preserve"> </w:t>
      </w:r>
      <w:r w:rsidRPr="000762FB">
        <w:rPr>
          <w:color w:val="4D4D4D"/>
        </w:rPr>
        <w:t xml:space="preserve">John Harrison, ‘Assessing the Taxation of Superannuation in Terms of Horizontal and Vertical Equity’, </w:t>
      </w:r>
      <w:r w:rsidRPr="000762FB">
        <w:rPr>
          <w:i/>
          <w:iCs/>
          <w:color w:val="4D4D4D"/>
        </w:rPr>
        <w:t>Journal of the Australasian Tax Teachers Association</w:t>
      </w:r>
      <w:r w:rsidRPr="000762FB">
        <w:rPr>
          <w:color w:val="4D4D4D"/>
        </w:rPr>
        <w:t xml:space="preserve"> 13, no. 1 (2018): 114-151; Anthony Asher, ‘Equity in Retirement: Are All Australians Getting a Fair Deal?’, </w:t>
      </w:r>
      <w:r w:rsidRPr="000762FB">
        <w:rPr>
          <w:i/>
          <w:iCs/>
          <w:color w:val="4D4D4D"/>
        </w:rPr>
        <w:t>The Economic and Labour Relations Review</w:t>
      </w:r>
      <w:r w:rsidRPr="000762FB">
        <w:rPr>
          <w:color w:val="4D4D4D"/>
        </w:rPr>
        <w:t xml:space="preserve"> 22, no. 3 (2011): 65-84; Ross Clare, </w:t>
      </w:r>
      <w:r w:rsidRPr="000762FB">
        <w:rPr>
          <w:i/>
          <w:iCs/>
          <w:color w:val="4D4D4D"/>
        </w:rPr>
        <w:t>Equity and Retirement Income Provision in Australia</w:t>
      </w:r>
      <w:r w:rsidRPr="000762FB">
        <w:rPr>
          <w:color w:val="4D4D4D"/>
        </w:rPr>
        <w:t xml:space="preserve"> (Association of Superannuation Funds Australia</w:t>
      </w:r>
      <w:r>
        <w:rPr>
          <w:color w:val="4D4D4D"/>
        </w:rPr>
        <w:t>: Sydney</w:t>
      </w:r>
      <w:r w:rsidRPr="000762FB">
        <w:rPr>
          <w:color w:val="4D4D4D"/>
        </w:rPr>
        <w:t>, 2001).</w:t>
      </w:r>
    </w:p>
  </w:footnote>
  <w:footnote w:id="5">
    <w:p w14:paraId="39E316DB" w14:textId="77777777" w:rsidR="00DA3D89" w:rsidRDefault="00DA3D89" w:rsidP="00411889">
      <w:pPr>
        <w:pStyle w:val="FootnoteText"/>
      </w:pPr>
      <w:r w:rsidRPr="00411889">
        <w:rPr>
          <w:rStyle w:val="FootnoteReference"/>
        </w:rPr>
        <w:footnoteRef/>
      </w:r>
      <w:r w:rsidRPr="00411889">
        <w:t xml:space="preserve"> Exceptions are: (a) MPs who were in the Parliament in 1996 and elected to transfer into the New Benefits Scheme, and (b) MPs in defined benefit schemes who leave the Parliament and, upon returning, join the accumulation scheme.</w:t>
      </w:r>
    </w:p>
  </w:footnote>
  <w:footnote w:id="6">
    <w:p w14:paraId="7631FCA9" w14:textId="455E81EE" w:rsidR="00DA3D89" w:rsidRDefault="00DA3D89" w:rsidP="00E20300">
      <w:pPr>
        <w:pStyle w:val="FootnoteText"/>
      </w:pPr>
      <w:r>
        <w:rPr>
          <w:rStyle w:val="FootnoteReference"/>
        </w:rPr>
        <w:footnoteRef/>
      </w:r>
      <w:r>
        <w:t xml:space="preserve"> ABS, </w:t>
      </w:r>
      <w:r w:rsidRPr="005A3F34">
        <w:rPr>
          <w:i/>
          <w:iCs/>
        </w:rPr>
        <w:t>Household Income and Wealth</w:t>
      </w:r>
      <w:r>
        <w:rPr>
          <w:i/>
          <w:iCs/>
        </w:rPr>
        <w:t>, Australia</w:t>
      </w:r>
      <w:r>
        <w:t xml:space="preserve">, cat. no. </w:t>
      </w:r>
      <w:r w:rsidRPr="00EC5165">
        <w:t>6523.0, 2017-18.</w:t>
      </w:r>
    </w:p>
  </w:footnote>
  <w:footnote w:id="7">
    <w:p w14:paraId="76B6E558" w14:textId="77777777" w:rsidR="00DA3D89" w:rsidRDefault="00DA3D89" w:rsidP="00E20300">
      <w:pPr>
        <w:pStyle w:val="FootnoteText"/>
      </w:pPr>
      <w:r>
        <w:rPr>
          <w:rStyle w:val="FootnoteReference"/>
        </w:rPr>
        <w:footnoteRef/>
      </w:r>
      <w:r>
        <w:t xml:space="preserve"> </w:t>
      </w:r>
      <w:r>
        <w:fldChar w:fldCharType="begin"/>
      </w:r>
      <w:r>
        <w:instrText xml:space="preserve"> ADDIN ZOTERO_ITEM CSL_CITATION {"citationID":"10gRMvXG","properties":{"formattedCitation":"Australian Taxation Office, \\uc0\\u8216{}Multiple Super Accounts Data\\uc0\\u8217{}, accessed 3 June 2020, https://www.ato.gov.au/About-ATO/Research-and-statistics/In-detail/Super-statistics/Super-accounts-data/Multiple-super-accounts-data/?default.","plainCitation":"Australian Taxation Office, ‘Multiple Super Accounts Data’, accessed 3 June 2020, https://www.ato.gov.au/About-ATO/Research-and-statistics/In-detail/Super-statistics/Super-accounts-data/Multiple-super-accounts-data/?default.","noteIndex":18},"citationItems":[{"id":442,"uris":["http://zotero.org/groups/2355244/items/FPR826EV"],"uri":["http://zotero.org/groups/2355244/items/FPR826EV"],"itemData":{"id":442,"type":"webpage","title":"Multiple super accounts data","abstract":"Latest trend in numbers of accounts held by Australians as well as account numbers and values for lost and ATO-held super accounts.","URL":"https://www.ato.gov.au/About-ATO/Research-and-statistics/In-detail/Super-statistics/Super-accounts-data/Multiple-super-accounts-data/?default","language":"en-AU","author":[{"family":"Office","given":"Australian Taxation"}],"accessed":{"date-parts":[["2020",6,3]]}}}],"schema":"https://github.com/citation-style-language/schema/raw/master/csl-citation.json"} </w:instrText>
      </w:r>
      <w:r>
        <w:fldChar w:fldCharType="separate"/>
      </w:r>
      <w:r w:rsidRPr="005452D0">
        <w:rPr>
          <w:rFonts w:cs="Calibri Light"/>
          <w:szCs w:val="24"/>
        </w:rPr>
        <w:t>Australian Taxation Office, ‘Multiple Super Accounts Data’, accessed 3 June 2020, https://www.ato.gov.au/About-ATO/Research-and-statistics/In-detail/Super-statistics/Super-accounts-data/Multiple-super-accounts-data/.</w:t>
      </w:r>
      <w:r>
        <w:fldChar w:fldCharType="end"/>
      </w:r>
    </w:p>
  </w:footnote>
  <w:footnote w:id="8">
    <w:p w14:paraId="6189606C" w14:textId="77777777" w:rsidR="00DA3D89" w:rsidRDefault="00DA3D89" w:rsidP="00E20300">
      <w:pPr>
        <w:pStyle w:val="FootnoteText"/>
      </w:pPr>
      <w:r>
        <w:rPr>
          <w:rStyle w:val="FootnoteReference"/>
        </w:rPr>
        <w:footnoteRef/>
      </w:r>
      <w:r>
        <w:t xml:space="preserve"> Employees generally need to earn $450 or more in a calendar month to be eligible for superannuation. Individuals under 18 and private and domestic workers must also work for more than 30 hours per week to be eligible. </w:t>
      </w:r>
      <w:r w:rsidRPr="00277DD8">
        <w:rPr>
          <w:i/>
          <w:iCs/>
        </w:rPr>
        <w:t>Superannuation Guarantee (Administration) Act 1992</w:t>
      </w:r>
      <w:r>
        <w:t xml:space="preserve"> (Cth), ss11(2), 27(2) and 28.</w:t>
      </w:r>
    </w:p>
  </w:footnote>
  <w:footnote w:id="9">
    <w:p w14:paraId="64861162" w14:textId="4AFB1053" w:rsidR="00DA3D89" w:rsidRDefault="00DA3D89" w:rsidP="00E20300">
      <w:pPr>
        <w:pStyle w:val="FootnoteText"/>
      </w:pPr>
      <w:r>
        <w:rPr>
          <w:rStyle w:val="FootnoteReference"/>
        </w:rPr>
        <w:footnoteRef/>
      </w:r>
      <w:r>
        <w:t xml:space="preserve"> Commonwealth Department of Jobs and Small Business, Workplace Agreements Database, 2019. Approximately 73 per cent of enterprise agreements contained a superannuation clause which explicitly specified 9.5 per cent. Approximately 17 per cent did not contain a specific superannuation clause, so it is assumed that workers covered under these enterprise agreements receive 9.5 per cent due to the minimum requirement. Approximately 3 per cent of enterprise agreements contain a superannuation clause which is varied or not consistent.</w:t>
      </w:r>
    </w:p>
  </w:footnote>
  <w:footnote w:id="10">
    <w:p w14:paraId="0655C954" w14:textId="439995CC" w:rsidR="00DA3D89" w:rsidRDefault="00DA3D89" w:rsidP="00E20300">
      <w:pPr>
        <w:pStyle w:val="FootnoteText"/>
      </w:pPr>
      <w:r>
        <w:rPr>
          <w:rStyle w:val="FootnoteReference"/>
        </w:rPr>
        <w:footnoteRef/>
      </w:r>
      <w:r>
        <w:t xml:space="preserve"> </w:t>
      </w:r>
      <w:r w:rsidRPr="00784955">
        <w:t xml:space="preserve">APRA, </w:t>
      </w:r>
      <w:r w:rsidRPr="00784955">
        <w:rPr>
          <w:i/>
          <w:iCs/>
        </w:rPr>
        <w:t>Annual Superannuation Bulletin June 2019</w:t>
      </w:r>
      <w:r w:rsidRPr="00784955">
        <w:t xml:space="preserve"> (APRA: Sydney, 2020)</w:t>
      </w:r>
      <w:r>
        <w:t xml:space="preserve">. </w:t>
      </w:r>
    </w:p>
  </w:footnote>
  <w:footnote w:id="11">
    <w:p w14:paraId="24193E22" w14:textId="3C318E54" w:rsidR="00DA3D89" w:rsidRDefault="00DA3D89" w:rsidP="00E20300">
      <w:pPr>
        <w:pStyle w:val="FootnoteText"/>
      </w:pPr>
      <w:r>
        <w:rPr>
          <w:rStyle w:val="FootnoteReference"/>
        </w:rPr>
        <w:footnoteRef/>
      </w:r>
      <w:r>
        <w:t xml:space="preserve"> </w:t>
      </w:r>
      <w:r w:rsidRPr="00784955">
        <w:t xml:space="preserve">APRA, </w:t>
      </w:r>
      <w:r w:rsidRPr="00784955">
        <w:rPr>
          <w:i/>
          <w:iCs/>
        </w:rPr>
        <w:t>Annual Superannuation Bulletin June 2019</w:t>
      </w:r>
      <w:r>
        <w:fldChar w:fldCharType="begin"/>
      </w:r>
      <w:r>
        <w:instrText xml:space="preserve"> ADDIN ZOTERO_ITEM CSL_CITATION {"citationID":"wKxCNDPN","properties":{"formattedCitation":"Australian Prudential Regulation Authority, \\uc0\\u8216{}Annual Superannuation Bulletin\\uc0\\u8217{}, 31 January 2020, https://www.apra.gov.au/annual-superannuation-bulletin.","plainCitation":"Australian Prudential Regulation Authority, ‘Annual Superannuation Bulletin’, 31 January 2020, https://www.apra.gov.au/annual-superannuation-bulletin.","noteIndex":19},"citationItems":[{"id":444,"uris":["http://zotero.org/groups/2355244/items/RXTDVT6I"],"uri":["http://zotero.org/groups/2355244/items/RXTDVT6I"],"itemData":{"id":444,"type":"article","title":"Annual superannuation bulletin","URL":"https://www.apra.gov.au/annual-superannuation-bulletin","author":[{"literal":"Australian Prudential Regulation Authority"}],"issued":{"date-parts":[["2020",1,31]]},"accessed":{"date-parts":[["2020",6,3]]}}}],"schema":"https://github.com/citation-style-language/schema/raw/master/csl-citation.json"} </w:instrText>
      </w:r>
      <w:r>
        <w:fldChar w:fldCharType="separate"/>
      </w:r>
      <w:r w:rsidRPr="00763044">
        <w:rPr>
          <w:rFonts w:cs="Calibri Light"/>
          <w:szCs w:val="24"/>
        </w:rPr>
        <w:t>.</w:t>
      </w:r>
      <w:r>
        <w:fldChar w:fldCharType="end"/>
      </w:r>
    </w:p>
  </w:footnote>
  <w:footnote w:id="12">
    <w:p w14:paraId="7771750A" w14:textId="77777777" w:rsidR="00DA3D89" w:rsidRDefault="00DA3D89" w:rsidP="00E20300">
      <w:pPr>
        <w:pStyle w:val="FootnoteText"/>
      </w:pPr>
      <w:r>
        <w:rPr>
          <w:rStyle w:val="FootnoteReference"/>
        </w:rPr>
        <w:footnoteRef/>
      </w:r>
      <w:r>
        <w:t xml:space="preserve"> Exempt public sector superannuation schemes are listed in Schedule 1AA of the </w:t>
      </w:r>
      <w:r w:rsidRPr="00E54FB3">
        <w:rPr>
          <w:i/>
          <w:iCs/>
        </w:rPr>
        <w:t>Superannuation Industry (Supervision) Regulations 1994</w:t>
      </w:r>
      <w:r>
        <w:t xml:space="preserve"> (Cth). </w:t>
      </w:r>
    </w:p>
  </w:footnote>
  <w:footnote w:id="13">
    <w:p w14:paraId="56A406E7" w14:textId="4EE3FB15" w:rsidR="00DA3D89" w:rsidRDefault="00DA3D89" w:rsidP="00E20300">
      <w:pPr>
        <w:pStyle w:val="FootnoteText"/>
      </w:pPr>
      <w:r>
        <w:rPr>
          <w:rStyle w:val="FootnoteReference"/>
        </w:rPr>
        <w:footnoteRef/>
      </w:r>
      <w:r>
        <w:t xml:space="preserve"> </w:t>
      </w:r>
      <w:r w:rsidRPr="00784955">
        <w:t xml:space="preserve">APRA, </w:t>
      </w:r>
      <w:r w:rsidRPr="00784955">
        <w:rPr>
          <w:i/>
          <w:iCs/>
        </w:rPr>
        <w:t>Annual Superannuation Bulletin June 2019</w:t>
      </w:r>
      <w:r>
        <w:t>.</w:t>
      </w:r>
    </w:p>
  </w:footnote>
  <w:footnote w:id="14">
    <w:p w14:paraId="2625E1A8" w14:textId="3B36727A" w:rsidR="00DA3D89" w:rsidRDefault="00DA3D89" w:rsidP="006333D7">
      <w:pPr>
        <w:pStyle w:val="FootnoteText"/>
      </w:pPr>
      <w:r>
        <w:rPr>
          <w:rStyle w:val="FootnoteReference"/>
        </w:rPr>
        <w:footnoteRef/>
      </w:r>
      <w:r>
        <w:t xml:space="preserve"> ABS, </w:t>
      </w:r>
      <w:r w:rsidRPr="009E70BE">
        <w:rPr>
          <w:i/>
          <w:iCs/>
        </w:rPr>
        <w:t>Household Wealth and Income, Australia</w:t>
      </w:r>
      <w:r>
        <w:t>, cat. no. 6523.0, 2017-18.</w:t>
      </w:r>
    </w:p>
  </w:footnote>
  <w:footnote w:id="15">
    <w:p w14:paraId="2DAD973A" w14:textId="77777777" w:rsidR="00DA3D89" w:rsidRDefault="00DA3D89" w:rsidP="00316B63">
      <w:pPr>
        <w:pStyle w:val="FootnoteText"/>
      </w:pPr>
      <w:r>
        <w:rPr>
          <w:rStyle w:val="FootnoteReference"/>
        </w:rPr>
        <w:footnoteRef/>
      </w:r>
      <w:r>
        <w:t xml:space="preserve"> ABS, </w:t>
      </w:r>
      <w:r w:rsidRPr="009E70BE">
        <w:rPr>
          <w:i/>
          <w:iCs/>
        </w:rPr>
        <w:t>Household Wealth and Income, Australia</w:t>
      </w:r>
      <w:r>
        <w:t>, cat. no. 6523.0, 2017-18.</w:t>
      </w:r>
    </w:p>
  </w:footnote>
  <w:footnote w:id="16">
    <w:p w14:paraId="07486D2E" w14:textId="77777777" w:rsidR="00DA3D89" w:rsidRDefault="00DA3D89" w:rsidP="000A2A5D">
      <w:pPr>
        <w:pStyle w:val="FootnoteText"/>
      </w:pPr>
      <w:r>
        <w:rPr>
          <w:rStyle w:val="FootnoteReference"/>
        </w:rPr>
        <w:footnoteRef/>
      </w:r>
      <w:r>
        <w:t xml:space="preserve"> ARC Centre of Excellence in Population Ageing Research, </w:t>
      </w:r>
      <w:r w:rsidRPr="00C95192">
        <w:rPr>
          <w:i/>
          <w:iCs/>
        </w:rPr>
        <w:t>Retirement income in Australia: Part 3 – Private resources</w:t>
      </w:r>
      <w:r>
        <w:rPr>
          <w:i/>
          <w:iCs/>
        </w:rPr>
        <w:t xml:space="preserve">, </w:t>
      </w:r>
      <w:r w:rsidRPr="00F403CD">
        <w:t>(</w:t>
      </w:r>
      <w:r>
        <w:t xml:space="preserve">ARC Centre of Excellence in Population Ageing Research: Sydney, 2018), 15. </w:t>
      </w:r>
    </w:p>
  </w:footnote>
  <w:footnote w:id="17">
    <w:p w14:paraId="48E9FE09" w14:textId="05A53A75" w:rsidR="00DA3D89" w:rsidRPr="00601316" w:rsidRDefault="00DA3D89" w:rsidP="0076184E">
      <w:pPr>
        <w:pStyle w:val="FootnoteText"/>
      </w:pPr>
      <w:r>
        <w:rPr>
          <w:rStyle w:val="FootnoteReference"/>
        </w:rPr>
        <w:footnoteRef/>
      </w:r>
      <w:r>
        <w:t xml:space="preserve"> Deloitte Access Economics, </w:t>
      </w:r>
      <w:r w:rsidRPr="00601316">
        <w:rPr>
          <w:i/>
          <w:iCs/>
        </w:rPr>
        <w:t>Modelling the value of unpaid work and care</w:t>
      </w:r>
      <w:r>
        <w:t xml:space="preserve"> (Deloitte Access Economics: Canberra, 2018). </w:t>
      </w:r>
    </w:p>
  </w:footnote>
  <w:footnote w:id="18">
    <w:p w14:paraId="13B6D858" w14:textId="77777777" w:rsidR="00DA3D89" w:rsidRDefault="00DA3D89" w:rsidP="0076184E">
      <w:pPr>
        <w:pStyle w:val="FootnoteText"/>
      </w:pPr>
      <w:r>
        <w:rPr>
          <w:rStyle w:val="FootnoteReference"/>
        </w:rPr>
        <w:footnoteRef/>
      </w:r>
      <w:r>
        <w:t xml:space="preserve"> As at July 2020, women accounted for approximately 68 per cent of part-time workers. ABS, </w:t>
      </w:r>
      <w:r w:rsidRPr="009E70BE">
        <w:rPr>
          <w:i/>
          <w:iCs/>
        </w:rPr>
        <w:t>Labour Force, Australia</w:t>
      </w:r>
      <w:r>
        <w:t>, cat. no. 6202.0, July 2020.</w:t>
      </w:r>
    </w:p>
  </w:footnote>
  <w:footnote w:id="19">
    <w:p w14:paraId="7F1DDC9E" w14:textId="113C7B49" w:rsidR="00DA3D89" w:rsidRDefault="00DA3D89" w:rsidP="00846889">
      <w:pPr>
        <w:pStyle w:val="FootnoteText"/>
      </w:pPr>
      <w:r>
        <w:rPr>
          <w:rStyle w:val="FootnoteReference"/>
        </w:rPr>
        <w:footnoteRef/>
      </w:r>
      <w:r>
        <w:t xml:space="preserve"> WGEA, </w:t>
      </w:r>
      <w:r w:rsidRPr="006333D7">
        <w:rPr>
          <w:i/>
          <w:iCs/>
        </w:rPr>
        <w:t>Gender Equity Insights 2020</w:t>
      </w:r>
      <w:r>
        <w:t xml:space="preserve"> (WGEA: Sydney, 2020), 14.</w:t>
      </w:r>
    </w:p>
  </w:footnote>
  <w:footnote w:id="20">
    <w:p w14:paraId="6106E1B0" w14:textId="5B865831" w:rsidR="00DA3D89" w:rsidRDefault="00DA3D89" w:rsidP="006333D7">
      <w:pPr>
        <w:pStyle w:val="FootnoteText"/>
      </w:pPr>
      <w:r>
        <w:rPr>
          <w:rStyle w:val="FootnoteReference"/>
        </w:rPr>
        <w:footnoteRef/>
      </w:r>
      <w:r>
        <w:t xml:space="preserve"> Industrial Relations Victoria, </w:t>
      </w:r>
      <w:r w:rsidRPr="006D5150">
        <w:rPr>
          <w:i/>
          <w:iCs/>
        </w:rPr>
        <w:t xml:space="preserve">Victorian Government </w:t>
      </w:r>
      <w:r>
        <w:rPr>
          <w:i/>
          <w:iCs/>
        </w:rPr>
        <w:t>S</w:t>
      </w:r>
      <w:r w:rsidRPr="006D5150">
        <w:rPr>
          <w:i/>
          <w:iCs/>
        </w:rPr>
        <w:t>ubmission to the Commonwealth Government’s Review of the Retirement Income System</w:t>
      </w:r>
      <w:r>
        <w:t>, 10 February 2020.</w:t>
      </w:r>
    </w:p>
  </w:footnote>
  <w:footnote w:id="21">
    <w:p w14:paraId="2328B40B" w14:textId="77777777" w:rsidR="00DA3D89" w:rsidRDefault="00DA3D89" w:rsidP="00E20300">
      <w:pPr>
        <w:pStyle w:val="FootnoteText"/>
      </w:pPr>
      <w:r>
        <w:rPr>
          <w:rStyle w:val="FootnoteReference"/>
        </w:rPr>
        <w:footnoteRef/>
      </w:r>
      <w:r>
        <w:t xml:space="preserve"> ABS, </w:t>
      </w:r>
      <w:r w:rsidRPr="00821ED8">
        <w:rPr>
          <w:i/>
          <w:iCs/>
        </w:rPr>
        <w:t>Retirement and Retirement Intentions</w:t>
      </w:r>
      <w:r>
        <w:t xml:space="preserve">, cat. no. 6238, 2018-19. </w:t>
      </w:r>
    </w:p>
  </w:footnote>
  <w:footnote w:id="22">
    <w:p w14:paraId="0738FC0B" w14:textId="43172715" w:rsidR="00DA3D89" w:rsidRDefault="00DA3D89" w:rsidP="00E20300">
      <w:pPr>
        <w:pStyle w:val="FootnoteText"/>
      </w:pPr>
      <w:r w:rsidRPr="7EB79642">
        <w:rPr>
          <w:rStyle w:val="FootnoteReference"/>
        </w:rPr>
        <w:footnoteRef/>
      </w:r>
      <w:r>
        <w:t xml:space="preserve"> Association of Superannuation Funds of Australia (ASFA), </w:t>
      </w:r>
      <w:r w:rsidRPr="00F14F0A">
        <w:rPr>
          <w:i/>
          <w:iCs/>
        </w:rPr>
        <w:t>ASFA Retirement Standard</w:t>
      </w:r>
      <w:r>
        <w:t xml:space="preserve"> (ASFA: Sydney, 2018).</w:t>
      </w:r>
    </w:p>
  </w:footnote>
  <w:footnote w:id="23">
    <w:p w14:paraId="3029E27A" w14:textId="0A90841C" w:rsidR="00DA3D89" w:rsidRDefault="00DA3D89" w:rsidP="00E20300">
      <w:pPr>
        <w:pStyle w:val="FootnoteText"/>
      </w:pPr>
      <w:r>
        <w:rPr>
          <w:rStyle w:val="FootnoteReference"/>
        </w:rPr>
        <w:footnoteRef/>
      </w:r>
      <w:r>
        <w:t xml:space="preserve"> ABS, </w:t>
      </w:r>
      <w:r w:rsidRPr="005A3F34">
        <w:rPr>
          <w:i/>
          <w:iCs/>
        </w:rPr>
        <w:t>Household Income and Wealth</w:t>
      </w:r>
      <w:r w:rsidRPr="00F14F0A">
        <w:rPr>
          <w:i/>
          <w:iCs/>
        </w:rPr>
        <w:t>, Australia</w:t>
      </w:r>
      <w:r>
        <w:t>, cat. no. 6523.0, 2017-18.</w:t>
      </w:r>
    </w:p>
  </w:footnote>
  <w:footnote w:id="24">
    <w:p w14:paraId="51E229CD" w14:textId="77777777" w:rsidR="00DA3D89" w:rsidRDefault="00DA3D89" w:rsidP="00E20300">
      <w:pPr>
        <w:pStyle w:val="FootnoteText"/>
      </w:pPr>
      <w:r>
        <w:rPr>
          <w:rStyle w:val="FootnoteReference"/>
        </w:rPr>
        <w:footnoteRef/>
      </w:r>
      <w:r>
        <w:t xml:space="preserve"> The Commonwealth Remuneration Tribunal may determine that a portion of the base salary is not ‘parliamentary allowance’ for the purposes of the Parliamentary Contributory Superannuation Scheme. This means that contributions and benefits for members of this defined benefit scheme are based on an amount that may be smaller than the base salary.</w:t>
      </w:r>
    </w:p>
  </w:footnote>
  <w:footnote w:id="25">
    <w:p w14:paraId="6C6A8240" w14:textId="77777777" w:rsidR="00DA3D89" w:rsidRDefault="00DA3D89" w:rsidP="00E20300">
      <w:pPr>
        <w:pStyle w:val="FootnoteText"/>
      </w:pPr>
      <w:r>
        <w:rPr>
          <w:rStyle w:val="FootnoteReference"/>
        </w:rPr>
        <w:footnoteRef/>
      </w:r>
      <w:r>
        <w:t xml:space="preserve"> This is the amount received by MPs who have not elected to limit their contributions to avoid exceeding the concessional contributions cap.</w:t>
      </w:r>
    </w:p>
  </w:footnote>
  <w:footnote w:id="26">
    <w:p w14:paraId="085AAEBA" w14:textId="5C63B5CA" w:rsidR="00DA3D89" w:rsidRDefault="00DA3D89" w:rsidP="00E20300">
      <w:pPr>
        <w:pStyle w:val="FootnoteText"/>
      </w:pPr>
      <w:r w:rsidRPr="00B14EAD">
        <w:rPr>
          <w:rStyle w:val="FootnoteReference"/>
        </w:rPr>
        <w:footnoteRef/>
      </w:r>
      <w:r w:rsidRPr="005312C3">
        <w:t xml:space="preserve"> VPSC, </w:t>
      </w:r>
      <w:r w:rsidRPr="000A76F2">
        <w:rPr>
          <w:i/>
          <w:iCs/>
        </w:rPr>
        <w:t>The State of the Public Sector in Victoria 2015-2016</w:t>
      </w:r>
      <w:r w:rsidRPr="005312C3">
        <w:t xml:space="preserve"> (</w:t>
      </w:r>
      <w:r>
        <w:t xml:space="preserve">State </w:t>
      </w:r>
      <w:r w:rsidRPr="005312C3">
        <w:t>Government of Victoria</w:t>
      </w:r>
      <w:r>
        <w:t>: Melbourne</w:t>
      </w:r>
      <w:r w:rsidRPr="005312C3">
        <w:t>,</w:t>
      </w:r>
      <w:r>
        <w:t xml:space="preserve"> </w:t>
      </w:r>
      <w:r w:rsidRPr="005312C3">
        <w:t>2016).</w:t>
      </w:r>
    </w:p>
  </w:footnote>
  <w:footnote w:id="27">
    <w:p w14:paraId="19EDCDC5" w14:textId="3F85E669" w:rsidR="00DA3D89" w:rsidRDefault="00DA3D89" w:rsidP="00E20300">
      <w:pPr>
        <w:pStyle w:val="FootnoteText"/>
      </w:pPr>
      <w:r w:rsidRPr="00B14EAD">
        <w:rPr>
          <w:rStyle w:val="FootnoteReference"/>
        </w:rPr>
        <w:footnoteRef/>
      </w:r>
      <w:r w:rsidRPr="009F3FAD">
        <w:t xml:space="preserve"> </w:t>
      </w:r>
      <w:r>
        <w:t>Which remains open to operational employees in</w:t>
      </w:r>
      <w:r w:rsidRPr="009F3FAD">
        <w:t xml:space="preserve"> Victoria Police, Metropolitan Fire and Emergency Services, Ambulance Victoria, Country Fire Authority, Department of Environment, Land, Water and Planning (certain positions).</w:t>
      </w:r>
    </w:p>
  </w:footnote>
  <w:footnote w:id="28">
    <w:p w14:paraId="52FBBAE2" w14:textId="77777777" w:rsidR="00DA3D89" w:rsidRDefault="00DA3D89" w:rsidP="00E20300">
      <w:pPr>
        <w:pStyle w:val="FootnoteText"/>
      </w:pPr>
      <w:r>
        <w:rPr>
          <w:rStyle w:val="FootnoteReference"/>
        </w:rPr>
        <w:footnoteRef/>
      </w:r>
      <w:r>
        <w:t xml:space="preserve"> </w:t>
      </w:r>
      <w:r w:rsidRPr="00900C8D">
        <w:rPr>
          <w:i/>
          <w:iCs/>
        </w:rPr>
        <w:t xml:space="preserve">Constitution Act 1975 </w:t>
      </w:r>
      <w:r w:rsidRPr="00900C8D">
        <w:t>(Vic), s83</w:t>
      </w:r>
      <w:r w:rsidRPr="00900C8D">
        <w:rPr>
          <w:i/>
          <w:iCs/>
        </w:rPr>
        <w:t xml:space="preserve">; County Court Act 1958 </w:t>
      </w:r>
      <w:r w:rsidRPr="00900C8D">
        <w:t>(Vic), s14</w:t>
      </w:r>
      <w:r w:rsidRPr="00900C8D">
        <w:rPr>
          <w:i/>
          <w:iCs/>
        </w:rPr>
        <w:t>.</w:t>
      </w:r>
      <w:r>
        <w:t xml:space="preserve"> </w:t>
      </w:r>
    </w:p>
  </w:footnote>
  <w:footnote w:id="29">
    <w:p w14:paraId="1E3D5269" w14:textId="77777777" w:rsidR="00DA3D89" w:rsidRDefault="00DA3D89" w:rsidP="00E20300">
      <w:pPr>
        <w:pStyle w:val="FootnoteText"/>
      </w:pPr>
      <w:r>
        <w:rPr>
          <w:rStyle w:val="FootnoteReference"/>
        </w:rPr>
        <w:footnoteRef/>
      </w:r>
      <w:r>
        <w:t xml:space="preserve"> </w:t>
      </w:r>
      <w:r w:rsidRPr="00900C8D">
        <w:rPr>
          <w:i/>
          <w:iCs/>
        </w:rPr>
        <w:t xml:space="preserve">Magistrates’ Court Act 1989 </w:t>
      </w:r>
      <w:r w:rsidRPr="00900C8D">
        <w:t>(Vic), s10A.</w:t>
      </w:r>
      <w:r>
        <w:t xml:space="preserve"> </w:t>
      </w:r>
    </w:p>
  </w:footnote>
  <w:footnote w:id="30">
    <w:p w14:paraId="318F459C" w14:textId="77777777" w:rsidR="00DA3D89" w:rsidRPr="0064796E" w:rsidRDefault="00DA3D89" w:rsidP="00E20300">
      <w:pPr>
        <w:pStyle w:val="FootnoteText"/>
      </w:pPr>
      <w:r>
        <w:rPr>
          <w:rStyle w:val="FootnoteReference"/>
        </w:rPr>
        <w:footnoteRef/>
      </w:r>
      <w:r>
        <w:t xml:space="preserve"> Pension eligibility rules for judges were changed on that date by the </w:t>
      </w:r>
      <w:r w:rsidRPr="0064796E">
        <w:rPr>
          <w:i/>
          <w:iCs/>
        </w:rPr>
        <w:t>Judicial Remuneration Tribunal Act 1995</w:t>
      </w:r>
      <w:r>
        <w:rPr>
          <w:i/>
          <w:iCs/>
        </w:rPr>
        <w:t xml:space="preserve"> </w:t>
      </w:r>
      <w:r>
        <w:t xml:space="preserve">(Vic), and different rules apply for judges appointed before that date. </w:t>
      </w:r>
    </w:p>
  </w:footnote>
  <w:footnote w:id="31">
    <w:p w14:paraId="6626F2D1" w14:textId="77777777" w:rsidR="00DA3D89" w:rsidRPr="00AC3DC8" w:rsidRDefault="00DA3D89" w:rsidP="00E53D96">
      <w:pPr>
        <w:pStyle w:val="FootnoteText"/>
        <w:rPr>
          <w:i/>
          <w:iCs/>
        </w:rPr>
      </w:pPr>
      <w:r>
        <w:rPr>
          <w:rStyle w:val="FootnoteReference"/>
        </w:rPr>
        <w:footnoteRef/>
      </w:r>
      <w:r>
        <w:t xml:space="preserve"> </w:t>
      </w:r>
      <w:r w:rsidRPr="00AC3DC8">
        <w:rPr>
          <w:i/>
          <w:iCs/>
        </w:rPr>
        <w:t xml:space="preserve">Parliamentary Contributory Retirement Fund Act 1946 </w:t>
      </w:r>
      <w:r w:rsidRPr="00AC3DC8">
        <w:t>(Vic)</w:t>
      </w:r>
      <w:r>
        <w:t>.</w:t>
      </w:r>
    </w:p>
  </w:footnote>
  <w:footnote w:id="32">
    <w:p w14:paraId="109B7AEA" w14:textId="498C65FC" w:rsidR="00DA3D89" w:rsidRDefault="00DA3D89" w:rsidP="00E53D96">
      <w:pPr>
        <w:pStyle w:val="FootnoteText"/>
      </w:pPr>
      <w:r>
        <w:rPr>
          <w:rStyle w:val="FootnoteReference"/>
        </w:rPr>
        <w:footnoteRef/>
      </w:r>
      <w:r>
        <w:t xml:space="preserve"> </w:t>
      </w:r>
      <w:r w:rsidRPr="00002D56">
        <w:t xml:space="preserve">Victoria, </w:t>
      </w:r>
      <w:r w:rsidRPr="00002D56">
        <w:rPr>
          <w:i/>
          <w:iCs/>
        </w:rPr>
        <w:t>Parliamentary Debates</w:t>
      </w:r>
      <w:r w:rsidRPr="00002D56">
        <w:t>, ‘Legislative Assembly’, 11 December 1946</w:t>
      </w:r>
      <w:r>
        <w:t xml:space="preserve">, 4054 </w:t>
      </w:r>
      <w:r w:rsidRPr="00002D56">
        <w:t>(John Cain, Premier and Treasurer).</w:t>
      </w:r>
    </w:p>
  </w:footnote>
  <w:footnote w:id="33">
    <w:p w14:paraId="78D692E4" w14:textId="1113E39E" w:rsidR="00DA3D89" w:rsidRDefault="00DA3D89" w:rsidP="00F20142">
      <w:pPr>
        <w:pStyle w:val="FootnoteText"/>
      </w:pPr>
      <w:r>
        <w:rPr>
          <w:rStyle w:val="FootnoteReference"/>
        </w:rPr>
        <w:footnoteRef/>
      </w:r>
      <w:r>
        <w:t xml:space="preserve"> </w:t>
      </w:r>
      <w:r w:rsidRPr="00F20142">
        <w:rPr>
          <w:i/>
          <w:iCs/>
        </w:rPr>
        <w:t>Parliamentary Contributory Retirement Fund Act 1946</w:t>
      </w:r>
      <w:r>
        <w:t xml:space="preserve"> (Vic), s7.</w:t>
      </w:r>
    </w:p>
  </w:footnote>
  <w:footnote w:id="34">
    <w:p w14:paraId="37C7235F" w14:textId="745679FC" w:rsidR="00DA3D89" w:rsidRDefault="00DA3D89" w:rsidP="00CD0051">
      <w:pPr>
        <w:pStyle w:val="FootnoteText"/>
      </w:pPr>
      <w:r>
        <w:rPr>
          <w:rStyle w:val="FootnoteReference"/>
        </w:rPr>
        <w:footnoteRef/>
      </w:r>
      <w:r>
        <w:t xml:space="preserve"> </w:t>
      </w:r>
      <w:r w:rsidRPr="009D4984">
        <w:t xml:space="preserve">Victoria, </w:t>
      </w:r>
      <w:r w:rsidRPr="000269EE">
        <w:rPr>
          <w:i/>
          <w:iCs/>
        </w:rPr>
        <w:t>Parliamentary Debates</w:t>
      </w:r>
      <w:r w:rsidRPr="009D4984">
        <w:t>, ‘Legislative Assembly’, 19 November 1968</w:t>
      </w:r>
      <w:r>
        <w:t>, 1815</w:t>
      </w:r>
      <w:r w:rsidRPr="009D4984">
        <w:t xml:space="preserve"> (Henry Bolte, Premier</w:t>
      </w:r>
      <w:r>
        <w:t xml:space="preserve"> and</w:t>
      </w:r>
      <w:r w:rsidRPr="009D4984">
        <w:t xml:space="preserve"> Treasurer).</w:t>
      </w:r>
    </w:p>
  </w:footnote>
  <w:footnote w:id="35">
    <w:p w14:paraId="3C36E910" w14:textId="6E3E8819" w:rsidR="00DA3D89" w:rsidRDefault="00DA3D89" w:rsidP="00CD0051">
      <w:pPr>
        <w:pStyle w:val="FootnoteText"/>
      </w:pPr>
      <w:r>
        <w:rPr>
          <w:rStyle w:val="FootnoteReference"/>
        </w:rPr>
        <w:footnoteRef/>
      </w:r>
      <w:r>
        <w:t xml:space="preserve"> Victoria, Parliamentary Debates, ‘Legislative Council’, 3 November 2004, 1007 (John Lenders, Minister for Finance).</w:t>
      </w:r>
    </w:p>
  </w:footnote>
  <w:footnote w:id="36">
    <w:p w14:paraId="3E27CCEB" w14:textId="7841DDBF" w:rsidR="00DA3D89" w:rsidRDefault="00DA3D89" w:rsidP="001F0A56">
      <w:pPr>
        <w:pStyle w:val="FootnoteText"/>
      </w:pPr>
      <w:r>
        <w:rPr>
          <w:rStyle w:val="FootnoteReference"/>
        </w:rPr>
        <w:footnoteRef/>
      </w:r>
      <w:r>
        <w:t xml:space="preserve"> Malcolm Hazell, </w:t>
      </w:r>
      <w:r w:rsidRPr="008955A0">
        <w:rPr>
          <w:i/>
          <w:iCs/>
        </w:rPr>
        <w:t>Independent Review of Victorian MPs’ Salary Entitlements, Allowances and Other Arrangements</w:t>
      </w:r>
      <w:r>
        <w:t>, 31.</w:t>
      </w:r>
    </w:p>
  </w:footnote>
  <w:footnote w:id="37">
    <w:p w14:paraId="7BBE25A0" w14:textId="401CA8A9" w:rsidR="00DA3D89" w:rsidRPr="00CF256F" w:rsidRDefault="00DA3D89" w:rsidP="003738EC">
      <w:pPr>
        <w:pStyle w:val="FootnoteText"/>
        <w:contextualSpacing/>
        <w:rPr>
          <w:rFonts w:asciiTheme="majorHAnsi" w:hAnsiTheme="majorHAnsi" w:cstheme="majorHAnsi"/>
          <w:szCs w:val="18"/>
        </w:rPr>
      </w:pPr>
      <w:r w:rsidRPr="00364DFB">
        <w:rPr>
          <w:vertAlign w:val="superscript"/>
        </w:rPr>
        <w:footnoteRef/>
      </w:r>
      <w:r w:rsidRPr="00364DFB">
        <w:t xml:space="preserve"> The proposed increase was justified on the basis that MPs do not accrue recreation or long-service leave. Malcolm Hazell noted that, for an MP in the accumulation scheme who has served for two terms, the increase in contributions would “provide a benefit roughly equivalent to the long-service and annual leave entitlements that other public officials may expect to accrue over the same period”. </w:t>
      </w:r>
      <w:bookmarkStart w:id="61" w:name="_Hlk40279395"/>
      <w:r>
        <w:t xml:space="preserve">Malcolm Hazell, </w:t>
      </w:r>
      <w:r w:rsidRPr="008955A0">
        <w:rPr>
          <w:i/>
          <w:iCs/>
        </w:rPr>
        <w:t>Independent Review of Victorian MPs’ Salary Entitlements, Allowances and Other Arrangements</w:t>
      </w:r>
      <w:r w:rsidRPr="00364DFB">
        <w:t>, 32.</w:t>
      </w:r>
      <w:bookmarkEnd w:id="61"/>
    </w:p>
  </w:footnote>
  <w:footnote w:id="38">
    <w:p w14:paraId="1C5E67D0" w14:textId="65E7D52D" w:rsidR="00DA3D89" w:rsidRDefault="00DA3D89" w:rsidP="001D2BB7">
      <w:pPr>
        <w:pStyle w:val="FootnoteText"/>
      </w:pPr>
      <w:r>
        <w:rPr>
          <w:rStyle w:val="FootnoteReference"/>
        </w:rPr>
        <w:footnoteRef/>
      </w:r>
      <w:r>
        <w:t xml:space="preserve"> Malcolm Hazell, </w:t>
      </w:r>
      <w:r w:rsidRPr="008955A0">
        <w:rPr>
          <w:i/>
          <w:iCs/>
        </w:rPr>
        <w:t>Independent Review of Victorian MPs’ Salary Entitlements, Allowances and Other Arrangements</w:t>
      </w:r>
      <w:r w:rsidRPr="00364DFB">
        <w:t>, 32.</w:t>
      </w:r>
    </w:p>
  </w:footnote>
  <w:footnote w:id="39">
    <w:p w14:paraId="6CC15FB1" w14:textId="77777777" w:rsidR="00DA3D89" w:rsidRDefault="00DA3D89" w:rsidP="001D2BB7">
      <w:pPr>
        <w:pStyle w:val="FootnoteText"/>
      </w:pPr>
      <w:r>
        <w:rPr>
          <w:rStyle w:val="FootnoteReference"/>
        </w:rPr>
        <w:footnoteRef/>
      </w:r>
      <w:r>
        <w:t xml:space="preserve"> </w:t>
      </w:r>
      <w:r w:rsidRPr="00802E10">
        <w:rPr>
          <w:rFonts w:cs="Times New Roman"/>
          <w:szCs w:val="24"/>
        </w:rPr>
        <w:t xml:space="preserve">Victorian Independent Remuneration Tribunal, </w:t>
      </w:r>
      <w:r w:rsidRPr="00594AB5">
        <w:rPr>
          <w:rFonts w:cs="Times New Roman"/>
          <w:i/>
          <w:iCs/>
          <w:szCs w:val="24"/>
        </w:rPr>
        <w:t>Members of Parliament (Victoria) Determination 01/2019</w:t>
      </w:r>
      <w:r w:rsidRPr="00802E10">
        <w:rPr>
          <w:rFonts w:cs="Times New Roman"/>
          <w:szCs w:val="24"/>
        </w:rPr>
        <w:t xml:space="preserve"> (Victorian Independent Remuneration Tribunal: Melbourne, 2019)</w:t>
      </w:r>
      <w:r>
        <w:t>, 39.</w:t>
      </w:r>
    </w:p>
  </w:footnote>
  <w:footnote w:id="40">
    <w:p w14:paraId="250C26AA" w14:textId="3E7A60E0" w:rsidR="00DA3D89" w:rsidRDefault="00DA3D89" w:rsidP="008410A6">
      <w:pPr>
        <w:pStyle w:val="FootnoteText"/>
      </w:pPr>
      <w:r>
        <w:rPr>
          <w:rStyle w:val="FootnoteReference"/>
        </w:rPr>
        <w:footnoteRef/>
      </w:r>
      <w:r>
        <w:t xml:space="preserve"> </w:t>
      </w:r>
      <w:r w:rsidRPr="009D4984">
        <w:t xml:space="preserve">Victoria, </w:t>
      </w:r>
      <w:r w:rsidRPr="000269EE">
        <w:rPr>
          <w:i/>
          <w:iCs/>
        </w:rPr>
        <w:t>Parliamentary Debates</w:t>
      </w:r>
      <w:r w:rsidRPr="009D4984">
        <w:t xml:space="preserve">, ‘Legislative Assembly’, </w:t>
      </w:r>
      <w:r>
        <w:t>11 December</w:t>
      </w:r>
      <w:r w:rsidRPr="009D4984">
        <w:t xml:space="preserve"> 19</w:t>
      </w:r>
      <w:r>
        <w:t>46, 4056</w:t>
      </w:r>
      <w:r w:rsidRPr="009D4984">
        <w:t xml:space="preserve"> (</w:t>
      </w:r>
      <w:r>
        <w:t>John Cain</w:t>
      </w:r>
      <w:r w:rsidRPr="009D4984">
        <w:t>, Premier</w:t>
      </w:r>
      <w:r>
        <w:t xml:space="preserve"> and</w:t>
      </w:r>
      <w:r w:rsidRPr="009D4984">
        <w:t xml:space="preserve"> Treasurer).</w:t>
      </w:r>
    </w:p>
  </w:footnote>
  <w:footnote w:id="41">
    <w:p w14:paraId="5180EDEE" w14:textId="5014B12B" w:rsidR="00DA3D89" w:rsidRDefault="00DA3D89" w:rsidP="001D2BB7">
      <w:pPr>
        <w:pStyle w:val="FootnoteText"/>
      </w:pPr>
      <w:r>
        <w:rPr>
          <w:rStyle w:val="FootnoteReference"/>
        </w:rPr>
        <w:footnoteRef/>
      </w:r>
      <w:r>
        <w:t xml:space="preserve"> </w:t>
      </w:r>
      <w:r w:rsidRPr="00802E10">
        <w:rPr>
          <w:rFonts w:cs="Times New Roman"/>
          <w:szCs w:val="24"/>
        </w:rPr>
        <w:t xml:space="preserve">Victorian Independent Remuneration Tribunal, </w:t>
      </w:r>
      <w:r w:rsidRPr="00594AB5">
        <w:rPr>
          <w:rFonts w:cs="Times New Roman"/>
          <w:i/>
          <w:iCs/>
          <w:szCs w:val="24"/>
        </w:rPr>
        <w:t>Members of Parliament (Victoria) Determination 01/2019</w:t>
      </w:r>
      <w:r>
        <w:t>, 39.</w:t>
      </w:r>
    </w:p>
  </w:footnote>
  <w:footnote w:id="42">
    <w:p w14:paraId="2A035C10" w14:textId="77777777" w:rsidR="00DA3D89" w:rsidRDefault="00DA3D89" w:rsidP="002E4725">
      <w:pPr>
        <w:pStyle w:val="Footnotes"/>
        <w:spacing w:after="0"/>
      </w:pPr>
      <w:r w:rsidRPr="000326E5">
        <w:rPr>
          <w:rStyle w:val="FootnoteReference"/>
        </w:rPr>
        <w:footnoteRef/>
      </w:r>
      <w:r>
        <w:t xml:space="preserve"> </w:t>
      </w:r>
      <w:r w:rsidRPr="008B05BA">
        <w:t>In 2014, the assets and liabilities of the PCSF were transferred to the Emergency Services and State Superannuation Board (trading as ESSSuper).</w:t>
      </w:r>
    </w:p>
  </w:footnote>
  <w:footnote w:id="43">
    <w:p w14:paraId="4A67C1A7" w14:textId="745DD0E4" w:rsidR="00DA3D89" w:rsidRDefault="00DA3D89" w:rsidP="00512550">
      <w:pPr>
        <w:pStyle w:val="FootnoteText"/>
      </w:pPr>
      <w:r>
        <w:rPr>
          <w:rStyle w:val="FootnoteReference"/>
        </w:rPr>
        <w:footnoteRef/>
      </w:r>
      <w:r>
        <w:t xml:space="preserve"> Information provided by the Department of Treasury and Finance. </w:t>
      </w:r>
    </w:p>
  </w:footnote>
  <w:footnote w:id="44">
    <w:p w14:paraId="6664C371" w14:textId="0F9DD8EC" w:rsidR="00DA3D89" w:rsidRDefault="00DA3D89" w:rsidP="00254E2E">
      <w:pPr>
        <w:pStyle w:val="FootnoteText"/>
      </w:pPr>
      <w:r>
        <w:rPr>
          <w:rStyle w:val="FootnoteReference"/>
        </w:rPr>
        <w:footnoteRef/>
      </w:r>
      <w:r>
        <w:t xml:space="preserve"> According to data provided to the Tribunal by the Department of Treasury and Finance, since 2002, approximately 20 per cent of eligible MPs have elected to commute some or all of their pension entitlement into a lump sum. The average percentage commuted is 16 per cent.</w:t>
      </w:r>
    </w:p>
  </w:footnote>
  <w:footnote w:id="45">
    <w:p w14:paraId="2C92DCA4" w14:textId="66F213D2" w:rsidR="00DA3D89" w:rsidRDefault="00DA3D89" w:rsidP="00BB7B48">
      <w:pPr>
        <w:pStyle w:val="FootnoteText"/>
      </w:pPr>
      <w:r>
        <w:rPr>
          <w:rStyle w:val="FootnoteReference"/>
        </w:rPr>
        <w:footnoteRef/>
      </w:r>
      <w:r>
        <w:t xml:space="preserve"> </w:t>
      </w:r>
      <w:r w:rsidRPr="00BB7B48">
        <w:rPr>
          <w:i/>
          <w:iCs/>
        </w:rPr>
        <w:t>Superannuation Industry (Supervision) Regulations 1994</w:t>
      </w:r>
      <w:r w:rsidRPr="00154E96">
        <w:t xml:space="preserve"> (Cth), reg 6.01(7), Division 6.3 and Schedule 1.</w:t>
      </w:r>
    </w:p>
  </w:footnote>
  <w:footnote w:id="46">
    <w:p w14:paraId="50EBBB01" w14:textId="02144C84" w:rsidR="00DA3D89" w:rsidRDefault="00DA3D89" w:rsidP="00EA58C2">
      <w:pPr>
        <w:pStyle w:val="FootnoteText"/>
      </w:pPr>
      <w:r>
        <w:rPr>
          <w:rStyle w:val="FootnoteReference"/>
        </w:rPr>
        <w:footnoteRef/>
      </w:r>
      <w:r>
        <w:t xml:space="preserve"> </w:t>
      </w:r>
      <w:r w:rsidRPr="006A5868">
        <w:rPr>
          <w:i/>
          <w:iCs/>
        </w:rPr>
        <w:t>Superannuation Guarantee (Administration) Act 1992</w:t>
      </w:r>
      <w:r>
        <w:t xml:space="preserve"> (Cth). </w:t>
      </w:r>
    </w:p>
  </w:footnote>
  <w:footnote w:id="47">
    <w:p w14:paraId="70C97DD5" w14:textId="5D3508D5" w:rsidR="00DA3D89" w:rsidRDefault="00DA3D89">
      <w:pPr>
        <w:pStyle w:val="FootnoteText"/>
      </w:pPr>
      <w:r>
        <w:rPr>
          <w:rStyle w:val="FootnoteReference"/>
        </w:rPr>
        <w:footnoteRef/>
      </w:r>
      <w:r>
        <w:t xml:space="preserve"> </w:t>
      </w:r>
      <w:r w:rsidRPr="0093344B">
        <w:rPr>
          <w:i/>
        </w:rPr>
        <w:t>Taxation Administration Act 1953</w:t>
      </w:r>
      <w:r w:rsidRPr="00164DFF">
        <w:t xml:space="preserve"> (Cth), Schedule 1 Division 131.</w:t>
      </w:r>
    </w:p>
  </w:footnote>
  <w:footnote w:id="48">
    <w:p w14:paraId="59A9516B" w14:textId="77777777" w:rsidR="00DA3D89" w:rsidRDefault="00DA3D89" w:rsidP="00EA58C2">
      <w:pPr>
        <w:pStyle w:val="FootnoteText"/>
      </w:pPr>
      <w:r>
        <w:rPr>
          <w:rStyle w:val="FootnoteReference"/>
        </w:rPr>
        <w:footnoteRef/>
      </w:r>
      <w:r>
        <w:t xml:space="preserve"> PSAS Act, s31(4).</w:t>
      </w:r>
    </w:p>
  </w:footnote>
  <w:footnote w:id="49">
    <w:p w14:paraId="52C1197E" w14:textId="31F9035B" w:rsidR="00DA3D89" w:rsidRDefault="00DA3D89">
      <w:pPr>
        <w:pStyle w:val="FootnoteText"/>
      </w:pPr>
      <w:r>
        <w:rPr>
          <w:rStyle w:val="FootnoteReference"/>
        </w:rPr>
        <w:footnoteRef/>
      </w:r>
      <w:r>
        <w:t xml:space="preserve"> PSAS Act, s41.</w:t>
      </w:r>
    </w:p>
  </w:footnote>
  <w:footnote w:id="50">
    <w:p w14:paraId="2FE1810E" w14:textId="77777777" w:rsidR="00DA3D89" w:rsidRDefault="00DA3D89" w:rsidP="00EA3C7A">
      <w:pPr>
        <w:pStyle w:val="FootnoteText"/>
      </w:pPr>
      <w:r w:rsidRPr="61D48E3B">
        <w:rPr>
          <w:rStyle w:val="FootnoteReference"/>
        </w:rPr>
        <w:footnoteRef/>
      </w:r>
      <w:r>
        <w:t xml:space="preserve"> PSAS Act, ss7E(3) and (4).</w:t>
      </w:r>
    </w:p>
  </w:footnote>
  <w:footnote w:id="51">
    <w:p w14:paraId="7920D3E5" w14:textId="77777777" w:rsidR="00DA3D89" w:rsidRDefault="00DA3D89" w:rsidP="00EA3C7A">
      <w:pPr>
        <w:pStyle w:val="FootnoteText"/>
      </w:pPr>
      <w:r>
        <w:rPr>
          <w:rStyle w:val="FootnoteReference"/>
        </w:rPr>
        <w:footnoteRef/>
      </w:r>
      <w:r>
        <w:t xml:space="preserve"> PSAS Act, ss7E(1)(b).</w:t>
      </w:r>
    </w:p>
  </w:footnote>
  <w:footnote w:id="52">
    <w:p w14:paraId="293AE621" w14:textId="1A240692" w:rsidR="00DA3D89" w:rsidRDefault="00DA3D89">
      <w:pPr>
        <w:pStyle w:val="FootnoteText"/>
      </w:pPr>
      <w:r>
        <w:rPr>
          <w:rStyle w:val="FootnoteReference"/>
        </w:rPr>
        <w:footnoteRef/>
      </w:r>
      <w:r>
        <w:t xml:space="preserve"> Malcolm Hazell, </w:t>
      </w:r>
      <w:r w:rsidRPr="008955A0">
        <w:rPr>
          <w:i/>
          <w:iCs/>
        </w:rPr>
        <w:t>Independent Review of Victorian MPs’ Salary Entitlements, Allowances and Other Arrangements</w:t>
      </w:r>
      <w:r>
        <w:rPr>
          <w:i/>
          <w:iCs/>
        </w:rPr>
        <w:t>,</w:t>
      </w:r>
      <w:r w:rsidRPr="00C631E3">
        <w:t xml:space="preserve"> 6.</w:t>
      </w:r>
    </w:p>
  </w:footnote>
  <w:footnote w:id="53">
    <w:p w14:paraId="3C7780D6" w14:textId="77777777" w:rsidR="00DA3D89" w:rsidRDefault="00DA3D89" w:rsidP="007E69A8">
      <w:pPr>
        <w:pStyle w:val="FootnoteText"/>
      </w:pPr>
      <w:r>
        <w:rPr>
          <w:rStyle w:val="FootnoteReference"/>
        </w:rPr>
        <w:footnoteRef/>
      </w:r>
      <w:r>
        <w:t xml:space="preserve"> </w:t>
      </w:r>
      <w:r w:rsidRPr="00745390">
        <w:rPr>
          <w:i/>
          <w:iCs/>
        </w:rPr>
        <w:t>Superannuation Industry (Supervision) Regulations 1994</w:t>
      </w:r>
      <w:r>
        <w:t xml:space="preserve"> (Cth), Division 6.3 and Schedule 1.</w:t>
      </w:r>
      <w:r w:rsidRPr="000F6740" w:rsidDel="00E44564">
        <w:rPr>
          <w:highlight w:val="yellow"/>
        </w:rPr>
        <w:t xml:space="preserve"> </w:t>
      </w:r>
    </w:p>
  </w:footnote>
  <w:footnote w:id="54">
    <w:p w14:paraId="4F9664FD" w14:textId="77777777" w:rsidR="00DA3D89" w:rsidRDefault="00DA3D89" w:rsidP="009B3B37">
      <w:pPr>
        <w:pStyle w:val="FootnoteText"/>
      </w:pPr>
      <w:r>
        <w:rPr>
          <w:rStyle w:val="FootnoteReference"/>
        </w:rPr>
        <w:footnoteRef/>
      </w:r>
      <w:r>
        <w:t xml:space="preserve"> Members are able to access their superannuation when they reach their preservation age if they retire or commence a transition to retirement income stream.</w:t>
      </w:r>
    </w:p>
  </w:footnote>
  <w:footnote w:id="55">
    <w:p w14:paraId="6C3D2398" w14:textId="1C9ECD68" w:rsidR="00DA3D89" w:rsidRDefault="00DA3D89" w:rsidP="00A245EB">
      <w:pPr>
        <w:pStyle w:val="FootnoteText"/>
      </w:pPr>
      <w:r w:rsidRPr="009A2BC6">
        <w:rPr>
          <w:rStyle w:val="FootnoteReference"/>
        </w:rPr>
        <w:footnoteRef/>
      </w:r>
      <w:r>
        <w:t xml:space="preserve"> </w:t>
      </w:r>
      <w:r w:rsidRPr="006155AD">
        <w:rPr>
          <w:color w:val="4D4D4D"/>
        </w:rPr>
        <w:t>Children under the age of 18 (under the age of 25 in the case of a full</w:t>
      </w:r>
      <w:r>
        <w:rPr>
          <w:color w:val="4D4D4D"/>
        </w:rPr>
        <w:t>-</w:t>
      </w:r>
      <w:r w:rsidRPr="006155AD">
        <w:rPr>
          <w:color w:val="4D4D4D"/>
        </w:rPr>
        <w:t xml:space="preserve">time student) are eligible for a pension upon the MP’s death. Children who have a disability as defined in the </w:t>
      </w:r>
      <w:r w:rsidRPr="006155AD">
        <w:rPr>
          <w:i/>
          <w:iCs/>
          <w:color w:val="4D4D4D"/>
        </w:rPr>
        <w:t>Disability Services Act 1986</w:t>
      </w:r>
      <w:r w:rsidRPr="006155AD">
        <w:rPr>
          <w:color w:val="4D4D4D"/>
        </w:rPr>
        <w:t xml:space="preserve"> (Cth) and who were wholly or partially dependent on the MP for financial support are also eligible</w:t>
      </w:r>
      <w:r>
        <w:rPr>
          <w:color w:val="4D4D4D"/>
        </w:rPr>
        <w:t>, regardless of age</w:t>
      </w:r>
      <w:r w:rsidRPr="006155AD">
        <w:rPr>
          <w:color w:val="4D4D4D"/>
        </w:rPr>
        <w:t xml:space="preserve">. </w:t>
      </w:r>
    </w:p>
  </w:footnote>
  <w:footnote w:id="56">
    <w:p w14:paraId="549FFFE2" w14:textId="02C75DC6" w:rsidR="00DA3D89" w:rsidRDefault="00DA3D89" w:rsidP="00CB73E2">
      <w:pPr>
        <w:pStyle w:val="FootnoteText"/>
      </w:pPr>
      <w:r>
        <w:rPr>
          <w:rStyle w:val="FootnoteReference"/>
        </w:rPr>
        <w:footnoteRef/>
      </w:r>
      <w:r>
        <w:t xml:space="preserve"> </w:t>
      </w:r>
      <w:r w:rsidRPr="00AE0664">
        <w:t xml:space="preserve">The contribution payable by an MP on their additional salary is calculated as 11.5 per cent of the </w:t>
      </w:r>
      <w:r>
        <w:t>BSP</w:t>
      </w:r>
      <w:r w:rsidRPr="00AE0664">
        <w:t xml:space="preserve"> multiplied by the relevant additional salary percentage (as specified in the PSAS Act). </w:t>
      </w:r>
      <w:r>
        <w:t>Further information is at a</w:t>
      </w:r>
      <w:r w:rsidRPr="00167FBB">
        <w:t>ppendix B</w:t>
      </w:r>
      <w:r w:rsidRPr="00AE0664">
        <w:t>.</w:t>
      </w:r>
    </w:p>
  </w:footnote>
  <w:footnote w:id="57">
    <w:p w14:paraId="192857F2" w14:textId="77777777" w:rsidR="00DA3D89" w:rsidRDefault="00DA3D89" w:rsidP="00CB73E2">
      <w:pPr>
        <w:pStyle w:val="FootnoteText"/>
      </w:pPr>
      <w:r>
        <w:rPr>
          <w:rStyle w:val="FootnoteReference"/>
        </w:rPr>
        <w:footnoteRef/>
      </w:r>
      <w:r>
        <w:t xml:space="preserve"> PSAS Act, s41. </w:t>
      </w:r>
    </w:p>
  </w:footnote>
  <w:footnote w:id="58">
    <w:p w14:paraId="19C0DA7F" w14:textId="31053BDD" w:rsidR="00DA3D89" w:rsidRDefault="00DA3D89" w:rsidP="0071322B">
      <w:pPr>
        <w:pStyle w:val="FootnoteText"/>
      </w:pPr>
      <w:r>
        <w:rPr>
          <w:rStyle w:val="FootnoteReference"/>
        </w:rPr>
        <w:footnoteRef/>
      </w:r>
      <w:r>
        <w:t xml:space="preserve"> Under certain circumstances, an MP may be eligible for a pension even if they do meet these criteria. See appendix B for further details.</w:t>
      </w:r>
    </w:p>
  </w:footnote>
  <w:footnote w:id="59">
    <w:p w14:paraId="3D0A5E58" w14:textId="77777777" w:rsidR="00DA3D89" w:rsidRDefault="00DA3D89" w:rsidP="0071322B">
      <w:pPr>
        <w:pStyle w:val="FootnoteText"/>
      </w:pPr>
      <w:r>
        <w:rPr>
          <w:rStyle w:val="FootnoteReference"/>
        </w:rPr>
        <w:footnoteRef/>
      </w:r>
      <w:r>
        <w:t xml:space="preserve"> </w:t>
      </w:r>
      <w:r w:rsidRPr="00F70959">
        <w:rPr>
          <w:i/>
          <w:iCs/>
        </w:rPr>
        <w:t>Constitution (Parliamentary Reform) Act 2003</w:t>
      </w:r>
      <w:r>
        <w:t xml:space="preserve"> (Vic).</w:t>
      </w:r>
    </w:p>
  </w:footnote>
  <w:footnote w:id="60">
    <w:p w14:paraId="51D22086" w14:textId="77777777" w:rsidR="00DA3D89" w:rsidRDefault="00DA3D89" w:rsidP="0071322B">
      <w:pPr>
        <w:pStyle w:val="FootnoteText"/>
      </w:pPr>
      <w:r>
        <w:rPr>
          <w:rStyle w:val="FootnoteReference"/>
        </w:rPr>
        <w:footnoteRef/>
      </w:r>
      <w:r>
        <w:t xml:space="preserve"> The </w:t>
      </w:r>
      <w:r w:rsidRPr="00F9799F">
        <w:rPr>
          <w:i/>
          <w:iCs/>
        </w:rPr>
        <w:t>Electorate Act 2002</w:t>
      </w:r>
      <w:r>
        <w:t xml:space="preserve"> (Vic) requires a general election to be held every four years on the last Saturday of November. </w:t>
      </w:r>
    </w:p>
  </w:footnote>
  <w:footnote w:id="61">
    <w:p w14:paraId="05368442" w14:textId="77777777" w:rsidR="00DA3D89" w:rsidRDefault="00DA3D89" w:rsidP="006C7C4A">
      <w:pPr>
        <w:pStyle w:val="FootnoteText"/>
      </w:pPr>
      <w:r>
        <w:rPr>
          <w:rStyle w:val="FootnoteReference"/>
        </w:rPr>
        <w:footnoteRef/>
      </w:r>
      <w:r>
        <w:t xml:space="preserve"> Values have been rounded to the nearest year.</w:t>
      </w:r>
    </w:p>
  </w:footnote>
  <w:footnote w:id="62">
    <w:p w14:paraId="177C87B5" w14:textId="2772BBBC" w:rsidR="00DA3D89" w:rsidRDefault="00DA3D89" w:rsidP="006C7C4A">
      <w:pPr>
        <w:pStyle w:val="FootnoteText"/>
      </w:pPr>
      <w:r>
        <w:rPr>
          <w:rStyle w:val="FootnoteReference"/>
        </w:rPr>
        <w:footnoteRef/>
      </w:r>
      <w:r>
        <w:t xml:space="preserve"> This value includes data for MPs who did not hold a specified parliamentary office. The average for MPs who held at least one specified parliamentary office is 8 years.</w:t>
      </w:r>
    </w:p>
  </w:footnote>
  <w:footnote w:id="63">
    <w:p w14:paraId="7B1FA3A7" w14:textId="25127E31" w:rsidR="00DA3D89" w:rsidRDefault="00DA3D89" w:rsidP="00344C03">
      <w:pPr>
        <w:pStyle w:val="FootnoteText"/>
      </w:pPr>
      <w:r>
        <w:rPr>
          <w:rStyle w:val="FootnoteReference"/>
        </w:rPr>
        <w:footnoteRef/>
      </w:r>
      <w:r>
        <w:t xml:space="preserve"> T</w:t>
      </w:r>
      <w:r w:rsidRPr="00F36396">
        <w:t xml:space="preserve">he size of the lump sum </w:t>
      </w:r>
      <w:r>
        <w:t xml:space="preserve">benefit </w:t>
      </w:r>
      <w:r w:rsidRPr="00F36396">
        <w:t xml:space="preserve">(relative to the proportion of the pension converted) </w:t>
      </w:r>
      <w:r>
        <w:t xml:space="preserve">also </w:t>
      </w:r>
      <w:r w:rsidRPr="00F36396">
        <w:t xml:space="preserve">begins to </w:t>
      </w:r>
      <w:r>
        <w:t>decrease</w:t>
      </w:r>
      <w:r w:rsidRPr="00F36396">
        <w:t xml:space="preserve"> once an MP reaches 66 years of age</w:t>
      </w:r>
      <w:r>
        <w:t>, as the commutation factor begins to decrease</w:t>
      </w:r>
      <w:r w:rsidRPr="00F36396">
        <w:t>.</w:t>
      </w:r>
    </w:p>
  </w:footnote>
  <w:footnote w:id="64">
    <w:p w14:paraId="1EBEB5BC" w14:textId="50E753F6" w:rsidR="00DA3D89" w:rsidRDefault="00DA3D89" w:rsidP="00D825E8">
      <w:pPr>
        <w:pStyle w:val="FootnoteText"/>
      </w:pPr>
      <w:r>
        <w:rPr>
          <w:rStyle w:val="FootnoteReference"/>
        </w:rPr>
        <w:footnoteRef/>
      </w:r>
      <w:r>
        <w:t xml:space="preserve"> According to data provided to the Tribunal by the Department of Parliamentary Services, less than 2 per cent of MPs who left (and did not re-join) the Parliament during the last 10 years had served for 30 years or more. </w:t>
      </w:r>
    </w:p>
  </w:footnote>
  <w:footnote w:id="65">
    <w:p w14:paraId="599B367F" w14:textId="317442A2" w:rsidR="00DA3D89" w:rsidRDefault="00DA3D89" w:rsidP="00E01245">
      <w:pPr>
        <w:pStyle w:val="FootnoteText"/>
      </w:pPr>
      <w:r>
        <w:rPr>
          <w:rStyle w:val="FootnoteReference"/>
        </w:rPr>
        <w:footnoteRef/>
      </w:r>
      <w:r>
        <w:t xml:space="preserve"> The proportions are based on data for MPs who left (and did not re-join) the Parliament during the past 10 years.</w:t>
      </w:r>
    </w:p>
  </w:footnote>
  <w:footnote w:id="66">
    <w:p w14:paraId="1F6EF948" w14:textId="029DB55C" w:rsidR="00DA3D89" w:rsidRDefault="00DA3D89" w:rsidP="006C7C4A">
      <w:pPr>
        <w:pStyle w:val="FootnoteText"/>
      </w:pPr>
      <w:r>
        <w:rPr>
          <w:rStyle w:val="FootnoteReference"/>
        </w:rPr>
        <w:footnoteRef/>
      </w:r>
      <w:r>
        <w:t xml:space="preserve"> The pension may also revert to the former MP’s partner and/or eligible children following the MP’s death.</w:t>
      </w:r>
    </w:p>
  </w:footnote>
  <w:footnote w:id="67">
    <w:p w14:paraId="7F5E006A" w14:textId="44305FC7" w:rsidR="00DA3D89" w:rsidRDefault="00DA3D89" w:rsidP="006C7C4A">
      <w:pPr>
        <w:pStyle w:val="FootnoteText"/>
      </w:pPr>
      <w:r>
        <w:rPr>
          <w:rStyle w:val="FootnoteReference"/>
        </w:rPr>
        <w:footnoteRef/>
      </w:r>
      <w:r>
        <w:t xml:space="preserve"> The modelling shows a small reduction in outcomes for relatively older MPs in the accumulation scheme, due to them being required to pay higher insurance costs to obtain death and disability coverage at equivalent levels to that provided by the New Benefits Scheme. </w:t>
      </w:r>
    </w:p>
  </w:footnote>
  <w:footnote w:id="68">
    <w:p w14:paraId="5442EABA" w14:textId="3ADFF4F8" w:rsidR="00DA3D89" w:rsidRDefault="00DA3D89" w:rsidP="006C7C4A">
      <w:pPr>
        <w:pStyle w:val="FootnoteText"/>
      </w:pPr>
      <w:r>
        <w:rPr>
          <w:rStyle w:val="FootnoteReference"/>
        </w:rPr>
        <w:footnoteRef/>
      </w:r>
      <w:r>
        <w:t xml:space="preserve"> ASIC, ‘Superannuation calculator’, accessed 14 September 2020, </w:t>
      </w:r>
      <w:r w:rsidRPr="00217C29">
        <w:t>https://moneysmart.gov.au/how-super-works/superannuation-calculator</w:t>
      </w:r>
      <w:r>
        <w:t>.</w:t>
      </w:r>
    </w:p>
  </w:footnote>
  <w:footnote w:id="69">
    <w:p w14:paraId="49B2CF4F" w14:textId="5108C732" w:rsidR="00DA3D89" w:rsidRDefault="00DA3D89" w:rsidP="00FC53DC">
      <w:pPr>
        <w:pStyle w:val="FootnoteText"/>
      </w:pPr>
      <w:r>
        <w:rPr>
          <w:rStyle w:val="FootnoteReference"/>
        </w:rPr>
        <w:footnoteRef/>
      </w:r>
      <w:r>
        <w:t xml:space="preserve"> </w:t>
      </w:r>
      <w:r w:rsidRPr="006A5868">
        <w:rPr>
          <w:i/>
          <w:iCs/>
        </w:rPr>
        <w:t>Superannuation Guarantee (Administration) Act 1992</w:t>
      </w:r>
      <w:r>
        <w:t xml:space="preserve"> (Cth).</w:t>
      </w:r>
    </w:p>
  </w:footnote>
  <w:footnote w:id="70">
    <w:p w14:paraId="3B684F9A" w14:textId="254D9A60" w:rsidR="00DA3D89" w:rsidRDefault="00DA3D89" w:rsidP="00FC53DC">
      <w:pPr>
        <w:pStyle w:val="FootnoteText"/>
      </w:pPr>
      <w:r>
        <w:rPr>
          <w:rStyle w:val="FootnoteReference"/>
        </w:rPr>
        <w:footnoteRef/>
      </w:r>
      <w:r>
        <w:t xml:space="preserve"> Commonwealth </w:t>
      </w:r>
      <w:r w:rsidRPr="00B96A61">
        <w:t xml:space="preserve">Department of Jobs and Small Business, Workplace Agreements Database, </w:t>
      </w:r>
      <w:r>
        <w:t>2019.</w:t>
      </w:r>
    </w:p>
  </w:footnote>
  <w:footnote w:id="71">
    <w:p w14:paraId="2BC29A6B" w14:textId="0CC56CC4" w:rsidR="00DA3D89" w:rsidRDefault="00DA3D89" w:rsidP="00FC53DC">
      <w:pPr>
        <w:pStyle w:val="FootnoteText"/>
      </w:pPr>
      <w:r>
        <w:rPr>
          <w:rStyle w:val="FootnoteReference"/>
        </w:rPr>
        <w:footnoteRef/>
      </w:r>
      <w:r>
        <w:t xml:space="preserve"> Malcolm Hazell, </w:t>
      </w:r>
      <w:r w:rsidRPr="008955A0">
        <w:rPr>
          <w:i/>
          <w:iCs/>
        </w:rPr>
        <w:t>Independent Review of Victorian MPs’ Salary Entitlements, Allowances and Other Arrangements</w:t>
      </w:r>
      <w:r w:rsidRPr="00E41BF2">
        <w:t xml:space="preserve">, </w:t>
      </w:r>
      <w:r>
        <w:t>31</w:t>
      </w:r>
      <w:r>
        <w:noBreakHyphen/>
      </w:r>
      <w:r w:rsidRPr="00E41BF2">
        <w:t>32.</w:t>
      </w:r>
    </w:p>
  </w:footnote>
  <w:footnote w:id="72">
    <w:p w14:paraId="63AABBAF" w14:textId="1FFA2430" w:rsidR="00DA3D89" w:rsidRDefault="00DA3D89" w:rsidP="00FC53DC">
      <w:pPr>
        <w:pStyle w:val="FootnoteText"/>
      </w:pPr>
      <w:r>
        <w:rPr>
          <w:rStyle w:val="FootnoteReference"/>
        </w:rPr>
        <w:footnoteRef/>
      </w:r>
      <w:r>
        <w:t xml:space="preserve"> </w:t>
      </w:r>
      <w:r w:rsidRPr="00E41BF2">
        <w:t xml:space="preserve">Malcolm Hazell, </w:t>
      </w:r>
      <w:r w:rsidRPr="00E41BF2">
        <w:rPr>
          <w:i/>
          <w:iCs/>
        </w:rPr>
        <w:t>Independent Review of Victorian MPs’ Salary Entitlements, Allowance</w:t>
      </w:r>
      <w:r>
        <w:rPr>
          <w:i/>
          <w:iCs/>
        </w:rPr>
        <w:t>s</w:t>
      </w:r>
      <w:r w:rsidRPr="00E41BF2">
        <w:rPr>
          <w:i/>
          <w:iCs/>
        </w:rPr>
        <w:t xml:space="preserve"> and Other Arrangements</w:t>
      </w:r>
      <w:r w:rsidRPr="00E41BF2">
        <w:t>, 32.</w:t>
      </w:r>
    </w:p>
  </w:footnote>
  <w:footnote w:id="73">
    <w:p w14:paraId="3E3082DA" w14:textId="54A1C1BF" w:rsidR="00DA3D89" w:rsidRDefault="00DA3D89" w:rsidP="004D0CF1">
      <w:pPr>
        <w:pStyle w:val="FootnoteText"/>
      </w:pPr>
      <w:r>
        <w:rPr>
          <w:rStyle w:val="FootnoteReference"/>
        </w:rPr>
        <w:footnoteRef/>
      </w:r>
      <w:r>
        <w:t xml:space="preserve"> ABS, </w:t>
      </w:r>
      <w:r w:rsidRPr="749298C2">
        <w:rPr>
          <w:i/>
        </w:rPr>
        <w:t>Microdata: Characteristics of employment, Australia,</w:t>
      </w:r>
      <w:r w:rsidRPr="19E9DD42">
        <w:t xml:space="preserve"> </w:t>
      </w:r>
      <w:r>
        <w:t xml:space="preserve">cat. no. 6333.0.00.001, </w:t>
      </w:r>
      <w:r w:rsidRPr="00A2248D">
        <w:rPr>
          <w:iCs/>
        </w:rPr>
        <w:t>August 2018</w:t>
      </w:r>
      <w:r>
        <w:t xml:space="preserve">, presented in </w:t>
      </w:r>
      <w:r w:rsidRPr="004D0CF1">
        <w:t xml:space="preserve">Geoff Gilfillan, </w:t>
      </w:r>
      <w:r w:rsidRPr="0070669E">
        <w:rPr>
          <w:i/>
          <w:iCs/>
        </w:rPr>
        <w:t>Trends in use of non-standard forms of employment</w:t>
      </w:r>
      <w:r>
        <w:t>,</w:t>
      </w:r>
      <w:r w:rsidRPr="0070669E">
        <w:rPr>
          <w:i/>
          <w:iCs/>
        </w:rPr>
        <w:t xml:space="preserve"> </w:t>
      </w:r>
      <w:r w:rsidRPr="0070669E">
        <w:t xml:space="preserve">Research Paper Series, 2018-19 </w:t>
      </w:r>
      <w:r>
        <w:t>(</w:t>
      </w:r>
      <w:r w:rsidRPr="0070669E">
        <w:t>Commonwealth of Australia: Canberra, 10 December 2018</w:t>
      </w:r>
      <w:r>
        <w:t>)</w:t>
      </w:r>
      <w:r w:rsidRPr="0070669E">
        <w:t>.</w:t>
      </w:r>
    </w:p>
  </w:footnote>
  <w:footnote w:id="74">
    <w:p w14:paraId="17EBC64B" w14:textId="4D085274" w:rsidR="00DA3D89" w:rsidRDefault="00DA3D89" w:rsidP="00FC53DC">
      <w:pPr>
        <w:pStyle w:val="FootnoteText"/>
      </w:pPr>
      <w:r>
        <w:rPr>
          <w:rStyle w:val="FootnoteReference"/>
        </w:rPr>
        <w:footnoteRef/>
      </w:r>
      <w:r>
        <w:t xml:space="preserve"> Includes the value of the separation payment, and the cost of disability and death insurance has been deducted. </w:t>
      </w:r>
    </w:p>
  </w:footnote>
  <w:footnote w:id="75">
    <w:p w14:paraId="4B22EF6E" w14:textId="20F95EA8" w:rsidR="00DA3D89" w:rsidRDefault="00DA3D89" w:rsidP="00FC53DC">
      <w:pPr>
        <w:pStyle w:val="FootnoteText"/>
      </w:pPr>
      <w:r>
        <w:rPr>
          <w:rStyle w:val="FootnoteReference"/>
        </w:rPr>
        <w:footnoteRef/>
      </w:r>
      <w:r>
        <w:t xml:space="preserve"> Association of Superannuation Funds of Australia, </w:t>
      </w:r>
      <w:r w:rsidRPr="006851AA">
        <w:rPr>
          <w:i/>
          <w:iCs/>
        </w:rPr>
        <w:t>ASFA Retirement Standard</w:t>
      </w:r>
      <w:r>
        <w:t>, 2018.</w:t>
      </w:r>
    </w:p>
  </w:footnote>
  <w:footnote w:id="76">
    <w:p w14:paraId="3DC2D467" w14:textId="18C09AF2" w:rsidR="00DA3D89" w:rsidRDefault="00DA3D89" w:rsidP="00F20142">
      <w:pPr>
        <w:pStyle w:val="FootnoteText"/>
      </w:pPr>
      <w:r>
        <w:rPr>
          <w:rStyle w:val="FootnoteReference"/>
        </w:rPr>
        <w:footnoteRef/>
      </w:r>
      <w:r>
        <w:t xml:space="preserve"> Australian Human Rights Commission, </w:t>
      </w:r>
      <w:r w:rsidRPr="00F20142">
        <w:rPr>
          <w:i/>
          <w:iCs/>
        </w:rPr>
        <w:t xml:space="preserve">Willing to Work: National </w:t>
      </w:r>
      <w:r>
        <w:rPr>
          <w:i/>
          <w:iCs/>
        </w:rPr>
        <w:t>I</w:t>
      </w:r>
      <w:r w:rsidRPr="00F20142">
        <w:rPr>
          <w:i/>
          <w:iCs/>
        </w:rPr>
        <w:t>nquiry into Employment Discrimination Against Older Australians and Australians with Disability</w:t>
      </w:r>
      <w:r>
        <w:t xml:space="preserve"> (Australian Human Rights Commission: Sydney, 2016), 11.</w:t>
      </w:r>
    </w:p>
  </w:footnote>
  <w:footnote w:id="77">
    <w:p w14:paraId="2C73C605" w14:textId="6CECABDB" w:rsidR="00DA3D89" w:rsidRDefault="00DA3D89" w:rsidP="00DE26A9">
      <w:pPr>
        <w:pStyle w:val="FootnoteText"/>
      </w:pPr>
      <w:r>
        <w:rPr>
          <w:rStyle w:val="FootnoteReference"/>
        </w:rPr>
        <w:footnoteRef/>
      </w:r>
      <w:r>
        <w:t xml:space="preserve"> </w:t>
      </w:r>
      <w:r w:rsidRPr="00DE26A9">
        <w:rPr>
          <w:i/>
          <w:iCs/>
        </w:rPr>
        <w:t>Victorian Independent Remuneration Tribunal and Improving Parliamentary Standards Act 2019</w:t>
      </w:r>
      <w:r>
        <w:t xml:space="preserve"> (Vic); </w:t>
      </w:r>
      <w:r w:rsidRPr="00DE26A9">
        <w:rPr>
          <w:i/>
          <w:iCs/>
        </w:rPr>
        <w:t>Superannuation Legislation Amendment Act 2019</w:t>
      </w:r>
      <w:r>
        <w:t xml:space="preserve"> (Vic). </w:t>
      </w:r>
    </w:p>
  </w:footnote>
  <w:footnote w:id="78">
    <w:p w14:paraId="02849A89" w14:textId="68252AD0" w:rsidR="00DA3D89" w:rsidRPr="001733BA" w:rsidRDefault="00DA3D89" w:rsidP="00BA04D7">
      <w:pPr>
        <w:pStyle w:val="FootnoteText"/>
      </w:pPr>
      <w:r>
        <w:rPr>
          <w:rStyle w:val="FootnoteReference"/>
        </w:rPr>
        <w:footnoteRef/>
      </w:r>
      <w:r>
        <w:t xml:space="preserve"> </w:t>
      </w:r>
      <w:r w:rsidRPr="00802E10">
        <w:rPr>
          <w:rFonts w:cs="Times New Roman"/>
          <w:szCs w:val="24"/>
        </w:rPr>
        <w:t xml:space="preserve">Victorian Independent Remuneration Tribunal, </w:t>
      </w:r>
      <w:r w:rsidRPr="00594AB5">
        <w:rPr>
          <w:rFonts w:cs="Times New Roman"/>
          <w:i/>
          <w:iCs/>
          <w:szCs w:val="24"/>
        </w:rPr>
        <w:t>Members of Parliament (Victoria) Determination 01/2019</w:t>
      </w:r>
      <w:r>
        <w:rPr>
          <w:rFonts w:cs="Times New Roman"/>
          <w:szCs w:val="24"/>
        </w:rPr>
        <w:t>.</w:t>
      </w:r>
    </w:p>
  </w:footnote>
  <w:footnote w:id="79">
    <w:p w14:paraId="41929754" w14:textId="77777777" w:rsidR="00DA3D89" w:rsidRDefault="00DA3D89" w:rsidP="00BF2BB7">
      <w:pPr>
        <w:pStyle w:val="FootnoteText"/>
      </w:pPr>
      <w:r>
        <w:rPr>
          <w:rStyle w:val="FootnoteReference"/>
        </w:rPr>
        <w:footnoteRef/>
      </w:r>
      <w:r>
        <w:t xml:space="preserve"> ABS, </w:t>
      </w:r>
      <w:r w:rsidRPr="009638B6">
        <w:rPr>
          <w:i/>
          <w:iCs/>
        </w:rPr>
        <w:t>Consumer Price Index, Australia</w:t>
      </w:r>
      <w:r>
        <w:t>, cat. no. 6401.0, June 2020.</w:t>
      </w:r>
    </w:p>
  </w:footnote>
  <w:footnote w:id="80">
    <w:p w14:paraId="2FC4431D" w14:textId="07B34D59" w:rsidR="00DA3D89" w:rsidRDefault="00DA3D89" w:rsidP="00BF2BB7">
      <w:pPr>
        <w:pStyle w:val="FootnoteText"/>
      </w:pPr>
      <w:r w:rsidRPr="003F2F78">
        <w:rPr>
          <w:rStyle w:val="FootnoteReference"/>
        </w:rPr>
        <w:footnoteRef/>
      </w:r>
      <w:r w:rsidRPr="003F2F78">
        <w:t xml:space="preserve"> </w:t>
      </w:r>
      <w:r>
        <w:t>While the pension is ordinarily indexed based on CPI</w:t>
      </w:r>
      <w:r w:rsidRPr="003424E8">
        <w:t xml:space="preserve"> and the Pensioner and Beneficiary Living Cost Index</w:t>
      </w:r>
      <w:r>
        <w:t xml:space="preserve">, it is also benchmarked so that it cannot fall below a set percentage of Male Total Average Weekly Earnings; </w:t>
      </w:r>
      <w:r w:rsidRPr="009638B6">
        <w:rPr>
          <w:i/>
          <w:iCs/>
        </w:rPr>
        <w:t>Social Security Act 1991</w:t>
      </w:r>
      <w:r w:rsidRPr="009638B6">
        <w:t xml:space="preserve"> (Cth), Part 3.16.</w:t>
      </w:r>
    </w:p>
  </w:footnote>
  <w:footnote w:id="81">
    <w:p w14:paraId="67EF49A6" w14:textId="75E58349" w:rsidR="00DA3D89" w:rsidRDefault="00DA3D89" w:rsidP="009C2387">
      <w:pPr>
        <w:pStyle w:val="FootnoteText"/>
      </w:pPr>
      <w:r>
        <w:rPr>
          <w:rStyle w:val="FootnoteReference"/>
        </w:rPr>
        <w:footnoteRef/>
      </w:r>
      <w:r>
        <w:t xml:space="preserve"> From 1 July 2018, some individuals are able to carry forward unused portions of the cap for up to 5 years.</w:t>
      </w:r>
    </w:p>
  </w:footnote>
  <w:footnote w:id="82">
    <w:p w14:paraId="7FA75FFA" w14:textId="77777777" w:rsidR="00DA3D89" w:rsidRDefault="00DA3D89">
      <w:pPr>
        <w:pStyle w:val="FootnoteText"/>
      </w:pPr>
      <w:r>
        <w:rPr>
          <w:rStyle w:val="FootnoteReference"/>
        </w:rPr>
        <w:footnoteRef/>
      </w:r>
      <w:r>
        <w:t xml:space="preserve"> MPs who have served more than 20.5 years are only required to make contributions if they receive an additional salary.</w:t>
      </w:r>
    </w:p>
  </w:footnote>
  <w:footnote w:id="83">
    <w:p w14:paraId="4A80F775" w14:textId="77777777" w:rsidR="00DA3D89" w:rsidRPr="0012055E" w:rsidRDefault="00DA3D89" w:rsidP="00562281">
      <w:pPr>
        <w:pStyle w:val="FootnoteText"/>
        <w:jc w:val="left"/>
      </w:pPr>
      <w:r w:rsidRPr="0012055E">
        <w:rPr>
          <w:rStyle w:val="FootnoteReference"/>
        </w:rPr>
        <w:footnoteRef/>
      </w:r>
      <w:r w:rsidRPr="0012055E">
        <w:t xml:space="preserve"> </w:t>
      </w:r>
      <w:r w:rsidRPr="003C1AD5">
        <w:rPr>
          <w:szCs w:val="18"/>
        </w:rPr>
        <w:t xml:space="preserve">Commonwealth, </w:t>
      </w:r>
      <w:r w:rsidRPr="003C1AD5">
        <w:rPr>
          <w:i/>
          <w:iCs/>
          <w:szCs w:val="18"/>
        </w:rPr>
        <w:t>Parliamentary Debates</w:t>
      </w:r>
      <w:r w:rsidRPr="003C1AD5">
        <w:rPr>
          <w:szCs w:val="18"/>
        </w:rPr>
        <w:t>, ‘House of Representatives’, 1 December 1948</w:t>
      </w:r>
      <w:r>
        <w:rPr>
          <w:szCs w:val="18"/>
        </w:rPr>
        <w:t>, 3738</w:t>
      </w:r>
      <w:r w:rsidRPr="003C1AD5">
        <w:rPr>
          <w:szCs w:val="18"/>
        </w:rPr>
        <w:t xml:space="preserve"> (Ben Chifley, Prime Minister and Treasurer).</w:t>
      </w:r>
      <w:r w:rsidRPr="0012055E">
        <w:t xml:space="preserve"> </w:t>
      </w:r>
    </w:p>
  </w:footnote>
  <w:footnote w:id="84">
    <w:p w14:paraId="50A213C0" w14:textId="77777777" w:rsidR="00DA3D89" w:rsidRPr="007F7840" w:rsidRDefault="00DA3D89" w:rsidP="00562281">
      <w:pPr>
        <w:pStyle w:val="FootnoteText"/>
      </w:pPr>
      <w:r w:rsidRPr="007F7840">
        <w:rPr>
          <w:vertAlign w:val="superscript"/>
        </w:rPr>
        <w:footnoteRef/>
      </w:r>
      <w:r w:rsidRPr="007F7840">
        <w:rPr>
          <w:vertAlign w:val="superscript"/>
        </w:rPr>
        <w:t xml:space="preserve"> </w:t>
      </w:r>
      <w:r w:rsidRPr="007F7840">
        <w:t xml:space="preserve">Victoria, </w:t>
      </w:r>
      <w:r w:rsidRPr="000269EE">
        <w:rPr>
          <w:i/>
          <w:iCs/>
        </w:rPr>
        <w:t>Parliamentary Debates</w:t>
      </w:r>
      <w:r w:rsidRPr="007F7840">
        <w:t>, ‘Legislative Council’, 18 December 1946</w:t>
      </w:r>
      <w:r>
        <w:t>, 4321</w:t>
      </w:r>
      <w:r w:rsidRPr="007F7840">
        <w:t xml:space="preserve"> (Percy James Clarey, Minister of Labour).</w:t>
      </w:r>
    </w:p>
  </w:footnote>
  <w:footnote w:id="85">
    <w:p w14:paraId="74DC9B31" w14:textId="77777777" w:rsidR="00DA3D89" w:rsidRPr="00002D56" w:rsidRDefault="00DA3D89" w:rsidP="00562281">
      <w:pPr>
        <w:pStyle w:val="FootnoteText"/>
      </w:pPr>
      <w:r w:rsidRPr="00002D56">
        <w:rPr>
          <w:rStyle w:val="FootnoteReference"/>
        </w:rPr>
        <w:footnoteRef/>
      </w:r>
      <w:r w:rsidRPr="00002D56">
        <w:t xml:space="preserve"> Victoria, </w:t>
      </w:r>
      <w:r w:rsidRPr="00002D56">
        <w:rPr>
          <w:i/>
          <w:iCs/>
        </w:rPr>
        <w:t>Parliamentary Debates</w:t>
      </w:r>
      <w:r w:rsidRPr="00002D56">
        <w:t>, ‘Legislative Assembly’, 11 December 1946</w:t>
      </w:r>
      <w:r>
        <w:t>, 4054</w:t>
      </w:r>
      <w:r w:rsidRPr="00002D56">
        <w:t xml:space="preserve"> (John Cain, Premier and Treasurer).</w:t>
      </w:r>
    </w:p>
  </w:footnote>
  <w:footnote w:id="86">
    <w:p w14:paraId="4E3A9CF6" w14:textId="77777777" w:rsidR="00DA3D89" w:rsidRDefault="00DA3D89" w:rsidP="00562281">
      <w:pPr>
        <w:pStyle w:val="FootnoteText"/>
      </w:pPr>
      <w:r w:rsidRPr="00002D56">
        <w:rPr>
          <w:rStyle w:val="FootnoteReference"/>
        </w:rPr>
        <w:footnoteRef/>
      </w:r>
      <w:r w:rsidRPr="00002D56">
        <w:t xml:space="preserve"> Victoria, </w:t>
      </w:r>
      <w:r w:rsidRPr="00002D56">
        <w:rPr>
          <w:i/>
          <w:iCs/>
        </w:rPr>
        <w:t>Parliamentary Debates</w:t>
      </w:r>
      <w:r w:rsidRPr="00002D56">
        <w:t>, ‘Legislative Assembly’, 18 December 1946</w:t>
      </w:r>
      <w:r>
        <w:t>, 4248</w:t>
      </w:r>
      <w:r w:rsidRPr="00002D56">
        <w:t xml:space="preserve"> (John McDonald, Member for Shepparton); Victoria, </w:t>
      </w:r>
      <w:r w:rsidRPr="00002D56">
        <w:rPr>
          <w:i/>
          <w:iCs/>
        </w:rPr>
        <w:t>Parliamentary Debates</w:t>
      </w:r>
      <w:r w:rsidRPr="00002D56">
        <w:t>, ‘Legislative Assembly’, 18 December 1946</w:t>
      </w:r>
      <w:r>
        <w:t>, 4323</w:t>
      </w:r>
      <w:r w:rsidRPr="00002D56">
        <w:t xml:space="preserve"> (William James Beckett, Member for Melbourne Province).</w:t>
      </w:r>
    </w:p>
  </w:footnote>
  <w:footnote w:id="87">
    <w:p w14:paraId="39A47471" w14:textId="77777777" w:rsidR="00DA3D89" w:rsidRPr="0087344D" w:rsidRDefault="00DA3D89" w:rsidP="00562281">
      <w:pPr>
        <w:pStyle w:val="FootnoteText"/>
      </w:pPr>
      <w:r w:rsidRPr="0087344D">
        <w:rPr>
          <w:rStyle w:val="FootnoteReference"/>
        </w:rPr>
        <w:footnoteRef/>
      </w:r>
      <w:r w:rsidRPr="0087344D">
        <w:t xml:space="preserve"> The basic wage was updated quarterly according to the ‘Court Series’ retail price index published by the Court. It was initially conceived as the amount necessary for an employee and their family to maintain a life of “reasonable...comfort”, although it eventually came to be seen as the highest amount that industries could afford to pay their employees. Australian Bureau of Statistics, </w:t>
      </w:r>
      <w:r w:rsidRPr="0087344D">
        <w:rPr>
          <w:i/>
          <w:iCs/>
        </w:rPr>
        <w:t>Official Yearbook of the Commonwealth of Australia No. 43 – 1957</w:t>
      </w:r>
      <w:r w:rsidRPr="0087344D">
        <w:t xml:space="preserve"> (Commonwealth of Australia: Canberra, 1957), 166.</w:t>
      </w:r>
    </w:p>
  </w:footnote>
  <w:footnote w:id="88">
    <w:p w14:paraId="7513DC2E" w14:textId="77777777" w:rsidR="00DA3D89" w:rsidRDefault="00DA3D89" w:rsidP="00562281">
      <w:pPr>
        <w:pStyle w:val="FootnoteText"/>
      </w:pPr>
      <w:r w:rsidRPr="0087344D">
        <w:rPr>
          <w:vertAlign w:val="superscript"/>
        </w:rPr>
        <w:footnoteRef/>
      </w:r>
      <w:r w:rsidRPr="0087344D">
        <w:rPr>
          <w:vertAlign w:val="superscript"/>
        </w:rPr>
        <w:t xml:space="preserve"> </w:t>
      </w:r>
      <w:r w:rsidRPr="0087344D">
        <w:t xml:space="preserve">Victoria, </w:t>
      </w:r>
      <w:r w:rsidRPr="0087344D">
        <w:rPr>
          <w:i/>
          <w:iCs/>
        </w:rPr>
        <w:t>Parliamentary Debates</w:t>
      </w:r>
      <w:r w:rsidRPr="0087344D">
        <w:t>, ‘Legislative Council’, 11 December 1962</w:t>
      </w:r>
      <w:r>
        <w:t>, 2379</w:t>
      </w:r>
      <w:r w:rsidRPr="0087344D">
        <w:t xml:space="preserve"> (Lindsay Thompson, Minister of Housing).</w:t>
      </w:r>
    </w:p>
  </w:footnote>
  <w:footnote w:id="89">
    <w:p w14:paraId="1B23A259" w14:textId="7CB625D4" w:rsidR="00DA3D89" w:rsidRPr="00C37412" w:rsidRDefault="00DA3D89" w:rsidP="00562281">
      <w:pPr>
        <w:pStyle w:val="FootnoteText"/>
      </w:pPr>
      <w:r w:rsidRPr="00C37412">
        <w:rPr>
          <w:rStyle w:val="FootnoteReference"/>
        </w:rPr>
        <w:footnoteRef/>
      </w:r>
      <w:r w:rsidRPr="00C37412">
        <w:t xml:space="preserve"> </w:t>
      </w:r>
      <w:r w:rsidRPr="009D4984">
        <w:t xml:space="preserve">Victoria, </w:t>
      </w:r>
      <w:r w:rsidRPr="000269EE">
        <w:rPr>
          <w:i/>
          <w:iCs/>
        </w:rPr>
        <w:t>Parliamentary Debates</w:t>
      </w:r>
      <w:r w:rsidRPr="009D4984">
        <w:t>, ‘Legislative Assembly’, 19 November 1968</w:t>
      </w:r>
      <w:r>
        <w:t>, 1815</w:t>
      </w:r>
      <w:r w:rsidRPr="009D4984">
        <w:t xml:space="preserve"> (Henry Bolte, Premier</w:t>
      </w:r>
      <w:r>
        <w:t xml:space="preserve"> and</w:t>
      </w:r>
      <w:r w:rsidRPr="009D4984">
        <w:t xml:space="preserve"> Treasurer)</w:t>
      </w:r>
      <w:r w:rsidRPr="00C37412">
        <w:t>.</w:t>
      </w:r>
    </w:p>
  </w:footnote>
  <w:footnote w:id="90">
    <w:p w14:paraId="4117FEB5" w14:textId="77777777" w:rsidR="00DA3D89" w:rsidRDefault="00DA3D89" w:rsidP="00562281">
      <w:pPr>
        <w:pStyle w:val="FootnoteText"/>
      </w:pPr>
      <w:r w:rsidRPr="000269EE">
        <w:rPr>
          <w:vertAlign w:val="superscript"/>
        </w:rPr>
        <w:footnoteRef/>
      </w:r>
      <w:r w:rsidRPr="000269EE">
        <w:t xml:space="preserve"> At both contribution rates</w:t>
      </w:r>
      <w:r>
        <w:t xml:space="preserve">, eligible female MPs were entitled to the same rate of pension as a male MP with the same salary history and an equivalent period of parliamentary service. </w:t>
      </w:r>
      <w:r w:rsidRPr="6E2D4A1F">
        <w:rPr>
          <w:i/>
          <w:iCs/>
        </w:rPr>
        <w:t>Parliamentary Salaries and Superannuation (Amendment) Act 1975</w:t>
      </w:r>
      <w:r>
        <w:rPr>
          <w:i/>
          <w:iCs/>
        </w:rPr>
        <w:t xml:space="preserve"> </w:t>
      </w:r>
      <w:r>
        <w:t>(Vic)</w:t>
      </w:r>
      <w:r w:rsidRPr="009D4984">
        <w:t>, s9(b).</w:t>
      </w:r>
    </w:p>
  </w:footnote>
  <w:footnote w:id="91">
    <w:p w14:paraId="50933F71" w14:textId="77777777" w:rsidR="00DA3D89" w:rsidRPr="006C7145" w:rsidRDefault="00DA3D89" w:rsidP="00562281">
      <w:pPr>
        <w:pStyle w:val="FootnoteText"/>
        <w:rPr>
          <w:lang w:val="en-US"/>
        </w:rPr>
      </w:pPr>
      <w:r w:rsidRPr="00BE0A0F">
        <w:rPr>
          <w:rStyle w:val="FootnoteReference"/>
        </w:rPr>
        <w:footnoteRef/>
      </w:r>
      <w:r w:rsidRPr="00BE0A0F">
        <w:t xml:space="preserve"> </w:t>
      </w:r>
      <w:r w:rsidRPr="003E33EF">
        <w:t>Parliament of Australia</w:t>
      </w:r>
      <w:r>
        <w:t>,</w:t>
      </w:r>
      <w:r w:rsidRPr="003E33EF">
        <w:t xml:space="preserve"> </w:t>
      </w:r>
      <w:r w:rsidRPr="003E33EF">
        <w:rPr>
          <w:i/>
          <w:iCs/>
        </w:rPr>
        <w:t>Safeguarding Super: The Regulation of Superannuation</w:t>
      </w:r>
      <w:r>
        <w:t>,</w:t>
      </w:r>
      <w:r w:rsidRPr="003E33EF">
        <w:t xml:space="preserve"> First Report of the Senate Select Committee on Superannuation</w:t>
      </w:r>
      <w:r>
        <w:t xml:space="preserve"> (</w:t>
      </w:r>
      <w:r w:rsidRPr="003E33EF">
        <w:t>Commonwealth of Australia: Canberra, 1992</w:t>
      </w:r>
      <w:r>
        <w:t>), 9</w:t>
      </w:r>
      <w:r w:rsidRPr="003E33EF">
        <w:t>.</w:t>
      </w:r>
    </w:p>
  </w:footnote>
  <w:footnote w:id="92">
    <w:p w14:paraId="3BF5BC26" w14:textId="77777777" w:rsidR="00DA3D89" w:rsidRPr="00063F1D" w:rsidRDefault="00DA3D89" w:rsidP="00562281">
      <w:pPr>
        <w:pStyle w:val="FootnoteText"/>
      </w:pPr>
      <w:r w:rsidRPr="00063F1D">
        <w:rPr>
          <w:rStyle w:val="FootnoteReference"/>
        </w:rPr>
        <w:footnoteRef/>
      </w:r>
      <w:r w:rsidRPr="00063F1D">
        <w:t xml:space="preserve"> Australian Bureau of Statistics, </w:t>
      </w:r>
      <w:r w:rsidRPr="00063F1D">
        <w:rPr>
          <w:i/>
          <w:iCs/>
        </w:rPr>
        <w:t>Official Yearbook of the Commonwealth of Australia No. 60 – 1974</w:t>
      </w:r>
      <w:r w:rsidRPr="00063F1D">
        <w:t xml:space="preserve"> (Commonwealth of Australia: Canberra, 1975), 719.</w:t>
      </w:r>
    </w:p>
  </w:footnote>
  <w:footnote w:id="93">
    <w:p w14:paraId="5D3FDF6F" w14:textId="77777777" w:rsidR="00DA3D89" w:rsidRDefault="00DA3D89" w:rsidP="00562281">
      <w:pPr>
        <w:pStyle w:val="FootnoteText"/>
      </w:pPr>
      <w:r w:rsidRPr="00BE0A0F">
        <w:rPr>
          <w:rStyle w:val="FootnoteReference"/>
        </w:rPr>
        <w:footnoteRef/>
      </w:r>
      <w:r w:rsidRPr="00BE0A0F">
        <w:t xml:space="preserve"> </w:t>
      </w:r>
      <w:r w:rsidRPr="00BE0A0F">
        <w:rPr>
          <w:i/>
          <w:iCs/>
        </w:rPr>
        <w:t>Superannuation Guarantee (Administration) Act 1992</w:t>
      </w:r>
      <w:r w:rsidRPr="00BE0A0F">
        <w:t xml:space="preserve"> (Cth).</w:t>
      </w:r>
    </w:p>
  </w:footnote>
  <w:footnote w:id="94">
    <w:p w14:paraId="766B9929" w14:textId="77777777" w:rsidR="00DA3D89" w:rsidRDefault="00DA3D89" w:rsidP="00562281">
      <w:pPr>
        <w:pStyle w:val="FootnoteText"/>
      </w:pPr>
      <w:r>
        <w:rPr>
          <w:rStyle w:val="FootnoteReference"/>
        </w:rPr>
        <w:footnoteRef/>
      </w:r>
      <w:r>
        <w:t xml:space="preserve"> </w:t>
      </w:r>
      <w:r w:rsidRPr="005312C3">
        <w:t xml:space="preserve">Victoria, </w:t>
      </w:r>
      <w:r w:rsidRPr="005312C3">
        <w:rPr>
          <w:i/>
        </w:rPr>
        <w:t>Parliamentary Debates</w:t>
      </w:r>
      <w:r w:rsidRPr="005312C3">
        <w:t xml:space="preserve">, </w:t>
      </w:r>
      <w:r>
        <w:t>‘</w:t>
      </w:r>
      <w:r w:rsidRPr="005312C3">
        <w:t>Legislative Council</w:t>
      </w:r>
      <w:r>
        <w:t>’</w:t>
      </w:r>
      <w:r w:rsidRPr="005312C3">
        <w:t>, 24 November 1993, 1233-1235 (Roger M. Hallam, Minister for Regional Development)</w:t>
      </w:r>
      <w:r>
        <w:t>.</w:t>
      </w:r>
    </w:p>
  </w:footnote>
  <w:footnote w:id="95">
    <w:p w14:paraId="18DFB30E" w14:textId="77777777" w:rsidR="00DA3D89" w:rsidRPr="00733F80" w:rsidRDefault="00DA3D89" w:rsidP="00562281">
      <w:pPr>
        <w:pStyle w:val="FootnoteText"/>
      </w:pPr>
      <w:r w:rsidRPr="00733F80">
        <w:rPr>
          <w:rStyle w:val="FootnoteReference"/>
        </w:rPr>
        <w:footnoteRef/>
      </w:r>
      <w:r w:rsidRPr="00733F80">
        <w:t xml:space="preserve"> Parliament of Victoria, </w:t>
      </w:r>
      <w:r w:rsidRPr="00733F80">
        <w:rPr>
          <w:i/>
          <w:iCs/>
        </w:rPr>
        <w:t>Minutes of the Proceedings of the Legislative Council of Victoria – Volume 3, Session 1982-85</w:t>
      </w:r>
      <w:r w:rsidRPr="00733F80">
        <w:t xml:space="preserve"> (Parliament of Victoria Library: Melbourne, 1985), 6.</w:t>
      </w:r>
    </w:p>
  </w:footnote>
  <w:footnote w:id="96">
    <w:p w14:paraId="58E4EEFC" w14:textId="77777777" w:rsidR="00DA3D89" w:rsidRPr="003507A6" w:rsidRDefault="00DA3D89" w:rsidP="00562281">
      <w:pPr>
        <w:pStyle w:val="FootnoteText"/>
      </w:pPr>
      <w:r w:rsidRPr="003507A6">
        <w:rPr>
          <w:rStyle w:val="FootnoteReference"/>
        </w:rPr>
        <w:footnoteRef/>
      </w:r>
      <w:r w:rsidRPr="003507A6">
        <w:t xml:space="preserve"> </w:t>
      </w:r>
      <w:r w:rsidRPr="003507A6">
        <w:rPr>
          <w:i/>
          <w:iCs/>
        </w:rPr>
        <w:t>Public Sector Superannuation (Administration) Act 1993</w:t>
      </w:r>
      <w:r w:rsidRPr="003507A6">
        <w:t xml:space="preserve"> (Vic)</w:t>
      </w:r>
      <w:r>
        <w:t>, Part 8</w:t>
      </w:r>
      <w:r w:rsidRPr="003507A6">
        <w:t>.</w:t>
      </w:r>
    </w:p>
  </w:footnote>
  <w:footnote w:id="97">
    <w:p w14:paraId="61B11DA6" w14:textId="77777777" w:rsidR="00DA3D89" w:rsidRPr="00BE0A0F" w:rsidRDefault="00DA3D89" w:rsidP="00562281">
      <w:pPr>
        <w:pStyle w:val="FootnoteText"/>
      </w:pPr>
      <w:r w:rsidRPr="00BE0A0F">
        <w:rPr>
          <w:rStyle w:val="FootnoteReference"/>
        </w:rPr>
        <w:footnoteRef/>
      </w:r>
      <w:r w:rsidRPr="00BE0A0F">
        <w:t xml:space="preserve"> </w:t>
      </w:r>
      <w:r w:rsidRPr="00BE0A0F">
        <w:rPr>
          <w:i/>
          <w:iCs/>
        </w:rPr>
        <w:t>Miscellaneous Acts (Omnibus Amendments) Act 1996</w:t>
      </w:r>
      <w:r>
        <w:t xml:space="preserve"> (Vic)</w:t>
      </w:r>
      <w:r w:rsidRPr="00BE0A0F">
        <w:t>, s28.</w:t>
      </w:r>
    </w:p>
  </w:footnote>
  <w:footnote w:id="98">
    <w:p w14:paraId="6D5E7419" w14:textId="39B772DA" w:rsidR="00DA3D89" w:rsidRDefault="00DA3D89">
      <w:pPr>
        <w:pStyle w:val="FootnoteText"/>
      </w:pPr>
      <w:r>
        <w:rPr>
          <w:rStyle w:val="FootnoteReference"/>
        </w:rPr>
        <w:footnoteRef/>
      </w:r>
      <w:r>
        <w:t xml:space="preserve"> Parliament of Australia, ‘Parliamentary Superannuation Bill 2004, </w:t>
      </w:r>
      <w:r w:rsidRPr="00056A20">
        <w:t>Bills Digest No. 131 2003-04</w:t>
      </w:r>
      <w:r>
        <w:t>’, (Parliamentary Library: Canberra, 2004)</w:t>
      </w:r>
      <w:r w:rsidRPr="00677FC5">
        <w:t>.</w:t>
      </w:r>
    </w:p>
  </w:footnote>
  <w:footnote w:id="99">
    <w:p w14:paraId="62CB5CEB" w14:textId="64E01FC3" w:rsidR="00DA3D89" w:rsidRPr="00A746FB" w:rsidRDefault="00DA3D89" w:rsidP="00562281">
      <w:pPr>
        <w:pStyle w:val="FootnoteText"/>
      </w:pPr>
      <w:r w:rsidRPr="00A746FB">
        <w:rPr>
          <w:rStyle w:val="FootnoteReference"/>
        </w:rPr>
        <w:footnoteRef/>
      </w:r>
      <w:r w:rsidRPr="00A746FB">
        <w:t xml:space="preserve"> John Howard MP, Prime Minister of Australia, Press Conference Transcript, Parliament House, Canberra, 12 February 2004.</w:t>
      </w:r>
    </w:p>
  </w:footnote>
  <w:footnote w:id="100">
    <w:p w14:paraId="2EB887A0" w14:textId="77777777" w:rsidR="00DA3D89" w:rsidRDefault="00DA3D89" w:rsidP="00562281">
      <w:pPr>
        <w:pStyle w:val="FootnoteText"/>
      </w:pPr>
      <w:r w:rsidRPr="009D4984">
        <w:rPr>
          <w:vertAlign w:val="superscript"/>
        </w:rPr>
        <w:footnoteRef/>
      </w:r>
      <w:r w:rsidRPr="009D4984">
        <w:t xml:space="preserve"> Victoria, </w:t>
      </w:r>
      <w:r w:rsidRPr="000269EE">
        <w:rPr>
          <w:i/>
          <w:iCs/>
        </w:rPr>
        <w:t>Parliamentary Debates</w:t>
      </w:r>
      <w:r w:rsidRPr="009D4984">
        <w:t>, ‘Legislative Council’, 3 November 2004</w:t>
      </w:r>
      <w:r>
        <w:t>, 1007</w:t>
      </w:r>
      <w:r w:rsidRPr="009D4984">
        <w:t xml:space="preserve"> (John Lenders, Minister for Finance).</w:t>
      </w:r>
    </w:p>
  </w:footnote>
  <w:footnote w:id="101">
    <w:p w14:paraId="7837E04F" w14:textId="77777777" w:rsidR="00DA3D89" w:rsidRPr="00E41EB4" w:rsidRDefault="00DA3D89" w:rsidP="00562281">
      <w:pPr>
        <w:pStyle w:val="FootnoteText"/>
      </w:pPr>
      <w:r w:rsidRPr="00E41EB4">
        <w:rPr>
          <w:rStyle w:val="FootnoteReference"/>
        </w:rPr>
        <w:footnoteRef/>
      </w:r>
      <w:r w:rsidRPr="00E41EB4">
        <w:t xml:space="preserve"> Malcolm Hazell, </w:t>
      </w:r>
      <w:r w:rsidRPr="00E41EB4">
        <w:rPr>
          <w:i/>
        </w:rPr>
        <w:t>Independent Review of Victorian MPs’ Salary Entitlements, Allowances and Other Arrangements</w:t>
      </w:r>
      <w:r>
        <w:t>, report prepared for the Department</w:t>
      </w:r>
      <w:r w:rsidRPr="00E41EB4">
        <w:t xml:space="preserve"> of </w:t>
      </w:r>
      <w:r>
        <w:t xml:space="preserve">Premier and Cabinet, </w:t>
      </w:r>
      <w:r w:rsidRPr="00E41EB4">
        <w:t>Victoria, 2013</w:t>
      </w:r>
      <w:r>
        <w:t>.</w:t>
      </w:r>
    </w:p>
  </w:footnote>
  <w:footnote w:id="102">
    <w:p w14:paraId="12A53914" w14:textId="03CC4FEB" w:rsidR="00DA3D89" w:rsidRPr="008552C0" w:rsidRDefault="00DA3D89" w:rsidP="00562281">
      <w:pPr>
        <w:pStyle w:val="FootnoteText"/>
      </w:pPr>
      <w:r w:rsidRPr="008552C0">
        <w:rPr>
          <w:rStyle w:val="FootnoteReference"/>
        </w:rPr>
        <w:footnoteRef/>
      </w:r>
      <w:r w:rsidRPr="008552C0">
        <w:t xml:space="preserve"> In 2013, the PSS Act was amended to provide for an additional 6 per cent on top of the </w:t>
      </w:r>
      <w:r>
        <w:t>SG</w:t>
      </w:r>
      <w:r w:rsidRPr="008552C0">
        <w:t xml:space="preserve"> percentage. This means that, for the 20</w:t>
      </w:r>
      <w:r>
        <w:t>20</w:t>
      </w:r>
      <w:r w:rsidRPr="008552C0">
        <w:t>-2</w:t>
      </w:r>
      <w:r>
        <w:t>1</w:t>
      </w:r>
      <w:r w:rsidRPr="008552C0">
        <w:t xml:space="preserve"> financial year, MPs in the accumulation scheme </w:t>
      </w:r>
      <w:r>
        <w:t xml:space="preserve">will </w:t>
      </w:r>
      <w:r w:rsidRPr="008552C0">
        <w:t>receive contributions equal to 15.5 per cent of basic and additional salary.</w:t>
      </w:r>
    </w:p>
  </w:footnote>
  <w:footnote w:id="103">
    <w:p w14:paraId="678B69D6" w14:textId="77777777" w:rsidR="00DA3D89" w:rsidRPr="00097A5C" w:rsidRDefault="00DA3D89" w:rsidP="00562281">
      <w:pPr>
        <w:pStyle w:val="FootnoteText"/>
      </w:pPr>
      <w:r w:rsidRPr="00097A5C">
        <w:rPr>
          <w:rStyle w:val="FootnoteReference"/>
        </w:rPr>
        <w:footnoteRef/>
      </w:r>
      <w:r w:rsidRPr="00097A5C">
        <w:t xml:space="preserve"> Malcolm Hazell, </w:t>
      </w:r>
      <w:r w:rsidRPr="00097A5C">
        <w:rPr>
          <w:i/>
          <w:iCs/>
        </w:rPr>
        <w:t>Independent Review of Victorian MPs’ Salary Entitlements, Allowance and Other Arrangements</w:t>
      </w:r>
      <w:r w:rsidRPr="00097A5C">
        <w:t>, 32.</w:t>
      </w:r>
    </w:p>
  </w:footnote>
  <w:footnote w:id="104">
    <w:p w14:paraId="6A683212" w14:textId="77777777" w:rsidR="00DA3D89" w:rsidRDefault="00DA3D89" w:rsidP="00562281">
      <w:pPr>
        <w:pStyle w:val="FootnoteText"/>
      </w:pPr>
      <w:r>
        <w:rPr>
          <w:rStyle w:val="FootnoteReference"/>
        </w:rPr>
        <w:footnoteRef/>
      </w:r>
      <w:r>
        <w:t xml:space="preserve"> </w:t>
      </w:r>
      <w:r w:rsidRPr="009D4984">
        <w:t xml:space="preserve">Victoria, </w:t>
      </w:r>
      <w:r w:rsidRPr="000269EE">
        <w:rPr>
          <w:i/>
          <w:iCs/>
        </w:rPr>
        <w:t>Parliamentary Debates</w:t>
      </w:r>
      <w:r w:rsidRPr="009D4984">
        <w:t>, ‘Legislative Council’,</w:t>
      </w:r>
      <w:r>
        <w:t xml:space="preserve"> 15</w:t>
      </w:r>
      <w:r w:rsidRPr="009D4984">
        <w:t xml:space="preserve"> </w:t>
      </w:r>
      <w:r>
        <w:t>October</w:t>
      </w:r>
      <w:r w:rsidRPr="009D4984">
        <w:t xml:space="preserve"> 20</w:t>
      </w:r>
      <w:r>
        <w:t>19, 3285</w:t>
      </w:r>
      <w:r w:rsidRPr="009D4984">
        <w:t xml:space="preserve"> (</w:t>
      </w:r>
      <w:r>
        <w:t xml:space="preserve">Mark </w:t>
      </w:r>
      <w:r>
        <w:t>Gepp</w:t>
      </w:r>
      <w:r w:rsidRPr="009D4984">
        <w:t xml:space="preserve">, </w:t>
      </w:r>
      <w:r>
        <w:t>Member for Northern Victoria</w:t>
      </w:r>
      <w:r w:rsidRPr="009D4984">
        <w:t>).</w:t>
      </w:r>
    </w:p>
  </w:footnote>
  <w:footnote w:id="105">
    <w:p w14:paraId="3A55DBFE" w14:textId="1F182B55" w:rsidR="00DA3D89" w:rsidRPr="00417DB8" w:rsidRDefault="00DA3D89" w:rsidP="00562281">
      <w:pPr>
        <w:pStyle w:val="FootnoteText"/>
      </w:pPr>
      <w:r w:rsidRPr="00417DB8">
        <w:rPr>
          <w:rStyle w:val="FootnoteReference"/>
        </w:rPr>
        <w:footnoteRef/>
      </w:r>
      <w:r w:rsidRPr="00417DB8">
        <w:t xml:space="preserve"> Victorian Independent Remuneration Tribunal, </w:t>
      </w:r>
      <w:r w:rsidRPr="00417DB8">
        <w:rPr>
          <w:i/>
        </w:rPr>
        <w:t>Members of Parliament (Victoria) Determination 01/2019</w:t>
      </w:r>
      <w:r>
        <w:t>,</w:t>
      </w:r>
      <w:r w:rsidRPr="00417DB8">
        <w:t xml:space="preserve"> 138.</w:t>
      </w:r>
    </w:p>
  </w:footnote>
  <w:footnote w:id="106">
    <w:p w14:paraId="0AE577FE" w14:textId="77777777" w:rsidR="00DA3D89" w:rsidRPr="00C8486E" w:rsidRDefault="00DA3D89" w:rsidP="00562281">
      <w:pPr>
        <w:pStyle w:val="Footnotes"/>
      </w:pPr>
      <w:r w:rsidRPr="00AA1269">
        <w:rPr>
          <w:vertAlign w:val="superscript"/>
        </w:rPr>
        <w:footnoteRef/>
      </w:r>
      <w:r w:rsidRPr="00C8486E">
        <w:t xml:space="preserve"> PSAS Act, s14.</w:t>
      </w:r>
    </w:p>
  </w:footnote>
  <w:footnote w:id="107">
    <w:p w14:paraId="20390126" w14:textId="77777777" w:rsidR="00DA3D89" w:rsidRPr="00C8486E" w:rsidRDefault="00DA3D89" w:rsidP="00562281">
      <w:pPr>
        <w:pStyle w:val="Footnotes"/>
      </w:pPr>
      <w:r w:rsidRPr="00AA1269">
        <w:rPr>
          <w:vertAlign w:val="superscript"/>
        </w:rPr>
        <w:footnoteRef/>
      </w:r>
      <w:r w:rsidRPr="00C8486E">
        <w:t xml:space="preserve"> Except for the Parliamentary Secretary to the Premier and the Deputy Government Whip in the Assembly.</w:t>
      </w:r>
    </w:p>
  </w:footnote>
  <w:footnote w:id="108">
    <w:p w14:paraId="45EDD949" w14:textId="77777777" w:rsidR="00DA3D89" w:rsidRDefault="00DA3D89" w:rsidP="00562281">
      <w:pPr>
        <w:pStyle w:val="Footnotes"/>
      </w:pPr>
      <w:r w:rsidRPr="00AA1269">
        <w:rPr>
          <w:vertAlign w:val="superscript"/>
        </w:rPr>
        <w:footnoteRef/>
      </w:r>
      <w:r w:rsidRPr="00C8486E">
        <w:t xml:space="preserve"> PSAS Act, s15(1A). </w:t>
      </w:r>
    </w:p>
  </w:footnote>
  <w:footnote w:id="109">
    <w:p w14:paraId="50B58E20" w14:textId="59E0C985" w:rsidR="00DA3D89" w:rsidRPr="00C8486E" w:rsidRDefault="00DA3D89" w:rsidP="00562281">
      <w:pPr>
        <w:pStyle w:val="Footnotes"/>
      </w:pPr>
      <w:r w:rsidRPr="00AA1269">
        <w:rPr>
          <w:vertAlign w:val="superscript"/>
        </w:rPr>
        <w:footnoteRef/>
      </w:r>
      <w:r w:rsidRPr="00C8486E">
        <w:t xml:space="preserve"> </w:t>
      </w:r>
      <w:r w:rsidRPr="00C8486E">
        <w:fldChar w:fldCharType="begin"/>
      </w:r>
      <w:r w:rsidRPr="00C8486E">
        <w:instrText xml:space="preserve"> ADDIN ZOTERO_ITEM CSL_CITATION {"citationID":"PoIztKWq","properties":{"formattedCitation":"Emergency Services Superannuation Board, \\uc0\\u8220{}Parliamentary Contributory Superannuation Fund Member Handbook - New Benefits Scheme (Division 3),\\uc0\\u8221{} 7.","plainCitation":"Emergency Services Superannuation Board, “Parliamentary Contributory Superannuation Fund Member Handbook - New Benefits Scheme (Division 3),” 7.","noteIndex":7},"citationItems":[{"id":425,"uris":["http://zotero.org/groups/2355244/items/YBRVPYGW"],"uri":["http://zotero.org/groups/2355244/items/YBRVPYGW"],"itemData":{"id":425,"type":"article","title":"Parliamentary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Board","given":""}],"issued":{"date-parts":[["2017"]]}},"locator":"7"}],"schema":"https://github.com/citation-style-language/schema/raw/master/csl-citation.json"} </w:instrText>
      </w:r>
      <w:r w:rsidRPr="00C8486E">
        <w:fldChar w:fldCharType="separate"/>
      </w:r>
      <w:r>
        <w:t>ESSSuper Board</w:t>
      </w:r>
      <w:r w:rsidRPr="00C8486E">
        <w:t xml:space="preserve">, </w:t>
      </w:r>
      <w:r w:rsidRPr="00C8486E">
        <w:rPr>
          <w:i/>
        </w:rPr>
        <w:t>Parliamentary Contributory Superannuation Fund Member Handbook - New Benefits Scheme (Division 3)</w:t>
      </w:r>
      <w:r w:rsidRPr="00C8486E">
        <w:t xml:space="preserve"> (ESSSuper</w:t>
      </w:r>
      <w:r>
        <w:t xml:space="preserve"> Board</w:t>
      </w:r>
      <w:r w:rsidRPr="00C8486E">
        <w:t>: Melbourne, 2017),</w:t>
      </w:r>
      <w:r w:rsidRPr="00C8486E">
        <w:rPr>
          <w:rFonts w:cs="Calibri Light"/>
          <w:szCs w:val="24"/>
        </w:rPr>
        <w:t xml:space="preserve"> 7.</w:t>
      </w:r>
      <w:r w:rsidRPr="00C8486E">
        <w:fldChar w:fldCharType="end"/>
      </w:r>
    </w:p>
  </w:footnote>
  <w:footnote w:id="110">
    <w:p w14:paraId="601A3BD6" w14:textId="69511ED9" w:rsidR="00DA3D89" w:rsidRDefault="00DA3D89" w:rsidP="00562281">
      <w:pPr>
        <w:pStyle w:val="Footnotes"/>
      </w:pPr>
      <w:r w:rsidRPr="00AA1269">
        <w:rPr>
          <w:vertAlign w:val="superscript"/>
        </w:rPr>
        <w:footnoteRef/>
      </w:r>
      <w:r w:rsidRPr="00C8486E">
        <w:t xml:space="preserve"> </w:t>
      </w:r>
      <w:r>
        <w:t>ESSSuper Board</w:t>
      </w:r>
      <w:r w:rsidRPr="00C8486E">
        <w:t xml:space="preserve">, </w:t>
      </w:r>
      <w:r>
        <w:rPr>
          <w:i/>
        </w:rPr>
        <w:t>PCSF</w:t>
      </w:r>
      <w:r w:rsidRPr="00C8486E">
        <w:rPr>
          <w:i/>
        </w:rPr>
        <w:t xml:space="preserve"> Member Handbook</w:t>
      </w:r>
      <w:r>
        <w:rPr>
          <w:iCs/>
        </w:rPr>
        <w:t>,</w:t>
      </w:r>
      <w:r w:rsidRPr="00C8486E">
        <w:rPr>
          <w:i/>
        </w:rPr>
        <w:t xml:space="preserve"> </w:t>
      </w:r>
      <w:r w:rsidRPr="00C8486E">
        <w:rPr>
          <w:rFonts w:cs="Calibri Light"/>
        </w:rPr>
        <w:t>12.</w:t>
      </w:r>
    </w:p>
  </w:footnote>
  <w:footnote w:id="111">
    <w:p w14:paraId="69767541" w14:textId="78AADCEA" w:rsidR="00DA3D89" w:rsidRDefault="00DA3D89" w:rsidP="00562281">
      <w:pPr>
        <w:pStyle w:val="Footnotes"/>
      </w:pPr>
      <w:r w:rsidRPr="007B5892">
        <w:rPr>
          <w:vertAlign w:val="superscript"/>
        </w:rPr>
        <w:footnoteRef/>
      </w:r>
      <w:r w:rsidRPr="00625F47">
        <w:t xml:space="preserve"> </w:t>
      </w:r>
      <w:r>
        <w:t>ESSSuper Board</w:t>
      </w:r>
      <w:r w:rsidRPr="00C8486E">
        <w:t xml:space="preserve">, </w:t>
      </w:r>
      <w:r>
        <w:rPr>
          <w:i/>
        </w:rPr>
        <w:t>PCSF</w:t>
      </w:r>
      <w:r w:rsidRPr="00C8486E">
        <w:rPr>
          <w:i/>
        </w:rPr>
        <w:t xml:space="preserve"> Member Handbook</w:t>
      </w:r>
      <w:r>
        <w:rPr>
          <w:iCs/>
        </w:rPr>
        <w:t>,12.</w:t>
      </w:r>
      <w:r w:rsidRPr="00625F47">
        <w:fldChar w:fldCharType="begin"/>
      </w:r>
      <w:r w:rsidRPr="00625F47">
        <w:instrText xml:space="preserve"> ADDIN ZOTERO_ITEM CSL_CITATION {"citationID":"Wyc60POu","properties":{"formattedCitation":"Emergency Services Superannuation Board, 12.","plainCitation":"Emergency Services Superannuation Board, 12.","noteIndex":9},"citationItems":[{"id":425,"uris":["http://zotero.org/groups/2355244/items/YBRVPYGW"],"uri":["http://zotero.org/groups/2355244/items/YBRVPYGW"],"itemData":{"id":425,"type":"article","title":"Parliamentary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Board","given":""}],"issued":{"date-parts":[["2017"]]}},"locator":"12"}],"schema":"https://github.com/citation-style-language/schema/raw/master/csl-citation.json"} </w:instrText>
      </w:r>
      <w:r w:rsidRPr="00625F47">
        <w:fldChar w:fldCharType="end"/>
      </w:r>
    </w:p>
  </w:footnote>
  <w:footnote w:id="112">
    <w:p w14:paraId="007D29C4" w14:textId="6878BD8B" w:rsidR="00DA3D89" w:rsidRDefault="00DA3D89" w:rsidP="00562281">
      <w:pPr>
        <w:pStyle w:val="Footnotes"/>
      </w:pPr>
      <w:r w:rsidRPr="007B5892">
        <w:rPr>
          <w:vertAlign w:val="superscript"/>
        </w:rPr>
        <w:footnoteRef/>
      </w:r>
      <w:r w:rsidRPr="00625F47">
        <w:t xml:space="preserve"> PSAS Act, s15;</w:t>
      </w:r>
      <w:r w:rsidRPr="00881D96">
        <w:t xml:space="preserve"> </w:t>
      </w:r>
      <w:r>
        <w:t>ESSSuper Board</w:t>
      </w:r>
      <w:r w:rsidRPr="00C8486E">
        <w:t xml:space="preserve">, </w:t>
      </w:r>
      <w:r>
        <w:rPr>
          <w:i/>
        </w:rPr>
        <w:t>PCSF</w:t>
      </w:r>
      <w:r w:rsidRPr="00C8486E">
        <w:rPr>
          <w:i/>
        </w:rPr>
        <w:t xml:space="preserve"> Member Handbook</w:t>
      </w:r>
      <w:r>
        <w:rPr>
          <w:iCs/>
        </w:rPr>
        <w:t>, 11, 16.</w:t>
      </w:r>
      <w:r>
        <w:t xml:space="preserve"> </w:t>
      </w:r>
    </w:p>
  </w:footnote>
  <w:footnote w:id="113">
    <w:p w14:paraId="5CB7EDF0" w14:textId="77777777" w:rsidR="00DA3D89" w:rsidRDefault="00DA3D89" w:rsidP="00562281">
      <w:pPr>
        <w:pStyle w:val="FootnoteText"/>
      </w:pPr>
      <w:r w:rsidRPr="00A76FF3">
        <w:rPr>
          <w:rFonts w:cs="Times New Roman (Body CS)"/>
          <w:szCs w:val="72"/>
          <w:vertAlign w:val="superscript"/>
        </w:rPr>
        <w:footnoteRef/>
      </w:r>
      <w:r w:rsidRPr="00A76FF3">
        <w:rPr>
          <w:rFonts w:cs="Times New Roman (Body CS)"/>
          <w:szCs w:val="72"/>
        </w:rPr>
        <w:t xml:space="preserve"> PSAS, s20.</w:t>
      </w:r>
    </w:p>
  </w:footnote>
  <w:footnote w:id="114">
    <w:p w14:paraId="00A613DB" w14:textId="27A38310" w:rsidR="00DA3D89" w:rsidRPr="007B5892" w:rsidRDefault="00DA3D89" w:rsidP="00300AA9">
      <w:pPr>
        <w:pStyle w:val="Footnotes"/>
        <w:spacing w:after="0"/>
        <w:ind w:right="-147"/>
        <w:rPr>
          <w:szCs w:val="18"/>
        </w:rPr>
      </w:pPr>
      <w:r w:rsidRPr="007B5892">
        <w:rPr>
          <w:vertAlign w:val="superscript"/>
        </w:rPr>
        <w:footnoteRef/>
      </w:r>
      <w:r w:rsidRPr="00625F47">
        <w:t xml:space="preserve"> </w:t>
      </w:r>
      <w:r>
        <w:t>ESSSuper Board</w:t>
      </w:r>
      <w:r w:rsidRPr="00C8486E">
        <w:t xml:space="preserve">, </w:t>
      </w:r>
      <w:r>
        <w:rPr>
          <w:i/>
        </w:rPr>
        <w:t>PCSF</w:t>
      </w:r>
      <w:r w:rsidRPr="00C8486E">
        <w:rPr>
          <w:i/>
        </w:rPr>
        <w:t xml:space="preserve"> Member Handbook</w:t>
      </w:r>
      <w:r w:rsidRPr="00625F47">
        <w:t>,</w:t>
      </w:r>
      <w:r w:rsidRPr="00625F47">
        <w:rPr>
          <w:rFonts w:cs="Calibri Light"/>
        </w:rPr>
        <w:t xml:space="preserve"> 11</w:t>
      </w:r>
      <w:r>
        <w:rPr>
          <w:rFonts w:cs="Calibri Light"/>
        </w:rPr>
        <w:t>.</w:t>
      </w:r>
    </w:p>
  </w:footnote>
  <w:footnote w:id="115">
    <w:p w14:paraId="7E54710D" w14:textId="498C8FE7" w:rsidR="00DA3D89" w:rsidRPr="00AC4F72" w:rsidRDefault="00DA3D89" w:rsidP="00562281">
      <w:pPr>
        <w:pStyle w:val="Footnotes"/>
      </w:pPr>
      <w:r w:rsidRPr="00AC4F72">
        <w:rPr>
          <w:rStyle w:val="FootnoteReference"/>
        </w:rPr>
        <w:footnoteRef/>
      </w:r>
      <w:r w:rsidRPr="00AC4F72">
        <w:t xml:space="preserve"> </w:t>
      </w:r>
      <w:r>
        <w:t>ESSSuper Board</w:t>
      </w:r>
      <w:r w:rsidRPr="00C8486E">
        <w:t xml:space="preserve">, </w:t>
      </w:r>
      <w:r>
        <w:rPr>
          <w:i/>
        </w:rPr>
        <w:t>PCSF</w:t>
      </w:r>
      <w:r w:rsidRPr="00C8486E">
        <w:rPr>
          <w:i/>
        </w:rPr>
        <w:t xml:space="preserve"> Member Handbook</w:t>
      </w:r>
      <w:r w:rsidRPr="00625F47">
        <w:t>,</w:t>
      </w:r>
      <w:r w:rsidRPr="00625F47">
        <w:rPr>
          <w:rFonts w:cs="Calibri Light"/>
        </w:rPr>
        <w:t xml:space="preserve"> 11</w:t>
      </w:r>
      <w:r>
        <w:rPr>
          <w:rFonts w:cs="Calibri Light"/>
        </w:rPr>
        <w:t>.</w:t>
      </w:r>
    </w:p>
  </w:footnote>
  <w:footnote w:id="116">
    <w:p w14:paraId="0881FE48" w14:textId="77777777" w:rsidR="00DA3D89" w:rsidRPr="00625F47" w:rsidRDefault="00DA3D89" w:rsidP="00562281">
      <w:pPr>
        <w:pStyle w:val="Footnotes"/>
      </w:pPr>
      <w:r w:rsidRPr="00DC1DED">
        <w:rPr>
          <w:vertAlign w:val="superscript"/>
        </w:rPr>
        <w:footnoteRef/>
      </w:r>
      <w:r w:rsidRPr="00625F47">
        <w:t xml:space="preserve"> PSAS Act, s16(1). </w:t>
      </w:r>
    </w:p>
  </w:footnote>
  <w:footnote w:id="117">
    <w:p w14:paraId="7E04C73A" w14:textId="77777777" w:rsidR="00DA3D89" w:rsidRPr="00D51B93" w:rsidRDefault="00DA3D89" w:rsidP="00562281">
      <w:pPr>
        <w:pStyle w:val="Footnotes"/>
        <w:rPr>
          <w:color w:val="4D4D4D"/>
        </w:rPr>
      </w:pPr>
      <w:r w:rsidRPr="00DC1DED">
        <w:rPr>
          <w:vertAlign w:val="superscript"/>
        </w:rPr>
        <w:footnoteRef/>
      </w:r>
      <w:r w:rsidRPr="00625F47">
        <w:t xml:space="preserve"> PSAS Act, s20.</w:t>
      </w:r>
    </w:p>
  </w:footnote>
  <w:footnote w:id="118">
    <w:p w14:paraId="185BE952" w14:textId="5DCD1E7A" w:rsidR="00DA3D89" w:rsidRPr="00625F47" w:rsidRDefault="00DA3D89" w:rsidP="00562281">
      <w:pPr>
        <w:pStyle w:val="Footnotes"/>
      </w:pPr>
      <w:r w:rsidRPr="00DC1DED">
        <w:rPr>
          <w:vertAlign w:val="superscript"/>
        </w:rPr>
        <w:footnoteRef/>
      </w:r>
      <w:r w:rsidRPr="00625F47">
        <w:t xml:space="preserve"> </w:t>
      </w:r>
      <w:r>
        <w:t>ESSSuper Board</w:t>
      </w:r>
      <w:r w:rsidRPr="00C8486E">
        <w:t xml:space="preserve">, </w:t>
      </w:r>
      <w:r>
        <w:rPr>
          <w:i/>
        </w:rPr>
        <w:t>PCSF</w:t>
      </w:r>
      <w:r w:rsidRPr="00C8486E">
        <w:rPr>
          <w:i/>
        </w:rPr>
        <w:t xml:space="preserve"> Member Handbook</w:t>
      </w:r>
      <w:r>
        <w:rPr>
          <w:iCs/>
        </w:rPr>
        <w:t>, 13-14.</w:t>
      </w:r>
      <w:r w:rsidRPr="00625F47">
        <w:t xml:space="preserve"> </w:t>
      </w:r>
    </w:p>
  </w:footnote>
  <w:footnote w:id="119">
    <w:p w14:paraId="464F4479" w14:textId="07A5ECC0" w:rsidR="00DA3D89" w:rsidRDefault="00DA3D89">
      <w:pPr>
        <w:pStyle w:val="FootnoteText"/>
      </w:pPr>
      <w:r>
        <w:rPr>
          <w:rStyle w:val="FootnoteReference"/>
        </w:rPr>
        <w:footnoteRef/>
      </w:r>
      <w:r>
        <w:t xml:space="preserve"> </w:t>
      </w:r>
      <w:r w:rsidRPr="00EC4C7F">
        <w:rPr>
          <w:i/>
          <w:iCs/>
        </w:rPr>
        <w:t>Superannuation Industry (Supervision) Regulations 1994</w:t>
      </w:r>
      <w:r w:rsidRPr="00EC4C7F">
        <w:t xml:space="preserve"> (Cth), reg 6.01(7), Division 6.3 and Schedule 1</w:t>
      </w:r>
      <w:r>
        <w:t>.</w:t>
      </w:r>
    </w:p>
  </w:footnote>
  <w:footnote w:id="120">
    <w:p w14:paraId="19129BF9" w14:textId="535E19D4" w:rsidR="00DA3D89" w:rsidRPr="00D51B93" w:rsidRDefault="00DA3D89" w:rsidP="00562281">
      <w:pPr>
        <w:pStyle w:val="Footnotes"/>
        <w:rPr>
          <w:color w:val="4D4D4D"/>
        </w:rPr>
      </w:pPr>
      <w:r w:rsidRPr="00DC1DED">
        <w:rPr>
          <w:vertAlign w:val="superscript"/>
        </w:rPr>
        <w:footnoteRef/>
      </w:r>
      <w:r w:rsidRPr="00625F47">
        <w:t xml:space="preserve"> PSAS Act, s17; </w:t>
      </w:r>
      <w:r w:rsidRPr="00EC4C7F">
        <w:rPr>
          <w:highlight w:val="yellow"/>
        </w:rPr>
        <w:fldChar w:fldCharType="begin"/>
      </w:r>
      <w:r w:rsidRPr="00625F47">
        <w:instrText xml:space="preserve"> ADDIN ZOTERO_ITEM CSL_CITATION {"citationID":"IAjPz3pS","properties":{"formattedCitation":"Emergency Services Superannuation Board, 16\\uc0\\u8211{}17.","plainCitation":"Emergency Services Superannuation Board, 16–17.","noteIndex":21},"citationItems":[{"id":425,"uris":["http://zotero.org/groups/2355244/items/YBRVPYGW"],"uri":["http://zotero.org/groups/2355244/items/YBRVPYGW"],"itemData":{"id":425,"type":"article","title":"Parliamentary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Board","given":""}],"issued":{"date-parts":[["2017"]]}},"locator":"16-17"}],"schema":"https://github.com/citation-style-language/schema/raw/master/csl-citation.json"} </w:instrText>
      </w:r>
      <w:r w:rsidRPr="00EC4C7F">
        <w:rPr>
          <w:highlight w:val="yellow"/>
        </w:rPr>
        <w:fldChar w:fldCharType="separate"/>
      </w:r>
      <w:r w:rsidRPr="003D3E5E">
        <w:t xml:space="preserve"> </w:t>
      </w:r>
      <w:r>
        <w:t>ESSSuper Board</w:t>
      </w:r>
      <w:r w:rsidRPr="00C8486E">
        <w:t xml:space="preserve">, </w:t>
      </w:r>
      <w:r>
        <w:rPr>
          <w:i/>
        </w:rPr>
        <w:t>PCSF</w:t>
      </w:r>
      <w:r w:rsidRPr="00C8486E">
        <w:rPr>
          <w:i/>
        </w:rPr>
        <w:t xml:space="preserve"> Member Handbook</w:t>
      </w:r>
      <w:r w:rsidRPr="00625F47">
        <w:rPr>
          <w:rFonts w:cs="Calibri Light"/>
          <w:szCs w:val="24"/>
        </w:rPr>
        <w:t>, 16</w:t>
      </w:r>
      <w:r>
        <w:rPr>
          <w:rFonts w:cs="Calibri Light"/>
          <w:szCs w:val="24"/>
        </w:rPr>
        <w:t>-</w:t>
      </w:r>
      <w:r w:rsidRPr="00625F47">
        <w:rPr>
          <w:rFonts w:cs="Calibri Light"/>
          <w:szCs w:val="24"/>
        </w:rPr>
        <w:t>17.</w:t>
      </w:r>
      <w:r w:rsidRPr="00EC4C7F">
        <w:rPr>
          <w:highlight w:val="yellow"/>
        </w:rPr>
        <w:fldChar w:fldCharType="end"/>
      </w:r>
    </w:p>
  </w:footnote>
  <w:footnote w:id="121">
    <w:p w14:paraId="79F6673C" w14:textId="3008133D" w:rsidR="00DA3D89" w:rsidRDefault="00DA3D89" w:rsidP="00562281">
      <w:pPr>
        <w:pStyle w:val="Footnotes"/>
      </w:pPr>
      <w:r w:rsidRPr="00DC1DED">
        <w:rPr>
          <w:vertAlign w:val="superscript"/>
        </w:rPr>
        <w:footnoteRef/>
      </w:r>
      <w:r w:rsidRPr="00625F47">
        <w:t xml:space="preserve"> PSAS Act, s18;</w:t>
      </w:r>
      <w:r w:rsidRPr="00625F47">
        <w:fldChar w:fldCharType="begin"/>
      </w:r>
      <w:r w:rsidRPr="00625F47">
        <w:instrText xml:space="preserve"> ADDIN ZOTERO_ITEM CSL_CITATION {"citationID":"IAjPz3pS","properties":{"formattedCitation":"Emergency Services Superannuation Board, 16\\uc0\\u8211{}17.","plainCitation":"Emergency Services Superannuation Board, 16–17.","noteIndex":21},"citationItems":[{"id":425,"uris":["http://zotero.org/groups/2355244/items/YBRVPYGW"],"uri":["http://zotero.org/groups/2355244/items/YBRVPYGW"],"itemData":{"id":425,"type":"article","title":"Parliamentary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Board","given":""}],"issued":{"date-parts":[["2017"]]}},"locator":"16-17"}],"schema":"https://github.com/citation-style-language/schema/raw/master/csl-citation.json"} </w:instrText>
      </w:r>
      <w:r w:rsidRPr="00625F47">
        <w:fldChar w:fldCharType="separate"/>
      </w:r>
      <w:r w:rsidRPr="00625F47">
        <w:t xml:space="preserve"> </w:t>
      </w:r>
      <w:r>
        <w:t>ESSSuper Board</w:t>
      </w:r>
      <w:r w:rsidRPr="00C8486E">
        <w:t xml:space="preserve">, </w:t>
      </w:r>
      <w:r>
        <w:rPr>
          <w:i/>
        </w:rPr>
        <w:t>PCSF</w:t>
      </w:r>
      <w:r w:rsidRPr="00C8486E">
        <w:rPr>
          <w:i/>
        </w:rPr>
        <w:t xml:space="preserve"> Member Handbook</w:t>
      </w:r>
      <w:r w:rsidRPr="00625F47">
        <w:rPr>
          <w:rFonts w:cs="Calibri Light"/>
          <w:szCs w:val="24"/>
        </w:rPr>
        <w:t>, 15.</w:t>
      </w:r>
      <w:r w:rsidRPr="00625F47">
        <w:fldChar w:fldCharType="end"/>
      </w:r>
    </w:p>
  </w:footnote>
  <w:footnote w:id="122">
    <w:p w14:paraId="7CE36972" w14:textId="59BDA092" w:rsidR="00DA3D89" w:rsidRPr="00C706BC" w:rsidRDefault="00DA3D89" w:rsidP="00562281">
      <w:pPr>
        <w:pStyle w:val="Footnotes"/>
      </w:pPr>
      <w:r w:rsidRPr="00470493">
        <w:rPr>
          <w:vertAlign w:val="superscript"/>
        </w:rPr>
        <w:footnoteRef/>
      </w:r>
      <w:r w:rsidRPr="00C706BC">
        <w:t xml:space="preserve"> PSAS Act, ss10A</w:t>
      </w:r>
      <w:r>
        <w:t xml:space="preserve">, </w:t>
      </w:r>
      <w:r w:rsidRPr="00C706BC">
        <w:t xml:space="preserve">10B; </w:t>
      </w:r>
      <w:r>
        <w:t>ESSSuper Board</w:t>
      </w:r>
      <w:r w:rsidRPr="00C8486E">
        <w:t xml:space="preserve">, </w:t>
      </w:r>
      <w:r>
        <w:rPr>
          <w:i/>
        </w:rPr>
        <w:t>PCSF</w:t>
      </w:r>
      <w:r w:rsidRPr="00C8486E">
        <w:rPr>
          <w:i/>
        </w:rPr>
        <w:t xml:space="preserve"> Member Handbook</w:t>
      </w:r>
      <w:r w:rsidRPr="00C706BC">
        <w:rPr>
          <w:rFonts w:cs="Calibri Light"/>
          <w:szCs w:val="24"/>
        </w:rPr>
        <w:t>, 15</w:t>
      </w:r>
      <w:r w:rsidRPr="00C706BC">
        <w:t>.</w:t>
      </w:r>
    </w:p>
  </w:footnote>
  <w:footnote w:id="123">
    <w:p w14:paraId="3B5135F9" w14:textId="77777777" w:rsidR="00DA3D89" w:rsidRDefault="00DA3D89" w:rsidP="00562281">
      <w:pPr>
        <w:pStyle w:val="Footnotes"/>
      </w:pPr>
      <w:r w:rsidRPr="00470493">
        <w:rPr>
          <w:vertAlign w:val="superscript"/>
        </w:rPr>
        <w:footnoteRef/>
      </w:r>
      <w:r w:rsidRPr="00C706BC">
        <w:t xml:space="preserve"> PSAS Act, s18(6).</w:t>
      </w:r>
    </w:p>
  </w:footnote>
  <w:footnote w:id="124">
    <w:p w14:paraId="3590592A" w14:textId="12498229" w:rsidR="00DA3D89" w:rsidRDefault="00DA3D89" w:rsidP="00562281">
      <w:pPr>
        <w:pStyle w:val="Footnotes"/>
      </w:pPr>
      <w:r>
        <w:rPr>
          <w:rStyle w:val="FootnoteReference"/>
        </w:rPr>
        <w:footnoteRef/>
      </w:r>
      <w:r>
        <w:t xml:space="preserve"> ESSSuper Board</w:t>
      </w:r>
      <w:r w:rsidRPr="00C8486E">
        <w:t xml:space="preserve">, </w:t>
      </w:r>
      <w:r>
        <w:rPr>
          <w:i/>
        </w:rPr>
        <w:t>PCSF</w:t>
      </w:r>
      <w:r w:rsidRPr="00C8486E">
        <w:rPr>
          <w:i/>
        </w:rPr>
        <w:t xml:space="preserve"> Member Handbook</w:t>
      </w:r>
      <w:r>
        <w:t>, 15.</w:t>
      </w:r>
    </w:p>
  </w:footnote>
  <w:footnote w:id="125">
    <w:p w14:paraId="7DB97393" w14:textId="4AEDD4C7" w:rsidR="00DA3D89" w:rsidRDefault="00DA3D89" w:rsidP="00562281">
      <w:pPr>
        <w:pStyle w:val="Footnotes"/>
      </w:pPr>
      <w:r w:rsidRPr="0007293A">
        <w:rPr>
          <w:vertAlign w:val="superscript"/>
        </w:rPr>
        <w:footnoteRef/>
      </w:r>
      <w:r>
        <w:t xml:space="preserve"> </w:t>
      </w:r>
      <w:r w:rsidRPr="00154E96">
        <w:t>Explanatory Memorand</w:t>
      </w:r>
      <w:r>
        <w:t>a</w:t>
      </w:r>
      <w:r w:rsidRPr="00154E96">
        <w:t>, Superannuation (Objective) Bill 2016 (Cth)</w:t>
      </w:r>
      <w:r>
        <w:t>,</w:t>
      </w:r>
      <w:r w:rsidRPr="00154E96">
        <w:t xml:space="preserve"> Treasury Laws Amendment (Fair and Sustainable Superannuation) Bill 2016 (Cth)</w:t>
      </w:r>
      <w:r>
        <w:t>,</w:t>
      </w:r>
      <w:r w:rsidRPr="00154E96">
        <w:t xml:space="preserve"> Superannuation (Excess Transfer Balance Tax) Imposition Bill 2016 (Cth), 23.</w:t>
      </w:r>
    </w:p>
  </w:footnote>
  <w:footnote w:id="126">
    <w:p w14:paraId="4E93CE01" w14:textId="5DF954D4" w:rsidR="00DA3D89" w:rsidRPr="00F953D6" w:rsidRDefault="00DA3D89" w:rsidP="00562281">
      <w:pPr>
        <w:pStyle w:val="Footnotes"/>
      </w:pPr>
      <w:r w:rsidRPr="00D37B6A">
        <w:rPr>
          <w:vertAlign w:val="superscript"/>
        </w:rPr>
        <w:footnoteRef/>
      </w:r>
      <w:r w:rsidRPr="00154E96">
        <w:t xml:space="preserve"> </w:t>
      </w:r>
      <w:r>
        <w:t>F</w:t>
      </w:r>
      <w:r w:rsidRPr="00154E96">
        <w:rPr>
          <w:lang w:val="en-US"/>
        </w:rPr>
        <w:t>rom 1 July 2018, individuals with a total superannuation balance less than $500,000 on 30 June of the previous financial year are able to ‘carry forward’ unused portions of the cap for up to 5 years. As a result, these individuals may have an increased cap for some financial years.</w:t>
      </w:r>
      <w:r>
        <w:rPr>
          <w:lang w:val="en-US"/>
        </w:rPr>
        <w:t xml:space="preserve"> </w:t>
      </w:r>
      <w:r w:rsidRPr="00B17D9B">
        <w:rPr>
          <w:i/>
          <w:iCs/>
          <w:lang w:val="en-US"/>
        </w:rPr>
        <w:t>Income Tax Assessment Act 1997</w:t>
      </w:r>
      <w:r>
        <w:rPr>
          <w:lang w:val="en-US"/>
        </w:rPr>
        <w:t xml:space="preserve"> (Cth), s291-20.</w:t>
      </w:r>
    </w:p>
  </w:footnote>
  <w:footnote w:id="127">
    <w:p w14:paraId="1752E318" w14:textId="77777777" w:rsidR="00DA3D89" w:rsidRPr="00F953D6" w:rsidRDefault="00DA3D89" w:rsidP="00562281">
      <w:pPr>
        <w:pStyle w:val="Footnotes"/>
      </w:pPr>
      <w:r w:rsidRPr="0048741C">
        <w:rPr>
          <w:vertAlign w:val="superscript"/>
        </w:rPr>
        <w:footnoteRef/>
      </w:r>
      <w:r w:rsidRPr="00F953D6">
        <w:t xml:space="preserve"> </w:t>
      </w:r>
      <w:r w:rsidRPr="003263F8">
        <w:rPr>
          <w:i/>
        </w:rPr>
        <w:t>Income Tax Assessment Act 1997</w:t>
      </w:r>
      <w:r w:rsidRPr="00F953D6">
        <w:t xml:space="preserve"> (Cth), s291-15. </w:t>
      </w:r>
    </w:p>
  </w:footnote>
  <w:footnote w:id="128">
    <w:p w14:paraId="61DEC451" w14:textId="1452AF6E" w:rsidR="00DA3D89" w:rsidRDefault="00DA3D89" w:rsidP="00562281">
      <w:pPr>
        <w:pStyle w:val="Footnotes"/>
      </w:pPr>
      <w:r w:rsidRPr="0048741C">
        <w:rPr>
          <w:vertAlign w:val="superscript"/>
        </w:rPr>
        <w:footnoteRef/>
      </w:r>
      <w:r w:rsidRPr="00F953D6">
        <w:t xml:space="preserve"> </w:t>
      </w:r>
      <w:r w:rsidRPr="0093344B">
        <w:rPr>
          <w:i/>
        </w:rPr>
        <w:t>Taxation Administration Act 1953</w:t>
      </w:r>
      <w:r w:rsidRPr="00F953D6">
        <w:t xml:space="preserve"> (Cth), Schedule 1, s95-5.</w:t>
      </w:r>
      <w:r>
        <w:t xml:space="preserve"> </w:t>
      </w:r>
    </w:p>
  </w:footnote>
  <w:footnote w:id="129">
    <w:p w14:paraId="3A1E44E6" w14:textId="77777777" w:rsidR="00DA3D89" w:rsidRPr="00164DFF" w:rsidRDefault="00DA3D89" w:rsidP="00562281">
      <w:pPr>
        <w:pStyle w:val="Footnotes"/>
      </w:pPr>
      <w:r w:rsidRPr="0048741C">
        <w:rPr>
          <w:vertAlign w:val="superscript"/>
        </w:rPr>
        <w:footnoteRef/>
      </w:r>
      <w:r w:rsidRPr="00164DFF">
        <w:t xml:space="preserve"> PSAS Act, s31(4).</w:t>
      </w:r>
    </w:p>
  </w:footnote>
  <w:footnote w:id="130">
    <w:p w14:paraId="3645ED7E" w14:textId="57CB6C3E" w:rsidR="00DA3D89" w:rsidRPr="00164DFF" w:rsidRDefault="00DA3D89" w:rsidP="00562281">
      <w:pPr>
        <w:pStyle w:val="Footnotes"/>
      </w:pPr>
      <w:r w:rsidRPr="0048741C">
        <w:rPr>
          <w:vertAlign w:val="superscript"/>
        </w:rPr>
        <w:footnoteRef/>
      </w:r>
      <w:r w:rsidRPr="00164DFF">
        <w:t xml:space="preserve"> </w:t>
      </w:r>
      <w:r w:rsidRPr="0093344B">
        <w:rPr>
          <w:i/>
        </w:rPr>
        <w:t>Taxation Administration Act 1953</w:t>
      </w:r>
      <w:r w:rsidRPr="00164DFF">
        <w:t xml:space="preserve"> (Cth), Schedule 1</w:t>
      </w:r>
      <w:r>
        <w:t>,</w:t>
      </w:r>
      <w:r w:rsidRPr="00164DFF">
        <w:t xml:space="preserve"> Division 131.</w:t>
      </w:r>
    </w:p>
  </w:footnote>
  <w:footnote w:id="131">
    <w:p w14:paraId="33B4CE9F" w14:textId="145D0781" w:rsidR="00DA3D89" w:rsidRPr="00164DFF" w:rsidRDefault="00DA3D89" w:rsidP="00562281">
      <w:pPr>
        <w:pStyle w:val="Footnotes"/>
      </w:pPr>
      <w:r w:rsidRPr="0048741C">
        <w:rPr>
          <w:vertAlign w:val="superscript"/>
        </w:rPr>
        <w:footnoteRef/>
      </w:r>
      <w:r w:rsidRPr="00164DFF">
        <w:t xml:space="preserve"> </w:t>
      </w:r>
      <w:r w:rsidRPr="0093344B">
        <w:rPr>
          <w:i/>
        </w:rPr>
        <w:t>Income Tax Assessment Act 1997</w:t>
      </w:r>
      <w:r>
        <w:t xml:space="preserve"> </w:t>
      </w:r>
      <w:r w:rsidRPr="00164DFF">
        <w:t>(Cth), ss292-90(1) and</w:t>
      </w:r>
      <w:r>
        <w:t xml:space="preserve"> </w:t>
      </w:r>
      <w:r w:rsidRPr="00164DFF">
        <w:t xml:space="preserve">(1A). </w:t>
      </w:r>
    </w:p>
  </w:footnote>
  <w:footnote w:id="132">
    <w:p w14:paraId="3A67670E" w14:textId="77777777" w:rsidR="00DA3D89" w:rsidRDefault="00DA3D89" w:rsidP="00562281">
      <w:pPr>
        <w:pStyle w:val="Footnotes"/>
      </w:pPr>
      <w:r>
        <w:rPr>
          <w:rStyle w:val="FootnoteReference"/>
        </w:rPr>
        <w:footnoteRef/>
      </w:r>
      <w:r>
        <w:t xml:space="preserve"> </w:t>
      </w:r>
      <w:r w:rsidRPr="0068666A">
        <w:t>Information provided by the Department of Treasury and Finance.</w:t>
      </w:r>
    </w:p>
  </w:footnote>
  <w:footnote w:id="133">
    <w:p w14:paraId="2BE94DE4" w14:textId="76920A0B" w:rsidR="00DA3D89" w:rsidRPr="00164DFF" w:rsidRDefault="00DA3D89" w:rsidP="00562281">
      <w:pPr>
        <w:pStyle w:val="Footnotes"/>
      </w:pPr>
      <w:r w:rsidRPr="00797180">
        <w:rPr>
          <w:vertAlign w:val="superscript"/>
        </w:rPr>
        <w:footnoteRef/>
      </w:r>
      <w:r w:rsidRPr="00797180">
        <w:t xml:space="preserve"> </w:t>
      </w:r>
      <w:r w:rsidRPr="00797180">
        <w:fldChar w:fldCharType="begin"/>
      </w:r>
      <w:r w:rsidRPr="00797180">
        <w:instrText xml:space="preserve"> ADDIN ZOTERO_ITEM CSL_CITATION {"citationID":"KY94Hajs","properties":{"formattedCitation":"Emergency Services Superannuation Board, \\uc0\\u8216{}Parliamentary Contributory Superannuation Fund Member Handbook - New Benefits Scheme (Division 3)\\uc0\\u8217{}, 2017, 9.","plainCitation":"Emergency Services Superannuation Board, ‘Parliamentary Contributory Superannuation Fund Member Handbook - New Benefits Scheme (Division 3)’, 2017, 9.","noteIndex":3},"citationItems":[{"id":425,"uris":["http://zotero.org/groups/2355244/items/YBRVPYGW"],"uri":["http://zotero.org/groups/2355244/items/YBRVPYGW"],"itemData":{"id":425,"type":"article","title":"Parliamentary Contributory Superannuation Fund Member Handbook - New Benefits Scheme (Division 3)","author":[{"family":"Emergency Services Superannuation Board","given":""}],"issued":{"date-parts":[["2017"]]}},"locator":"9"}],"schema":"https://github.com/citation-style-language/schema/raw/master/csl-citation.json"} </w:instrText>
      </w:r>
      <w:r w:rsidRPr="00797180">
        <w:fldChar w:fldCharType="separate"/>
      </w:r>
      <w:r w:rsidRPr="00797180">
        <w:t xml:space="preserve"> ESSSuper Board, </w:t>
      </w:r>
      <w:r w:rsidRPr="00797180">
        <w:rPr>
          <w:i/>
        </w:rPr>
        <w:t>PCSF Member Handbook</w:t>
      </w:r>
      <w:r w:rsidRPr="00797180">
        <w:t>, 9.</w:t>
      </w:r>
      <w:r w:rsidRPr="00797180">
        <w:fldChar w:fldCharType="end"/>
      </w:r>
    </w:p>
  </w:footnote>
  <w:footnote w:id="134">
    <w:p w14:paraId="305DFA72" w14:textId="057BB7FE" w:rsidR="00DA3D89" w:rsidRDefault="00DA3D89" w:rsidP="00562281">
      <w:pPr>
        <w:pStyle w:val="Footnotes"/>
      </w:pPr>
      <w:r w:rsidRPr="0048741C">
        <w:rPr>
          <w:vertAlign w:val="superscript"/>
        </w:rPr>
        <w:footnoteRef/>
      </w:r>
      <w:r w:rsidRPr="00164DFF">
        <w:t xml:space="preserve"> ‘Superannuation salary’ means the salary used for superannuation purposes as at 1 July. For MPs in the defined benefit schemes, this is equal to</w:t>
      </w:r>
      <w:r>
        <w:t>: (a)</w:t>
      </w:r>
      <w:r w:rsidRPr="00164DFF">
        <w:t xml:space="preserve"> </w:t>
      </w:r>
      <w:r>
        <w:t xml:space="preserve">for contributions related to serving as an MP – </w:t>
      </w:r>
      <w:r w:rsidRPr="00164DFF">
        <w:t xml:space="preserve">the </w:t>
      </w:r>
      <w:r>
        <w:t>BSP; (b) for contributions related to holding a specified parliamentary office – the BSP multiplied by the applicable ASP.</w:t>
      </w:r>
      <w:r w:rsidRPr="00164DFF">
        <w:t xml:space="preserve"> </w:t>
      </w:r>
    </w:p>
  </w:footnote>
  <w:footnote w:id="135">
    <w:p w14:paraId="205DC05B" w14:textId="0FE8ABA3" w:rsidR="00DA3D89" w:rsidRPr="00164DFF" w:rsidRDefault="00DA3D89" w:rsidP="00562281">
      <w:pPr>
        <w:pStyle w:val="Footnotes"/>
      </w:pPr>
      <w:r w:rsidRPr="0048741C">
        <w:rPr>
          <w:vertAlign w:val="superscript"/>
        </w:rPr>
        <w:footnoteRef/>
      </w:r>
      <w:r w:rsidRPr="00164DFF">
        <w:t xml:space="preserve"> </w:t>
      </w:r>
      <w:r>
        <w:t>Information provided by the</w:t>
      </w:r>
      <w:r w:rsidRPr="00164DFF">
        <w:t xml:space="preserve"> Department of Treasury and Finance. </w:t>
      </w:r>
    </w:p>
  </w:footnote>
  <w:footnote w:id="136">
    <w:p w14:paraId="47A92DD6" w14:textId="77777777" w:rsidR="00DA3D89" w:rsidRPr="00164DFF" w:rsidRDefault="00DA3D89" w:rsidP="00562281">
      <w:pPr>
        <w:pStyle w:val="Footnotes"/>
      </w:pPr>
      <w:r w:rsidRPr="0007029B">
        <w:rPr>
          <w:vertAlign w:val="superscript"/>
        </w:rPr>
        <w:footnoteRef/>
      </w:r>
      <w:r w:rsidRPr="008958B4">
        <w:rPr>
          <w:i/>
        </w:rPr>
        <w:t xml:space="preserve"> Income Tax (Transitional Provisions) Act 1997</w:t>
      </w:r>
      <w:r w:rsidRPr="00164DFF">
        <w:t xml:space="preserve"> (Cth), s291-170.</w:t>
      </w:r>
    </w:p>
  </w:footnote>
  <w:footnote w:id="137">
    <w:p w14:paraId="40504F39" w14:textId="77777777" w:rsidR="00DA3D89" w:rsidRPr="00164DFF" w:rsidRDefault="00DA3D89" w:rsidP="00562281">
      <w:pPr>
        <w:pStyle w:val="Footnotes"/>
      </w:pPr>
      <w:r w:rsidRPr="0007029B">
        <w:rPr>
          <w:vertAlign w:val="superscript"/>
        </w:rPr>
        <w:footnoteRef/>
      </w:r>
      <w:r w:rsidRPr="004B02FE">
        <w:rPr>
          <w:i/>
        </w:rPr>
        <w:t xml:space="preserve"> Income Tax Assessment Act 1997</w:t>
      </w:r>
      <w:r w:rsidRPr="00164DFF">
        <w:t xml:space="preserve"> (Cth), s292-85. From 1 July 2017, certain individuals are be able to ‘bring forward’ up to 2 years’ worth of non-concessional contributions cap amounts, allowing them to make non-concessional contributions of up to 3 times the annual cap without incurring tax</w:t>
      </w:r>
      <w:r>
        <w:t>.</w:t>
      </w:r>
    </w:p>
  </w:footnote>
  <w:footnote w:id="138">
    <w:p w14:paraId="63FC076F" w14:textId="44319F26" w:rsidR="00DA3D89" w:rsidRPr="00164DFF" w:rsidRDefault="00DA3D89" w:rsidP="00562281">
      <w:pPr>
        <w:pStyle w:val="Footnotes"/>
      </w:pPr>
      <w:r w:rsidRPr="0007029B">
        <w:rPr>
          <w:vertAlign w:val="superscript"/>
        </w:rPr>
        <w:footnoteRef/>
      </w:r>
      <w:r w:rsidRPr="00164DFF">
        <w:t xml:space="preserve"> </w:t>
      </w:r>
      <w:r w:rsidRPr="005160AD">
        <w:rPr>
          <w:i/>
        </w:rPr>
        <w:t>Income Tax Assessment Act 1997</w:t>
      </w:r>
      <w:r w:rsidRPr="00164DFF">
        <w:t xml:space="preserve"> (Cth), s292-85(2). </w:t>
      </w:r>
    </w:p>
  </w:footnote>
  <w:footnote w:id="139">
    <w:p w14:paraId="56B62356" w14:textId="1ED2068B" w:rsidR="00DA3D89" w:rsidRDefault="00DA3D89" w:rsidP="00562281">
      <w:pPr>
        <w:pStyle w:val="Footnotes"/>
      </w:pPr>
      <w:r w:rsidRPr="0007029B">
        <w:rPr>
          <w:vertAlign w:val="superscript"/>
        </w:rPr>
        <w:footnoteRef/>
      </w:r>
      <w:r w:rsidRPr="00164DFF">
        <w:t xml:space="preserve"> </w:t>
      </w:r>
      <w:r w:rsidRPr="005160AD">
        <w:rPr>
          <w:i/>
        </w:rPr>
        <w:t>Taxation Administration Act 1953</w:t>
      </w:r>
      <w:r w:rsidRPr="00164DFF">
        <w:t xml:space="preserve"> </w:t>
      </w:r>
      <w:r w:rsidRPr="00154E96">
        <w:t>(Cth), Schedule 1</w:t>
      </w:r>
      <w:r>
        <w:t>,</w:t>
      </w:r>
      <w:r w:rsidRPr="00154E96">
        <w:t xml:space="preserve"> s97-25.</w:t>
      </w:r>
      <w:r>
        <w:t xml:space="preserve"> </w:t>
      </w:r>
    </w:p>
  </w:footnote>
  <w:footnote w:id="140">
    <w:p w14:paraId="2476774E" w14:textId="77777777" w:rsidR="00DA3D89" w:rsidRPr="00154E96" w:rsidRDefault="00DA3D89" w:rsidP="00562281">
      <w:pPr>
        <w:pStyle w:val="Footnotes"/>
      </w:pPr>
      <w:r w:rsidRPr="0007029B">
        <w:rPr>
          <w:vertAlign w:val="superscript"/>
        </w:rPr>
        <w:footnoteRef/>
      </w:r>
      <w:r w:rsidRPr="00154E96">
        <w:t xml:space="preserve"> </w:t>
      </w:r>
      <w:r w:rsidRPr="005160AD">
        <w:rPr>
          <w:i/>
        </w:rPr>
        <w:t>Superannuation (Excess Non-concessional Contributions Tax) Act 2007</w:t>
      </w:r>
      <w:r w:rsidRPr="00154E96">
        <w:t xml:space="preserve"> (Cth), s5. </w:t>
      </w:r>
    </w:p>
  </w:footnote>
  <w:footnote w:id="141">
    <w:p w14:paraId="6FCBB5BD" w14:textId="48D5657E" w:rsidR="00DA3D89" w:rsidRPr="00154E96" w:rsidRDefault="00DA3D89" w:rsidP="00562281">
      <w:pPr>
        <w:pStyle w:val="Footnotes"/>
      </w:pPr>
      <w:r w:rsidRPr="0007029B">
        <w:rPr>
          <w:vertAlign w:val="superscript"/>
        </w:rPr>
        <w:footnoteRef/>
      </w:r>
      <w:r w:rsidRPr="00154E96">
        <w:t xml:space="preserve"> </w:t>
      </w:r>
      <w:r w:rsidRPr="005160AD">
        <w:rPr>
          <w:i/>
        </w:rPr>
        <w:t xml:space="preserve">Income Tax Assessment Act 1997 </w:t>
      </w:r>
      <w:r w:rsidRPr="002B04FA">
        <w:t>(Cth)</w:t>
      </w:r>
      <w:r w:rsidRPr="00154E96">
        <w:t>, ss292-25</w:t>
      </w:r>
      <w:r>
        <w:t>,</w:t>
      </w:r>
      <w:r w:rsidRPr="00154E96">
        <w:t xml:space="preserve"> 292-30.</w:t>
      </w:r>
    </w:p>
  </w:footnote>
  <w:footnote w:id="142">
    <w:p w14:paraId="7507FBA8" w14:textId="7A51C302" w:rsidR="00DA3D89" w:rsidRPr="00164DFF" w:rsidRDefault="00DA3D89" w:rsidP="00562281">
      <w:pPr>
        <w:pStyle w:val="Footnotes"/>
      </w:pPr>
      <w:r w:rsidRPr="0007029B">
        <w:rPr>
          <w:vertAlign w:val="superscript"/>
        </w:rPr>
        <w:footnoteRef/>
      </w:r>
      <w:r w:rsidRPr="00154E96">
        <w:t xml:space="preserve"> </w:t>
      </w:r>
      <w:r w:rsidRPr="005160AD">
        <w:rPr>
          <w:i/>
        </w:rPr>
        <w:t xml:space="preserve">Taxation Administration Act 1953 </w:t>
      </w:r>
      <w:r w:rsidRPr="002B04FA">
        <w:t>(Cth)</w:t>
      </w:r>
      <w:r w:rsidRPr="00154E96">
        <w:t>, Schedule 1</w:t>
      </w:r>
      <w:r>
        <w:t>,</w:t>
      </w:r>
      <w:r w:rsidRPr="00154E96">
        <w:t xml:space="preserve"> Division 131.</w:t>
      </w:r>
      <w:r w:rsidRPr="00164DFF">
        <w:t xml:space="preserve"> </w:t>
      </w:r>
    </w:p>
  </w:footnote>
  <w:footnote w:id="143">
    <w:p w14:paraId="4E4E60BB" w14:textId="77777777" w:rsidR="00DA3D89" w:rsidRDefault="00DA3D89" w:rsidP="00562281">
      <w:pPr>
        <w:pStyle w:val="Footnotes"/>
      </w:pPr>
      <w:r w:rsidRPr="00A61258">
        <w:rPr>
          <w:vertAlign w:val="superscript"/>
        </w:rPr>
        <w:footnoteRef/>
      </w:r>
      <w:r w:rsidRPr="003E3C37">
        <w:rPr>
          <w:i/>
        </w:rPr>
        <w:t xml:space="preserve"> Income Tax Assessment Act 1997 </w:t>
      </w:r>
      <w:r w:rsidRPr="00154E96">
        <w:t>(Cth), Division 293.</w:t>
      </w:r>
    </w:p>
  </w:footnote>
  <w:footnote w:id="144">
    <w:p w14:paraId="2FE1B3C9" w14:textId="3963C963" w:rsidR="00DA3D89" w:rsidRPr="00154E96" w:rsidRDefault="00DA3D89" w:rsidP="00562281">
      <w:pPr>
        <w:pStyle w:val="Footnotes"/>
      </w:pPr>
      <w:r w:rsidRPr="00A61258">
        <w:rPr>
          <w:vertAlign w:val="superscript"/>
        </w:rPr>
        <w:footnoteRef/>
      </w:r>
      <w:r w:rsidRPr="00154E96">
        <w:t xml:space="preserve"> </w:t>
      </w:r>
      <w:r w:rsidRPr="003E3C37">
        <w:rPr>
          <w:i/>
        </w:rPr>
        <w:t>Income Tax Assessment Act 1997</w:t>
      </w:r>
      <w:r w:rsidRPr="00154E96">
        <w:t xml:space="preserve"> (Cth), ss293-20(1)(a)</w:t>
      </w:r>
      <w:r>
        <w:t>,</w:t>
      </w:r>
      <w:r w:rsidRPr="00154E96">
        <w:t xml:space="preserve"> 995-1.</w:t>
      </w:r>
    </w:p>
  </w:footnote>
  <w:footnote w:id="145">
    <w:p w14:paraId="38619EB4" w14:textId="2B2A06C2" w:rsidR="00DA3D89" w:rsidRDefault="00DA3D89" w:rsidP="006B3F6A">
      <w:pPr>
        <w:pStyle w:val="Footnotes"/>
      </w:pPr>
      <w:r w:rsidRPr="00A61258">
        <w:rPr>
          <w:vertAlign w:val="superscript"/>
        </w:rPr>
        <w:footnoteRef/>
      </w:r>
      <w:r>
        <w:t xml:space="preserve"> </w:t>
      </w:r>
      <w:r w:rsidRPr="003E3C37">
        <w:rPr>
          <w:i/>
        </w:rPr>
        <w:t>Taxation Administration Act 1953 (Cth)</w:t>
      </w:r>
      <w:r w:rsidRPr="00154E96">
        <w:t>, Schedule 1</w:t>
      </w:r>
      <w:r>
        <w:t>,</w:t>
      </w:r>
      <w:r w:rsidRPr="00154E96">
        <w:t xml:space="preserve"> Division 131.</w:t>
      </w:r>
    </w:p>
  </w:footnote>
  <w:footnote w:id="146">
    <w:p w14:paraId="00BAF54C" w14:textId="60CFC58C" w:rsidR="00DA3D89" w:rsidRPr="00154E96" w:rsidRDefault="00DA3D89" w:rsidP="00562281">
      <w:pPr>
        <w:pStyle w:val="Footnotes"/>
      </w:pPr>
      <w:r w:rsidRPr="00A61258">
        <w:rPr>
          <w:vertAlign w:val="superscript"/>
        </w:rPr>
        <w:footnoteRef/>
      </w:r>
      <w:r w:rsidRPr="00154E96">
        <w:t xml:space="preserve"> </w:t>
      </w:r>
      <w:r w:rsidRPr="003E3C37">
        <w:rPr>
          <w:i/>
        </w:rPr>
        <w:t>Income Tax Assessment Act 1997 (Cth)</w:t>
      </w:r>
      <w:r w:rsidRPr="00154E96">
        <w:t xml:space="preserve">, s293-105; </w:t>
      </w:r>
      <w:r w:rsidRPr="003E3C37">
        <w:rPr>
          <w:i/>
        </w:rPr>
        <w:t>Income Tax Assessment Regulations 1997 (Cth),</w:t>
      </w:r>
      <w:r w:rsidRPr="00154E96">
        <w:t xml:space="preserve"> Division 293.</w:t>
      </w:r>
    </w:p>
  </w:footnote>
  <w:footnote w:id="147">
    <w:p w14:paraId="6BE88A06" w14:textId="06521034" w:rsidR="00DA3D89" w:rsidRDefault="00DA3D89" w:rsidP="00562281">
      <w:pPr>
        <w:pStyle w:val="Footnotes"/>
      </w:pPr>
      <w:r w:rsidRPr="00A61258">
        <w:rPr>
          <w:vertAlign w:val="superscript"/>
        </w:rPr>
        <w:footnoteRef/>
      </w:r>
      <w:r>
        <w:t xml:space="preserve"> </w:t>
      </w:r>
      <w:r w:rsidRPr="003E3C37">
        <w:rPr>
          <w:i/>
        </w:rPr>
        <w:t>Taxation Administration Act 1953 (Cth)</w:t>
      </w:r>
      <w:r w:rsidRPr="00154E96">
        <w:t>, Schedule 1</w:t>
      </w:r>
      <w:r>
        <w:t>,</w:t>
      </w:r>
      <w:r w:rsidRPr="00154E96">
        <w:t xml:space="preserve"> Division 133.</w:t>
      </w:r>
    </w:p>
  </w:footnote>
  <w:footnote w:id="148">
    <w:p w14:paraId="5303F9CF" w14:textId="77777777" w:rsidR="00DA3D89" w:rsidRPr="000911B0" w:rsidRDefault="00DA3D89" w:rsidP="00562281">
      <w:pPr>
        <w:pStyle w:val="Footnotes"/>
      </w:pPr>
      <w:r w:rsidRPr="00A61258">
        <w:rPr>
          <w:vertAlign w:val="superscript"/>
        </w:rPr>
        <w:footnoteRef/>
      </w:r>
      <w:r w:rsidRPr="000911B0">
        <w:t xml:space="preserve"> PSAS Act, s24EA. </w:t>
      </w:r>
    </w:p>
  </w:footnote>
  <w:footnote w:id="149">
    <w:p w14:paraId="5A93528A" w14:textId="77777777" w:rsidR="00DA3D89" w:rsidRPr="00164DFF" w:rsidRDefault="00DA3D89" w:rsidP="00562281">
      <w:pPr>
        <w:pStyle w:val="Footnotes"/>
      </w:pPr>
      <w:r w:rsidRPr="00A61258">
        <w:rPr>
          <w:vertAlign w:val="superscript"/>
        </w:rPr>
        <w:footnoteRef/>
      </w:r>
      <w:r w:rsidRPr="00164DFF">
        <w:t xml:space="preserve"> </w:t>
      </w:r>
      <w:r w:rsidRPr="00164DFF">
        <w:rPr>
          <w:i/>
        </w:rPr>
        <w:t>Income Tax Rates Act 1986</w:t>
      </w:r>
      <w:r w:rsidRPr="00164DFF">
        <w:t xml:space="preserve"> (Cth), s26. </w:t>
      </w:r>
    </w:p>
  </w:footnote>
  <w:footnote w:id="150">
    <w:p w14:paraId="60D257E4" w14:textId="4B6818C9" w:rsidR="00DA3D89" w:rsidRPr="00164DFF" w:rsidRDefault="00DA3D89" w:rsidP="00562281">
      <w:pPr>
        <w:pStyle w:val="Footnotes"/>
      </w:pPr>
      <w:r w:rsidRPr="00A61258">
        <w:rPr>
          <w:vertAlign w:val="superscript"/>
        </w:rPr>
        <w:footnoteRef/>
      </w:r>
      <w:r w:rsidRPr="00164DFF">
        <w:t xml:space="preserve"> </w:t>
      </w:r>
      <w:r w:rsidRPr="00164DFF">
        <w:rPr>
          <w:i/>
        </w:rPr>
        <w:t>Income Tax Assessment Act 1997</w:t>
      </w:r>
      <w:r w:rsidRPr="00164DFF">
        <w:t xml:space="preserve"> (Cth), ss295-385</w:t>
      </w:r>
      <w:r>
        <w:t>,</w:t>
      </w:r>
      <w:r w:rsidRPr="00164DFF">
        <w:t xml:space="preserve"> 295-390.</w:t>
      </w:r>
    </w:p>
  </w:footnote>
  <w:footnote w:id="151">
    <w:p w14:paraId="0082A4EB" w14:textId="77777777" w:rsidR="00DA3D89" w:rsidRDefault="00DA3D89" w:rsidP="00562281">
      <w:pPr>
        <w:pStyle w:val="Footnotes"/>
      </w:pPr>
      <w:r w:rsidRPr="00A61258">
        <w:rPr>
          <w:vertAlign w:val="superscript"/>
        </w:rPr>
        <w:footnoteRef/>
      </w:r>
      <w:r w:rsidRPr="00164DFF">
        <w:t xml:space="preserve"> </w:t>
      </w:r>
      <w:r w:rsidRPr="00164DFF">
        <w:rPr>
          <w:i/>
        </w:rPr>
        <w:t>Income Tax Assessment Act 1997</w:t>
      </w:r>
      <w:r w:rsidRPr="00164DFF">
        <w:t xml:space="preserve"> (Cth) Division 294.</w:t>
      </w:r>
      <w:r>
        <w:t xml:space="preserve"> </w:t>
      </w:r>
    </w:p>
  </w:footnote>
  <w:footnote w:id="152">
    <w:p w14:paraId="2EFD6BBE" w14:textId="77777777" w:rsidR="00DA3D89" w:rsidRPr="00154E96" w:rsidRDefault="00DA3D89" w:rsidP="00562281">
      <w:pPr>
        <w:pStyle w:val="Footnotes"/>
      </w:pPr>
      <w:r w:rsidRPr="00C81908">
        <w:rPr>
          <w:vertAlign w:val="superscript"/>
        </w:rPr>
        <w:footnoteRef/>
      </w:r>
      <w:r w:rsidRPr="00745390">
        <w:t xml:space="preserve"> </w:t>
      </w:r>
      <w:r w:rsidRPr="00154E96">
        <w:t>Superannuation Industry (Supervision) Regulations 1994 (Cth), reg 6.01(7), Division 6.3 and Schedule 1.</w:t>
      </w:r>
    </w:p>
  </w:footnote>
  <w:footnote w:id="153">
    <w:p w14:paraId="4B1B1D7C" w14:textId="630BF831" w:rsidR="00DA3D89" w:rsidRPr="00154E96" w:rsidRDefault="00DA3D89" w:rsidP="00562281">
      <w:pPr>
        <w:pStyle w:val="Footnotes"/>
      </w:pPr>
      <w:r w:rsidRPr="00C81908">
        <w:rPr>
          <w:vertAlign w:val="superscript"/>
        </w:rPr>
        <w:footnoteRef/>
      </w:r>
      <w:r w:rsidRPr="00154E96">
        <w:t xml:space="preserve"> Ranges from </w:t>
      </w:r>
      <w:r>
        <w:t xml:space="preserve">age </w:t>
      </w:r>
      <w:r w:rsidRPr="00154E96">
        <w:t>55 to 60 depending on date of birth.</w:t>
      </w:r>
    </w:p>
  </w:footnote>
  <w:footnote w:id="154">
    <w:p w14:paraId="6A46EBA2" w14:textId="77777777" w:rsidR="00DA3D89" w:rsidRPr="00154E96" w:rsidRDefault="00DA3D89" w:rsidP="00562281">
      <w:pPr>
        <w:pStyle w:val="Footnotes"/>
      </w:pPr>
      <w:r w:rsidRPr="00C81908">
        <w:rPr>
          <w:vertAlign w:val="superscript"/>
        </w:rPr>
        <w:footnoteRef/>
      </w:r>
      <w:r w:rsidRPr="00154E96">
        <w:t xml:space="preserve"> The fund trustee must be reasonably satisfied that the MP will never again become gainfully employed.</w:t>
      </w:r>
    </w:p>
  </w:footnote>
  <w:footnote w:id="155">
    <w:p w14:paraId="3DCA963F" w14:textId="1F124CFC" w:rsidR="00DA3D89" w:rsidRPr="00164DFF" w:rsidRDefault="00DA3D89" w:rsidP="00562281">
      <w:pPr>
        <w:pStyle w:val="Footnotes"/>
      </w:pPr>
      <w:r w:rsidRPr="00154E96">
        <w:rPr>
          <w:vertAlign w:val="superscript"/>
        </w:rPr>
        <w:footnoteRef/>
      </w:r>
      <w:r w:rsidRPr="00154E96">
        <w:t xml:space="preserve"> Under the ‘proportioning rule’, benefits paid to individuals are taken to have the same ratio of tax-free component to taxable component as their superannuation interest as a whole. In other words, an individual cannot choose to withdraw only the tax-free component of their interest.</w:t>
      </w:r>
      <w:r>
        <w:t xml:space="preserve"> </w:t>
      </w:r>
      <w:r w:rsidRPr="009459B6">
        <w:rPr>
          <w:i/>
          <w:iCs/>
        </w:rPr>
        <w:t>Income Tax Assessment Act 1997</w:t>
      </w:r>
      <w:r>
        <w:t xml:space="preserve"> (Cth), s307-125(2).</w:t>
      </w:r>
    </w:p>
  </w:footnote>
  <w:footnote w:id="156">
    <w:p w14:paraId="1FF2B40C" w14:textId="1B931B57" w:rsidR="00DA3D89" w:rsidRDefault="00DA3D89" w:rsidP="00562281">
      <w:pPr>
        <w:pStyle w:val="Footnotes"/>
      </w:pPr>
      <w:r w:rsidRPr="00164DFF">
        <w:rPr>
          <w:vertAlign w:val="superscript"/>
        </w:rPr>
        <w:footnoteRef/>
      </w:r>
      <w:r w:rsidRPr="00164DFF">
        <w:t xml:space="preserve"> An untaxed element can arise where the individual is a member of certain government superannuation schemes that are subject to special taxation arrangements.</w:t>
      </w:r>
      <w:r>
        <w:t xml:space="preserve"> Australian Taxation Office, ‘H</w:t>
      </w:r>
      <w:r w:rsidRPr="00E00D58">
        <w:t>ow tax applies to your super</w:t>
      </w:r>
      <w:r>
        <w:t xml:space="preserve">’, accessed 16 September 2020, </w:t>
      </w:r>
      <w:r w:rsidRPr="007D0DF8">
        <w:t>https://www.ato.gov.au/individuals/super/in-detail/withdrawing-and-using-your-super/withdrawing-your-super-and-paying-tax/</w:t>
      </w:r>
      <w:r>
        <w:t>.</w:t>
      </w:r>
    </w:p>
  </w:footnote>
  <w:footnote w:id="157">
    <w:p w14:paraId="3CF1FCF0" w14:textId="1A62CB89" w:rsidR="00DA3D89" w:rsidRPr="00AC3D87" w:rsidRDefault="00DA3D89" w:rsidP="00562281">
      <w:pPr>
        <w:pStyle w:val="Footnotes"/>
      </w:pPr>
      <w:r w:rsidRPr="008C6E8E">
        <w:rPr>
          <w:vertAlign w:val="superscript"/>
        </w:rPr>
        <w:footnoteRef/>
      </w:r>
      <w:r w:rsidRPr="00AC3D87">
        <w:t xml:space="preserve"> </w:t>
      </w:r>
      <w:r w:rsidRPr="00B32D15">
        <w:rPr>
          <w:i/>
        </w:rPr>
        <w:t xml:space="preserve">Treasury Laws Amendment (Fair and Sustainable Superannuation) Act 2016 </w:t>
      </w:r>
      <w:r w:rsidRPr="00AC3D87">
        <w:t>(Cth)</w:t>
      </w:r>
      <w:r>
        <w:t xml:space="preserve">, Schedule 1, Part 2. </w:t>
      </w:r>
    </w:p>
  </w:footnote>
  <w:footnote w:id="158">
    <w:p w14:paraId="2A814F17" w14:textId="3DA5BD7A" w:rsidR="00DA3D89" w:rsidRDefault="00DA3D89" w:rsidP="00562281">
      <w:pPr>
        <w:pStyle w:val="Footnotes"/>
      </w:pPr>
      <w:r w:rsidRPr="008C6E8E">
        <w:rPr>
          <w:vertAlign w:val="superscript"/>
        </w:rPr>
        <w:footnoteRef/>
      </w:r>
      <w:r w:rsidRPr="00AC3D87">
        <w:t xml:space="preserve"> Explanatory Memorand</w:t>
      </w:r>
      <w:r>
        <w:t>a,</w:t>
      </w:r>
      <w:r w:rsidRPr="00AC3D87">
        <w:t xml:space="preserve"> Superannuation (Objective) Bill 2016 (Cth)</w:t>
      </w:r>
      <w:r>
        <w:t>,</w:t>
      </w:r>
      <w:r w:rsidRPr="00AC3D87">
        <w:t xml:space="preserve"> Treasury Laws Amendment (Fair and Sustainable Superannuation) Bill 2016 (Cth)</w:t>
      </w:r>
      <w:r>
        <w:t>,</w:t>
      </w:r>
      <w:r w:rsidRPr="00AC3D87">
        <w:t xml:space="preserve"> Superannuation (Excess Transfer Balance Tax) Imposition Bill 2016 (Cth), 97.</w:t>
      </w:r>
      <w:r>
        <w:t xml:space="preserve"> </w:t>
      </w:r>
    </w:p>
  </w:footnote>
  <w:footnote w:id="159">
    <w:p w14:paraId="3DC3FF45" w14:textId="77777777" w:rsidR="00DA3D89" w:rsidRDefault="00DA3D89" w:rsidP="00562281">
      <w:pPr>
        <w:pStyle w:val="FootnoteText"/>
      </w:pPr>
      <w:r>
        <w:rPr>
          <w:rStyle w:val="FootnoteReference"/>
        </w:rPr>
        <w:footnoteRef/>
      </w:r>
      <w:r>
        <w:t xml:space="preserve"> </w:t>
      </w:r>
      <w:r w:rsidRPr="006E0E73">
        <w:t>ASIC, 'Superannuation calculator', accessed 14 September 2020, https://moneysmart.gov.au/how-super-works/superannuation-calculator.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FB13" w14:textId="54D87601" w:rsidR="00DA3D89" w:rsidRDefault="00205CE3">
    <w:pPr>
      <w:pStyle w:val="Header"/>
    </w:pPr>
    <w:r>
      <w:rPr>
        <w:noProof/>
      </w:rPr>
      <w:pict w14:anchorId="320DC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margin-left:0;margin-top:0;width:198.4pt;height:119.0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B2F2" w14:textId="2ED4874D" w:rsidR="00DA3D89" w:rsidRDefault="00205CE3">
    <w:pPr>
      <w:pStyle w:val="Header"/>
    </w:pPr>
    <w:r>
      <w:rPr>
        <w:noProof/>
      </w:rPr>
      <w:pict w14:anchorId="572E8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4" type="#_x0000_t136" style="position:absolute;margin-left:0;margin-top:0;width:198.4pt;height:119.05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2ADD" w14:textId="25C1531C" w:rsidR="00DA3D89" w:rsidRDefault="00DA3D8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8AED1" w14:textId="5366B1D6" w:rsidR="00DA3D89" w:rsidRDefault="00DA3D8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F58AC" w14:textId="77777777" w:rsidR="00DA3D89" w:rsidRDefault="00205CE3">
    <w:pPr>
      <w:pStyle w:val="Header"/>
    </w:pPr>
    <w:r>
      <w:rPr>
        <w:noProof/>
      </w:rPr>
      <w:pict w14:anchorId="2324D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200.1pt;height:120.05pt;rotation:315;z-index:-251658225;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6C55A" w14:textId="6311FF95" w:rsidR="00DA3D89" w:rsidRPr="00390BF8" w:rsidRDefault="00DA3D89" w:rsidP="00390BF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4C8E" w14:textId="6CE3E046" w:rsidR="00DA3D89" w:rsidRDefault="00DA3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FDD8" w14:textId="77777777" w:rsidR="007B61C5" w:rsidRDefault="007B6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D9AD" w14:textId="606FB074" w:rsidR="00DA3D89" w:rsidRDefault="00205CE3">
    <w:pPr>
      <w:pStyle w:val="Header"/>
    </w:pPr>
    <w:r>
      <w:rPr>
        <w:noProof/>
      </w:rPr>
      <w:pict w14:anchorId="15BBC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198.4pt;height:119.0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1E8F" w14:textId="7E80D7BD" w:rsidR="00DA3D89" w:rsidRDefault="00205CE3">
    <w:pPr>
      <w:pStyle w:val="Header"/>
    </w:pPr>
    <w:r>
      <w:rPr>
        <w:noProof/>
      </w:rPr>
      <w:pict w14:anchorId="0BC77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198.4pt;height:119.0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D446" w14:textId="05DCD88E" w:rsidR="00DA3D89" w:rsidRDefault="00205CE3">
    <w:pPr>
      <w:pStyle w:val="Header"/>
    </w:pPr>
    <w:r>
      <w:rPr>
        <w:noProof/>
      </w:rPr>
      <w:pict w14:anchorId="3460E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9" type="#_x0000_t136" style="position:absolute;margin-left:0;margin-top:0;width:198.4pt;height:119.0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4FAEB" w14:textId="78EF3D60" w:rsidR="00DA3D89" w:rsidRDefault="00DA3D8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5F4D" w14:textId="77777777" w:rsidR="00DA3D89" w:rsidRDefault="00205CE3">
    <w:pPr>
      <w:pStyle w:val="Header"/>
    </w:pPr>
    <w:r>
      <w:rPr>
        <w:noProof/>
      </w:rPr>
      <w:pict w14:anchorId="175DD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198.4pt;height:119.05pt;rotation:315;z-index:-251658234;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E53F" w14:textId="1A6C9A43" w:rsidR="00DA3D89" w:rsidRDefault="00DA3D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71C3" w14:textId="0D12845D" w:rsidR="00DA3D89" w:rsidRDefault="00DA3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F38"/>
    <w:multiLevelType w:val="hybridMultilevel"/>
    <w:tmpl w:val="B9EE7A64"/>
    <w:lvl w:ilvl="0" w:tplc="BD62F908">
      <w:start w:val="1"/>
      <w:numFmt w:val="bullet"/>
      <w:lvlText w:val="⁻"/>
      <w:lvlJc w:val="left"/>
      <w:pPr>
        <w:tabs>
          <w:tab w:val="num" w:pos="218"/>
        </w:tabs>
        <w:ind w:left="218" w:hanging="360"/>
      </w:pPr>
      <w:rPr>
        <w:rFonts w:ascii="Calibri" w:hAnsi="Calibri" w:hint="default"/>
      </w:rPr>
    </w:lvl>
    <w:lvl w:ilvl="1" w:tplc="31A26B5A" w:tentative="1">
      <w:start w:val="1"/>
      <w:numFmt w:val="bullet"/>
      <w:lvlText w:val="⁻"/>
      <w:lvlJc w:val="left"/>
      <w:pPr>
        <w:tabs>
          <w:tab w:val="num" w:pos="938"/>
        </w:tabs>
        <w:ind w:left="938" w:hanging="360"/>
      </w:pPr>
      <w:rPr>
        <w:rFonts w:ascii="Calibri" w:hAnsi="Calibri" w:hint="default"/>
      </w:rPr>
    </w:lvl>
    <w:lvl w:ilvl="2" w:tplc="D96223FE" w:tentative="1">
      <w:start w:val="1"/>
      <w:numFmt w:val="bullet"/>
      <w:lvlText w:val="⁻"/>
      <w:lvlJc w:val="left"/>
      <w:pPr>
        <w:tabs>
          <w:tab w:val="num" w:pos="1658"/>
        </w:tabs>
        <w:ind w:left="1658" w:hanging="360"/>
      </w:pPr>
      <w:rPr>
        <w:rFonts w:ascii="Calibri" w:hAnsi="Calibri" w:hint="default"/>
      </w:rPr>
    </w:lvl>
    <w:lvl w:ilvl="3" w:tplc="296CA148" w:tentative="1">
      <w:start w:val="1"/>
      <w:numFmt w:val="bullet"/>
      <w:lvlText w:val="⁻"/>
      <w:lvlJc w:val="left"/>
      <w:pPr>
        <w:tabs>
          <w:tab w:val="num" w:pos="2378"/>
        </w:tabs>
        <w:ind w:left="2378" w:hanging="360"/>
      </w:pPr>
      <w:rPr>
        <w:rFonts w:ascii="Calibri" w:hAnsi="Calibri" w:hint="default"/>
      </w:rPr>
    </w:lvl>
    <w:lvl w:ilvl="4" w:tplc="B66E4ACA" w:tentative="1">
      <w:start w:val="1"/>
      <w:numFmt w:val="bullet"/>
      <w:lvlText w:val="⁻"/>
      <w:lvlJc w:val="left"/>
      <w:pPr>
        <w:tabs>
          <w:tab w:val="num" w:pos="3098"/>
        </w:tabs>
        <w:ind w:left="3098" w:hanging="360"/>
      </w:pPr>
      <w:rPr>
        <w:rFonts w:ascii="Calibri" w:hAnsi="Calibri" w:hint="default"/>
      </w:rPr>
    </w:lvl>
    <w:lvl w:ilvl="5" w:tplc="AB9AA7F6" w:tentative="1">
      <w:start w:val="1"/>
      <w:numFmt w:val="bullet"/>
      <w:lvlText w:val="⁻"/>
      <w:lvlJc w:val="left"/>
      <w:pPr>
        <w:tabs>
          <w:tab w:val="num" w:pos="3818"/>
        </w:tabs>
        <w:ind w:left="3818" w:hanging="360"/>
      </w:pPr>
      <w:rPr>
        <w:rFonts w:ascii="Calibri" w:hAnsi="Calibri" w:hint="default"/>
      </w:rPr>
    </w:lvl>
    <w:lvl w:ilvl="6" w:tplc="F5BA7ABE" w:tentative="1">
      <w:start w:val="1"/>
      <w:numFmt w:val="bullet"/>
      <w:lvlText w:val="⁻"/>
      <w:lvlJc w:val="left"/>
      <w:pPr>
        <w:tabs>
          <w:tab w:val="num" w:pos="4538"/>
        </w:tabs>
        <w:ind w:left="4538" w:hanging="360"/>
      </w:pPr>
      <w:rPr>
        <w:rFonts w:ascii="Calibri" w:hAnsi="Calibri" w:hint="default"/>
      </w:rPr>
    </w:lvl>
    <w:lvl w:ilvl="7" w:tplc="45ECEB28" w:tentative="1">
      <w:start w:val="1"/>
      <w:numFmt w:val="bullet"/>
      <w:lvlText w:val="⁻"/>
      <w:lvlJc w:val="left"/>
      <w:pPr>
        <w:tabs>
          <w:tab w:val="num" w:pos="5258"/>
        </w:tabs>
        <w:ind w:left="5258" w:hanging="360"/>
      </w:pPr>
      <w:rPr>
        <w:rFonts w:ascii="Calibri" w:hAnsi="Calibri" w:hint="default"/>
      </w:rPr>
    </w:lvl>
    <w:lvl w:ilvl="8" w:tplc="26A25DEA" w:tentative="1">
      <w:start w:val="1"/>
      <w:numFmt w:val="bullet"/>
      <w:lvlText w:val="⁻"/>
      <w:lvlJc w:val="left"/>
      <w:pPr>
        <w:tabs>
          <w:tab w:val="num" w:pos="5978"/>
        </w:tabs>
        <w:ind w:left="5978" w:hanging="360"/>
      </w:pPr>
      <w:rPr>
        <w:rFonts w:ascii="Calibri" w:hAnsi="Calibri" w:hint="default"/>
      </w:rPr>
    </w:lvl>
  </w:abstractNum>
  <w:abstractNum w:abstractNumId="1" w15:restartNumberingAfterBreak="0">
    <w:nsid w:val="024C525B"/>
    <w:multiLevelType w:val="hybridMultilevel"/>
    <w:tmpl w:val="CC1273A8"/>
    <w:lvl w:ilvl="0" w:tplc="7A962B9A">
      <w:start w:val="1"/>
      <w:numFmt w:val="bullet"/>
      <w:lvlText w:val=""/>
      <w:lvlJc w:val="left"/>
      <w:pPr>
        <w:ind w:left="360" w:hanging="360"/>
      </w:pPr>
      <w:rPr>
        <w:rFonts w:ascii="Symbol" w:hAnsi="Symbol" w:hint="default"/>
      </w:rPr>
    </w:lvl>
    <w:lvl w:ilvl="1" w:tplc="0C090003" w:tentative="1">
      <w:start w:val="1"/>
      <w:numFmt w:val="bullet"/>
      <w:lvlText w:val="o"/>
      <w:lvlJc w:val="left"/>
      <w:pPr>
        <w:ind w:left="1366" w:hanging="360"/>
      </w:pPr>
      <w:rPr>
        <w:rFonts w:ascii="Courier New" w:hAnsi="Courier New" w:cs="Courier New" w:hint="default"/>
      </w:rPr>
    </w:lvl>
    <w:lvl w:ilvl="2" w:tplc="0C090005" w:tentative="1">
      <w:start w:val="1"/>
      <w:numFmt w:val="bullet"/>
      <w:lvlText w:val=""/>
      <w:lvlJc w:val="left"/>
      <w:pPr>
        <w:ind w:left="2086" w:hanging="360"/>
      </w:pPr>
      <w:rPr>
        <w:rFonts w:ascii="Wingdings" w:hAnsi="Wingdings" w:hint="default"/>
      </w:rPr>
    </w:lvl>
    <w:lvl w:ilvl="3" w:tplc="0C090001" w:tentative="1">
      <w:start w:val="1"/>
      <w:numFmt w:val="bullet"/>
      <w:lvlText w:val=""/>
      <w:lvlJc w:val="left"/>
      <w:pPr>
        <w:ind w:left="2806" w:hanging="360"/>
      </w:pPr>
      <w:rPr>
        <w:rFonts w:ascii="Symbol" w:hAnsi="Symbol" w:hint="default"/>
      </w:rPr>
    </w:lvl>
    <w:lvl w:ilvl="4" w:tplc="0C090003" w:tentative="1">
      <w:start w:val="1"/>
      <w:numFmt w:val="bullet"/>
      <w:lvlText w:val="o"/>
      <w:lvlJc w:val="left"/>
      <w:pPr>
        <w:ind w:left="3526" w:hanging="360"/>
      </w:pPr>
      <w:rPr>
        <w:rFonts w:ascii="Courier New" w:hAnsi="Courier New" w:cs="Courier New" w:hint="default"/>
      </w:rPr>
    </w:lvl>
    <w:lvl w:ilvl="5" w:tplc="0C090005" w:tentative="1">
      <w:start w:val="1"/>
      <w:numFmt w:val="bullet"/>
      <w:lvlText w:val=""/>
      <w:lvlJc w:val="left"/>
      <w:pPr>
        <w:ind w:left="4246" w:hanging="360"/>
      </w:pPr>
      <w:rPr>
        <w:rFonts w:ascii="Wingdings" w:hAnsi="Wingdings" w:hint="default"/>
      </w:rPr>
    </w:lvl>
    <w:lvl w:ilvl="6" w:tplc="0C090001" w:tentative="1">
      <w:start w:val="1"/>
      <w:numFmt w:val="bullet"/>
      <w:lvlText w:val=""/>
      <w:lvlJc w:val="left"/>
      <w:pPr>
        <w:ind w:left="4966" w:hanging="360"/>
      </w:pPr>
      <w:rPr>
        <w:rFonts w:ascii="Symbol" w:hAnsi="Symbol" w:hint="default"/>
      </w:rPr>
    </w:lvl>
    <w:lvl w:ilvl="7" w:tplc="0C090003" w:tentative="1">
      <w:start w:val="1"/>
      <w:numFmt w:val="bullet"/>
      <w:lvlText w:val="o"/>
      <w:lvlJc w:val="left"/>
      <w:pPr>
        <w:ind w:left="5686" w:hanging="360"/>
      </w:pPr>
      <w:rPr>
        <w:rFonts w:ascii="Courier New" w:hAnsi="Courier New" w:cs="Courier New" w:hint="default"/>
      </w:rPr>
    </w:lvl>
    <w:lvl w:ilvl="8" w:tplc="0C090005" w:tentative="1">
      <w:start w:val="1"/>
      <w:numFmt w:val="bullet"/>
      <w:lvlText w:val=""/>
      <w:lvlJc w:val="left"/>
      <w:pPr>
        <w:ind w:left="6406" w:hanging="360"/>
      </w:pPr>
      <w:rPr>
        <w:rFonts w:ascii="Wingdings" w:hAnsi="Wingdings" w:hint="default"/>
      </w:rPr>
    </w:lvl>
  </w:abstractNum>
  <w:abstractNum w:abstractNumId="2" w15:restartNumberingAfterBreak="0">
    <w:nsid w:val="07993763"/>
    <w:multiLevelType w:val="hybridMultilevel"/>
    <w:tmpl w:val="C402F588"/>
    <w:styleLink w:val="ZZTablebullets"/>
    <w:lvl w:ilvl="0" w:tplc="C2C2063E">
      <w:start w:val="1"/>
      <w:numFmt w:val="bullet"/>
      <w:pStyle w:val="DPCtablebullet"/>
      <w:lvlText w:val="▪"/>
      <w:lvlJc w:val="left"/>
      <w:pPr>
        <w:ind w:left="227" w:hanging="227"/>
      </w:pPr>
      <w:rPr>
        <w:rFonts w:ascii="Arial" w:hAnsi="Arial" w:hint="default"/>
        <w:color w:val="auto"/>
      </w:rPr>
    </w:lvl>
    <w:lvl w:ilvl="1" w:tplc="D036481C">
      <w:start w:val="1"/>
      <w:numFmt w:val="none"/>
      <w:lvlRestart w:val="0"/>
      <w:lvlText w:val=""/>
      <w:lvlJc w:val="left"/>
      <w:pPr>
        <w:ind w:left="0" w:firstLine="0"/>
      </w:pPr>
      <w:rPr>
        <w:rFonts w:hint="default"/>
      </w:rPr>
    </w:lvl>
    <w:lvl w:ilvl="2" w:tplc="C35642CC">
      <w:start w:val="1"/>
      <w:numFmt w:val="none"/>
      <w:lvlRestart w:val="0"/>
      <w:lvlText w:val=""/>
      <w:lvlJc w:val="left"/>
      <w:pPr>
        <w:ind w:left="0" w:firstLine="0"/>
      </w:pPr>
      <w:rPr>
        <w:rFonts w:hint="default"/>
      </w:rPr>
    </w:lvl>
    <w:lvl w:ilvl="3" w:tplc="EAAEC20E">
      <w:start w:val="1"/>
      <w:numFmt w:val="none"/>
      <w:lvlRestart w:val="0"/>
      <w:lvlText w:val=""/>
      <w:lvlJc w:val="left"/>
      <w:pPr>
        <w:ind w:left="0" w:firstLine="0"/>
      </w:pPr>
      <w:rPr>
        <w:rFonts w:hint="default"/>
      </w:rPr>
    </w:lvl>
    <w:lvl w:ilvl="4" w:tplc="0F12796C">
      <w:start w:val="1"/>
      <w:numFmt w:val="none"/>
      <w:lvlRestart w:val="0"/>
      <w:lvlText w:val=""/>
      <w:lvlJc w:val="left"/>
      <w:pPr>
        <w:ind w:left="0" w:firstLine="0"/>
      </w:pPr>
      <w:rPr>
        <w:rFonts w:hint="default"/>
      </w:rPr>
    </w:lvl>
    <w:lvl w:ilvl="5" w:tplc="B3B0E87E">
      <w:start w:val="1"/>
      <w:numFmt w:val="none"/>
      <w:lvlRestart w:val="0"/>
      <w:lvlText w:val=""/>
      <w:lvlJc w:val="left"/>
      <w:pPr>
        <w:ind w:left="0" w:firstLine="0"/>
      </w:pPr>
      <w:rPr>
        <w:rFonts w:hint="default"/>
      </w:rPr>
    </w:lvl>
    <w:lvl w:ilvl="6" w:tplc="E2D24562">
      <w:start w:val="1"/>
      <w:numFmt w:val="none"/>
      <w:lvlRestart w:val="0"/>
      <w:lvlText w:val=""/>
      <w:lvlJc w:val="left"/>
      <w:pPr>
        <w:ind w:left="0" w:firstLine="0"/>
      </w:pPr>
      <w:rPr>
        <w:rFonts w:hint="default"/>
      </w:rPr>
    </w:lvl>
    <w:lvl w:ilvl="7" w:tplc="4E74232E">
      <w:start w:val="1"/>
      <w:numFmt w:val="none"/>
      <w:lvlRestart w:val="0"/>
      <w:lvlText w:val=""/>
      <w:lvlJc w:val="left"/>
      <w:pPr>
        <w:ind w:left="0" w:firstLine="0"/>
      </w:pPr>
      <w:rPr>
        <w:rFonts w:hint="default"/>
      </w:rPr>
    </w:lvl>
    <w:lvl w:ilvl="8" w:tplc="0E9E0EA8">
      <w:start w:val="1"/>
      <w:numFmt w:val="none"/>
      <w:lvlRestart w:val="0"/>
      <w:lvlText w:val=""/>
      <w:lvlJc w:val="left"/>
      <w:pPr>
        <w:ind w:left="0" w:firstLine="0"/>
      </w:pPr>
      <w:rPr>
        <w:rFonts w:hint="default"/>
      </w:rPr>
    </w:lvl>
  </w:abstractNum>
  <w:abstractNum w:abstractNumId="3" w15:restartNumberingAfterBreak="0">
    <w:nsid w:val="08845627"/>
    <w:multiLevelType w:val="hybridMultilevel"/>
    <w:tmpl w:val="A0D2224E"/>
    <w:lvl w:ilvl="0" w:tplc="727EDDA0">
      <w:start w:val="1"/>
      <w:numFmt w:val="bullet"/>
      <w:lvlText w:val="⁻"/>
      <w:lvlJc w:val="left"/>
      <w:pPr>
        <w:tabs>
          <w:tab w:val="num" w:pos="720"/>
        </w:tabs>
        <w:ind w:left="720" w:hanging="360"/>
      </w:pPr>
      <w:rPr>
        <w:rFonts w:ascii="Calibri" w:hAnsi="Calibri" w:hint="default"/>
      </w:rPr>
    </w:lvl>
    <w:lvl w:ilvl="1" w:tplc="06E85EFA" w:tentative="1">
      <w:start w:val="1"/>
      <w:numFmt w:val="bullet"/>
      <w:lvlText w:val="⁻"/>
      <w:lvlJc w:val="left"/>
      <w:pPr>
        <w:tabs>
          <w:tab w:val="num" w:pos="1440"/>
        </w:tabs>
        <w:ind w:left="1440" w:hanging="360"/>
      </w:pPr>
      <w:rPr>
        <w:rFonts w:ascii="Calibri" w:hAnsi="Calibri" w:hint="default"/>
      </w:rPr>
    </w:lvl>
    <w:lvl w:ilvl="2" w:tplc="1C902C30" w:tentative="1">
      <w:start w:val="1"/>
      <w:numFmt w:val="bullet"/>
      <w:lvlText w:val="⁻"/>
      <w:lvlJc w:val="left"/>
      <w:pPr>
        <w:tabs>
          <w:tab w:val="num" w:pos="2160"/>
        </w:tabs>
        <w:ind w:left="2160" w:hanging="360"/>
      </w:pPr>
      <w:rPr>
        <w:rFonts w:ascii="Calibri" w:hAnsi="Calibri" w:hint="default"/>
      </w:rPr>
    </w:lvl>
    <w:lvl w:ilvl="3" w:tplc="A0A09A18" w:tentative="1">
      <w:start w:val="1"/>
      <w:numFmt w:val="bullet"/>
      <w:lvlText w:val="⁻"/>
      <w:lvlJc w:val="left"/>
      <w:pPr>
        <w:tabs>
          <w:tab w:val="num" w:pos="2880"/>
        </w:tabs>
        <w:ind w:left="2880" w:hanging="360"/>
      </w:pPr>
      <w:rPr>
        <w:rFonts w:ascii="Calibri" w:hAnsi="Calibri" w:hint="default"/>
      </w:rPr>
    </w:lvl>
    <w:lvl w:ilvl="4" w:tplc="FBCA1D9A" w:tentative="1">
      <w:start w:val="1"/>
      <w:numFmt w:val="bullet"/>
      <w:lvlText w:val="⁻"/>
      <w:lvlJc w:val="left"/>
      <w:pPr>
        <w:tabs>
          <w:tab w:val="num" w:pos="3600"/>
        </w:tabs>
        <w:ind w:left="3600" w:hanging="360"/>
      </w:pPr>
      <w:rPr>
        <w:rFonts w:ascii="Calibri" w:hAnsi="Calibri" w:hint="default"/>
      </w:rPr>
    </w:lvl>
    <w:lvl w:ilvl="5" w:tplc="ECC8707C" w:tentative="1">
      <w:start w:val="1"/>
      <w:numFmt w:val="bullet"/>
      <w:lvlText w:val="⁻"/>
      <w:lvlJc w:val="left"/>
      <w:pPr>
        <w:tabs>
          <w:tab w:val="num" w:pos="4320"/>
        </w:tabs>
        <w:ind w:left="4320" w:hanging="360"/>
      </w:pPr>
      <w:rPr>
        <w:rFonts w:ascii="Calibri" w:hAnsi="Calibri" w:hint="default"/>
      </w:rPr>
    </w:lvl>
    <w:lvl w:ilvl="6" w:tplc="C22E0A0A" w:tentative="1">
      <w:start w:val="1"/>
      <w:numFmt w:val="bullet"/>
      <w:lvlText w:val="⁻"/>
      <w:lvlJc w:val="left"/>
      <w:pPr>
        <w:tabs>
          <w:tab w:val="num" w:pos="5040"/>
        </w:tabs>
        <w:ind w:left="5040" w:hanging="360"/>
      </w:pPr>
      <w:rPr>
        <w:rFonts w:ascii="Calibri" w:hAnsi="Calibri" w:hint="default"/>
      </w:rPr>
    </w:lvl>
    <w:lvl w:ilvl="7" w:tplc="8F74D22C" w:tentative="1">
      <w:start w:val="1"/>
      <w:numFmt w:val="bullet"/>
      <w:lvlText w:val="⁻"/>
      <w:lvlJc w:val="left"/>
      <w:pPr>
        <w:tabs>
          <w:tab w:val="num" w:pos="5760"/>
        </w:tabs>
        <w:ind w:left="5760" w:hanging="360"/>
      </w:pPr>
      <w:rPr>
        <w:rFonts w:ascii="Calibri" w:hAnsi="Calibri" w:hint="default"/>
      </w:rPr>
    </w:lvl>
    <w:lvl w:ilvl="8" w:tplc="88C09518"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976173F"/>
    <w:multiLevelType w:val="hybridMultilevel"/>
    <w:tmpl w:val="D040A764"/>
    <w:lvl w:ilvl="0" w:tplc="15A484D0">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D2E30"/>
    <w:multiLevelType w:val="hybridMultilevel"/>
    <w:tmpl w:val="970653B8"/>
    <w:styleLink w:val="ZZNumbersloweralpha"/>
    <w:lvl w:ilvl="0" w:tplc="6DFE34F2">
      <w:start w:val="1"/>
      <w:numFmt w:val="lowerLetter"/>
      <w:pStyle w:val="DPCnumberloweralpha"/>
      <w:lvlText w:val="(%1)"/>
      <w:lvlJc w:val="left"/>
      <w:pPr>
        <w:tabs>
          <w:tab w:val="num" w:pos="397"/>
        </w:tabs>
        <w:ind w:left="397" w:hanging="397"/>
      </w:pPr>
      <w:rPr>
        <w:rFonts w:hint="default"/>
      </w:rPr>
    </w:lvl>
    <w:lvl w:ilvl="1" w:tplc="83FCD824">
      <w:start w:val="1"/>
      <w:numFmt w:val="lowerLetter"/>
      <w:pStyle w:val="DPCnumberloweralphaindent"/>
      <w:lvlText w:val="(%2)"/>
      <w:lvlJc w:val="left"/>
      <w:pPr>
        <w:tabs>
          <w:tab w:val="num" w:pos="794"/>
        </w:tabs>
        <w:ind w:left="794" w:hanging="397"/>
      </w:pPr>
      <w:rPr>
        <w:rFonts w:hint="default"/>
      </w:rPr>
    </w:lvl>
    <w:lvl w:ilvl="2" w:tplc="7652880A">
      <w:start w:val="1"/>
      <w:numFmt w:val="none"/>
      <w:lvlRestart w:val="0"/>
      <w:lvlText w:val=""/>
      <w:lvlJc w:val="left"/>
      <w:pPr>
        <w:ind w:left="0" w:firstLine="0"/>
      </w:pPr>
      <w:rPr>
        <w:rFonts w:hint="default"/>
      </w:rPr>
    </w:lvl>
    <w:lvl w:ilvl="3" w:tplc="76A65D58">
      <w:start w:val="1"/>
      <w:numFmt w:val="none"/>
      <w:lvlRestart w:val="0"/>
      <w:lvlText w:val=""/>
      <w:lvlJc w:val="left"/>
      <w:pPr>
        <w:ind w:left="0" w:firstLine="0"/>
      </w:pPr>
      <w:rPr>
        <w:rFonts w:hint="default"/>
      </w:rPr>
    </w:lvl>
    <w:lvl w:ilvl="4" w:tplc="6E52B8B2">
      <w:start w:val="1"/>
      <w:numFmt w:val="none"/>
      <w:lvlRestart w:val="0"/>
      <w:lvlText w:val=""/>
      <w:lvlJc w:val="left"/>
      <w:pPr>
        <w:ind w:left="0" w:firstLine="0"/>
      </w:pPr>
      <w:rPr>
        <w:rFonts w:hint="default"/>
      </w:rPr>
    </w:lvl>
    <w:lvl w:ilvl="5" w:tplc="20908442">
      <w:start w:val="1"/>
      <w:numFmt w:val="none"/>
      <w:lvlRestart w:val="0"/>
      <w:lvlText w:val=""/>
      <w:lvlJc w:val="left"/>
      <w:pPr>
        <w:ind w:left="0" w:firstLine="0"/>
      </w:pPr>
      <w:rPr>
        <w:rFonts w:hint="default"/>
      </w:rPr>
    </w:lvl>
    <w:lvl w:ilvl="6" w:tplc="55FE7FCA">
      <w:start w:val="1"/>
      <w:numFmt w:val="none"/>
      <w:lvlRestart w:val="0"/>
      <w:lvlText w:val=""/>
      <w:lvlJc w:val="left"/>
      <w:pPr>
        <w:ind w:left="0" w:firstLine="0"/>
      </w:pPr>
      <w:rPr>
        <w:rFonts w:hint="default"/>
      </w:rPr>
    </w:lvl>
    <w:lvl w:ilvl="7" w:tplc="FB745B7C">
      <w:start w:val="1"/>
      <w:numFmt w:val="none"/>
      <w:lvlRestart w:val="0"/>
      <w:lvlText w:val=""/>
      <w:lvlJc w:val="left"/>
      <w:pPr>
        <w:ind w:left="0" w:firstLine="0"/>
      </w:pPr>
      <w:rPr>
        <w:rFonts w:hint="default"/>
      </w:rPr>
    </w:lvl>
    <w:lvl w:ilvl="8" w:tplc="2B604D0E">
      <w:start w:val="1"/>
      <w:numFmt w:val="none"/>
      <w:lvlRestart w:val="0"/>
      <w:lvlText w:val=""/>
      <w:lvlJc w:val="left"/>
      <w:pPr>
        <w:ind w:left="0" w:firstLine="0"/>
      </w:pPr>
      <w:rPr>
        <w:rFonts w:hint="default"/>
      </w:rPr>
    </w:lvl>
  </w:abstractNum>
  <w:abstractNum w:abstractNumId="6" w15:restartNumberingAfterBreak="0">
    <w:nsid w:val="0F776E18"/>
    <w:multiLevelType w:val="hybridMultilevel"/>
    <w:tmpl w:val="0EA88B0C"/>
    <w:styleLink w:val="ZZQuotebullets"/>
    <w:lvl w:ilvl="0" w:tplc="0D2EE82A">
      <w:start w:val="1"/>
      <w:numFmt w:val="bullet"/>
      <w:pStyle w:val="DPCquotebullet"/>
      <w:lvlText w:val="▪"/>
      <w:lvlJc w:val="left"/>
      <w:pPr>
        <w:ind w:left="680" w:hanging="283"/>
      </w:pPr>
      <w:rPr>
        <w:rFonts w:hint="default"/>
      </w:rPr>
    </w:lvl>
    <w:lvl w:ilvl="1" w:tplc="30DA8FF6">
      <w:start w:val="1"/>
      <w:numFmt w:val="none"/>
      <w:lvlRestart w:val="0"/>
      <w:lvlText w:val=""/>
      <w:lvlJc w:val="left"/>
      <w:pPr>
        <w:ind w:left="0" w:firstLine="0"/>
      </w:pPr>
      <w:rPr>
        <w:rFonts w:hint="default"/>
      </w:rPr>
    </w:lvl>
    <w:lvl w:ilvl="2" w:tplc="6B980C9E">
      <w:start w:val="1"/>
      <w:numFmt w:val="none"/>
      <w:lvlRestart w:val="0"/>
      <w:lvlText w:val=""/>
      <w:lvlJc w:val="left"/>
      <w:pPr>
        <w:ind w:left="0" w:firstLine="0"/>
      </w:pPr>
      <w:rPr>
        <w:rFonts w:hint="default"/>
      </w:rPr>
    </w:lvl>
    <w:lvl w:ilvl="3" w:tplc="5BBA7AF6">
      <w:start w:val="1"/>
      <w:numFmt w:val="none"/>
      <w:lvlRestart w:val="0"/>
      <w:lvlText w:val=""/>
      <w:lvlJc w:val="left"/>
      <w:pPr>
        <w:ind w:left="0" w:firstLine="0"/>
      </w:pPr>
      <w:rPr>
        <w:rFonts w:hint="default"/>
      </w:rPr>
    </w:lvl>
    <w:lvl w:ilvl="4" w:tplc="8DCA07EA">
      <w:start w:val="1"/>
      <w:numFmt w:val="none"/>
      <w:lvlRestart w:val="0"/>
      <w:lvlText w:val=""/>
      <w:lvlJc w:val="left"/>
      <w:pPr>
        <w:ind w:left="0" w:firstLine="0"/>
      </w:pPr>
      <w:rPr>
        <w:rFonts w:hint="default"/>
      </w:rPr>
    </w:lvl>
    <w:lvl w:ilvl="5" w:tplc="F86611B6">
      <w:start w:val="1"/>
      <w:numFmt w:val="none"/>
      <w:lvlRestart w:val="0"/>
      <w:lvlText w:val=""/>
      <w:lvlJc w:val="left"/>
      <w:pPr>
        <w:ind w:left="0" w:firstLine="0"/>
      </w:pPr>
      <w:rPr>
        <w:rFonts w:hint="default"/>
      </w:rPr>
    </w:lvl>
    <w:lvl w:ilvl="6" w:tplc="B3067FA4">
      <w:start w:val="1"/>
      <w:numFmt w:val="none"/>
      <w:lvlRestart w:val="0"/>
      <w:lvlText w:val=""/>
      <w:lvlJc w:val="left"/>
      <w:pPr>
        <w:ind w:left="0" w:firstLine="0"/>
      </w:pPr>
      <w:rPr>
        <w:rFonts w:hint="default"/>
      </w:rPr>
    </w:lvl>
    <w:lvl w:ilvl="7" w:tplc="58ECDF28">
      <w:start w:val="1"/>
      <w:numFmt w:val="none"/>
      <w:lvlRestart w:val="0"/>
      <w:lvlText w:val=""/>
      <w:lvlJc w:val="left"/>
      <w:pPr>
        <w:ind w:left="0" w:firstLine="0"/>
      </w:pPr>
      <w:rPr>
        <w:rFonts w:hint="default"/>
      </w:rPr>
    </w:lvl>
    <w:lvl w:ilvl="8" w:tplc="C382DCCE">
      <w:start w:val="1"/>
      <w:numFmt w:val="none"/>
      <w:lvlRestart w:val="0"/>
      <w:lvlText w:val=""/>
      <w:lvlJc w:val="left"/>
      <w:pPr>
        <w:ind w:left="0" w:firstLine="0"/>
      </w:pPr>
      <w:rPr>
        <w:rFonts w:hint="default"/>
      </w:rPr>
    </w:lvl>
  </w:abstractNum>
  <w:abstractNum w:abstractNumId="7" w15:restartNumberingAfterBreak="0">
    <w:nsid w:val="108B5903"/>
    <w:multiLevelType w:val="hybridMultilevel"/>
    <w:tmpl w:val="43FA4A1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67FE3"/>
    <w:multiLevelType w:val="hybridMultilevel"/>
    <w:tmpl w:val="D85E2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D0A7B"/>
    <w:multiLevelType w:val="hybridMultilevel"/>
    <w:tmpl w:val="A1943B2A"/>
    <w:lvl w:ilvl="0" w:tplc="28CA101C">
      <w:start w:val="1"/>
      <w:numFmt w:val="bullet"/>
      <w:lvlText w:val=""/>
      <w:lvlJc w:val="left"/>
      <w:pPr>
        <w:ind w:left="502"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81C0F67"/>
    <w:multiLevelType w:val="hybridMultilevel"/>
    <w:tmpl w:val="196A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9A42AE"/>
    <w:multiLevelType w:val="hybridMultilevel"/>
    <w:tmpl w:val="43BE1FF4"/>
    <w:lvl w:ilvl="0" w:tplc="FFFFFFFF">
      <w:start w:val="1"/>
      <w:numFmt w:val="bullet"/>
      <w:pStyle w:val="VIRTBulle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E31F7C"/>
    <w:multiLevelType w:val="hybridMultilevel"/>
    <w:tmpl w:val="4984DA02"/>
    <w:lvl w:ilvl="0" w:tplc="28780AE8">
      <w:start w:val="1"/>
      <w:numFmt w:val="lowerLetter"/>
      <w:pStyle w:val="VIRTalphanumericallist"/>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3" w15:restartNumberingAfterBreak="0">
    <w:nsid w:val="2C65486F"/>
    <w:multiLevelType w:val="hybridMultilevel"/>
    <w:tmpl w:val="336AE50C"/>
    <w:lvl w:ilvl="0" w:tplc="8DAED3C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8C2879"/>
    <w:multiLevelType w:val="hybridMultilevel"/>
    <w:tmpl w:val="0F9E9DA0"/>
    <w:lvl w:ilvl="0" w:tplc="85C6A0B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585553"/>
    <w:multiLevelType w:val="hybridMultilevel"/>
    <w:tmpl w:val="1640F8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0076AE"/>
    <w:multiLevelType w:val="hybridMultilevel"/>
    <w:tmpl w:val="935EFD02"/>
    <w:lvl w:ilvl="0" w:tplc="C450ED72">
      <w:start w:val="1"/>
      <w:numFmt w:val="bullet"/>
      <w:lvlText w:val="⁻"/>
      <w:lvlJc w:val="left"/>
      <w:pPr>
        <w:tabs>
          <w:tab w:val="num" w:pos="720"/>
        </w:tabs>
        <w:ind w:left="720" w:hanging="360"/>
      </w:pPr>
      <w:rPr>
        <w:rFonts w:ascii="Calibri" w:hAnsi="Calibri" w:hint="default"/>
      </w:rPr>
    </w:lvl>
    <w:lvl w:ilvl="1" w:tplc="F1FCD51E" w:tentative="1">
      <w:start w:val="1"/>
      <w:numFmt w:val="bullet"/>
      <w:lvlText w:val="⁻"/>
      <w:lvlJc w:val="left"/>
      <w:pPr>
        <w:tabs>
          <w:tab w:val="num" w:pos="1440"/>
        </w:tabs>
        <w:ind w:left="1440" w:hanging="360"/>
      </w:pPr>
      <w:rPr>
        <w:rFonts w:ascii="Calibri" w:hAnsi="Calibri" w:hint="default"/>
      </w:rPr>
    </w:lvl>
    <w:lvl w:ilvl="2" w:tplc="6E38EEEC" w:tentative="1">
      <w:start w:val="1"/>
      <w:numFmt w:val="bullet"/>
      <w:lvlText w:val="⁻"/>
      <w:lvlJc w:val="left"/>
      <w:pPr>
        <w:tabs>
          <w:tab w:val="num" w:pos="2160"/>
        </w:tabs>
        <w:ind w:left="2160" w:hanging="360"/>
      </w:pPr>
      <w:rPr>
        <w:rFonts w:ascii="Calibri" w:hAnsi="Calibri" w:hint="default"/>
      </w:rPr>
    </w:lvl>
    <w:lvl w:ilvl="3" w:tplc="809EB838" w:tentative="1">
      <w:start w:val="1"/>
      <w:numFmt w:val="bullet"/>
      <w:lvlText w:val="⁻"/>
      <w:lvlJc w:val="left"/>
      <w:pPr>
        <w:tabs>
          <w:tab w:val="num" w:pos="2880"/>
        </w:tabs>
        <w:ind w:left="2880" w:hanging="360"/>
      </w:pPr>
      <w:rPr>
        <w:rFonts w:ascii="Calibri" w:hAnsi="Calibri" w:hint="default"/>
      </w:rPr>
    </w:lvl>
    <w:lvl w:ilvl="4" w:tplc="DFB84F3C" w:tentative="1">
      <w:start w:val="1"/>
      <w:numFmt w:val="bullet"/>
      <w:lvlText w:val="⁻"/>
      <w:lvlJc w:val="left"/>
      <w:pPr>
        <w:tabs>
          <w:tab w:val="num" w:pos="3600"/>
        </w:tabs>
        <w:ind w:left="3600" w:hanging="360"/>
      </w:pPr>
      <w:rPr>
        <w:rFonts w:ascii="Calibri" w:hAnsi="Calibri" w:hint="default"/>
      </w:rPr>
    </w:lvl>
    <w:lvl w:ilvl="5" w:tplc="36860CE2" w:tentative="1">
      <w:start w:val="1"/>
      <w:numFmt w:val="bullet"/>
      <w:lvlText w:val="⁻"/>
      <w:lvlJc w:val="left"/>
      <w:pPr>
        <w:tabs>
          <w:tab w:val="num" w:pos="4320"/>
        </w:tabs>
        <w:ind w:left="4320" w:hanging="360"/>
      </w:pPr>
      <w:rPr>
        <w:rFonts w:ascii="Calibri" w:hAnsi="Calibri" w:hint="default"/>
      </w:rPr>
    </w:lvl>
    <w:lvl w:ilvl="6" w:tplc="B992AD08" w:tentative="1">
      <w:start w:val="1"/>
      <w:numFmt w:val="bullet"/>
      <w:lvlText w:val="⁻"/>
      <w:lvlJc w:val="left"/>
      <w:pPr>
        <w:tabs>
          <w:tab w:val="num" w:pos="5040"/>
        </w:tabs>
        <w:ind w:left="5040" w:hanging="360"/>
      </w:pPr>
      <w:rPr>
        <w:rFonts w:ascii="Calibri" w:hAnsi="Calibri" w:hint="default"/>
      </w:rPr>
    </w:lvl>
    <w:lvl w:ilvl="7" w:tplc="8412394C" w:tentative="1">
      <w:start w:val="1"/>
      <w:numFmt w:val="bullet"/>
      <w:lvlText w:val="⁻"/>
      <w:lvlJc w:val="left"/>
      <w:pPr>
        <w:tabs>
          <w:tab w:val="num" w:pos="5760"/>
        </w:tabs>
        <w:ind w:left="5760" w:hanging="360"/>
      </w:pPr>
      <w:rPr>
        <w:rFonts w:ascii="Calibri" w:hAnsi="Calibri" w:hint="default"/>
      </w:rPr>
    </w:lvl>
    <w:lvl w:ilvl="8" w:tplc="75FE17E8"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C2478D2"/>
    <w:multiLevelType w:val="hybridMultilevel"/>
    <w:tmpl w:val="DF4E71FE"/>
    <w:styleLink w:val="ZZTablebullets1"/>
    <w:lvl w:ilvl="0" w:tplc="6B6A386C">
      <w:start w:val="1"/>
      <w:numFmt w:val="bullet"/>
      <w:pStyle w:val="DPCbullet1"/>
      <w:lvlText w:val="▪"/>
      <w:lvlJc w:val="left"/>
      <w:pPr>
        <w:ind w:left="284" w:hanging="284"/>
      </w:pPr>
      <w:rPr>
        <w:rFonts w:hint="default"/>
        <w:sz w:val="24"/>
      </w:rPr>
    </w:lvl>
    <w:lvl w:ilvl="1" w:tplc="D1B82CA2">
      <w:start w:val="1"/>
      <w:numFmt w:val="bullet"/>
      <w:pStyle w:val="DPCbullet2"/>
      <w:lvlText w:val="o"/>
      <w:lvlJc w:val="left"/>
      <w:pPr>
        <w:tabs>
          <w:tab w:val="num" w:pos="284"/>
        </w:tabs>
        <w:ind w:left="567" w:hanging="283"/>
      </w:pPr>
      <w:rPr>
        <w:rFonts w:ascii="Courier New" w:hAnsi="Courier New" w:hint="default"/>
        <w:color w:val="auto"/>
      </w:rPr>
    </w:lvl>
    <w:lvl w:ilvl="2" w:tplc="AE5A3C78">
      <w:start w:val="1"/>
      <w:numFmt w:val="none"/>
      <w:lvlRestart w:val="0"/>
      <w:lvlText w:val=""/>
      <w:lvlJc w:val="left"/>
      <w:pPr>
        <w:ind w:left="0" w:firstLine="0"/>
      </w:pPr>
      <w:rPr>
        <w:rFonts w:hint="default"/>
      </w:rPr>
    </w:lvl>
    <w:lvl w:ilvl="3" w:tplc="5808A7A6">
      <w:start w:val="1"/>
      <w:numFmt w:val="none"/>
      <w:lvlRestart w:val="0"/>
      <w:lvlText w:val=""/>
      <w:lvlJc w:val="left"/>
      <w:pPr>
        <w:ind w:left="0" w:firstLine="0"/>
      </w:pPr>
      <w:rPr>
        <w:rFonts w:hint="default"/>
      </w:rPr>
    </w:lvl>
    <w:lvl w:ilvl="4" w:tplc="F83E064C">
      <w:start w:val="1"/>
      <w:numFmt w:val="none"/>
      <w:lvlRestart w:val="0"/>
      <w:lvlText w:val=""/>
      <w:lvlJc w:val="left"/>
      <w:pPr>
        <w:ind w:left="0" w:firstLine="0"/>
      </w:pPr>
      <w:rPr>
        <w:rFonts w:hint="default"/>
      </w:rPr>
    </w:lvl>
    <w:lvl w:ilvl="5" w:tplc="EECCAE56">
      <w:start w:val="1"/>
      <w:numFmt w:val="none"/>
      <w:lvlRestart w:val="0"/>
      <w:lvlText w:val=""/>
      <w:lvlJc w:val="left"/>
      <w:pPr>
        <w:ind w:left="0" w:firstLine="0"/>
      </w:pPr>
      <w:rPr>
        <w:rFonts w:hint="default"/>
      </w:rPr>
    </w:lvl>
    <w:lvl w:ilvl="6" w:tplc="83F6169A">
      <w:start w:val="1"/>
      <w:numFmt w:val="none"/>
      <w:lvlRestart w:val="0"/>
      <w:lvlText w:val=""/>
      <w:lvlJc w:val="left"/>
      <w:pPr>
        <w:ind w:left="0" w:firstLine="0"/>
      </w:pPr>
      <w:rPr>
        <w:rFonts w:hint="default"/>
      </w:rPr>
    </w:lvl>
    <w:lvl w:ilvl="7" w:tplc="7638ADFC">
      <w:start w:val="1"/>
      <w:numFmt w:val="none"/>
      <w:lvlRestart w:val="0"/>
      <w:lvlText w:val=""/>
      <w:lvlJc w:val="left"/>
      <w:pPr>
        <w:ind w:left="0" w:firstLine="0"/>
      </w:pPr>
      <w:rPr>
        <w:rFonts w:hint="default"/>
      </w:rPr>
    </w:lvl>
    <w:lvl w:ilvl="8" w:tplc="47B8E8F8">
      <w:start w:val="1"/>
      <w:numFmt w:val="none"/>
      <w:lvlRestart w:val="0"/>
      <w:lvlText w:val=""/>
      <w:lvlJc w:val="left"/>
      <w:pPr>
        <w:ind w:left="0" w:firstLine="0"/>
      </w:pPr>
      <w:rPr>
        <w:rFonts w:hint="default"/>
      </w:rPr>
    </w:lvl>
  </w:abstractNum>
  <w:abstractNum w:abstractNumId="18" w15:restartNumberingAfterBreak="0">
    <w:nsid w:val="42A151AA"/>
    <w:multiLevelType w:val="hybridMultilevel"/>
    <w:tmpl w:val="3B94ED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33488D"/>
    <w:multiLevelType w:val="hybridMultilevel"/>
    <w:tmpl w:val="D11C9546"/>
    <w:lvl w:ilvl="0" w:tplc="0AD84C9E">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92010D"/>
    <w:multiLevelType w:val="hybridMultilevel"/>
    <w:tmpl w:val="4614C6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647D1F"/>
    <w:multiLevelType w:val="hybridMultilevel"/>
    <w:tmpl w:val="1D3C0CF6"/>
    <w:styleLink w:val="ZZNumbersloweralpha1"/>
    <w:lvl w:ilvl="0" w:tplc="8BD4E1AA">
      <w:start w:val="1"/>
      <w:numFmt w:val="bullet"/>
      <w:lvlText w:val=""/>
      <w:lvlJc w:val="left"/>
      <w:pPr>
        <w:ind w:left="1080" w:hanging="360"/>
      </w:pPr>
      <w:rPr>
        <w:rFonts w:ascii="Symbol" w:hAnsi="Symbol" w:hint="default"/>
      </w:rPr>
    </w:lvl>
    <w:lvl w:ilvl="1" w:tplc="0BE6C150">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2" w15:restartNumberingAfterBreak="0">
    <w:nsid w:val="48262739"/>
    <w:multiLevelType w:val="hybridMultilevel"/>
    <w:tmpl w:val="325A2F02"/>
    <w:lvl w:ilvl="0" w:tplc="C87605CE">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52DB61BD"/>
    <w:multiLevelType w:val="hybridMultilevel"/>
    <w:tmpl w:val="32B816A8"/>
    <w:lvl w:ilvl="0" w:tplc="887A55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A763B0"/>
    <w:multiLevelType w:val="hybridMultilevel"/>
    <w:tmpl w:val="589A8B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0F4552"/>
    <w:multiLevelType w:val="hybridMultilevel"/>
    <w:tmpl w:val="F1781AEE"/>
    <w:styleLink w:val="ZZNumberslowerroman"/>
    <w:lvl w:ilvl="0" w:tplc="051EC57C">
      <w:start w:val="1"/>
      <w:numFmt w:val="lowerRoman"/>
      <w:pStyle w:val="DPCnumberlowerroman"/>
      <w:lvlText w:val="(%1)"/>
      <w:lvlJc w:val="left"/>
      <w:pPr>
        <w:tabs>
          <w:tab w:val="num" w:pos="397"/>
        </w:tabs>
        <w:ind w:left="397" w:hanging="397"/>
      </w:pPr>
      <w:rPr>
        <w:rFonts w:hint="default"/>
      </w:rPr>
    </w:lvl>
    <w:lvl w:ilvl="1" w:tplc="CD6431DE">
      <w:start w:val="1"/>
      <w:numFmt w:val="lowerRoman"/>
      <w:pStyle w:val="DPCnumberlowerromanindent"/>
      <w:lvlText w:val="(%2)"/>
      <w:lvlJc w:val="left"/>
      <w:pPr>
        <w:tabs>
          <w:tab w:val="num" w:pos="794"/>
        </w:tabs>
        <w:ind w:left="794" w:hanging="397"/>
      </w:pPr>
      <w:rPr>
        <w:rFonts w:hint="default"/>
      </w:rPr>
    </w:lvl>
    <w:lvl w:ilvl="2" w:tplc="77CC57F2">
      <w:start w:val="1"/>
      <w:numFmt w:val="none"/>
      <w:lvlRestart w:val="0"/>
      <w:lvlText w:val=""/>
      <w:lvlJc w:val="left"/>
      <w:pPr>
        <w:ind w:left="0" w:firstLine="0"/>
      </w:pPr>
      <w:rPr>
        <w:rFonts w:hint="default"/>
      </w:rPr>
    </w:lvl>
    <w:lvl w:ilvl="3" w:tplc="5EB25A18">
      <w:start w:val="1"/>
      <w:numFmt w:val="none"/>
      <w:lvlRestart w:val="0"/>
      <w:lvlText w:val=""/>
      <w:lvlJc w:val="left"/>
      <w:pPr>
        <w:ind w:left="0" w:firstLine="0"/>
      </w:pPr>
      <w:rPr>
        <w:rFonts w:hint="default"/>
      </w:rPr>
    </w:lvl>
    <w:lvl w:ilvl="4" w:tplc="BDEA6CF0">
      <w:start w:val="1"/>
      <w:numFmt w:val="none"/>
      <w:lvlRestart w:val="0"/>
      <w:lvlText w:val=""/>
      <w:lvlJc w:val="left"/>
      <w:pPr>
        <w:ind w:left="0" w:firstLine="0"/>
      </w:pPr>
      <w:rPr>
        <w:rFonts w:hint="default"/>
      </w:rPr>
    </w:lvl>
    <w:lvl w:ilvl="5" w:tplc="C13A71FC">
      <w:start w:val="1"/>
      <w:numFmt w:val="none"/>
      <w:lvlRestart w:val="0"/>
      <w:lvlText w:val=""/>
      <w:lvlJc w:val="left"/>
      <w:pPr>
        <w:ind w:left="0" w:firstLine="0"/>
      </w:pPr>
      <w:rPr>
        <w:rFonts w:hint="default"/>
      </w:rPr>
    </w:lvl>
    <w:lvl w:ilvl="6" w:tplc="3D728AC2">
      <w:start w:val="1"/>
      <w:numFmt w:val="none"/>
      <w:lvlRestart w:val="0"/>
      <w:lvlText w:val=""/>
      <w:lvlJc w:val="left"/>
      <w:pPr>
        <w:ind w:left="0" w:firstLine="0"/>
      </w:pPr>
      <w:rPr>
        <w:rFonts w:hint="default"/>
      </w:rPr>
    </w:lvl>
    <w:lvl w:ilvl="7" w:tplc="BF72FEAE">
      <w:start w:val="1"/>
      <w:numFmt w:val="none"/>
      <w:lvlRestart w:val="0"/>
      <w:lvlText w:val=""/>
      <w:lvlJc w:val="left"/>
      <w:pPr>
        <w:ind w:left="0" w:firstLine="0"/>
      </w:pPr>
      <w:rPr>
        <w:rFonts w:hint="default"/>
      </w:rPr>
    </w:lvl>
    <w:lvl w:ilvl="8" w:tplc="EB2A3568">
      <w:start w:val="1"/>
      <w:numFmt w:val="none"/>
      <w:lvlRestart w:val="0"/>
      <w:lvlText w:val=""/>
      <w:lvlJc w:val="left"/>
      <w:pPr>
        <w:ind w:left="0" w:firstLine="0"/>
      </w:pPr>
      <w:rPr>
        <w:rFonts w:hint="default"/>
      </w:rPr>
    </w:lvl>
  </w:abstractNum>
  <w:abstractNum w:abstractNumId="26" w15:restartNumberingAfterBreak="0">
    <w:nsid w:val="63BB5BBA"/>
    <w:multiLevelType w:val="hybridMultilevel"/>
    <w:tmpl w:val="89B4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1E3612"/>
    <w:multiLevelType w:val="hybridMultilevel"/>
    <w:tmpl w:val="4224E6EC"/>
    <w:lvl w:ilvl="0" w:tplc="722A225A">
      <w:start w:val="1"/>
      <w:numFmt w:val="bullet"/>
      <w:lvlText w:val="⁻"/>
      <w:lvlJc w:val="left"/>
      <w:pPr>
        <w:tabs>
          <w:tab w:val="num" w:pos="720"/>
        </w:tabs>
        <w:ind w:left="720" w:hanging="360"/>
      </w:pPr>
      <w:rPr>
        <w:rFonts w:ascii="Calibri" w:hAnsi="Calibri" w:hint="default"/>
      </w:rPr>
    </w:lvl>
    <w:lvl w:ilvl="1" w:tplc="2528BB66" w:tentative="1">
      <w:start w:val="1"/>
      <w:numFmt w:val="bullet"/>
      <w:lvlText w:val="⁻"/>
      <w:lvlJc w:val="left"/>
      <w:pPr>
        <w:tabs>
          <w:tab w:val="num" w:pos="1440"/>
        </w:tabs>
        <w:ind w:left="1440" w:hanging="360"/>
      </w:pPr>
      <w:rPr>
        <w:rFonts w:ascii="Calibri" w:hAnsi="Calibri" w:hint="default"/>
      </w:rPr>
    </w:lvl>
    <w:lvl w:ilvl="2" w:tplc="E87ED202" w:tentative="1">
      <w:start w:val="1"/>
      <w:numFmt w:val="bullet"/>
      <w:lvlText w:val="⁻"/>
      <w:lvlJc w:val="left"/>
      <w:pPr>
        <w:tabs>
          <w:tab w:val="num" w:pos="2160"/>
        </w:tabs>
        <w:ind w:left="2160" w:hanging="360"/>
      </w:pPr>
      <w:rPr>
        <w:rFonts w:ascii="Calibri" w:hAnsi="Calibri" w:hint="default"/>
      </w:rPr>
    </w:lvl>
    <w:lvl w:ilvl="3" w:tplc="447A7416" w:tentative="1">
      <w:start w:val="1"/>
      <w:numFmt w:val="bullet"/>
      <w:lvlText w:val="⁻"/>
      <w:lvlJc w:val="left"/>
      <w:pPr>
        <w:tabs>
          <w:tab w:val="num" w:pos="2880"/>
        </w:tabs>
        <w:ind w:left="2880" w:hanging="360"/>
      </w:pPr>
      <w:rPr>
        <w:rFonts w:ascii="Calibri" w:hAnsi="Calibri" w:hint="default"/>
      </w:rPr>
    </w:lvl>
    <w:lvl w:ilvl="4" w:tplc="F4248B3C" w:tentative="1">
      <w:start w:val="1"/>
      <w:numFmt w:val="bullet"/>
      <w:lvlText w:val="⁻"/>
      <w:lvlJc w:val="left"/>
      <w:pPr>
        <w:tabs>
          <w:tab w:val="num" w:pos="3600"/>
        </w:tabs>
        <w:ind w:left="3600" w:hanging="360"/>
      </w:pPr>
      <w:rPr>
        <w:rFonts w:ascii="Calibri" w:hAnsi="Calibri" w:hint="default"/>
      </w:rPr>
    </w:lvl>
    <w:lvl w:ilvl="5" w:tplc="22CE8E16" w:tentative="1">
      <w:start w:val="1"/>
      <w:numFmt w:val="bullet"/>
      <w:lvlText w:val="⁻"/>
      <w:lvlJc w:val="left"/>
      <w:pPr>
        <w:tabs>
          <w:tab w:val="num" w:pos="4320"/>
        </w:tabs>
        <w:ind w:left="4320" w:hanging="360"/>
      </w:pPr>
      <w:rPr>
        <w:rFonts w:ascii="Calibri" w:hAnsi="Calibri" w:hint="default"/>
      </w:rPr>
    </w:lvl>
    <w:lvl w:ilvl="6" w:tplc="52085104" w:tentative="1">
      <w:start w:val="1"/>
      <w:numFmt w:val="bullet"/>
      <w:lvlText w:val="⁻"/>
      <w:lvlJc w:val="left"/>
      <w:pPr>
        <w:tabs>
          <w:tab w:val="num" w:pos="5040"/>
        </w:tabs>
        <w:ind w:left="5040" w:hanging="360"/>
      </w:pPr>
      <w:rPr>
        <w:rFonts w:ascii="Calibri" w:hAnsi="Calibri" w:hint="default"/>
      </w:rPr>
    </w:lvl>
    <w:lvl w:ilvl="7" w:tplc="72C0C37E" w:tentative="1">
      <w:start w:val="1"/>
      <w:numFmt w:val="bullet"/>
      <w:lvlText w:val="⁻"/>
      <w:lvlJc w:val="left"/>
      <w:pPr>
        <w:tabs>
          <w:tab w:val="num" w:pos="5760"/>
        </w:tabs>
        <w:ind w:left="5760" w:hanging="360"/>
      </w:pPr>
      <w:rPr>
        <w:rFonts w:ascii="Calibri" w:hAnsi="Calibri" w:hint="default"/>
      </w:rPr>
    </w:lvl>
    <w:lvl w:ilvl="8" w:tplc="2A78A30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749423DA"/>
    <w:multiLevelType w:val="hybridMultilevel"/>
    <w:tmpl w:val="DB6EA95A"/>
    <w:styleLink w:val="ZZQuotebullets1"/>
    <w:lvl w:ilvl="0" w:tplc="4A5C3D10">
      <w:start w:val="1"/>
      <w:numFmt w:val="decimal"/>
      <w:pStyle w:val="DPCnumberdigit"/>
      <w:lvlText w:val="%1."/>
      <w:lvlJc w:val="left"/>
      <w:pPr>
        <w:tabs>
          <w:tab w:val="num" w:pos="397"/>
        </w:tabs>
        <w:ind w:left="397" w:hanging="397"/>
      </w:pPr>
      <w:rPr>
        <w:rFonts w:hint="default"/>
      </w:rPr>
    </w:lvl>
    <w:lvl w:ilvl="1" w:tplc="F612B1A6">
      <w:start w:val="1"/>
      <w:numFmt w:val="decimal"/>
      <w:pStyle w:val="DPCnumberdigitindent"/>
      <w:lvlText w:val="%2."/>
      <w:lvlJc w:val="left"/>
      <w:pPr>
        <w:tabs>
          <w:tab w:val="num" w:pos="794"/>
        </w:tabs>
        <w:ind w:left="794" w:hanging="397"/>
      </w:pPr>
      <w:rPr>
        <w:rFonts w:hint="default"/>
      </w:rPr>
    </w:lvl>
    <w:lvl w:ilvl="2" w:tplc="9C68EAD2">
      <w:start w:val="1"/>
      <w:numFmt w:val="bullet"/>
      <w:lvlRestart w:val="0"/>
      <w:pStyle w:val="DPCbulletafternumbers1"/>
      <w:lvlText w:val="▪"/>
      <w:lvlJc w:val="left"/>
      <w:pPr>
        <w:ind w:left="794" w:hanging="397"/>
      </w:pPr>
      <w:rPr>
        <w:rFonts w:hint="default"/>
      </w:rPr>
    </w:lvl>
    <w:lvl w:ilvl="3" w:tplc="09CC2AA2">
      <w:start w:val="1"/>
      <w:numFmt w:val="bullet"/>
      <w:lvlRestart w:val="0"/>
      <w:pStyle w:val="DPCbulletafternumbers2"/>
      <w:lvlText w:val="–"/>
      <w:lvlJc w:val="left"/>
      <w:pPr>
        <w:ind w:left="1191" w:hanging="397"/>
      </w:pPr>
      <w:rPr>
        <w:rFonts w:hint="default"/>
        <w:color w:val="auto"/>
      </w:rPr>
    </w:lvl>
    <w:lvl w:ilvl="4" w:tplc="DE7828AA">
      <w:start w:val="1"/>
      <w:numFmt w:val="none"/>
      <w:lvlRestart w:val="0"/>
      <w:lvlText w:val=""/>
      <w:lvlJc w:val="left"/>
      <w:pPr>
        <w:ind w:left="0" w:firstLine="0"/>
      </w:pPr>
      <w:rPr>
        <w:rFonts w:hint="default"/>
      </w:rPr>
    </w:lvl>
    <w:lvl w:ilvl="5" w:tplc="84AC23F6">
      <w:start w:val="1"/>
      <w:numFmt w:val="none"/>
      <w:lvlRestart w:val="0"/>
      <w:lvlText w:val=""/>
      <w:lvlJc w:val="left"/>
      <w:pPr>
        <w:ind w:left="0" w:firstLine="0"/>
      </w:pPr>
      <w:rPr>
        <w:rFonts w:hint="default"/>
      </w:rPr>
    </w:lvl>
    <w:lvl w:ilvl="6" w:tplc="14F8EA84">
      <w:start w:val="1"/>
      <w:numFmt w:val="none"/>
      <w:lvlRestart w:val="0"/>
      <w:lvlText w:val=""/>
      <w:lvlJc w:val="left"/>
      <w:pPr>
        <w:ind w:left="0" w:firstLine="0"/>
      </w:pPr>
      <w:rPr>
        <w:rFonts w:hint="default"/>
      </w:rPr>
    </w:lvl>
    <w:lvl w:ilvl="7" w:tplc="5B507BC8">
      <w:start w:val="1"/>
      <w:numFmt w:val="none"/>
      <w:lvlRestart w:val="0"/>
      <w:lvlText w:val=""/>
      <w:lvlJc w:val="left"/>
      <w:pPr>
        <w:ind w:left="0" w:firstLine="0"/>
      </w:pPr>
      <w:rPr>
        <w:rFonts w:hint="default"/>
      </w:rPr>
    </w:lvl>
    <w:lvl w:ilvl="8" w:tplc="27D8D144">
      <w:start w:val="1"/>
      <w:numFmt w:val="none"/>
      <w:lvlRestart w:val="0"/>
      <w:lvlText w:val=""/>
      <w:lvlJc w:val="left"/>
      <w:pPr>
        <w:ind w:left="0" w:firstLine="0"/>
      </w:pPr>
      <w:rPr>
        <w:rFonts w:hint="default"/>
      </w:rPr>
    </w:lvl>
  </w:abstractNum>
  <w:abstractNum w:abstractNumId="29" w15:restartNumberingAfterBreak="0">
    <w:nsid w:val="7682361F"/>
    <w:multiLevelType w:val="hybridMultilevel"/>
    <w:tmpl w:val="DEDE7E04"/>
    <w:lvl w:ilvl="0" w:tplc="CD5842DA">
      <w:start w:val="1"/>
      <w:numFmt w:val="bullet"/>
      <w:lvlText w:val="⁻"/>
      <w:lvlJc w:val="left"/>
      <w:pPr>
        <w:tabs>
          <w:tab w:val="num" w:pos="720"/>
        </w:tabs>
        <w:ind w:left="720" w:hanging="360"/>
      </w:pPr>
      <w:rPr>
        <w:rFonts w:ascii="Calibri" w:hAnsi="Calibri" w:hint="default"/>
      </w:rPr>
    </w:lvl>
    <w:lvl w:ilvl="1" w:tplc="2ABE40CA" w:tentative="1">
      <w:start w:val="1"/>
      <w:numFmt w:val="bullet"/>
      <w:lvlText w:val="⁻"/>
      <w:lvlJc w:val="left"/>
      <w:pPr>
        <w:tabs>
          <w:tab w:val="num" w:pos="1440"/>
        </w:tabs>
        <w:ind w:left="1440" w:hanging="360"/>
      </w:pPr>
      <w:rPr>
        <w:rFonts w:ascii="Calibri" w:hAnsi="Calibri" w:hint="default"/>
      </w:rPr>
    </w:lvl>
    <w:lvl w:ilvl="2" w:tplc="02665940" w:tentative="1">
      <w:start w:val="1"/>
      <w:numFmt w:val="bullet"/>
      <w:lvlText w:val="⁻"/>
      <w:lvlJc w:val="left"/>
      <w:pPr>
        <w:tabs>
          <w:tab w:val="num" w:pos="2160"/>
        </w:tabs>
        <w:ind w:left="2160" w:hanging="360"/>
      </w:pPr>
      <w:rPr>
        <w:rFonts w:ascii="Calibri" w:hAnsi="Calibri" w:hint="default"/>
      </w:rPr>
    </w:lvl>
    <w:lvl w:ilvl="3" w:tplc="4B1E1524" w:tentative="1">
      <w:start w:val="1"/>
      <w:numFmt w:val="bullet"/>
      <w:lvlText w:val="⁻"/>
      <w:lvlJc w:val="left"/>
      <w:pPr>
        <w:tabs>
          <w:tab w:val="num" w:pos="2880"/>
        </w:tabs>
        <w:ind w:left="2880" w:hanging="360"/>
      </w:pPr>
      <w:rPr>
        <w:rFonts w:ascii="Calibri" w:hAnsi="Calibri" w:hint="default"/>
      </w:rPr>
    </w:lvl>
    <w:lvl w:ilvl="4" w:tplc="82A8C6C4" w:tentative="1">
      <w:start w:val="1"/>
      <w:numFmt w:val="bullet"/>
      <w:lvlText w:val="⁻"/>
      <w:lvlJc w:val="left"/>
      <w:pPr>
        <w:tabs>
          <w:tab w:val="num" w:pos="3600"/>
        </w:tabs>
        <w:ind w:left="3600" w:hanging="360"/>
      </w:pPr>
      <w:rPr>
        <w:rFonts w:ascii="Calibri" w:hAnsi="Calibri" w:hint="default"/>
      </w:rPr>
    </w:lvl>
    <w:lvl w:ilvl="5" w:tplc="F90E3CCE" w:tentative="1">
      <w:start w:val="1"/>
      <w:numFmt w:val="bullet"/>
      <w:lvlText w:val="⁻"/>
      <w:lvlJc w:val="left"/>
      <w:pPr>
        <w:tabs>
          <w:tab w:val="num" w:pos="4320"/>
        </w:tabs>
        <w:ind w:left="4320" w:hanging="360"/>
      </w:pPr>
      <w:rPr>
        <w:rFonts w:ascii="Calibri" w:hAnsi="Calibri" w:hint="default"/>
      </w:rPr>
    </w:lvl>
    <w:lvl w:ilvl="6" w:tplc="0CE65506" w:tentative="1">
      <w:start w:val="1"/>
      <w:numFmt w:val="bullet"/>
      <w:lvlText w:val="⁻"/>
      <w:lvlJc w:val="left"/>
      <w:pPr>
        <w:tabs>
          <w:tab w:val="num" w:pos="5040"/>
        </w:tabs>
        <w:ind w:left="5040" w:hanging="360"/>
      </w:pPr>
      <w:rPr>
        <w:rFonts w:ascii="Calibri" w:hAnsi="Calibri" w:hint="default"/>
      </w:rPr>
    </w:lvl>
    <w:lvl w:ilvl="7" w:tplc="5C8A96AA" w:tentative="1">
      <w:start w:val="1"/>
      <w:numFmt w:val="bullet"/>
      <w:lvlText w:val="⁻"/>
      <w:lvlJc w:val="left"/>
      <w:pPr>
        <w:tabs>
          <w:tab w:val="num" w:pos="5760"/>
        </w:tabs>
        <w:ind w:left="5760" w:hanging="360"/>
      </w:pPr>
      <w:rPr>
        <w:rFonts w:ascii="Calibri" w:hAnsi="Calibri" w:hint="default"/>
      </w:rPr>
    </w:lvl>
    <w:lvl w:ilvl="8" w:tplc="8B420F24"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8911643"/>
    <w:multiLevelType w:val="hybridMultilevel"/>
    <w:tmpl w:val="5CD483F2"/>
    <w:styleLink w:val="ZZNumbersdigit1"/>
    <w:lvl w:ilvl="0" w:tplc="3B48B190">
      <w:start w:val="1"/>
      <w:numFmt w:val="bullet"/>
      <w:lvlText w:val=""/>
      <w:lvlJc w:val="left"/>
      <w:pPr>
        <w:ind w:left="652" w:hanging="360"/>
      </w:pPr>
      <w:rPr>
        <w:rFonts w:ascii="Symbol" w:hAnsi="Symbol"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31" w15:restartNumberingAfterBreak="0">
    <w:nsid w:val="79911088"/>
    <w:multiLevelType w:val="hybridMultilevel"/>
    <w:tmpl w:val="B89254AA"/>
    <w:lvl w:ilvl="0" w:tplc="5ED0EE42">
      <w:start w:val="1"/>
      <w:numFmt w:val="bullet"/>
      <w:pStyle w:val="Tablebulletlists"/>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 w15:restartNumberingAfterBreak="0">
    <w:nsid w:val="7BFF341A"/>
    <w:multiLevelType w:val="hybridMultilevel"/>
    <w:tmpl w:val="FE5CAE06"/>
    <w:lvl w:ilvl="0" w:tplc="1DEAF23E">
      <w:start w:val="1"/>
      <w:numFmt w:val="bullet"/>
      <w:pStyle w:val="PlainTable5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EF13FB6"/>
    <w:multiLevelType w:val="hybridMultilevel"/>
    <w:tmpl w:val="9F0282E8"/>
    <w:lvl w:ilvl="0" w:tplc="C2223692">
      <w:start w:val="1"/>
      <w:numFmt w:val="lowerLetter"/>
      <w:pStyle w:val="Listinatab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1"/>
  </w:num>
  <w:num w:numId="2">
    <w:abstractNumId w:val="30"/>
  </w:num>
  <w:num w:numId="3">
    <w:abstractNumId w:val="21"/>
  </w:num>
  <w:num w:numId="4">
    <w:abstractNumId w:val="17"/>
  </w:num>
  <w:num w:numId="5">
    <w:abstractNumId w:val="28"/>
  </w:num>
  <w:num w:numId="6">
    <w:abstractNumId w:val="5"/>
  </w:num>
  <w:num w:numId="7">
    <w:abstractNumId w:val="25"/>
  </w:num>
  <w:num w:numId="8">
    <w:abstractNumId w:val="6"/>
  </w:num>
  <w:num w:numId="9">
    <w:abstractNumId w:val="2"/>
  </w:num>
  <w:num w:numId="10">
    <w:abstractNumId w:val="33"/>
  </w:num>
  <w:num w:numId="11">
    <w:abstractNumId w:val="12"/>
  </w:num>
  <w:num w:numId="12">
    <w:abstractNumId w:val="11"/>
  </w:num>
  <w:num w:numId="13">
    <w:abstractNumId w:val="15"/>
  </w:num>
  <w:num w:numId="14">
    <w:abstractNumId w:val="13"/>
  </w:num>
  <w:num w:numId="15">
    <w:abstractNumId w:val="8"/>
  </w:num>
  <w:num w:numId="16">
    <w:abstractNumId w:val="18"/>
  </w:num>
  <w:num w:numId="17">
    <w:abstractNumId w:val="20"/>
  </w:num>
  <w:num w:numId="18">
    <w:abstractNumId w:val="9"/>
  </w:num>
  <w:num w:numId="19">
    <w:abstractNumId w:val="23"/>
  </w:num>
  <w:num w:numId="20">
    <w:abstractNumId w:val="19"/>
  </w:num>
  <w:num w:numId="21">
    <w:abstractNumId w:val="1"/>
  </w:num>
  <w:num w:numId="22">
    <w:abstractNumId w:val="26"/>
  </w:num>
  <w:num w:numId="23">
    <w:abstractNumId w:val="27"/>
  </w:num>
  <w:num w:numId="24">
    <w:abstractNumId w:val="0"/>
  </w:num>
  <w:num w:numId="25">
    <w:abstractNumId w:val="3"/>
  </w:num>
  <w:num w:numId="26">
    <w:abstractNumId w:val="29"/>
  </w:num>
  <w:num w:numId="27">
    <w:abstractNumId w:val="16"/>
  </w:num>
  <w:num w:numId="28">
    <w:abstractNumId w:val="22"/>
  </w:num>
  <w:num w:numId="29">
    <w:abstractNumId w:val="4"/>
  </w:num>
  <w:num w:numId="30">
    <w:abstractNumId w:val="22"/>
  </w:num>
  <w:num w:numId="31">
    <w:abstractNumId w:val="22"/>
  </w:num>
  <w:num w:numId="32">
    <w:abstractNumId w:val="22"/>
  </w:num>
  <w:num w:numId="33">
    <w:abstractNumId w:val="11"/>
  </w:num>
  <w:num w:numId="34">
    <w:abstractNumId w:val="10"/>
  </w:num>
  <w:num w:numId="35">
    <w:abstractNumId w:val="7"/>
  </w:num>
  <w:num w:numId="36">
    <w:abstractNumId w:val="11"/>
  </w:num>
  <w:num w:numId="37">
    <w:abstractNumId w:val="11"/>
  </w:num>
  <w:num w:numId="38">
    <w:abstractNumId w:val="11"/>
  </w:num>
  <w:num w:numId="39">
    <w:abstractNumId w:val="11"/>
  </w:num>
  <w:num w:numId="40">
    <w:abstractNumId w:val="11"/>
  </w:num>
  <w:num w:numId="41">
    <w:abstractNumId w:val="32"/>
  </w:num>
  <w:num w:numId="42">
    <w:abstractNumId w:val="14"/>
  </w:num>
  <w:num w:numId="43">
    <w:abstractNumId w:val="24"/>
  </w:num>
  <w:num w:numId="4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readOnly" w:formatting="1" w:enforcement="1" w:cryptProviderType="rsaAES" w:cryptAlgorithmClass="hash" w:cryptAlgorithmType="typeAny" w:cryptAlgorithmSid="14" w:cryptSpinCount="100000" w:hash="WnrvgIqufdF6ErOp3I05cOiuETvZQMhuvVppwEHZIsRfIXZkhHZ+Y8mS4rYe+v2WPNyCWqQ0Iy6URO2Nf1+xvg==" w:salt="RJnPxZpZ7kUwA+Jufkrw9A=="/>
  <w:defaultTabStop w:val="720"/>
  <w:clickAndTypeStyle w:val="Paragraph"/>
  <w:drawingGridHorizontalSpacing w:val="360"/>
  <w:drawingGridVerticalSpacing w:val="360"/>
  <w:displayHorizontalDrawingGridEvery w:val="0"/>
  <w:displayVerticalDrawingGridEvery w:val="0"/>
  <w:characterSpacingControl w:val="doNotCompress"/>
  <w:hdrShapeDefaults>
    <o:shapedefaults v:ext="edit" spidmax="21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3"/>
    <w:rsid w:val="00000036"/>
    <w:rsid w:val="000001BF"/>
    <w:rsid w:val="000003D0"/>
    <w:rsid w:val="00000654"/>
    <w:rsid w:val="000008EB"/>
    <w:rsid w:val="000008F7"/>
    <w:rsid w:val="00000B61"/>
    <w:rsid w:val="00000FF2"/>
    <w:rsid w:val="00001138"/>
    <w:rsid w:val="00001142"/>
    <w:rsid w:val="00001253"/>
    <w:rsid w:val="00001334"/>
    <w:rsid w:val="0000135E"/>
    <w:rsid w:val="00001503"/>
    <w:rsid w:val="00001647"/>
    <w:rsid w:val="00001724"/>
    <w:rsid w:val="00001749"/>
    <w:rsid w:val="000018E6"/>
    <w:rsid w:val="00001A6F"/>
    <w:rsid w:val="00001B12"/>
    <w:rsid w:val="00001B72"/>
    <w:rsid w:val="00001CEA"/>
    <w:rsid w:val="0000209C"/>
    <w:rsid w:val="00002114"/>
    <w:rsid w:val="00002690"/>
    <w:rsid w:val="00002769"/>
    <w:rsid w:val="00002AFA"/>
    <w:rsid w:val="00002BF6"/>
    <w:rsid w:val="00002C3D"/>
    <w:rsid w:val="00002D1B"/>
    <w:rsid w:val="00002DE0"/>
    <w:rsid w:val="00002E5D"/>
    <w:rsid w:val="00002F17"/>
    <w:rsid w:val="0000309E"/>
    <w:rsid w:val="0000312C"/>
    <w:rsid w:val="0000345A"/>
    <w:rsid w:val="000035F3"/>
    <w:rsid w:val="00003649"/>
    <w:rsid w:val="00003759"/>
    <w:rsid w:val="000038C8"/>
    <w:rsid w:val="00003984"/>
    <w:rsid w:val="000039F2"/>
    <w:rsid w:val="00003B8F"/>
    <w:rsid w:val="00003CE4"/>
    <w:rsid w:val="00004177"/>
    <w:rsid w:val="000042AF"/>
    <w:rsid w:val="000042B5"/>
    <w:rsid w:val="00004449"/>
    <w:rsid w:val="0000453D"/>
    <w:rsid w:val="00004656"/>
    <w:rsid w:val="0000481C"/>
    <w:rsid w:val="00004934"/>
    <w:rsid w:val="000049F6"/>
    <w:rsid w:val="00004AF2"/>
    <w:rsid w:val="00004AFF"/>
    <w:rsid w:val="00004B12"/>
    <w:rsid w:val="00004BB5"/>
    <w:rsid w:val="00004D6F"/>
    <w:rsid w:val="00004DDB"/>
    <w:rsid w:val="00004DE6"/>
    <w:rsid w:val="000050CA"/>
    <w:rsid w:val="00005754"/>
    <w:rsid w:val="000057B2"/>
    <w:rsid w:val="000058C5"/>
    <w:rsid w:val="00005A1F"/>
    <w:rsid w:val="00005CF8"/>
    <w:rsid w:val="00005D50"/>
    <w:rsid w:val="00005EE6"/>
    <w:rsid w:val="00006253"/>
    <w:rsid w:val="0000655F"/>
    <w:rsid w:val="00006699"/>
    <w:rsid w:val="00006712"/>
    <w:rsid w:val="00006857"/>
    <w:rsid w:val="0000687B"/>
    <w:rsid w:val="00006CF0"/>
    <w:rsid w:val="00006E3E"/>
    <w:rsid w:val="0000734C"/>
    <w:rsid w:val="0000754E"/>
    <w:rsid w:val="0000765F"/>
    <w:rsid w:val="00007E5C"/>
    <w:rsid w:val="00007E9A"/>
    <w:rsid w:val="000100E5"/>
    <w:rsid w:val="0001021C"/>
    <w:rsid w:val="0001036F"/>
    <w:rsid w:val="000103EC"/>
    <w:rsid w:val="000105BB"/>
    <w:rsid w:val="00010723"/>
    <w:rsid w:val="0001078C"/>
    <w:rsid w:val="000107A6"/>
    <w:rsid w:val="00010825"/>
    <w:rsid w:val="00010AEA"/>
    <w:rsid w:val="00011142"/>
    <w:rsid w:val="000111CD"/>
    <w:rsid w:val="000112D0"/>
    <w:rsid w:val="000116BA"/>
    <w:rsid w:val="0001170E"/>
    <w:rsid w:val="00011A04"/>
    <w:rsid w:val="00011C29"/>
    <w:rsid w:val="00011E11"/>
    <w:rsid w:val="00012146"/>
    <w:rsid w:val="0001249C"/>
    <w:rsid w:val="00012870"/>
    <w:rsid w:val="00012F3D"/>
    <w:rsid w:val="0001306C"/>
    <w:rsid w:val="00013469"/>
    <w:rsid w:val="00013582"/>
    <w:rsid w:val="00013765"/>
    <w:rsid w:val="0001391A"/>
    <w:rsid w:val="00013A00"/>
    <w:rsid w:val="00014201"/>
    <w:rsid w:val="00014260"/>
    <w:rsid w:val="00014821"/>
    <w:rsid w:val="00014A0C"/>
    <w:rsid w:val="00014D2E"/>
    <w:rsid w:val="00014D86"/>
    <w:rsid w:val="00014DDF"/>
    <w:rsid w:val="00015025"/>
    <w:rsid w:val="0001523C"/>
    <w:rsid w:val="000153C1"/>
    <w:rsid w:val="000154E1"/>
    <w:rsid w:val="00015C12"/>
    <w:rsid w:val="00015C28"/>
    <w:rsid w:val="0001608A"/>
    <w:rsid w:val="0001640C"/>
    <w:rsid w:val="000164D8"/>
    <w:rsid w:val="000165FF"/>
    <w:rsid w:val="0001670D"/>
    <w:rsid w:val="00016845"/>
    <w:rsid w:val="00016943"/>
    <w:rsid w:val="00016B81"/>
    <w:rsid w:val="0001708F"/>
    <w:rsid w:val="0001713F"/>
    <w:rsid w:val="0001738F"/>
    <w:rsid w:val="000173AC"/>
    <w:rsid w:val="00017676"/>
    <w:rsid w:val="00017783"/>
    <w:rsid w:val="00017A5C"/>
    <w:rsid w:val="00017A6E"/>
    <w:rsid w:val="00017AC4"/>
    <w:rsid w:val="00017BDC"/>
    <w:rsid w:val="00020179"/>
    <w:rsid w:val="000201D7"/>
    <w:rsid w:val="00020206"/>
    <w:rsid w:val="00020364"/>
    <w:rsid w:val="000204D6"/>
    <w:rsid w:val="0002079E"/>
    <w:rsid w:val="00020926"/>
    <w:rsid w:val="000209CC"/>
    <w:rsid w:val="00020B83"/>
    <w:rsid w:val="00020F43"/>
    <w:rsid w:val="00021231"/>
    <w:rsid w:val="0002149B"/>
    <w:rsid w:val="00021638"/>
    <w:rsid w:val="00021A62"/>
    <w:rsid w:val="00021C28"/>
    <w:rsid w:val="000221CF"/>
    <w:rsid w:val="0002270C"/>
    <w:rsid w:val="00022818"/>
    <w:rsid w:val="00022886"/>
    <w:rsid w:val="00022B82"/>
    <w:rsid w:val="00022EAE"/>
    <w:rsid w:val="0002311A"/>
    <w:rsid w:val="0002322D"/>
    <w:rsid w:val="0002330F"/>
    <w:rsid w:val="0002349B"/>
    <w:rsid w:val="00023601"/>
    <w:rsid w:val="0002368D"/>
    <w:rsid w:val="00023895"/>
    <w:rsid w:val="00023941"/>
    <w:rsid w:val="0002398C"/>
    <w:rsid w:val="00023C20"/>
    <w:rsid w:val="00023D29"/>
    <w:rsid w:val="0002410A"/>
    <w:rsid w:val="000242DB"/>
    <w:rsid w:val="00024447"/>
    <w:rsid w:val="000244AF"/>
    <w:rsid w:val="0002451A"/>
    <w:rsid w:val="00024904"/>
    <w:rsid w:val="00024B10"/>
    <w:rsid w:val="00024C58"/>
    <w:rsid w:val="00024C71"/>
    <w:rsid w:val="00024DCD"/>
    <w:rsid w:val="00024EA8"/>
    <w:rsid w:val="00024EEC"/>
    <w:rsid w:val="00024F47"/>
    <w:rsid w:val="0002512C"/>
    <w:rsid w:val="0002524A"/>
    <w:rsid w:val="0002534A"/>
    <w:rsid w:val="0002588E"/>
    <w:rsid w:val="0002597C"/>
    <w:rsid w:val="00025B0B"/>
    <w:rsid w:val="00025D75"/>
    <w:rsid w:val="00025FA9"/>
    <w:rsid w:val="00025FB2"/>
    <w:rsid w:val="000260E5"/>
    <w:rsid w:val="000263BA"/>
    <w:rsid w:val="0002644C"/>
    <w:rsid w:val="0002648E"/>
    <w:rsid w:val="0002668B"/>
    <w:rsid w:val="000268FB"/>
    <w:rsid w:val="0002690E"/>
    <w:rsid w:val="0002692C"/>
    <w:rsid w:val="00026AC2"/>
    <w:rsid w:val="00026C30"/>
    <w:rsid w:val="00026EE5"/>
    <w:rsid w:val="00026FC0"/>
    <w:rsid w:val="00027123"/>
    <w:rsid w:val="0002720F"/>
    <w:rsid w:val="0002790D"/>
    <w:rsid w:val="00027AF1"/>
    <w:rsid w:val="00027C07"/>
    <w:rsid w:val="00027F16"/>
    <w:rsid w:val="00027F4F"/>
    <w:rsid w:val="00027FD3"/>
    <w:rsid w:val="0003001D"/>
    <w:rsid w:val="0003004A"/>
    <w:rsid w:val="00030096"/>
    <w:rsid w:val="000301FC"/>
    <w:rsid w:val="00030219"/>
    <w:rsid w:val="000303D6"/>
    <w:rsid w:val="0003062A"/>
    <w:rsid w:val="0003065C"/>
    <w:rsid w:val="000307D6"/>
    <w:rsid w:val="00030DE0"/>
    <w:rsid w:val="00030E48"/>
    <w:rsid w:val="00031150"/>
    <w:rsid w:val="00031241"/>
    <w:rsid w:val="0003125E"/>
    <w:rsid w:val="0003126E"/>
    <w:rsid w:val="000313F2"/>
    <w:rsid w:val="000317B2"/>
    <w:rsid w:val="00031B62"/>
    <w:rsid w:val="00031B9A"/>
    <w:rsid w:val="00031BCB"/>
    <w:rsid w:val="000322B6"/>
    <w:rsid w:val="000322D5"/>
    <w:rsid w:val="0003234B"/>
    <w:rsid w:val="000323FD"/>
    <w:rsid w:val="00032502"/>
    <w:rsid w:val="000326E5"/>
    <w:rsid w:val="00032714"/>
    <w:rsid w:val="0003285C"/>
    <w:rsid w:val="000328E5"/>
    <w:rsid w:val="000329CE"/>
    <w:rsid w:val="00032BE1"/>
    <w:rsid w:val="00032C37"/>
    <w:rsid w:val="00032D9E"/>
    <w:rsid w:val="00032F7C"/>
    <w:rsid w:val="00033008"/>
    <w:rsid w:val="000334C4"/>
    <w:rsid w:val="00033568"/>
    <w:rsid w:val="00033AB8"/>
    <w:rsid w:val="00033B10"/>
    <w:rsid w:val="00033E08"/>
    <w:rsid w:val="00033F0F"/>
    <w:rsid w:val="00033FF3"/>
    <w:rsid w:val="0003401D"/>
    <w:rsid w:val="0003434F"/>
    <w:rsid w:val="000343D1"/>
    <w:rsid w:val="000344F9"/>
    <w:rsid w:val="000345BE"/>
    <w:rsid w:val="00034D3B"/>
    <w:rsid w:val="00034DC5"/>
    <w:rsid w:val="00034DD7"/>
    <w:rsid w:val="000351E0"/>
    <w:rsid w:val="0003520A"/>
    <w:rsid w:val="00035771"/>
    <w:rsid w:val="000357D3"/>
    <w:rsid w:val="0003599A"/>
    <w:rsid w:val="00035B86"/>
    <w:rsid w:val="00035B95"/>
    <w:rsid w:val="00035C43"/>
    <w:rsid w:val="00035C68"/>
    <w:rsid w:val="00035DCD"/>
    <w:rsid w:val="00035E59"/>
    <w:rsid w:val="00036027"/>
    <w:rsid w:val="0003614C"/>
    <w:rsid w:val="00036298"/>
    <w:rsid w:val="00036336"/>
    <w:rsid w:val="00036E1E"/>
    <w:rsid w:val="00036E39"/>
    <w:rsid w:val="00036FA1"/>
    <w:rsid w:val="0003704B"/>
    <w:rsid w:val="00037151"/>
    <w:rsid w:val="000371C4"/>
    <w:rsid w:val="00037577"/>
    <w:rsid w:val="00037AC1"/>
    <w:rsid w:val="00037B00"/>
    <w:rsid w:val="00037D10"/>
    <w:rsid w:val="00037DE7"/>
    <w:rsid w:val="000400CD"/>
    <w:rsid w:val="0004026B"/>
    <w:rsid w:val="000402DC"/>
    <w:rsid w:val="00040367"/>
    <w:rsid w:val="00040550"/>
    <w:rsid w:val="0004059B"/>
    <w:rsid w:val="00040991"/>
    <w:rsid w:val="00040B80"/>
    <w:rsid w:val="00040C24"/>
    <w:rsid w:val="00040D48"/>
    <w:rsid w:val="00040E60"/>
    <w:rsid w:val="00040FBE"/>
    <w:rsid w:val="00041081"/>
    <w:rsid w:val="000410EE"/>
    <w:rsid w:val="0004156D"/>
    <w:rsid w:val="000416FA"/>
    <w:rsid w:val="000419E0"/>
    <w:rsid w:val="00041AC6"/>
    <w:rsid w:val="00041B35"/>
    <w:rsid w:val="00041CAA"/>
    <w:rsid w:val="00041D55"/>
    <w:rsid w:val="00041EFC"/>
    <w:rsid w:val="00042073"/>
    <w:rsid w:val="0004260D"/>
    <w:rsid w:val="00042758"/>
    <w:rsid w:val="000428C9"/>
    <w:rsid w:val="00042A21"/>
    <w:rsid w:val="00042B33"/>
    <w:rsid w:val="00042B4D"/>
    <w:rsid w:val="00042D79"/>
    <w:rsid w:val="00042DD1"/>
    <w:rsid w:val="00042F5B"/>
    <w:rsid w:val="00043098"/>
    <w:rsid w:val="000430CC"/>
    <w:rsid w:val="00043166"/>
    <w:rsid w:val="0004327B"/>
    <w:rsid w:val="0004332A"/>
    <w:rsid w:val="0004373C"/>
    <w:rsid w:val="00043929"/>
    <w:rsid w:val="0004393B"/>
    <w:rsid w:val="0004399D"/>
    <w:rsid w:val="000439CF"/>
    <w:rsid w:val="00043A95"/>
    <w:rsid w:val="00043AE7"/>
    <w:rsid w:val="00043BB6"/>
    <w:rsid w:val="00043C36"/>
    <w:rsid w:val="00043EFF"/>
    <w:rsid w:val="00043F4C"/>
    <w:rsid w:val="00043F6F"/>
    <w:rsid w:val="000440CC"/>
    <w:rsid w:val="0004410E"/>
    <w:rsid w:val="00044290"/>
    <w:rsid w:val="000442D9"/>
    <w:rsid w:val="000445FE"/>
    <w:rsid w:val="00044690"/>
    <w:rsid w:val="00044876"/>
    <w:rsid w:val="000449D9"/>
    <w:rsid w:val="00044CC7"/>
    <w:rsid w:val="00044E1C"/>
    <w:rsid w:val="00044F54"/>
    <w:rsid w:val="00044FFA"/>
    <w:rsid w:val="00045623"/>
    <w:rsid w:val="0004565A"/>
    <w:rsid w:val="00045673"/>
    <w:rsid w:val="00045834"/>
    <w:rsid w:val="00045A36"/>
    <w:rsid w:val="00045B42"/>
    <w:rsid w:val="000462C3"/>
    <w:rsid w:val="000465C7"/>
    <w:rsid w:val="00046641"/>
    <w:rsid w:val="000468BA"/>
    <w:rsid w:val="00046A03"/>
    <w:rsid w:val="00046A46"/>
    <w:rsid w:val="00046E3B"/>
    <w:rsid w:val="00046F2C"/>
    <w:rsid w:val="00047177"/>
    <w:rsid w:val="000475AB"/>
    <w:rsid w:val="0004783D"/>
    <w:rsid w:val="000478A2"/>
    <w:rsid w:val="00047CC6"/>
    <w:rsid w:val="00047D19"/>
    <w:rsid w:val="00047DEF"/>
    <w:rsid w:val="00047E9E"/>
    <w:rsid w:val="00047F3D"/>
    <w:rsid w:val="00047FA0"/>
    <w:rsid w:val="00047FBF"/>
    <w:rsid w:val="0005024A"/>
    <w:rsid w:val="000502B3"/>
    <w:rsid w:val="00050FAE"/>
    <w:rsid w:val="00050FC6"/>
    <w:rsid w:val="00051026"/>
    <w:rsid w:val="00051153"/>
    <w:rsid w:val="000516B4"/>
    <w:rsid w:val="000516FC"/>
    <w:rsid w:val="00051921"/>
    <w:rsid w:val="00051A70"/>
    <w:rsid w:val="00051C8F"/>
    <w:rsid w:val="00051CDC"/>
    <w:rsid w:val="00051FBF"/>
    <w:rsid w:val="000522C2"/>
    <w:rsid w:val="000523A5"/>
    <w:rsid w:val="000524B9"/>
    <w:rsid w:val="0005259A"/>
    <w:rsid w:val="000525F7"/>
    <w:rsid w:val="000528B5"/>
    <w:rsid w:val="000528E6"/>
    <w:rsid w:val="00052913"/>
    <w:rsid w:val="0005297A"/>
    <w:rsid w:val="000529C7"/>
    <w:rsid w:val="00052E3A"/>
    <w:rsid w:val="00052F16"/>
    <w:rsid w:val="00052F7A"/>
    <w:rsid w:val="0005304A"/>
    <w:rsid w:val="00053284"/>
    <w:rsid w:val="0005332F"/>
    <w:rsid w:val="0005334A"/>
    <w:rsid w:val="00053433"/>
    <w:rsid w:val="000535C2"/>
    <w:rsid w:val="0005387A"/>
    <w:rsid w:val="00053984"/>
    <w:rsid w:val="00053B14"/>
    <w:rsid w:val="00053C25"/>
    <w:rsid w:val="00053FEE"/>
    <w:rsid w:val="000540C8"/>
    <w:rsid w:val="0005427F"/>
    <w:rsid w:val="00054470"/>
    <w:rsid w:val="000545CF"/>
    <w:rsid w:val="00054825"/>
    <w:rsid w:val="0005491D"/>
    <w:rsid w:val="00054961"/>
    <w:rsid w:val="000549D9"/>
    <w:rsid w:val="00054BF6"/>
    <w:rsid w:val="00054C25"/>
    <w:rsid w:val="00054CA6"/>
    <w:rsid w:val="00054CBE"/>
    <w:rsid w:val="00055072"/>
    <w:rsid w:val="0005530E"/>
    <w:rsid w:val="000555AA"/>
    <w:rsid w:val="000555BB"/>
    <w:rsid w:val="00055613"/>
    <w:rsid w:val="000556CF"/>
    <w:rsid w:val="00055711"/>
    <w:rsid w:val="00055753"/>
    <w:rsid w:val="00055771"/>
    <w:rsid w:val="0005586C"/>
    <w:rsid w:val="00055D1C"/>
    <w:rsid w:val="000561D8"/>
    <w:rsid w:val="000566F4"/>
    <w:rsid w:val="000568C1"/>
    <w:rsid w:val="000569A2"/>
    <w:rsid w:val="00056A20"/>
    <w:rsid w:val="00056A21"/>
    <w:rsid w:val="00056A40"/>
    <w:rsid w:val="00056DD0"/>
    <w:rsid w:val="00057016"/>
    <w:rsid w:val="00057080"/>
    <w:rsid w:val="000572FA"/>
    <w:rsid w:val="00057709"/>
    <w:rsid w:val="000578FF"/>
    <w:rsid w:val="0005793B"/>
    <w:rsid w:val="00057946"/>
    <w:rsid w:val="00057CEB"/>
    <w:rsid w:val="00057CFD"/>
    <w:rsid w:val="00057E26"/>
    <w:rsid w:val="00057EC6"/>
    <w:rsid w:val="0006001B"/>
    <w:rsid w:val="0006001F"/>
    <w:rsid w:val="000600CE"/>
    <w:rsid w:val="00060478"/>
    <w:rsid w:val="0006055C"/>
    <w:rsid w:val="00060A35"/>
    <w:rsid w:val="00060D04"/>
    <w:rsid w:val="00060DA2"/>
    <w:rsid w:val="00060E2B"/>
    <w:rsid w:val="00060E38"/>
    <w:rsid w:val="000611DD"/>
    <w:rsid w:val="000617AB"/>
    <w:rsid w:val="000618A7"/>
    <w:rsid w:val="0006195A"/>
    <w:rsid w:val="00061A85"/>
    <w:rsid w:val="00061A8B"/>
    <w:rsid w:val="00061B7D"/>
    <w:rsid w:val="00061C30"/>
    <w:rsid w:val="00062080"/>
    <w:rsid w:val="00062182"/>
    <w:rsid w:val="000623DB"/>
    <w:rsid w:val="000626AB"/>
    <w:rsid w:val="0006285D"/>
    <w:rsid w:val="00062ACC"/>
    <w:rsid w:val="00062D77"/>
    <w:rsid w:val="00062DFF"/>
    <w:rsid w:val="0006326D"/>
    <w:rsid w:val="00063281"/>
    <w:rsid w:val="00063355"/>
    <w:rsid w:val="00063471"/>
    <w:rsid w:val="000636C9"/>
    <w:rsid w:val="00063760"/>
    <w:rsid w:val="000637FA"/>
    <w:rsid w:val="00063C12"/>
    <w:rsid w:val="00063CE7"/>
    <w:rsid w:val="00063E4D"/>
    <w:rsid w:val="000642E0"/>
    <w:rsid w:val="000649E0"/>
    <w:rsid w:val="00064B96"/>
    <w:rsid w:val="00064DEB"/>
    <w:rsid w:val="00064DFB"/>
    <w:rsid w:val="0006533E"/>
    <w:rsid w:val="000654CC"/>
    <w:rsid w:val="000656E9"/>
    <w:rsid w:val="00065721"/>
    <w:rsid w:val="000657E4"/>
    <w:rsid w:val="000659C7"/>
    <w:rsid w:val="00065B28"/>
    <w:rsid w:val="00065FD5"/>
    <w:rsid w:val="00066016"/>
    <w:rsid w:val="000660DB"/>
    <w:rsid w:val="00066277"/>
    <w:rsid w:val="00066297"/>
    <w:rsid w:val="000662F1"/>
    <w:rsid w:val="00066376"/>
    <w:rsid w:val="000663DC"/>
    <w:rsid w:val="00066627"/>
    <w:rsid w:val="000668CC"/>
    <w:rsid w:val="00066B0D"/>
    <w:rsid w:val="00066CE5"/>
    <w:rsid w:val="00067134"/>
    <w:rsid w:val="000672A9"/>
    <w:rsid w:val="000673BA"/>
    <w:rsid w:val="0006746D"/>
    <w:rsid w:val="000674BC"/>
    <w:rsid w:val="000675BA"/>
    <w:rsid w:val="000675CE"/>
    <w:rsid w:val="000676AE"/>
    <w:rsid w:val="000677B9"/>
    <w:rsid w:val="0006D7E1"/>
    <w:rsid w:val="0007022E"/>
    <w:rsid w:val="00070446"/>
    <w:rsid w:val="00070581"/>
    <w:rsid w:val="000706B4"/>
    <w:rsid w:val="000706F5"/>
    <w:rsid w:val="000706FE"/>
    <w:rsid w:val="0007080D"/>
    <w:rsid w:val="00070DCA"/>
    <w:rsid w:val="0007105D"/>
    <w:rsid w:val="00071552"/>
    <w:rsid w:val="000718AF"/>
    <w:rsid w:val="00071C1B"/>
    <w:rsid w:val="00071F52"/>
    <w:rsid w:val="0007201B"/>
    <w:rsid w:val="0007211E"/>
    <w:rsid w:val="0007221F"/>
    <w:rsid w:val="00072300"/>
    <w:rsid w:val="00072569"/>
    <w:rsid w:val="0007283C"/>
    <w:rsid w:val="0007293B"/>
    <w:rsid w:val="00072A83"/>
    <w:rsid w:val="00072AC1"/>
    <w:rsid w:val="00072C7F"/>
    <w:rsid w:val="00072D09"/>
    <w:rsid w:val="00072F41"/>
    <w:rsid w:val="000730EC"/>
    <w:rsid w:val="00073254"/>
    <w:rsid w:val="00073299"/>
    <w:rsid w:val="000732E4"/>
    <w:rsid w:val="000732F8"/>
    <w:rsid w:val="00073398"/>
    <w:rsid w:val="0007362E"/>
    <w:rsid w:val="00073903"/>
    <w:rsid w:val="00073C7F"/>
    <w:rsid w:val="00073E97"/>
    <w:rsid w:val="000740FC"/>
    <w:rsid w:val="00074235"/>
    <w:rsid w:val="000746A1"/>
    <w:rsid w:val="00074782"/>
    <w:rsid w:val="00074AB1"/>
    <w:rsid w:val="00074AE7"/>
    <w:rsid w:val="00074C74"/>
    <w:rsid w:val="00074D9A"/>
    <w:rsid w:val="00074EEE"/>
    <w:rsid w:val="00074F2B"/>
    <w:rsid w:val="000750F5"/>
    <w:rsid w:val="00075570"/>
    <w:rsid w:val="0007559E"/>
    <w:rsid w:val="000757B2"/>
    <w:rsid w:val="000758A5"/>
    <w:rsid w:val="000759AB"/>
    <w:rsid w:val="000763E9"/>
    <w:rsid w:val="00076456"/>
    <w:rsid w:val="00076D2D"/>
    <w:rsid w:val="00076ECB"/>
    <w:rsid w:val="00076F64"/>
    <w:rsid w:val="00076FDC"/>
    <w:rsid w:val="000775A9"/>
    <w:rsid w:val="00077786"/>
    <w:rsid w:val="000778FE"/>
    <w:rsid w:val="00077A95"/>
    <w:rsid w:val="00077AEB"/>
    <w:rsid w:val="00077C17"/>
    <w:rsid w:val="000802AB"/>
    <w:rsid w:val="00080345"/>
    <w:rsid w:val="000804D7"/>
    <w:rsid w:val="00080690"/>
    <w:rsid w:val="00080945"/>
    <w:rsid w:val="00080A28"/>
    <w:rsid w:val="00080AE3"/>
    <w:rsid w:val="00080E48"/>
    <w:rsid w:val="00080F64"/>
    <w:rsid w:val="000811F5"/>
    <w:rsid w:val="000813B8"/>
    <w:rsid w:val="000815AF"/>
    <w:rsid w:val="000815DC"/>
    <w:rsid w:val="0008163B"/>
    <w:rsid w:val="0008163F"/>
    <w:rsid w:val="00081649"/>
    <w:rsid w:val="000817D3"/>
    <w:rsid w:val="00081929"/>
    <w:rsid w:val="00081B89"/>
    <w:rsid w:val="00081D4D"/>
    <w:rsid w:val="00081E7C"/>
    <w:rsid w:val="00082281"/>
    <w:rsid w:val="00082988"/>
    <w:rsid w:val="00082D26"/>
    <w:rsid w:val="00082D34"/>
    <w:rsid w:val="00082E06"/>
    <w:rsid w:val="00082F12"/>
    <w:rsid w:val="000830A6"/>
    <w:rsid w:val="0008325A"/>
    <w:rsid w:val="00083324"/>
    <w:rsid w:val="00083476"/>
    <w:rsid w:val="0008360A"/>
    <w:rsid w:val="00083805"/>
    <w:rsid w:val="00083883"/>
    <w:rsid w:val="00083E7B"/>
    <w:rsid w:val="00083E91"/>
    <w:rsid w:val="00083EFA"/>
    <w:rsid w:val="00083F08"/>
    <w:rsid w:val="000840E6"/>
    <w:rsid w:val="000840EE"/>
    <w:rsid w:val="000841AC"/>
    <w:rsid w:val="0008430A"/>
    <w:rsid w:val="0008511D"/>
    <w:rsid w:val="000854F1"/>
    <w:rsid w:val="000855A6"/>
    <w:rsid w:val="00085845"/>
    <w:rsid w:val="0008587F"/>
    <w:rsid w:val="00085C13"/>
    <w:rsid w:val="00085C2E"/>
    <w:rsid w:val="00085C95"/>
    <w:rsid w:val="00086607"/>
    <w:rsid w:val="00086804"/>
    <w:rsid w:val="00086AAD"/>
    <w:rsid w:val="00086AE4"/>
    <w:rsid w:val="00086B79"/>
    <w:rsid w:val="00086CB7"/>
    <w:rsid w:val="00086E36"/>
    <w:rsid w:val="0008735F"/>
    <w:rsid w:val="000873B4"/>
    <w:rsid w:val="00087500"/>
    <w:rsid w:val="000879AE"/>
    <w:rsid w:val="00087DF0"/>
    <w:rsid w:val="00087F37"/>
    <w:rsid w:val="00087F67"/>
    <w:rsid w:val="00090075"/>
    <w:rsid w:val="00090119"/>
    <w:rsid w:val="000901A6"/>
    <w:rsid w:val="0009026D"/>
    <w:rsid w:val="00090518"/>
    <w:rsid w:val="00090693"/>
    <w:rsid w:val="000907F0"/>
    <w:rsid w:val="0009101E"/>
    <w:rsid w:val="00091294"/>
    <w:rsid w:val="00091395"/>
    <w:rsid w:val="000914DE"/>
    <w:rsid w:val="00091654"/>
    <w:rsid w:val="0009192C"/>
    <w:rsid w:val="00091DDC"/>
    <w:rsid w:val="00091E56"/>
    <w:rsid w:val="0009212B"/>
    <w:rsid w:val="00092371"/>
    <w:rsid w:val="000926A9"/>
    <w:rsid w:val="000928F6"/>
    <w:rsid w:val="0009292C"/>
    <w:rsid w:val="00092CB8"/>
    <w:rsid w:val="00092FF4"/>
    <w:rsid w:val="00093165"/>
    <w:rsid w:val="000931E1"/>
    <w:rsid w:val="0009333A"/>
    <w:rsid w:val="000933EA"/>
    <w:rsid w:val="00093539"/>
    <w:rsid w:val="0009360A"/>
    <w:rsid w:val="00093642"/>
    <w:rsid w:val="00093662"/>
    <w:rsid w:val="00093724"/>
    <w:rsid w:val="0009395C"/>
    <w:rsid w:val="00093C37"/>
    <w:rsid w:val="00093CAB"/>
    <w:rsid w:val="00093E62"/>
    <w:rsid w:val="000942B7"/>
    <w:rsid w:val="00094663"/>
    <w:rsid w:val="000946E7"/>
    <w:rsid w:val="0009472C"/>
    <w:rsid w:val="000949B4"/>
    <w:rsid w:val="00094AD1"/>
    <w:rsid w:val="00094D92"/>
    <w:rsid w:val="00095168"/>
    <w:rsid w:val="00095337"/>
    <w:rsid w:val="000953B2"/>
    <w:rsid w:val="000953BE"/>
    <w:rsid w:val="0009544D"/>
    <w:rsid w:val="0009566D"/>
    <w:rsid w:val="000956CC"/>
    <w:rsid w:val="000957CC"/>
    <w:rsid w:val="00095A68"/>
    <w:rsid w:val="00095D5E"/>
    <w:rsid w:val="0009610C"/>
    <w:rsid w:val="00096272"/>
    <w:rsid w:val="000963BB"/>
    <w:rsid w:val="000964C8"/>
    <w:rsid w:val="0009657D"/>
    <w:rsid w:val="00096699"/>
    <w:rsid w:val="0009690C"/>
    <w:rsid w:val="00096A78"/>
    <w:rsid w:val="00096B4D"/>
    <w:rsid w:val="00096C38"/>
    <w:rsid w:val="00096CB7"/>
    <w:rsid w:val="0009703A"/>
    <w:rsid w:val="00097167"/>
    <w:rsid w:val="0009749F"/>
    <w:rsid w:val="000974A3"/>
    <w:rsid w:val="00097503"/>
    <w:rsid w:val="00097534"/>
    <w:rsid w:val="00097577"/>
    <w:rsid w:val="0009789F"/>
    <w:rsid w:val="000A007E"/>
    <w:rsid w:val="000A00D0"/>
    <w:rsid w:val="000A0243"/>
    <w:rsid w:val="000A024A"/>
    <w:rsid w:val="000A024D"/>
    <w:rsid w:val="000A0376"/>
    <w:rsid w:val="000A0538"/>
    <w:rsid w:val="000A061C"/>
    <w:rsid w:val="000A0641"/>
    <w:rsid w:val="000A0AD6"/>
    <w:rsid w:val="000A126C"/>
    <w:rsid w:val="000A1683"/>
    <w:rsid w:val="000A1717"/>
    <w:rsid w:val="000A171B"/>
    <w:rsid w:val="000A17A2"/>
    <w:rsid w:val="000A185A"/>
    <w:rsid w:val="000A1A61"/>
    <w:rsid w:val="000A1A8A"/>
    <w:rsid w:val="000A1B0E"/>
    <w:rsid w:val="000A1C0F"/>
    <w:rsid w:val="000A1E28"/>
    <w:rsid w:val="000A2002"/>
    <w:rsid w:val="000A234B"/>
    <w:rsid w:val="000A2A5D"/>
    <w:rsid w:val="000A2B24"/>
    <w:rsid w:val="000A2BC8"/>
    <w:rsid w:val="000A2E28"/>
    <w:rsid w:val="000A2E3D"/>
    <w:rsid w:val="000A31F5"/>
    <w:rsid w:val="000A3207"/>
    <w:rsid w:val="000A334A"/>
    <w:rsid w:val="000A3412"/>
    <w:rsid w:val="000A349E"/>
    <w:rsid w:val="000A3720"/>
    <w:rsid w:val="000A3728"/>
    <w:rsid w:val="000A375F"/>
    <w:rsid w:val="000A3773"/>
    <w:rsid w:val="000A37AA"/>
    <w:rsid w:val="000A3A1B"/>
    <w:rsid w:val="000A3D65"/>
    <w:rsid w:val="000A3EA2"/>
    <w:rsid w:val="000A3F0D"/>
    <w:rsid w:val="000A44BF"/>
    <w:rsid w:val="000A45DF"/>
    <w:rsid w:val="000A4695"/>
    <w:rsid w:val="000A487E"/>
    <w:rsid w:val="000A492E"/>
    <w:rsid w:val="000A4943"/>
    <w:rsid w:val="000A4986"/>
    <w:rsid w:val="000A4BA2"/>
    <w:rsid w:val="000A4BC3"/>
    <w:rsid w:val="000A4BCF"/>
    <w:rsid w:val="000A4D0E"/>
    <w:rsid w:val="000A4DA1"/>
    <w:rsid w:val="000A4E10"/>
    <w:rsid w:val="000A52CA"/>
    <w:rsid w:val="000A5463"/>
    <w:rsid w:val="000A5476"/>
    <w:rsid w:val="000A5483"/>
    <w:rsid w:val="000A5616"/>
    <w:rsid w:val="000A5B4E"/>
    <w:rsid w:val="000A5B67"/>
    <w:rsid w:val="000A5E51"/>
    <w:rsid w:val="000A605E"/>
    <w:rsid w:val="000A63DD"/>
    <w:rsid w:val="000A659C"/>
    <w:rsid w:val="000A662A"/>
    <w:rsid w:val="000A666A"/>
    <w:rsid w:val="000A66DC"/>
    <w:rsid w:val="000A68F0"/>
    <w:rsid w:val="000A696D"/>
    <w:rsid w:val="000A6979"/>
    <w:rsid w:val="000A6B2F"/>
    <w:rsid w:val="000A6D1C"/>
    <w:rsid w:val="000A6E79"/>
    <w:rsid w:val="000A71EB"/>
    <w:rsid w:val="000A7299"/>
    <w:rsid w:val="000A7426"/>
    <w:rsid w:val="000A7697"/>
    <w:rsid w:val="000A799D"/>
    <w:rsid w:val="000A7F77"/>
    <w:rsid w:val="000B0106"/>
    <w:rsid w:val="000B058B"/>
    <w:rsid w:val="000B0715"/>
    <w:rsid w:val="000B0791"/>
    <w:rsid w:val="000B09A2"/>
    <w:rsid w:val="000B0A49"/>
    <w:rsid w:val="000B0AF1"/>
    <w:rsid w:val="000B0B10"/>
    <w:rsid w:val="000B0B68"/>
    <w:rsid w:val="000B128D"/>
    <w:rsid w:val="000B12E6"/>
    <w:rsid w:val="000B15E1"/>
    <w:rsid w:val="000B162F"/>
    <w:rsid w:val="000B1951"/>
    <w:rsid w:val="000B1C9A"/>
    <w:rsid w:val="000B1DD2"/>
    <w:rsid w:val="000B1DF1"/>
    <w:rsid w:val="000B255F"/>
    <w:rsid w:val="000B2560"/>
    <w:rsid w:val="000B28C6"/>
    <w:rsid w:val="000B29FD"/>
    <w:rsid w:val="000B2AAB"/>
    <w:rsid w:val="000B2C7B"/>
    <w:rsid w:val="000B2F0D"/>
    <w:rsid w:val="000B30AE"/>
    <w:rsid w:val="000B35A2"/>
    <w:rsid w:val="000B3921"/>
    <w:rsid w:val="000B3B76"/>
    <w:rsid w:val="000B3D71"/>
    <w:rsid w:val="000B3D96"/>
    <w:rsid w:val="000B4090"/>
    <w:rsid w:val="000B412C"/>
    <w:rsid w:val="000B41B7"/>
    <w:rsid w:val="000B4208"/>
    <w:rsid w:val="000B421C"/>
    <w:rsid w:val="000B4866"/>
    <w:rsid w:val="000B4F4C"/>
    <w:rsid w:val="000B4FB2"/>
    <w:rsid w:val="000B51C8"/>
    <w:rsid w:val="000B520F"/>
    <w:rsid w:val="000B532E"/>
    <w:rsid w:val="000B5689"/>
    <w:rsid w:val="000B58A5"/>
    <w:rsid w:val="000B593F"/>
    <w:rsid w:val="000B5AF4"/>
    <w:rsid w:val="000B5CAE"/>
    <w:rsid w:val="000B627F"/>
    <w:rsid w:val="000B66D0"/>
    <w:rsid w:val="000B67BB"/>
    <w:rsid w:val="000B6947"/>
    <w:rsid w:val="000B6A3C"/>
    <w:rsid w:val="000B6A4C"/>
    <w:rsid w:val="000B6A84"/>
    <w:rsid w:val="000B6FB6"/>
    <w:rsid w:val="000B7084"/>
    <w:rsid w:val="000B718F"/>
    <w:rsid w:val="000B723B"/>
    <w:rsid w:val="000B7318"/>
    <w:rsid w:val="000B733F"/>
    <w:rsid w:val="000B7461"/>
    <w:rsid w:val="000B74ED"/>
    <w:rsid w:val="000B7738"/>
    <w:rsid w:val="000B7A05"/>
    <w:rsid w:val="000B7AC5"/>
    <w:rsid w:val="000B7DE8"/>
    <w:rsid w:val="000B7F00"/>
    <w:rsid w:val="000C00C1"/>
    <w:rsid w:val="000C0228"/>
    <w:rsid w:val="000C024C"/>
    <w:rsid w:val="000C0328"/>
    <w:rsid w:val="000C0677"/>
    <w:rsid w:val="000C0B68"/>
    <w:rsid w:val="000C0B85"/>
    <w:rsid w:val="000C0E0B"/>
    <w:rsid w:val="000C134C"/>
    <w:rsid w:val="000C15B2"/>
    <w:rsid w:val="000C17EE"/>
    <w:rsid w:val="000C1891"/>
    <w:rsid w:val="000C1924"/>
    <w:rsid w:val="000C19B9"/>
    <w:rsid w:val="000C1A6F"/>
    <w:rsid w:val="000C1B4F"/>
    <w:rsid w:val="000C1C00"/>
    <w:rsid w:val="000C1F16"/>
    <w:rsid w:val="000C201A"/>
    <w:rsid w:val="000C21EC"/>
    <w:rsid w:val="000C230B"/>
    <w:rsid w:val="000C244F"/>
    <w:rsid w:val="000C249D"/>
    <w:rsid w:val="000C2526"/>
    <w:rsid w:val="000C26A8"/>
    <w:rsid w:val="000C29B7"/>
    <w:rsid w:val="000C2A61"/>
    <w:rsid w:val="000C2A79"/>
    <w:rsid w:val="000C2CB6"/>
    <w:rsid w:val="000C2E2E"/>
    <w:rsid w:val="000C2FDF"/>
    <w:rsid w:val="000C3070"/>
    <w:rsid w:val="000C3120"/>
    <w:rsid w:val="000C3692"/>
    <w:rsid w:val="000C39E2"/>
    <w:rsid w:val="000C3EF0"/>
    <w:rsid w:val="000C3F50"/>
    <w:rsid w:val="000C3F74"/>
    <w:rsid w:val="000C4052"/>
    <w:rsid w:val="000C41D0"/>
    <w:rsid w:val="000C4265"/>
    <w:rsid w:val="000C45D5"/>
    <w:rsid w:val="000C4629"/>
    <w:rsid w:val="000C4818"/>
    <w:rsid w:val="000C4A43"/>
    <w:rsid w:val="000C4BC4"/>
    <w:rsid w:val="000C4D46"/>
    <w:rsid w:val="000C4D9D"/>
    <w:rsid w:val="000C4E63"/>
    <w:rsid w:val="000C50E5"/>
    <w:rsid w:val="000C586A"/>
    <w:rsid w:val="000C5C1F"/>
    <w:rsid w:val="000C5E0C"/>
    <w:rsid w:val="000C5E24"/>
    <w:rsid w:val="000C60AA"/>
    <w:rsid w:val="000C649F"/>
    <w:rsid w:val="000C6657"/>
    <w:rsid w:val="000C6880"/>
    <w:rsid w:val="000C69B9"/>
    <w:rsid w:val="000C6A4B"/>
    <w:rsid w:val="000C6B52"/>
    <w:rsid w:val="000C6CE3"/>
    <w:rsid w:val="000C7A2F"/>
    <w:rsid w:val="000C7F5E"/>
    <w:rsid w:val="000D0617"/>
    <w:rsid w:val="000D08DC"/>
    <w:rsid w:val="000D0AF0"/>
    <w:rsid w:val="000D0B56"/>
    <w:rsid w:val="000D0BA2"/>
    <w:rsid w:val="000D0BC5"/>
    <w:rsid w:val="000D0F0A"/>
    <w:rsid w:val="000D0F71"/>
    <w:rsid w:val="000D0FBB"/>
    <w:rsid w:val="000D15C0"/>
    <w:rsid w:val="000D166E"/>
    <w:rsid w:val="000D1C1D"/>
    <w:rsid w:val="000D1CA9"/>
    <w:rsid w:val="000D1E57"/>
    <w:rsid w:val="000D1F2F"/>
    <w:rsid w:val="000D212A"/>
    <w:rsid w:val="000D2276"/>
    <w:rsid w:val="000D29F0"/>
    <w:rsid w:val="000D2A5D"/>
    <w:rsid w:val="000D2D8C"/>
    <w:rsid w:val="000D2DBD"/>
    <w:rsid w:val="000D2EA9"/>
    <w:rsid w:val="000D3505"/>
    <w:rsid w:val="000D35D2"/>
    <w:rsid w:val="000D3622"/>
    <w:rsid w:val="000D3CF2"/>
    <w:rsid w:val="000D3E64"/>
    <w:rsid w:val="000D3F28"/>
    <w:rsid w:val="000D411D"/>
    <w:rsid w:val="000D43C1"/>
    <w:rsid w:val="000D444C"/>
    <w:rsid w:val="000D4481"/>
    <w:rsid w:val="000D44AA"/>
    <w:rsid w:val="000D44E9"/>
    <w:rsid w:val="000D46C0"/>
    <w:rsid w:val="000D4E18"/>
    <w:rsid w:val="000D4FAB"/>
    <w:rsid w:val="000D531E"/>
    <w:rsid w:val="000D5354"/>
    <w:rsid w:val="000D53E9"/>
    <w:rsid w:val="000D548D"/>
    <w:rsid w:val="000D55DC"/>
    <w:rsid w:val="000D55E9"/>
    <w:rsid w:val="000D5CD8"/>
    <w:rsid w:val="000D5CE6"/>
    <w:rsid w:val="000D5F77"/>
    <w:rsid w:val="000D5FB5"/>
    <w:rsid w:val="000D6270"/>
    <w:rsid w:val="000D64FF"/>
    <w:rsid w:val="000D658A"/>
    <w:rsid w:val="000D672A"/>
    <w:rsid w:val="000D67DF"/>
    <w:rsid w:val="000D6B65"/>
    <w:rsid w:val="000D6F51"/>
    <w:rsid w:val="000D7024"/>
    <w:rsid w:val="000D7321"/>
    <w:rsid w:val="000D7631"/>
    <w:rsid w:val="000D7879"/>
    <w:rsid w:val="000D7A1D"/>
    <w:rsid w:val="000D7A23"/>
    <w:rsid w:val="000D7A43"/>
    <w:rsid w:val="000D7B10"/>
    <w:rsid w:val="000D7FC5"/>
    <w:rsid w:val="000E00DF"/>
    <w:rsid w:val="000E0172"/>
    <w:rsid w:val="000E036F"/>
    <w:rsid w:val="000E0412"/>
    <w:rsid w:val="000E04EF"/>
    <w:rsid w:val="000E08A0"/>
    <w:rsid w:val="000E0AC2"/>
    <w:rsid w:val="000E0C8F"/>
    <w:rsid w:val="000E1305"/>
    <w:rsid w:val="000E13EC"/>
    <w:rsid w:val="000E142B"/>
    <w:rsid w:val="000E1699"/>
    <w:rsid w:val="000E1CD4"/>
    <w:rsid w:val="000E1DA0"/>
    <w:rsid w:val="000E1EB1"/>
    <w:rsid w:val="000E255D"/>
    <w:rsid w:val="000E2589"/>
    <w:rsid w:val="000E2744"/>
    <w:rsid w:val="000E2755"/>
    <w:rsid w:val="000E2A47"/>
    <w:rsid w:val="000E2B0F"/>
    <w:rsid w:val="000E2CA8"/>
    <w:rsid w:val="000E3509"/>
    <w:rsid w:val="000E351E"/>
    <w:rsid w:val="000E3759"/>
    <w:rsid w:val="000E37DC"/>
    <w:rsid w:val="000E3843"/>
    <w:rsid w:val="000E3902"/>
    <w:rsid w:val="000E391A"/>
    <w:rsid w:val="000E3C0E"/>
    <w:rsid w:val="000E3C8B"/>
    <w:rsid w:val="000E3D07"/>
    <w:rsid w:val="000E433D"/>
    <w:rsid w:val="000E46CA"/>
    <w:rsid w:val="000E47B0"/>
    <w:rsid w:val="000E4978"/>
    <w:rsid w:val="000E4D5B"/>
    <w:rsid w:val="000E4F23"/>
    <w:rsid w:val="000E5331"/>
    <w:rsid w:val="000E5A09"/>
    <w:rsid w:val="000E5B48"/>
    <w:rsid w:val="000E5E83"/>
    <w:rsid w:val="000E6170"/>
    <w:rsid w:val="000E632F"/>
    <w:rsid w:val="000E660F"/>
    <w:rsid w:val="000E68A5"/>
    <w:rsid w:val="000E6A17"/>
    <w:rsid w:val="000E6A78"/>
    <w:rsid w:val="000E6B97"/>
    <w:rsid w:val="000E6D9E"/>
    <w:rsid w:val="000E6F69"/>
    <w:rsid w:val="000E715D"/>
    <w:rsid w:val="000E7173"/>
    <w:rsid w:val="000E720A"/>
    <w:rsid w:val="000E736C"/>
    <w:rsid w:val="000E73F4"/>
    <w:rsid w:val="000E75B4"/>
    <w:rsid w:val="000E767B"/>
    <w:rsid w:val="000E7E29"/>
    <w:rsid w:val="000E7F43"/>
    <w:rsid w:val="000F002C"/>
    <w:rsid w:val="000F0336"/>
    <w:rsid w:val="000F07E1"/>
    <w:rsid w:val="000F08BD"/>
    <w:rsid w:val="000F0B50"/>
    <w:rsid w:val="000F0BAF"/>
    <w:rsid w:val="000F10BF"/>
    <w:rsid w:val="000F17D4"/>
    <w:rsid w:val="000F195D"/>
    <w:rsid w:val="000F197A"/>
    <w:rsid w:val="000F1C8F"/>
    <w:rsid w:val="000F1CCF"/>
    <w:rsid w:val="000F2076"/>
    <w:rsid w:val="000F22A2"/>
    <w:rsid w:val="000F23EF"/>
    <w:rsid w:val="000F268E"/>
    <w:rsid w:val="000F2A07"/>
    <w:rsid w:val="000F2A45"/>
    <w:rsid w:val="000F2BC3"/>
    <w:rsid w:val="000F2E2F"/>
    <w:rsid w:val="000F2F11"/>
    <w:rsid w:val="000F302F"/>
    <w:rsid w:val="000F308D"/>
    <w:rsid w:val="000F3255"/>
    <w:rsid w:val="000F32FD"/>
    <w:rsid w:val="000F34F5"/>
    <w:rsid w:val="000F358A"/>
    <w:rsid w:val="000F3926"/>
    <w:rsid w:val="000F3D4B"/>
    <w:rsid w:val="000F401D"/>
    <w:rsid w:val="000F40E0"/>
    <w:rsid w:val="000F4192"/>
    <w:rsid w:val="000F46E2"/>
    <w:rsid w:val="000F4864"/>
    <w:rsid w:val="000F4C03"/>
    <w:rsid w:val="000F4CDD"/>
    <w:rsid w:val="000F5077"/>
    <w:rsid w:val="000F52EE"/>
    <w:rsid w:val="000F538D"/>
    <w:rsid w:val="000F57E2"/>
    <w:rsid w:val="000F5B47"/>
    <w:rsid w:val="000F5BA3"/>
    <w:rsid w:val="000F5BB6"/>
    <w:rsid w:val="000F5DD4"/>
    <w:rsid w:val="000F5F8B"/>
    <w:rsid w:val="000F6290"/>
    <w:rsid w:val="000F6297"/>
    <w:rsid w:val="000F6487"/>
    <w:rsid w:val="000F6706"/>
    <w:rsid w:val="000F6722"/>
    <w:rsid w:val="000F67F0"/>
    <w:rsid w:val="000F692C"/>
    <w:rsid w:val="000F6B4F"/>
    <w:rsid w:val="000F73BB"/>
    <w:rsid w:val="000F7478"/>
    <w:rsid w:val="000F76F6"/>
    <w:rsid w:val="000F79FC"/>
    <w:rsid w:val="000F7C75"/>
    <w:rsid w:val="000F7D34"/>
    <w:rsid w:val="000F7E65"/>
    <w:rsid w:val="00100140"/>
    <w:rsid w:val="00100559"/>
    <w:rsid w:val="0010058B"/>
    <w:rsid w:val="001008DB"/>
    <w:rsid w:val="001009FE"/>
    <w:rsid w:val="00100CE5"/>
    <w:rsid w:val="00100D39"/>
    <w:rsid w:val="00100D61"/>
    <w:rsid w:val="00100E8C"/>
    <w:rsid w:val="00100F68"/>
    <w:rsid w:val="00101073"/>
    <w:rsid w:val="00101588"/>
    <w:rsid w:val="00101A25"/>
    <w:rsid w:val="00101AF2"/>
    <w:rsid w:val="00101BDD"/>
    <w:rsid w:val="00101CBB"/>
    <w:rsid w:val="00101D35"/>
    <w:rsid w:val="00101E67"/>
    <w:rsid w:val="001024A1"/>
    <w:rsid w:val="0010252F"/>
    <w:rsid w:val="001025E3"/>
    <w:rsid w:val="001026F1"/>
    <w:rsid w:val="001028A8"/>
    <w:rsid w:val="00102977"/>
    <w:rsid w:val="00102AB6"/>
    <w:rsid w:val="00102E35"/>
    <w:rsid w:val="00102F82"/>
    <w:rsid w:val="00103017"/>
    <w:rsid w:val="001031EC"/>
    <w:rsid w:val="001032EB"/>
    <w:rsid w:val="00103363"/>
    <w:rsid w:val="001038E4"/>
    <w:rsid w:val="001039B5"/>
    <w:rsid w:val="00103A36"/>
    <w:rsid w:val="00103C83"/>
    <w:rsid w:val="00103D87"/>
    <w:rsid w:val="00103DDC"/>
    <w:rsid w:val="00103E12"/>
    <w:rsid w:val="001042F7"/>
    <w:rsid w:val="00104453"/>
    <w:rsid w:val="0010453C"/>
    <w:rsid w:val="001047C2"/>
    <w:rsid w:val="00104B01"/>
    <w:rsid w:val="00104C34"/>
    <w:rsid w:val="00104C63"/>
    <w:rsid w:val="00104EAD"/>
    <w:rsid w:val="00104FAC"/>
    <w:rsid w:val="001052B2"/>
    <w:rsid w:val="001052D4"/>
    <w:rsid w:val="0010533C"/>
    <w:rsid w:val="001053B4"/>
    <w:rsid w:val="00105482"/>
    <w:rsid w:val="00105748"/>
    <w:rsid w:val="00105FA4"/>
    <w:rsid w:val="0010603B"/>
    <w:rsid w:val="0010606C"/>
    <w:rsid w:val="0010620F"/>
    <w:rsid w:val="00106765"/>
    <w:rsid w:val="00106768"/>
    <w:rsid w:val="001067F8"/>
    <w:rsid w:val="001069C7"/>
    <w:rsid w:val="00106C4A"/>
    <w:rsid w:val="00106CB1"/>
    <w:rsid w:val="001071D8"/>
    <w:rsid w:val="00107221"/>
    <w:rsid w:val="00107228"/>
    <w:rsid w:val="001072C2"/>
    <w:rsid w:val="001074F8"/>
    <w:rsid w:val="0010758C"/>
    <w:rsid w:val="0010772E"/>
    <w:rsid w:val="0010783D"/>
    <w:rsid w:val="00107928"/>
    <w:rsid w:val="00107A5E"/>
    <w:rsid w:val="00107AC7"/>
    <w:rsid w:val="00110040"/>
    <w:rsid w:val="00110218"/>
    <w:rsid w:val="00110372"/>
    <w:rsid w:val="001104FE"/>
    <w:rsid w:val="0011051E"/>
    <w:rsid w:val="001105C8"/>
    <w:rsid w:val="00110748"/>
    <w:rsid w:val="001107DD"/>
    <w:rsid w:val="001109BE"/>
    <w:rsid w:val="001109C9"/>
    <w:rsid w:val="00110DD2"/>
    <w:rsid w:val="00110DEB"/>
    <w:rsid w:val="00110EFD"/>
    <w:rsid w:val="00111077"/>
    <w:rsid w:val="001110D2"/>
    <w:rsid w:val="001111AA"/>
    <w:rsid w:val="0011198B"/>
    <w:rsid w:val="001119D0"/>
    <w:rsid w:val="00111B0E"/>
    <w:rsid w:val="00112173"/>
    <w:rsid w:val="00112185"/>
    <w:rsid w:val="001125E1"/>
    <w:rsid w:val="00112B6F"/>
    <w:rsid w:val="00112BDD"/>
    <w:rsid w:val="00112E93"/>
    <w:rsid w:val="001135DE"/>
    <w:rsid w:val="00113637"/>
    <w:rsid w:val="001137CE"/>
    <w:rsid w:val="0011382F"/>
    <w:rsid w:val="00113940"/>
    <w:rsid w:val="00113999"/>
    <w:rsid w:val="00113A81"/>
    <w:rsid w:val="00113F01"/>
    <w:rsid w:val="0011443D"/>
    <w:rsid w:val="001144C4"/>
    <w:rsid w:val="00114688"/>
    <w:rsid w:val="00114780"/>
    <w:rsid w:val="001148B4"/>
    <w:rsid w:val="0011494A"/>
    <w:rsid w:val="001149CD"/>
    <w:rsid w:val="001149E7"/>
    <w:rsid w:val="00114F0C"/>
    <w:rsid w:val="00114FEE"/>
    <w:rsid w:val="0011513E"/>
    <w:rsid w:val="0011517B"/>
    <w:rsid w:val="001151D2"/>
    <w:rsid w:val="001152C1"/>
    <w:rsid w:val="00115316"/>
    <w:rsid w:val="00115606"/>
    <w:rsid w:val="0011567A"/>
    <w:rsid w:val="001158A6"/>
    <w:rsid w:val="00115928"/>
    <w:rsid w:val="00115941"/>
    <w:rsid w:val="0011598E"/>
    <w:rsid w:val="001159C5"/>
    <w:rsid w:val="00115A3D"/>
    <w:rsid w:val="00115B4C"/>
    <w:rsid w:val="00115D96"/>
    <w:rsid w:val="00115DD3"/>
    <w:rsid w:val="0011600D"/>
    <w:rsid w:val="001161D9"/>
    <w:rsid w:val="00116423"/>
    <w:rsid w:val="001164F1"/>
    <w:rsid w:val="00116558"/>
    <w:rsid w:val="00116632"/>
    <w:rsid w:val="001166A1"/>
    <w:rsid w:val="0011679C"/>
    <w:rsid w:val="0011684F"/>
    <w:rsid w:val="00116FD1"/>
    <w:rsid w:val="00117024"/>
    <w:rsid w:val="0011758F"/>
    <w:rsid w:val="00117CC2"/>
    <w:rsid w:val="0012003F"/>
    <w:rsid w:val="0012006B"/>
    <w:rsid w:val="001203F3"/>
    <w:rsid w:val="00120435"/>
    <w:rsid w:val="00120A0B"/>
    <w:rsid w:val="00120A59"/>
    <w:rsid w:val="00120AFD"/>
    <w:rsid w:val="00120B79"/>
    <w:rsid w:val="00120FB0"/>
    <w:rsid w:val="0012101B"/>
    <w:rsid w:val="0012105E"/>
    <w:rsid w:val="001213D8"/>
    <w:rsid w:val="001214CC"/>
    <w:rsid w:val="001215DF"/>
    <w:rsid w:val="00121786"/>
    <w:rsid w:val="001217D2"/>
    <w:rsid w:val="00121883"/>
    <w:rsid w:val="00121D30"/>
    <w:rsid w:val="00122088"/>
    <w:rsid w:val="001220A2"/>
    <w:rsid w:val="0012224C"/>
    <w:rsid w:val="00122302"/>
    <w:rsid w:val="00122C30"/>
    <w:rsid w:val="00122CCE"/>
    <w:rsid w:val="00122CE5"/>
    <w:rsid w:val="00122E00"/>
    <w:rsid w:val="00122F12"/>
    <w:rsid w:val="001230CF"/>
    <w:rsid w:val="00123650"/>
    <w:rsid w:val="00123815"/>
    <w:rsid w:val="00123A12"/>
    <w:rsid w:val="00123EC7"/>
    <w:rsid w:val="00124088"/>
    <w:rsid w:val="00124676"/>
    <w:rsid w:val="001246E7"/>
    <w:rsid w:val="001247D1"/>
    <w:rsid w:val="001249FD"/>
    <w:rsid w:val="00124E0E"/>
    <w:rsid w:val="00124E1A"/>
    <w:rsid w:val="00124FEE"/>
    <w:rsid w:val="001251B0"/>
    <w:rsid w:val="001253A1"/>
    <w:rsid w:val="001257D6"/>
    <w:rsid w:val="00125CEC"/>
    <w:rsid w:val="00125D62"/>
    <w:rsid w:val="00125E4F"/>
    <w:rsid w:val="00125E5B"/>
    <w:rsid w:val="00125FFE"/>
    <w:rsid w:val="001261A1"/>
    <w:rsid w:val="00126443"/>
    <w:rsid w:val="00126469"/>
    <w:rsid w:val="0012651D"/>
    <w:rsid w:val="00126561"/>
    <w:rsid w:val="00126759"/>
    <w:rsid w:val="001268F9"/>
    <w:rsid w:val="00126970"/>
    <w:rsid w:val="001269BF"/>
    <w:rsid w:val="00126AF0"/>
    <w:rsid w:val="001274FC"/>
    <w:rsid w:val="001276FB"/>
    <w:rsid w:val="00127CA2"/>
    <w:rsid w:val="00127E02"/>
    <w:rsid w:val="00130229"/>
    <w:rsid w:val="0013051E"/>
    <w:rsid w:val="00130A4A"/>
    <w:rsid w:val="00130C0A"/>
    <w:rsid w:val="00130D97"/>
    <w:rsid w:val="00131327"/>
    <w:rsid w:val="00131350"/>
    <w:rsid w:val="00131484"/>
    <w:rsid w:val="001314F2"/>
    <w:rsid w:val="001315A5"/>
    <w:rsid w:val="0013197F"/>
    <w:rsid w:val="0013255B"/>
    <w:rsid w:val="00132836"/>
    <w:rsid w:val="00132996"/>
    <w:rsid w:val="00132B2F"/>
    <w:rsid w:val="00132BAE"/>
    <w:rsid w:val="00132BD7"/>
    <w:rsid w:val="00132D07"/>
    <w:rsid w:val="00132E16"/>
    <w:rsid w:val="00132F07"/>
    <w:rsid w:val="00132F75"/>
    <w:rsid w:val="001331F0"/>
    <w:rsid w:val="00133434"/>
    <w:rsid w:val="00133529"/>
    <w:rsid w:val="00133714"/>
    <w:rsid w:val="0013382F"/>
    <w:rsid w:val="00133AF9"/>
    <w:rsid w:val="00133BF8"/>
    <w:rsid w:val="00133FBD"/>
    <w:rsid w:val="00133FF7"/>
    <w:rsid w:val="001340CF"/>
    <w:rsid w:val="001340D7"/>
    <w:rsid w:val="001341EA"/>
    <w:rsid w:val="001342DA"/>
    <w:rsid w:val="0013443A"/>
    <w:rsid w:val="001344FB"/>
    <w:rsid w:val="001348F7"/>
    <w:rsid w:val="00134A6E"/>
    <w:rsid w:val="00134A80"/>
    <w:rsid w:val="001350A5"/>
    <w:rsid w:val="00135139"/>
    <w:rsid w:val="001351D8"/>
    <w:rsid w:val="00135250"/>
    <w:rsid w:val="0013570A"/>
    <w:rsid w:val="001357AA"/>
    <w:rsid w:val="00135807"/>
    <w:rsid w:val="00135999"/>
    <w:rsid w:val="00135A55"/>
    <w:rsid w:val="00135A9D"/>
    <w:rsid w:val="00135C07"/>
    <w:rsid w:val="00135F9F"/>
    <w:rsid w:val="00135FE9"/>
    <w:rsid w:val="00136091"/>
    <w:rsid w:val="00136795"/>
    <w:rsid w:val="00136833"/>
    <w:rsid w:val="00136B00"/>
    <w:rsid w:val="00136B9A"/>
    <w:rsid w:val="00136BFC"/>
    <w:rsid w:val="00136CF3"/>
    <w:rsid w:val="00136D6E"/>
    <w:rsid w:val="00136F42"/>
    <w:rsid w:val="001371BD"/>
    <w:rsid w:val="0013720C"/>
    <w:rsid w:val="001373D2"/>
    <w:rsid w:val="001377FA"/>
    <w:rsid w:val="00137AB8"/>
    <w:rsid w:val="00137E30"/>
    <w:rsid w:val="0014026B"/>
    <w:rsid w:val="001402E8"/>
    <w:rsid w:val="00140E17"/>
    <w:rsid w:val="00140FC8"/>
    <w:rsid w:val="001416B6"/>
    <w:rsid w:val="00141968"/>
    <w:rsid w:val="001419EE"/>
    <w:rsid w:val="00141AD2"/>
    <w:rsid w:val="00141B19"/>
    <w:rsid w:val="00141D6D"/>
    <w:rsid w:val="00141F6F"/>
    <w:rsid w:val="00141FDB"/>
    <w:rsid w:val="00142D22"/>
    <w:rsid w:val="00142DDF"/>
    <w:rsid w:val="00142FB7"/>
    <w:rsid w:val="00143329"/>
    <w:rsid w:val="00143399"/>
    <w:rsid w:val="001436F3"/>
    <w:rsid w:val="001438ED"/>
    <w:rsid w:val="00143926"/>
    <w:rsid w:val="00143BAF"/>
    <w:rsid w:val="00143BE5"/>
    <w:rsid w:val="00143C91"/>
    <w:rsid w:val="00143EB4"/>
    <w:rsid w:val="0014405F"/>
    <w:rsid w:val="00144062"/>
    <w:rsid w:val="00144274"/>
    <w:rsid w:val="001443AC"/>
    <w:rsid w:val="00144554"/>
    <w:rsid w:val="001446FC"/>
    <w:rsid w:val="001447DC"/>
    <w:rsid w:val="00144A4D"/>
    <w:rsid w:val="00144AFD"/>
    <w:rsid w:val="00144B48"/>
    <w:rsid w:val="00144BB2"/>
    <w:rsid w:val="00144CA8"/>
    <w:rsid w:val="00144F10"/>
    <w:rsid w:val="00145531"/>
    <w:rsid w:val="00145623"/>
    <w:rsid w:val="001459A7"/>
    <w:rsid w:val="00145EF3"/>
    <w:rsid w:val="001460E4"/>
    <w:rsid w:val="0014611C"/>
    <w:rsid w:val="0014615B"/>
    <w:rsid w:val="0014660E"/>
    <w:rsid w:val="00146A92"/>
    <w:rsid w:val="00146CDC"/>
    <w:rsid w:val="00146E79"/>
    <w:rsid w:val="0014700E"/>
    <w:rsid w:val="0014713E"/>
    <w:rsid w:val="0014752B"/>
    <w:rsid w:val="001475D8"/>
    <w:rsid w:val="00147973"/>
    <w:rsid w:val="001479C1"/>
    <w:rsid w:val="00147F6C"/>
    <w:rsid w:val="00150080"/>
    <w:rsid w:val="001500AC"/>
    <w:rsid w:val="0015012B"/>
    <w:rsid w:val="001502C6"/>
    <w:rsid w:val="0015031B"/>
    <w:rsid w:val="0015070B"/>
    <w:rsid w:val="0015085B"/>
    <w:rsid w:val="001509EB"/>
    <w:rsid w:val="001511CF"/>
    <w:rsid w:val="001512E1"/>
    <w:rsid w:val="001513B6"/>
    <w:rsid w:val="0015148A"/>
    <w:rsid w:val="001514AE"/>
    <w:rsid w:val="001516C8"/>
    <w:rsid w:val="00151AD3"/>
    <w:rsid w:val="00151B4B"/>
    <w:rsid w:val="00151DB0"/>
    <w:rsid w:val="00151E3F"/>
    <w:rsid w:val="00151EDD"/>
    <w:rsid w:val="00151F4D"/>
    <w:rsid w:val="0015207A"/>
    <w:rsid w:val="001521D0"/>
    <w:rsid w:val="00152262"/>
    <w:rsid w:val="0015247F"/>
    <w:rsid w:val="0015270C"/>
    <w:rsid w:val="001527B8"/>
    <w:rsid w:val="001528AD"/>
    <w:rsid w:val="00152941"/>
    <w:rsid w:val="00152C6D"/>
    <w:rsid w:val="0015324B"/>
    <w:rsid w:val="0015346E"/>
    <w:rsid w:val="001534FC"/>
    <w:rsid w:val="001534FE"/>
    <w:rsid w:val="00153725"/>
    <w:rsid w:val="001537B4"/>
    <w:rsid w:val="001537C7"/>
    <w:rsid w:val="00153C06"/>
    <w:rsid w:val="00153C0A"/>
    <w:rsid w:val="00153DA3"/>
    <w:rsid w:val="00153DEF"/>
    <w:rsid w:val="00153E31"/>
    <w:rsid w:val="00154051"/>
    <w:rsid w:val="00154105"/>
    <w:rsid w:val="00154143"/>
    <w:rsid w:val="00154593"/>
    <w:rsid w:val="00154BF7"/>
    <w:rsid w:val="00154BFE"/>
    <w:rsid w:val="00154E0A"/>
    <w:rsid w:val="0015512C"/>
    <w:rsid w:val="00155642"/>
    <w:rsid w:val="001556E1"/>
    <w:rsid w:val="001560E9"/>
    <w:rsid w:val="001563E8"/>
    <w:rsid w:val="001564EC"/>
    <w:rsid w:val="0015685A"/>
    <w:rsid w:val="00156BC5"/>
    <w:rsid w:val="00157102"/>
    <w:rsid w:val="0015731A"/>
    <w:rsid w:val="0015733B"/>
    <w:rsid w:val="00157355"/>
    <w:rsid w:val="00157767"/>
    <w:rsid w:val="00157836"/>
    <w:rsid w:val="001578D6"/>
    <w:rsid w:val="00157C06"/>
    <w:rsid w:val="00157CF2"/>
    <w:rsid w:val="00157DF5"/>
    <w:rsid w:val="00157F86"/>
    <w:rsid w:val="001600F3"/>
    <w:rsid w:val="00160236"/>
    <w:rsid w:val="00160260"/>
    <w:rsid w:val="001602F1"/>
    <w:rsid w:val="00160507"/>
    <w:rsid w:val="00160601"/>
    <w:rsid w:val="001606D9"/>
    <w:rsid w:val="00160FB8"/>
    <w:rsid w:val="001611FB"/>
    <w:rsid w:val="00161430"/>
    <w:rsid w:val="0016143C"/>
    <w:rsid w:val="0016145D"/>
    <w:rsid w:val="0016154B"/>
    <w:rsid w:val="0016165C"/>
    <w:rsid w:val="0016178A"/>
    <w:rsid w:val="00161978"/>
    <w:rsid w:val="00161DDC"/>
    <w:rsid w:val="00161E01"/>
    <w:rsid w:val="00162183"/>
    <w:rsid w:val="001621EB"/>
    <w:rsid w:val="001621F0"/>
    <w:rsid w:val="0016227C"/>
    <w:rsid w:val="001623AF"/>
    <w:rsid w:val="001623EB"/>
    <w:rsid w:val="00162534"/>
    <w:rsid w:val="00162752"/>
    <w:rsid w:val="0016289A"/>
    <w:rsid w:val="001629E5"/>
    <w:rsid w:val="00162A41"/>
    <w:rsid w:val="00162E08"/>
    <w:rsid w:val="00163151"/>
    <w:rsid w:val="0016317D"/>
    <w:rsid w:val="00163270"/>
    <w:rsid w:val="001633E0"/>
    <w:rsid w:val="0016343C"/>
    <w:rsid w:val="00163644"/>
    <w:rsid w:val="00163653"/>
    <w:rsid w:val="001637C0"/>
    <w:rsid w:val="001639A7"/>
    <w:rsid w:val="00163AE2"/>
    <w:rsid w:val="00163C6E"/>
    <w:rsid w:val="001640E5"/>
    <w:rsid w:val="001640ED"/>
    <w:rsid w:val="0016428B"/>
    <w:rsid w:val="0016435D"/>
    <w:rsid w:val="0016449C"/>
    <w:rsid w:val="001644AB"/>
    <w:rsid w:val="00164642"/>
    <w:rsid w:val="001646EA"/>
    <w:rsid w:val="0016471D"/>
    <w:rsid w:val="00164755"/>
    <w:rsid w:val="00164759"/>
    <w:rsid w:val="00164B26"/>
    <w:rsid w:val="00164C50"/>
    <w:rsid w:val="00164EDF"/>
    <w:rsid w:val="00164EFB"/>
    <w:rsid w:val="0016510A"/>
    <w:rsid w:val="00165158"/>
    <w:rsid w:val="00165329"/>
    <w:rsid w:val="00165701"/>
    <w:rsid w:val="00165D99"/>
    <w:rsid w:val="00165F38"/>
    <w:rsid w:val="0016601B"/>
    <w:rsid w:val="00166137"/>
    <w:rsid w:val="001661AD"/>
    <w:rsid w:val="0016626C"/>
    <w:rsid w:val="0016634A"/>
    <w:rsid w:val="0016657A"/>
    <w:rsid w:val="00166699"/>
    <w:rsid w:val="0016669F"/>
    <w:rsid w:val="001666A5"/>
    <w:rsid w:val="001666C2"/>
    <w:rsid w:val="0016686C"/>
    <w:rsid w:val="0016686E"/>
    <w:rsid w:val="00166911"/>
    <w:rsid w:val="00166B9C"/>
    <w:rsid w:val="00166CBF"/>
    <w:rsid w:val="0016701F"/>
    <w:rsid w:val="001672B1"/>
    <w:rsid w:val="00167329"/>
    <w:rsid w:val="00167371"/>
    <w:rsid w:val="00167507"/>
    <w:rsid w:val="001678E5"/>
    <w:rsid w:val="00167B24"/>
    <w:rsid w:val="00167C73"/>
    <w:rsid w:val="00167D0A"/>
    <w:rsid w:val="00167FBB"/>
    <w:rsid w:val="001701D3"/>
    <w:rsid w:val="001703E5"/>
    <w:rsid w:val="00170505"/>
    <w:rsid w:val="001707BF"/>
    <w:rsid w:val="00170806"/>
    <w:rsid w:val="00170878"/>
    <w:rsid w:val="00170886"/>
    <w:rsid w:val="00170918"/>
    <w:rsid w:val="00170CE7"/>
    <w:rsid w:val="00170D66"/>
    <w:rsid w:val="0017108C"/>
    <w:rsid w:val="0017117A"/>
    <w:rsid w:val="0017148D"/>
    <w:rsid w:val="00171697"/>
    <w:rsid w:val="0017179B"/>
    <w:rsid w:val="00171A5A"/>
    <w:rsid w:val="00171D2C"/>
    <w:rsid w:val="00171DBE"/>
    <w:rsid w:val="00171E21"/>
    <w:rsid w:val="00171E80"/>
    <w:rsid w:val="001724F0"/>
    <w:rsid w:val="00172967"/>
    <w:rsid w:val="00172B43"/>
    <w:rsid w:val="00173033"/>
    <w:rsid w:val="00173051"/>
    <w:rsid w:val="001732F3"/>
    <w:rsid w:val="001733BA"/>
    <w:rsid w:val="0017370E"/>
    <w:rsid w:val="001739CA"/>
    <w:rsid w:val="00173B00"/>
    <w:rsid w:val="001740B9"/>
    <w:rsid w:val="00174296"/>
    <w:rsid w:val="00174463"/>
    <w:rsid w:val="00174720"/>
    <w:rsid w:val="001747F0"/>
    <w:rsid w:val="0017491D"/>
    <w:rsid w:val="00174958"/>
    <w:rsid w:val="00174C6C"/>
    <w:rsid w:val="00174D1C"/>
    <w:rsid w:val="00174D4D"/>
    <w:rsid w:val="001750E9"/>
    <w:rsid w:val="00175194"/>
    <w:rsid w:val="001752F5"/>
    <w:rsid w:val="0017530E"/>
    <w:rsid w:val="0017579A"/>
    <w:rsid w:val="0017585C"/>
    <w:rsid w:val="00175979"/>
    <w:rsid w:val="00175D29"/>
    <w:rsid w:val="00176005"/>
    <w:rsid w:val="001760A6"/>
    <w:rsid w:val="001760B5"/>
    <w:rsid w:val="001760CF"/>
    <w:rsid w:val="0017674D"/>
    <w:rsid w:val="00176BFB"/>
    <w:rsid w:val="00176C49"/>
    <w:rsid w:val="00176C7D"/>
    <w:rsid w:val="00176D2C"/>
    <w:rsid w:val="00176E00"/>
    <w:rsid w:val="00177146"/>
    <w:rsid w:val="001772D3"/>
    <w:rsid w:val="001773AC"/>
    <w:rsid w:val="0017753B"/>
    <w:rsid w:val="0017754B"/>
    <w:rsid w:val="0017757D"/>
    <w:rsid w:val="0017764F"/>
    <w:rsid w:val="0017772E"/>
    <w:rsid w:val="0017795C"/>
    <w:rsid w:val="00177B4F"/>
    <w:rsid w:val="00177DDC"/>
    <w:rsid w:val="00177FA3"/>
    <w:rsid w:val="00180192"/>
    <w:rsid w:val="0018083E"/>
    <w:rsid w:val="00180A31"/>
    <w:rsid w:val="00180AE3"/>
    <w:rsid w:val="00180D74"/>
    <w:rsid w:val="001812D2"/>
    <w:rsid w:val="00181730"/>
    <w:rsid w:val="0018197D"/>
    <w:rsid w:val="00181AE0"/>
    <w:rsid w:val="00181BE1"/>
    <w:rsid w:val="00181D7D"/>
    <w:rsid w:val="00182060"/>
    <w:rsid w:val="00182226"/>
    <w:rsid w:val="001828D2"/>
    <w:rsid w:val="001828F4"/>
    <w:rsid w:val="0018292B"/>
    <w:rsid w:val="001829CD"/>
    <w:rsid w:val="00182BDE"/>
    <w:rsid w:val="00182C37"/>
    <w:rsid w:val="001830E9"/>
    <w:rsid w:val="00183159"/>
    <w:rsid w:val="0018346B"/>
    <w:rsid w:val="00183542"/>
    <w:rsid w:val="00183598"/>
    <w:rsid w:val="00183828"/>
    <w:rsid w:val="00183844"/>
    <w:rsid w:val="001838DD"/>
    <w:rsid w:val="00183937"/>
    <w:rsid w:val="00183B70"/>
    <w:rsid w:val="00183C34"/>
    <w:rsid w:val="00183CFF"/>
    <w:rsid w:val="00183ECE"/>
    <w:rsid w:val="00183F3B"/>
    <w:rsid w:val="00183FD3"/>
    <w:rsid w:val="00183FEA"/>
    <w:rsid w:val="00183FFC"/>
    <w:rsid w:val="001841EA"/>
    <w:rsid w:val="00184524"/>
    <w:rsid w:val="001846A0"/>
    <w:rsid w:val="0018496E"/>
    <w:rsid w:val="00185167"/>
    <w:rsid w:val="0018552E"/>
    <w:rsid w:val="0018555E"/>
    <w:rsid w:val="001857E2"/>
    <w:rsid w:val="001858B0"/>
    <w:rsid w:val="00185B94"/>
    <w:rsid w:val="00185E58"/>
    <w:rsid w:val="0018616B"/>
    <w:rsid w:val="00186314"/>
    <w:rsid w:val="00186358"/>
    <w:rsid w:val="001863CC"/>
    <w:rsid w:val="001864FF"/>
    <w:rsid w:val="00186527"/>
    <w:rsid w:val="00186607"/>
    <w:rsid w:val="00186675"/>
    <w:rsid w:val="001867AA"/>
    <w:rsid w:val="00186861"/>
    <w:rsid w:val="00187125"/>
    <w:rsid w:val="0018728C"/>
    <w:rsid w:val="0018775C"/>
    <w:rsid w:val="001877A9"/>
    <w:rsid w:val="00187841"/>
    <w:rsid w:val="00187858"/>
    <w:rsid w:val="00187876"/>
    <w:rsid w:val="00187A74"/>
    <w:rsid w:val="00187CE8"/>
    <w:rsid w:val="00187E6A"/>
    <w:rsid w:val="00187F5E"/>
    <w:rsid w:val="00187FA6"/>
    <w:rsid w:val="001900A4"/>
    <w:rsid w:val="0019047D"/>
    <w:rsid w:val="001904F2"/>
    <w:rsid w:val="00190864"/>
    <w:rsid w:val="00190961"/>
    <w:rsid w:val="00190D75"/>
    <w:rsid w:val="00190DEB"/>
    <w:rsid w:val="00191223"/>
    <w:rsid w:val="00191286"/>
    <w:rsid w:val="00191436"/>
    <w:rsid w:val="00191532"/>
    <w:rsid w:val="0019195E"/>
    <w:rsid w:val="00191969"/>
    <w:rsid w:val="00191A10"/>
    <w:rsid w:val="00191DAD"/>
    <w:rsid w:val="00191ECB"/>
    <w:rsid w:val="00191FAB"/>
    <w:rsid w:val="00192046"/>
    <w:rsid w:val="00192186"/>
    <w:rsid w:val="00192197"/>
    <w:rsid w:val="001921BB"/>
    <w:rsid w:val="00192281"/>
    <w:rsid w:val="0019236D"/>
    <w:rsid w:val="001923B6"/>
    <w:rsid w:val="00192555"/>
    <w:rsid w:val="0019287F"/>
    <w:rsid w:val="001928DD"/>
    <w:rsid w:val="0019290F"/>
    <w:rsid w:val="0019297C"/>
    <w:rsid w:val="001929D1"/>
    <w:rsid w:val="00192A08"/>
    <w:rsid w:val="001932C4"/>
    <w:rsid w:val="00193475"/>
    <w:rsid w:val="001935D0"/>
    <w:rsid w:val="001935F2"/>
    <w:rsid w:val="0019361E"/>
    <w:rsid w:val="0019399A"/>
    <w:rsid w:val="00193B1D"/>
    <w:rsid w:val="00193CF2"/>
    <w:rsid w:val="00194062"/>
    <w:rsid w:val="001940DE"/>
    <w:rsid w:val="00194210"/>
    <w:rsid w:val="00194832"/>
    <w:rsid w:val="001953A2"/>
    <w:rsid w:val="00195432"/>
    <w:rsid w:val="001955D8"/>
    <w:rsid w:val="0019563B"/>
    <w:rsid w:val="0019569D"/>
    <w:rsid w:val="0019573E"/>
    <w:rsid w:val="001957F5"/>
    <w:rsid w:val="00195913"/>
    <w:rsid w:val="00195AAA"/>
    <w:rsid w:val="00195B44"/>
    <w:rsid w:val="00195C39"/>
    <w:rsid w:val="00195E11"/>
    <w:rsid w:val="00195E27"/>
    <w:rsid w:val="00195F73"/>
    <w:rsid w:val="001960BE"/>
    <w:rsid w:val="00196322"/>
    <w:rsid w:val="0019654C"/>
    <w:rsid w:val="00196651"/>
    <w:rsid w:val="00196BFC"/>
    <w:rsid w:val="00196CED"/>
    <w:rsid w:val="00196DB4"/>
    <w:rsid w:val="00197035"/>
    <w:rsid w:val="001970B6"/>
    <w:rsid w:val="001970FA"/>
    <w:rsid w:val="0019722F"/>
    <w:rsid w:val="001973A8"/>
    <w:rsid w:val="001973BC"/>
    <w:rsid w:val="00197506"/>
    <w:rsid w:val="00197551"/>
    <w:rsid w:val="0019781F"/>
    <w:rsid w:val="00197939"/>
    <w:rsid w:val="00197A08"/>
    <w:rsid w:val="00197DFB"/>
    <w:rsid w:val="001A00B9"/>
    <w:rsid w:val="001A0134"/>
    <w:rsid w:val="001A023F"/>
    <w:rsid w:val="001A0614"/>
    <w:rsid w:val="001A066C"/>
    <w:rsid w:val="001A0A63"/>
    <w:rsid w:val="001A0D20"/>
    <w:rsid w:val="001A0D2D"/>
    <w:rsid w:val="001A1061"/>
    <w:rsid w:val="001A14CE"/>
    <w:rsid w:val="001A1537"/>
    <w:rsid w:val="001A1B35"/>
    <w:rsid w:val="001A1B73"/>
    <w:rsid w:val="001A1D31"/>
    <w:rsid w:val="001A1F9A"/>
    <w:rsid w:val="001A241E"/>
    <w:rsid w:val="001A2463"/>
    <w:rsid w:val="001A24EE"/>
    <w:rsid w:val="001A251B"/>
    <w:rsid w:val="001A2678"/>
    <w:rsid w:val="001A275A"/>
    <w:rsid w:val="001A279A"/>
    <w:rsid w:val="001A2CD6"/>
    <w:rsid w:val="001A31FA"/>
    <w:rsid w:val="001A32A0"/>
    <w:rsid w:val="001A3401"/>
    <w:rsid w:val="001A3536"/>
    <w:rsid w:val="001A36F0"/>
    <w:rsid w:val="001A3899"/>
    <w:rsid w:val="001A38AC"/>
    <w:rsid w:val="001A3C91"/>
    <w:rsid w:val="001A3E6F"/>
    <w:rsid w:val="001A3E84"/>
    <w:rsid w:val="001A3EED"/>
    <w:rsid w:val="001A3F01"/>
    <w:rsid w:val="001A4494"/>
    <w:rsid w:val="001A47A0"/>
    <w:rsid w:val="001A4863"/>
    <w:rsid w:val="001A4B5C"/>
    <w:rsid w:val="001A4F85"/>
    <w:rsid w:val="001A527D"/>
    <w:rsid w:val="001A5355"/>
    <w:rsid w:val="001A5434"/>
    <w:rsid w:val="001A5500"/>
    <w:rsid w:val="001A59F2"/>
    <w:rsid w:val="001A5A09"/>
    <w:rsid w:val="001A5A2D"/>
    <w:rsid w:val="001A5AC1"/>
    <w:rsid w:val="001A5CF4"/>
    <w:rsid w:val="001A6088"/>
    <w:rsid w:val="001A60B6"/>
    <w:rsid w:val="001A61DD"/>
    <w:rsid w:val="001A623C"/>
    <w:rsid w:val="001A62C8"/>
    <w:rsid w:val="001A62DA"/>
    <w:rsid w:val="001A631C"/>
    <w:rsid w:val="001A63C1"/>
    <w:rsid w:val="001A6426"/>
    <w:rsid w:val="001A64AB"/>
    <w:rsid w:val="001A70BC"/>
    <w:rsid w:val="001A72A3"/>
    <w:rsid w:val="001A736E"/>
    <w:rsid w:val="001A7942"/>
    <w:rsid w:val="001A7BD8"/>
    <w:rsid w:val="001A7D40"/>
    <w:rsid w:val="001A7EBD"/>
    <w:rsid w:val="001A7ECF"/>
    <w:rsid w:val="001A7F2D"/>
    <w:rsid w:val="001A7F59"/>
    <w:rsid w:val="001B0114"/>
    <w:rsid w:val="001B0439"/>
    <w:rsid w:val="001B060A"/>
    <w:rsid w:val="001B0644"/>
    <w:rsid w:val="001B06F5"/>
    <w:rsid w:val="001B081C"/>
    <w:rsid w:val="001B081D"/>
    <w:rsid w:val="001B1561"/>
    <w:rsid w:val="001B1571"/>
    <w:rsid w:val="001B16FF"/>
    <w:rsid w:val="001B182A"/>
    <w:rsid w:val="001B1952"/>
    <w:rsid w:val="001B1D31"/>
    <w:rsid w:val="001B1D35"/>
    <w:rsid w:val="001B1D77"/>
    <w:rsid w:val="001B1EF3"/>
    <w:rsid w:val="001B1FDD"/>
    <w:rsid w:val="001B20AA"/>
    <w:rsid w:val="001B234E"/>
    <w:rsid w:val="001B2561"/>
    <w:rsid w:val="001B2594"/>
    <w:rsid w:val="001B25E8"/>
    <w:rsid w:val="001B2661"/>
    <w:rsid w:val="001B26C7"/>
    <w:rsid w:val="001B26D2"/>
    <w:rsid w:val="001B26E0"/>
    <w:rsid w:val="001B279F"/>
    <w:rsid w:val="001B282B"/>
    <w:rsid w:val="001B29BC"/>
    <w:rsid w:val="001B29C3"/>
    <w:rsid w:val="001B2AAE"/>
    <w:rsid w:val="001B2CB9"/>
    <w:rsid w:val="001B2D23"/>
    <w:rsid w:val="001B323F"/>
    <w:rsid w:val="001B3256"/>
    <w:rsid w:val="001B32E4"/>
    <w:rsid w:val="001B3309"/>
    <w:rsid w:val="001B34DB"/>
    <w:rsid w:val="001B354D"/>
    <w:rsid w:val="001B377D"/>
    <w:rsid w:val="001B3863"/>
    <w:rsid w:val="001B3F38"/>
    <w:rsid w:val="001B4017"/>
    <w:rsid w:val="001B404A"/>
    <w:rsid w:val="001B491F"/>
    <w:rsid w:val="001B4CDC"/>
    <w:rsid w:val="001B4D4B"/>
    <w:rsid w:val="001B4F74"/>
    <w:rsid w:val="001B504D"/>
    <w:rsid w:val="001B517A"/>
    <w:rsid w:val="001B51B2"/>
    <w:rsid w:val="001B527E"/>
    <w:rsid w:val="001B52E8"/>
    <w:rsid w:val="001B53F4"/>
    <w:rsid w:val="001B549E"/>
    <w:rsid w:val="001B5659"/>
    <w:rsid w:val="001B567C"/>
    <w:rsid w:val="001B5AA3"/>
    <w:rsid w:val="001B5AC0"/>
    <w:rsid w:val="001B5DF4"/>
    <w:rsid w:val="001B6410"/>
    <w:rsid w:val="001B645D"/>
    <w:rsid w:val="001B652D"/>
    <w:rsid w:val="001B65F9"/>
    <w:rsid w:val="001B6C1F"/>
    <w:rsid w:val="001B6C45"/>
    <w:rsid w:val="001B6C6E"/>
    <w:rsid w:val="001B6C71"/>
    <w:rsid w:val="001B7129"/>
    <w:rsid w:val="001B712B"/>
    <w:rsid w:val="001B7182"/>
    <w:rsid w:val="001B72C8"/>
    <w:rsid w:val="001B76B0"/>
    <w:rsid w:val="001B7954"/>
    <w:rsid w:val="001B7AC6"/>
    <w:rsid w:val="001B7CBB"/>
    <w:rsid w:val="001B7EF3"/>
    <w:rsid w:val="001B7F67"/>
    <w:rsid w:val="001C0064"/>
    <w:rsid w:val="001C00FC"/>
    <w:rsid w:val="001C037F"/>
    <w:rsid w:val="001C0A82"/>
    <w:rsid w:val="001C184A"/>
    <w:rsid w:val="001C1A43"/>
    <w:rsid w:val="001C1AF6"/>
    <w:rsid w:val="001C1D04"/>
    <w:rsid w:val="001C1FB4"/>
    <w:rsid w:val="001C227B"/>
    <w:rsid w:val="001C24AC"/>
    <w:rsid w:val="001C28AF"/>
    <w:rsid w:val="001C29A5"/>
    <w:rsid w:val="001C2BEA"/>
    <w:rsid w:val="001C2D46"/>
    <w:rsid w:val="001C2FC3"/>
    <w:rsid w:val="001C3028"/>
    <w:rsid w:val="001C302F"/>
    <w:rsid w:val="001C30DF"/>
    <w:rsid w:val="001C350D"/>
    <w:rsid w:val="001C3554"/>
    <w:rsid w:val="001C367F"/>
    <w:rsid w:val="001C38D6"/>
    <w:rsid w:val="001C38FF"/>
    <w:rsid w:val="001C395B"/>
    <w:rsid w:val="001C3962"/>
    <w:rsid w:val="001C3B52"/>
    <w:rsid w:val="001C3D9A"/>
    <w:rsid w:val="001C4081"/>
    <w:rsid w:val="001C41C6"/>
    <w:rsid w:val="001C422F"/>
    <w:rsid w:val="001C495A"/>
    <w:rsid w:val="001C4E4C"/>
    <w:rsid w:val="001C4F73"/>
    <w:rsid w:val="001C525E"/>
    <w:rsid w:val="001C54AD"/>
    <w:rsid w:val="001C5678"/>
    <w:rsid w:val="001C59F5"/>
    <w:rsid w:val="001C6053"/>
    <w:rsid w:val="001C6168"/>
    <w:rsid w:val="001C640C"/>
    <w:rsid w:val="001C6467"/>
    <w:rsid w:val="001C648A"/>
    <w:rsid w:val="001C6812"/>
    <w:rsid w:val="001C6878"/>
    <w:rsid w:val="001C6A4D"/>
    <w:rsid w:val="001C6F4F"/>
    <w:rsid w:val="001C718F"/>
    <w:rsid w:val="001C71B9"/>
    <w:rsid w:val="001C7237"/>
    <w:rsid w:val="001C731C"/>
    <w:rsid w:val="001C75F0"/>
    <w:rsid w:val="001C76A2"/>
    <w:rsid w:val="001C7741"/>
    <w:rsid w:val="001C77CF"/>
    <w:rsid w:val="001C7945"/>
    <w:rsid w:val="001C7C63"/>
    <w:rsid w:val="001C7F4E"/>
    <w:rsid w:val="001D018F"/>
    <w:rsid w:val="001D01EE"/>
    <w:rsid w:val="001D0538"/>
    <w:rsid w:val="001D0714"/>
    <w:rsid w:val="001D073B"/>
    <w:rsid w:val="001D07BC"/>
    <w:rsid w:val="001D091C"/>
    <w:rsid w:val="001D0CD7"/>
    <w:rsid w:val="001D0E68"/>
    <w:rsid w:val="001D100B"/>
    <w:rsid w:val="001D1369"/>
    <w:rsid w:val="001D13D2"/>
    <w:rsid w:val="001D14FA"/>
    <w:rsid w:val="001D153E"/>
    <w:rsid w:val="001D1662"/>
    <w:rsid w:val="001D16F9"/>
    <w:rsid w:val="001D1751"/>
    <w:rsid w:val="001D1A96"/>
    <w:rsid w:val="001D1D17"/>
    <w:rsid w:val="001D1E36"/>
    <w:rsid w:val="001D1F73"/>
    <w:rsid w:val="001D1F7A"/>
    <w:rsid w:val="001D221A"/>
    <w:rsid w:val="001D26A2"/>
    <w:rsid w:val="001D2707"/>
    <w:rsid w:val="001D282E"/>
    <w:rsid w:val="001D2A33"/>
    <w:rsid w:val="001D2AC0"/>
    <w:rsid w:val="001D2B03"/>
    <w:rsid w:val="001D2BB7"/>
    <w:rsid w:val="001D2BF8"/>
    <w:rsid w:val="001D2C96"/>
    <w:rsid w:val="001D2CC9"/>
    <w:rsid w:val="001D2DD4"/>
    <w:rsid w:val="001D2E24"/>
    <w:rsid w:val="001D3416"/>
    <w:rsid w:val="001D345B"/>
    <w:rsid w:val="001D3AE5"/>
    <w:rsid w:val="001D3B17"/>
    <w:rsid w:val="001D3CB7"/>
    <w:rsid w:val="001D3CC0"/>
    <w:rsid w:val="001D3E5A"/>
    <w:rsid w:val="001D4112"/>
    <w:rsid w:val="001D436C"/>
    <w:rsid w:val="001D4423"/>
    <w:rsid w:val="001D4456"/>
    <w:rsid w:val="001D44D5"/>
    <w:rsid w:val="001D4860"/>
    <w:rsid w:val="001D493A"/>
    <w:rsid w:val="001D493F"/>
    <w:rsid w:val="001D4AD2"/>
    <w:rsid w:val="001D4B7A"/>
    <w:rsid w:val="001D4BC4"/>
    <w:rsid w:val="001D56E7"/>
    <w:rsid w:val="001D57FC"/>
    <w:rsid w:val="001D588B"/>
    <w:rsid w:val="001D5FE0"/>
    <w:rsid w:val="001D685E"/>
    <w:rsid w:val="001D695C"/>
    <w:rsid w:val="001D6DBE"/>
    <w:rsid w:val="001D71BA"/>
    <w:rsid w:val="001D72C2"/>
    <w:rsid w:val="001D741F"/>
    <w:rsid w:val="001D7496"/>
    <w:rsid w:val="001D75A9"/>
    <w:rsid w:val="001D75CB"/>
    <w:rsid w:val="001D789B"/>
    <w:rsid w:val="001D7A32"/>
    <w:rsid w:val="001D7DD2"/>
    <w:rsid w:val="001D7EF9"/>
    <w:rsid w:val="001E0052"/>
    <w:rsid w:val="001E046D"/>
    <w:rsid w:val="001E0478"/>
    <w:rsid w:val="001E0600"/>
    <w:rsid w:val="001E0702"/>
    <w:rsid w:val="001E08F1"/>
    <w:rsid w:val="001E0E24"/>
    <w:rsid w:val="001E0EB4"/>
    <w:rsid w:val="001E0EFA"/>
    <w:rsid w:val="001E1004"/>
    <w:rsid w:val="001E1237"/>
    <w:rsid w:val="001E1259"/>
    <w:rsid w:val="001E1591"/>
    <w:rsid w:val="001E1938"/>
    <w:rsid w:val="001E1CC4"/>
    <w:rsid w:val="001E1E59"/>
    <w:rsid w:val="001E202D"/>
    <w:rsid w:val="001E2203"/>
    <w:rsid w:val="001E246C"/>
    <w:rsid w:val="001E2719"/>
    <w:rsid w:val="001E2722"/>
    <w:rsid w:val="001E2796"/>
    <w:rsid w:val="001E2828"/>
    <w:rsid w:val="001E2848"/>
    <w:rsid w:val="001E286E"/>
    <w:rsid w:val="001E28E3"/>
    <w:rsid w:val="001E2DE0"/>
    <w:rsid w:val="001E3131"/>
    <w:rsid w:val="001E3353"/>
    <w:rsid w:val="001E34B1"/>
    <w:rsid w:val="001E34F4"/>
    <w:rsid w:val="001E393F"/>
    <w:rsid w:val="001E3AA9"/>
    <w:rsid w:val="001E3AB5"/>
    <w:rsid w:val="001E3D2F"/>
    <w:rsid w:val="001E4182"/>
    <w:rsid w:val="001E43FB"/>
    <w:rsid w:val="001E49C1"/>
    <w:rsid w:val="001E4AC5"/>
    <w:rsid w:val="001E4BB7"/>
    <w:rsid w:val="001E4E6F"/>
    <w:rsid w:val="001E5216"/>
    <w:rsid w:val="001E536A"/>
    <w:rsid w:val="001E5491"/>
    <w:rsid w:val="001E55D5"/>
    <w:rsid w:val="001E5907"/>
    <w:rsid w:val="001E59DB"/>
    <w:rsid w:val="001E5A48"/>
    <w:rsid w:val="001E5C08"/>
    <w:rsid w:val="001E5D52"/>
    <w:rsid w:val="001E6409"/>
    <w:rsid w:val="001E65D4"/>
    <w:rsid w:val="001E65E5"/>
    <w:rsid w:val="001E680B"/>
    <w:rsid w:val="001E6899"/>
    <w:rsid w:val="001E6924"/>
    <w:rsid w:val="001E6998"/>
    <w:rsid w:val="001E6A7A"/>
    <w:rsid w:val="001E6BAF"/>
    <w:rsid w:val="001E6DC9"/>
    <w:rsid w:val="001E7245"/>
    <w:rsid w:val="001E7316"/>
    <w:rsid w:val="001E7501"/>
    <w:rsid w:val="001E7567"/>
    <w:rsid w:val="001E75A1"/>
    <w:rsid w:val="001E7884"/>
    <w:rsid w:val="001E7898"/>
    <w:rsid w:val="001F0053"/>
    <w:rsid w:val="001F00CB"/>
    <w:rsid w:val="001F033F"/>
    <w:rsid w:val="001F0424"/>
    <w:rsid w:val="001F062F"/>
    <w:rsid w:val="001F082C"/>
    <w:rsid w:val="001F09A9"/>
    <w:rsid w:val="001F0A56"/>
    <w:rsid w:val="001F0B0B"/>
    <w:rsid w:val="001F0C7E"/>
    <w:rsid w:val="001F0E62"/>
    <w:rsid w:val="001F0F7B"/>
    <w:rsid w:val="001F15E0"/>
    <w:rsid w:val="001F16DD"/>
    <w:rsid w:val="001F17CB"/>
    <w:rsid w:val="001F1829"/>
    <w:rsid w:val="001F19B2"/>
    <w:rsid w:val="001F1C62"/>
    <w:rsid w:val="001F1CAB"/>
    <w:rsid w:val="001F1E30"/>
    <w:rsid w:val="001F258E"/>
    <w:rsid w:val="001F2602"/>
    <w:rsid w:val="001F26C5"/>
    <w:rsid w:val="001F28C6"/>
    <w:rsid w:val="001F2A95"/>
    <w:rsid w:val="001F2AB4"/>
    <w:rsid w:val="001F2B77"/>
    <w:rsid w:val="001F2BE7"/>
    <w:rsid w:val="001F2FCF"/>
    <w:rsid w:val="001F30F1"/>
    <w:rsid w:val="001F31AB"/>
    <w:rsid w:val="001F31CA"/>
    <w:rsid w:val="001F33CB"/>
    <w:rsid w:val="001F3652"/>
    <w:rsid w:val="001F3676"/>
    <w:rsid w:val="001F3A4F"/>
    <w:rsid w:val="001F43EE"/>
    <w:rsid w:val="001F4899"/>
    <w:rsid w:val="001F4D45"/>
    <w:rsid w:val="001F4D72"/>
    <w:rsid w:val="001F4DC4"/>
    <w:rsid w:val="001F515C"/>
    <w:rsid w:val="001F5233"/>
    <w:rsid w:val="001F5409"/>
    <w:rsid w:val="001F55A8"/>
    <w:rsid w:val="001F5D7D"/>
    <w:rsid w:val="001F5E6A"/>
    <w:rsid w:val="001F5FAA"/>
    <w:rsid w:val="001F60CA"/>
    <w:rsid w:val="001F617C"/>
    <w:rsid w:val="001F6C06"/>
    <w:rsid w:val="001F6C57"/>
    <w:rsid w:val="001F6FBB"/>
    <w:rsid w:val="001F7759"/>
    <w:rsid w:val="001F78E3"/>
    <w:rsid w:val="001F7911"/>
    <w:rsid w:val="001F7A8D"/>
    <w:rsid w:val="001F7B10"/>
    <w:rsid w:val="001F7BF1"/>
    <w:rsid w:val="001F7C9E"/>
    <w:rsid w:val="001F7D7B"/>
    <w:rsid w:val="001F7FB5"/>
    <w:rsid w:val="001F8635"/>
    <w:rsid w:val="0020036C"/>
    <w:rsid w:val="00200519"/>
    <w:rsid w:val="00200663"/>
    <w:rsid w:val="00200AD2"/>
    <w:rsid w:val="00200AFB"/>
    <w:rsid w:val="00201038"/>
    <w:rsid w:val="00201154"/>
    <w:rsid w:val="00201156"/>
    <w:rsid w:val="002012FE"/>
    <w:rsid w:val="00201308"/>
    <w:rsid w:val="002015E5"/>
    <w:rsid w:val="00201652"/>
    <w:rsid w:val="0020169C"/>
    <w:rsid w:val="00201852"/>
    <w:rsid w:val="00201FBE"/>
    <w:rsid w:val="00202484"/>
    <w:rsid w:val="002024EE"/>
    <w:rsid w:val="002026CB"/>
    <w:rsid w:val="002027D9"/>
    <w:rsid w:val="00202913"/>
    <w:rsid w:val="00202BE2"/>
    <w:rsid w:val="00202BF2"/>
    <w:rsid w:val="00202C2B"/>
    <w:rsid w:val="00202E80"/>
    <w:rsid w:val="00202F2A"/>
    <w:rsid w:val="00203283"/>
    <w:rsid w:val="0020362E"/>
    <w:rsid w:val="00203BDC"/>
    <w:rsid w:val="00203C1C"/>
    <w:rsid w:val="00203C55"/>
    <w:rsid w:val="00203E85"/>
    <w:rsid w:val="00203EA1"/>
    <w:rsid w:val="00203F71"/>
    <w:rsid w:val="00204258"/>
    <w:rsid w:val="00204264"/>
    <w:rsid w:val="002042C3"/>
    <w:rsid w:val="002042E3"/>
    <w:rsid w:val="0020430D"/>
    <w:rsid w:val="00204679"/>
    <w:rsid w:val="002048D6"/>
    <w:rsid w:val="00204A90"/>
    <w:rsid w:val="00204B18"/>
    <w:rsid w:val="00204C88"/>
    <w:rsid w:val="00204CCB"/>
    <w:rsid w:val="00205017"/>
    <w:rsid w:val="0020506A"/>
    <w:rsid w:val="0020515B"/>
    <w:rsid w:val="002052D7"/>
    <w:rsid w:val="002052E1"/>
    <w:rsid w:val="00205923"/>
    <w:rsid w:val="00205960"/>
    <w:rsid w:val="00205B1D"/>
    <w:rsid w:val="00205CE3"/>
    <w:rsid w:val="00205DDD"/>
    <w:rsid w:val="00205F0B"/>
    <w:rsid w:val="00206785"/>
    <w:rsid w:val="00206CE5"/>
    <w:rsid w:val="00207003"/>
    <w:rsid w:val="002074D7"/>
    <w:rsid w:val="00207CEE"/>
    <w:rsid w:val="00207F3E"/>
    <w:rsid w:val="002101DA"/>
    <w:rsid w:val="00210310"/>
    <w:rsid w:val="00210482"/>
    <w:rsid w:val="00210500"/>
    <w:rsid w:val="0021070A"/>
    <w:rsid w:val="0021076C"/>
    <w:rsid w:val="00210781"/>
    <w:rsid w:val="002109E3"/>
    <w:rsid w:val="002109F1"/>
    <w:rsid w:val="00210A06"/>
    <w:rsid w:val="00210FDD"/>
    <w:rsid w:val="002111CB"/>
    <w:rsid w:val="002113A9"/>
    <w:rsid w:val="002113D2"/>
    <w:rsid w:val="00211501"/>
    <w:rsid w:val="00211768"/>
    <w:rsid w:val="00211898"/>
    <w:rsid w:val="0021193B"/>
    <w:rsid w:val="00211942"/>
    <w:rsid w:val="00211E1F"/>
    <w:rsid w:val="00211F6C"/>
    <w:rsid w:val="0021202B"/>
    <w:rsid w:val="002121F3"/>
    <w:rsid w:val="0021226D"/>
    <w:rsid w:val="00212621"/>
    <w:rsid w:val="00212700"/>
    <w:rsid w:val="0021287B"/>
    <w:rsid w:val="0021295A"/>
    <w:rsid w:val="00212AC2"/>
    <w:rsid w:val="00212BB6"/>
    <w:rsid w:val="00212D31"/>
    <w:rsid w:val="00212D67"/>
    <w:rsid w:val="00212E39"/>
    <w:rsid w:val="00212E56"/>
    <w:rsid w:val="00212EEE"/>
    <w:rsid w:val="00212FDC"/>
    <w:rsid w:val="00213294"/>
    <w:rsid w:val="002132D7"/>
    <w:rsid w:val="00213458"/>
    <w:rsid w:val="00213509"/>
    <w:rsid w:val="002135F1"/>
    <w:rsid w:val="0021378B"/>
    <w:rsid w:val="00213866"/>
    <w:rsid w:val="00213884"/>
    <w:rsid w:val="002138D2"/>
    <w:rsid w:val="002139CC"/>
    <w:rsid w:val="00213BB8"/>
    <w:rsid w:val="00213C49"/>
    <w:rsid w:val="00214224"/>
    <w:rsid w:val="00214384"/>
    <w:rsid w:val="002143C6"/>
    <w:rsid w:val="00214637"/>
    <w:rsid w:val="00214B56"/>
    <w:rsid w:val="00214B76"/>
    <w:rsid w:val="00214C86"/>
    <w:rsid w:val="00214F55"/>
    <w:rsid w:val="0021501D"/>
    <w:rsid w:val="002151B8"/>
    <w:rsid w:val="002156BB"/>
    <w:rsid w:val="002156F8"/>
    <w:rsid w:val="0021576E"/>
    <w:rsid w:val="0021587D"/>
    <w:rsid w:val="002159D9"/>
    <w:rsid w:val="00215B0D"/>
    <w:rsid w:val="00215B2D"/>
    <w:rsid w:val="00215B96"/>
    <w:rsid w:val="00215CC6"/>
    <w:rsid w:val="00215D4C"/>
    <w:rsid w:val="00215DB2"/>
    <w:rsid w:val="00215F70"/>
    <w:rsid w:val="00215F95"/>
    <w:rsid w:val="0021637A"/>
    <w:rsid w:val="002165DB"/>
    <w:rsid w:val="002167F7"/>
    <w:rsid w:val="002169D2"/>
    <w:rsid w:val="00216CBF"/>
    <w:rsid w:val="00216E3B"/>
    <w:rsid w:val="00216E9E"/>
    <w:rsid w:val="00216FCE"/>
    <w:rsid w:val="00217C29"/>
    <w:rsid w:val="00217C54"/>
    <w:rsid w:val="00220234"/>
    <w:rsid w:val="002203DF"/>
    <w:rsid w:val="002204FB"/>
    <w:rsid w:val="00220752"/>
    <w:rsid w:val="00220ACA"/>
    <w:rsid w:val="00220AE6"/>
    <w:rsid w:val="00220D1D"/>
    <w:rsid w:val="00220D64"/>
    <w:rsid w:val="00220EA9"/>
    <w:rsid w:val="00220F0E"/>
    <w:rsid w:val="00221504"/>
    <w:rsid w:val="00221577"/>
    <w:rsid w:val="00221789"/>
    <w:rsid w:val="002217E8"/>
    <w:rsid w:val="00221876"/>
    <w:rsid w:val="00221F25"/>
    <w:rsid w:val="00221FE1"/>
    <w:rsid w:val="00222115"/>
    <w:rsid w:val="0022289F"/>
    <w:rsid w:val="002229E5"/>
    <w:rsid w:val="00222A5F"/>
    <w:rsid w:val="00222B83"/>
    <w:rsid w:val="00222D1E"/>
    <w:rsid w:val="00223445"/>
    <w:rsid w:val="002235A4"/>
    <w:rsid w:val="00223827"/>
    <w:rsid w:val="002239DC"/>
    <w:rsid w:val="00223CD4"/>
    <w:rsid w:val="00223E2B"/>
    <w:rsid w:val="00224051"/>
    <w:rsid w:val="0022407F"/>
    <w:rsid w:val="00224313"/>
    <w:rsid w:val="00224317"/>
    <w:rsid w:val="00224354"/>
    <w:rsid w:val="00224510"/>
    <w:rsid w:val="00224791"/>
    <w:rsid w:val="00224E02"/>
    <w:rsid w:val="002250A1"/>
    <w:rsid w:val="00225348"/>
    <w:rsid w:val="002254EE"/>
    <w:rsid w:val="00225541"/>
    <w:rsid w:val="00225703"/>
    <w:rsid w:val="002257F7"/>
    <w:rsid w:val="00225863"/>
    <w:rsid w:val="002259BB"/>
    <w:rsid w:val="00225EF1"/>
    <w:rsid w:val="00225F24"/>
    <w:rsid w:val="00225FBE"/>
    <w:rsid w:val="002261DC"/>
    <w:rsid w:val="002262E9"/>
    <w:rsid w:val="00226919"/>
    <w:rsid w:val="00226A09"/>
    <w:rsid w:val="00226D98"/>
    <w:rsid w:val="00226EA7"/>
    <w:rsid w:val="00226F76"/>
    <w:rsid w:val="00227305"/>
    <w:rsid w:val="00227337"/>
    <w:rsid w:val="00227598"/>
    <w:rsid w:val="00227998"/>
    <w:rsid w:val="00227C41"/>
    <w:rsid w:val="00227C7C"/>
    <w:rsid w:val="00230157"/>
    <w:rsid w:val="00230312"/>
    <w:rsid w:val="002306F6"/>
    <w:rsid w:val="00230732"/>
    <w:rsid w:val="0023084D"/>
    <w:rsid w:val="00230C0B"/>
    <w:rsid w:val="00230CAF"/>
    <w:rsid w:val="00230E31"/>
    <w:rsid w:val="00230E5E"/>
    <w:rsid w:val="00230EC4"/>
    <w:rsid w:val="0023103C"/>
    <w:rsid w:val="0023108B"/>
    <w:rsid w:val="00231232"/>
    <w:rsid w:val="0023135B"/>
    <w:rsid w:val="002314EF"/>
    <w:rsid w:val="002318BF"/>
    <w:rsid w:val="00231A33"/>
    <w:rsid w:val="00231A5C"/>
    <w:rsid w:val="00231AEC"/>
    <w:rsid w:val="00231CBB"/>
    <w:rsid w:val="00231EAB"/>
    <w:rsid w:val="00232147"/>
    <w:rsid w:val="00232275"/>
    <w:rsid w:val="00232EFF"/>
    <w:rsid w:val="00232F31"/>
    <w:rsid w:val="002332F6"/>
    <w:rsid w:val="002333C8"/>
    <w:rsid w:val="0023356D"/>
    <w:rsid w:val="0023357A"/>
    <w:rsid w:val="002336EC"/>
    <w:rsid w:val="00233F26"/>
    <w:rsid w:val="00233FE9"/>
    <w:rsid w:val="00234114"/>
    <w:rsid w:val="002341E6"/>
    <w:rsid w:val="0023422B"/>
    <w:rsid w:val="0023443D"/>
    <w:rsid w:val="002344E4"/>
    <w:rsid w:val="0023452C"/>
    <w:rsid w:val="002349A3"/>
    <w:rsid w:val="00234E10"/>
    <w:rsid w:val="00235245"/>
    <w:rsid w:val="00235446"/>
    <w:rsid w:val="002358B9"/>
    <w:rsid w:val="00235E55"/>
    <w:rsid w:val="00235EA1"/>
    <w:rsid w:val="002360C8"/>
    <w:rsid w:val="002363DE"/>
    <w:rsid w:val="002364B5"/>
    <w:rsid w:val="002365EF"/>
    <w:rsid w:val="002367E7"/>
    <w:rsid w:val="002367F6"/>
    <w:rsid w:val="00236C33"/>
    <w:rsid w:val="00236D02"/>
    <w:rsid w:val="00236E21"/>
    <w:rsid w:val="00236EAB"/>
    <w:rsid w:val="00236F9B"/>
    <w:rsid w:val="00237472"/>
    <w:rsid w:val="00237625"/>
    <w:rsid w:val="00237658"/>
    <w:rsid w:val="0023769F"/>
    <w:rsid w:val="00237938"/>
    <w:rsid w:val="00237B40"/>
    <w:rsid w:val="00237CE2"/>
    <w:rsid w:val="0024049E"/>
    <w:rsid w:val="002405D7"/>
    <w:rsid w:val="002405DA"/>
    <w:rsid w:val="00240674"/>
    <w:rsid w:val="002407B8"/>
    <w:rsid w:val="0024090C"/>
    <w:rsid w:val="002409A1"/>
    <w:rsid w:val="00240EEB"/>
    <w:rsid w:val="0024101F"/>
    <w:rsid w:val="00241163"/>
    <w:rsid w:val="00241189"/>
    <w:rsid w:val="002411FC"/>
    <w:rsid w:val="00241479"/>
    <w:rsid w:val="0024156C"/>
    <w:rsid w:val="002417A6"/>
    <w:rsid w:val="002419C0"/>
    <w:rsid w:val="002419CE"/>
    <w:rsid w:val="00241BE5"/>
    <w:rsid w:val="00241CDA"/>
    <w:rsid w:val="00241D83"/>
    <w:rsid w:val="00241FA8"/>
    <w:rsid w:val="002427CF"/>
    <w:rsid w:val="002427E6"/>
    <w:rsid w:val="00242844"/>
    <w:rsid w:val="002428C5"/>
    <w:rsid w:val="00242984"/>
    <w:rsid w:val="002429D2"/>
    <w:rsid w:val="00242A37"/>
    <w:rsid w:val="00242C66"/>
    <w:rsid w:val="00242DF3"/>
    <w:rsid w:val="00242E72"/>
    <w:rsid w:val="00242F0E"/>
    <w:rsid w:val="002430B5"/>
    <w:rsid w:val="00243170"/>
    <w:rsid w:val="0024330E"/>
    <w:rsid w:val="00243344"/>
    <w:rsid w:val="0024340B"/>
    <w:rsid w:val="002435E6"/>
    <w:rsid w:val="002436FF"/>
    <w:rsid w:val="0024371F"/>
    <w:rsid w:val="00243B84"/>
    <w:rsid w:val="0024410B"/>
    <w:rsid w:val="0024429C"/>
    <w:rsid w:val="002446C6"/>
    <w:rsid w:val="002448E6"/>
    <w:rsid w:val="00244BFD"/>
    <w:rsid w:val="00244CA4"/>
    <w:rsid w:val="00244CB8"/>
    <w:rsid w:val="00244E05"/>
    <w:rsid w:val="00244F37"/>
    <w:rsid w:val="002452B7"/>
    <w:rsid w:val="002453FC"/>
    <w:rsid w:val="002453FE"/>
    <w:rsid w:val="00245541"/>
    <w:rsid w:val="0024558D"/>
    <w:rsid w:val="0024571A"/>
    <w:rsid w:val="0024573C"/>
    <w:rsid w:val="00245992"/>
    <w:rsid w:val="002459A0"/>
    <w:rsid w:val="002459A5"/>
    <w:rsid w:val="00245C43"/>
    <w:rsid w:val="00245C66"/>
    <w:rsid w:val="00245E32"/>
    <w:rsid w:val="00245ED0"/>
    <w:rsid w:val="00245F6C"/>
    <w:rsid w:val="00245F8A"/>
    <w:rsid w:val="002461D2"/>
    <w:rsid w:val="002467B6"/>
    <w:rsid w:val="002467E3"/>
    <w:rsid w:val="002468D3"/>
    <w:rsid w:val="00246908"/>
    <w:rsid w:val="0024699A"/>
    <w:rsid w:val="002469C3"/>
    <w:rsid w:val="00246BE5"/>
    <w:rsid w:val="00246E43"/>
    <w:rsid w:val="00246E69"/>
    <w:rsid w:val="00247139"/>
    <w:rsid w:val="00247623"/>
    <w:rsid w:val="00247980"/>
    <w:rsid w:val="00247990"/>
    <w:rsid w:val="00247A72"/>
    <w:rsid w:val="00247B89"/>
    <w:rsid w:val="00247C96"/>
    <w:rsid w:val="00247DE0"/>
    <w:rsid w:val="00247E25"/>
    <w:rsid w:val="00247E9C"/>
    <w:rsid w:val="00247FC1"/>
    <w:rsid w:val="0025006A"/>
    <w:rsid w:val="0025061F"/>
    <w:rsid w:val="0025070B"/>
    <w:rsid w:val="00250BE6"/>
    <w:rsid w:val="00250CA0"/>
    <w:rsid w:val="00251015"/>
    <w:rsid w:val="0025115A"/>
    <w:rsid w:val="002512FD"/>
    <w:rsid w:val="00251C6B"/>
    <w:rsid w:val="00251F28"/>
    <w:rsid w:val="00252325"/>
    <w:rsid w:val="0025243A"/>
    <w:rsid w:val="002524D3"/>
    <w:rsid w:val="002525B4"/>
    <w:rsid w:val="0025265E"/>
    <w:rsid w:val="0025271B"/>
    <w:rsid w:val="00252754"/>
    <w:rsid w:val="002527F6"/>
    <w:rsid w:val="002529E7"/>
    <w:rsid w:val="00252D99"/>
    <w:rsid w:val="00253117"/>
    <w:rsid w:val="002532DE"/>
    <w:rsid w:val="002533E6"/>
    <w:rsid w:val="002534F5"/>
    <w:rsid w:val="00253578"/>
    <w:rsid w:val="00253611"/>
    <w:rsid w:val="00253A9C"/>
    <w:rsid w:val="00253BD3"/>
    <w:rsid w:val="00253E7B"/>
    <w:rsid w:val="00254023"/>
    <w:rsid w:val="002540AC"/>
    <w:rsid w:val="002541C9"/>
    <w:rsid w:val="0025468F"/>
    <w:rsid w:val="0025473B"/>
    <w:rsid w:val="00254B23"/>
    <w:rsid w:val="00254E2E"/>
    <w:rsid w:val="00254E89"/>
    <w:rsid w:val="00254F36"/>
    <w:rsid w:val="00254F3D"/>
    <w:rsid w:val="0025508A"/>
    <w:rsid w:val="002552D8"/>
    <w:rsid w:val="00255E32"/>
    <w:rsid w:val="00255F14"/>
    <w:rsid w:val="00256100"/>
    <w:rsid w:val="002561F7"/>
    <w:rsid w:val="002561F8"/>
    <w:rsid w:val="00256405"/>
    <w:rsid w:val="002568B0"/>
    <w:rsid w:val="00256990"/>
    <w:rsid w:val="00256B2A"/>
    <w:rsid w:val="00256C12"/>
    <w:rsid w:val="00257025"/>
    <w:rsid w:val="0025713A"/>
    <w:rsid w:val="002571A7"/>
    <w:rsid w:val="002574F5"/>
    <w:rsid w:val="00257688"/>
    <w:rsid w:val="002579C1"/>
    <w:rsid w:val="00257A05"/>
    <w:rsid w:val="00257A32"/>
    <w:rsid w:val="00257C6C"/>
    <w:rsid w:val="00257CBE"/>
    <w:rsid w:val="00257D2A"/>
    <w:rsid w:val="00257D65"/>
    <w:rsid w:val="00257E50"/>
    <w:rsid w:val="00257E85"/>
    <w:rsid w:val="00257F26"/>
    <w:rsid w:val="00257FE7"/>
    <w:rsid w:val="00257FFC"/>
    <w:rsid w:val="002600C4"/>
    <w:rsid w:val="002602DF"/>
    <w:rsid w:val="00260C4D"/>
    <w:rsid w:val="00260EEB"/>
    <w:rsid w:val="00261189"/>
    <w:rsid w:val="0026121F"/>
    <w:rsid w:val="00261228"/>
    <w:rsid w:val="00261390"/>
    <w:rsid w:val="002614D8"/>
    <w:rsid w:val="00261607"/>
    <w:rsid w:val="002616D0"/>
    <w:rsid w:val="00261773"/>
    <w:rsid w:val="00261E94"/>
    <w:rsid w:val="00261EBD"/>
    <w:rsid w:val="002621BE"/>
    <w:rsid w:val="00262319"/>
    <w:rsid w:val="00262938"/>
    <w:rsid w:val="0026299D"/>
    <w:rsid w:val="002629F4"/>
    <w:rsid w:val="00262AF8"/>
    <w:rsid w:val="00262D18"/>
    <w:rsid w:val="00262D3F"/>
    <w:rsid w:val="00262EFA"/>
    <w:rsid w:val="00262F3F"/>
    <w:rsid w:val="002632B6"/>
    <w:rsid w:val="002634D7"/>
    <w:rsid w:val="00263543"/>
    <w:rsid w:val="00263569"/>
    <w:rsid w:val="00263786"/>
    <w:rsid w:val="00263A3E"/>
    <w:rsid w:val="00263AD1"/>
    <w:rsid w:val="00263B1E"/>
    <w:rsid w:val="00263EA8"/>
    <w:rsid w:val="00263EB4"/>
    <w:rsid w:val="00264114"/>
    <w:rsid w:val="002641F2"/>
    <w:rsid w:val="002645DC"/>
    <w:rsid w:val="00264689"/>
    <w:rsid w:val="002648EB"/>
    <w:rsid w:val="00264D00"/>
    <w:rsid w:val="00264D06"/>
    <w:rsid w:val="00265091"/>
    <w:rsid w:val="00265184"/>
    <w:rsid w:val="00265582"/>
    <w:rsid w:val="002655F9"/>
    <w:rsid w:val="0026568E"/>
    <w:rsid w:val="00265752"/>
    <w:rsid w:val="00265907"/>
    <w:rsid w:val="00265BDB"/>
    <w:rsid w:val="00265DBE"/>
    <w:rsid w:val="00266029"/>
    <w:rsid w:val="002663DC"/>
    <w:rsid w:val="002667CA"/>
    <w:rsid w:val="00266E03"/>
    <w:rsid w:val="00267031"/>
    <w:rsid w:val="00267453"/>
    <w:rsid w:val="0026752F"/>
    <w:rsid w:val="00267A4F"/>
    <w:rsid w:val="00267DCA"/>
    <w:rsid w:val="00267ECA"/>
    <w:rsid w:val="002703FE"/>
    <w:rsid w:val="0027079B"/>
    <w:rsid w:val="00270AF4"/>
    <w:rsid w:val="00270E14"/>
    <w:rsid w:val="00271009"/>
    <w:rsid w:val="0027117F"/>
    <w:rsid w:val="00271225"/>
    <w:rsid w:val="00271319"/>
    <w:rsid w:val="002713AA"/>
    <w:rsid w:val="002715D8"/>
    <w:rsid w:val="002719F0"/>
    <w:rsid w:val="00271FFD"/>
    <w:rsid w:val="0027223B"/>
    <w:rsid w:val="0027238C"/>
    <w:rsid w:val="002723D8"/>
    <w:rsid w:val="0027268D"/>
    <w:rsid w:val="00272747"/>
    <w:rsid w:val="00272A4E"/>
    <w:rsid w:val="00272D91"/>
    <w:rsid w:val="00272DD5"/>
    <w:rsid w:val="00272F7F"/>
    <w:rsid w:val="0027300F"/>
    <w:rsid w:val="002735B3"/>
    <w:rsid w:val="00273602"/>
    <w:rsid w:val="00273816"/>
    <w:rsid w:val="00273C48"/>
    <w:rsid w:val="00274254"/>
    <w:rsid w:val="002743C9"/>
    <w:rsid w:val="002743F2"/>
    <w:rsid w:val="002747D9"/>
    <w:rsid w:val="002749B8"/>
    <w:rsid w:val="00274B13"/>
    <w:rsid w:val="00274B84"/>
    <w:rsid w:val="00274C34"/>
    <w:rsid w:val="00274E46"/>
    <w:rsid w:val="00274E4B"/>
    <w:rsid w:val="0027523B"/>
    <w:rsid w:val="002754CA"/>
    <w:rsid w:val="002754EE"/>
    <w:rsid w:val="002756A1"/>
    <w:rsid w:val="00275C01"/>
    <w:rsid w:val="00275D3F"/>
    <w:rsid w:val="00275DF0"/>
    <w:rsid w:val="00275EDC"/>
    <w:rsid w:val="00275F5F"/>
    <w:rsid w:val="00275FFF"/>
    <w:rsid w:val="0027624F"/>
    <w:rsid w:val="002762F9"/>
    <w:rsid w:val="0027658E"/>
    <w:rsid w:val="00276694"/>
    <w:rsid w:val="00276B5A"/>
    <w:rsid w:val="00276C09"/>
    <w:rsid w:val="00276DB2"/>
    <w:rsid w:val="0027720B"/>
    <w:rsid w:val="0027726A"/>
    <w:rsid w:val="002774B0"/>
    <w:rsid w:val="002774D6"/>
    <w:rsid w:val="002775EB"/>
    <w:rsid w:val="0027782B"/>
    <w:rsid w:val="002779D0"/>
    <w:rsid w:val="00277A4B"/>
    <w:rsid w:val="00277A85"/>
    <w:rsid w:val="00277C74"/>
    <w:rsid w:val="00277D20"/>
    <w:rsid w:val="00277D82"/>
    <w:rsid w:val="00277DD8"/>
    <w:rsid w:val="002802BC"/>
    <w:rsid w:val="0028031C"/>
    <w:rsid w:val="00280719"/>
    <w:rsid w:val="00280B91"/>
    <w:rsid w:val="0028109F"/>
    <w:rsid w:val="0028137E"/>
    <w:rsid w:val="00281698"/>
    <w:rsid w:val="0028196F"/>
    <w:rsid w:val="00281CB6"/>
    <w:rsid w:val="00281E5B"/>
    <w:rsid w:val="00281EDE"/>
    <w:rsid w:val="002821CD"/>
    <w:rsid w:val="00282203"/>
    <w:rsid w:val="0028235B"/>
    <w:rsid w:val="00282426"/>
    <w:rsid w:val="0028278C"/>
    <w:rsid w:val="00282991"/>
    <w:rsid w:val="00282C8B"/>
    <w:rsid w:val="00282EB4"/>
    <w:rsid w:val="00283231"/>
    <w:rsid w:val="00283445"/>
    <w:rsid w:val="00283746"/>
    <w:rsid w:val="00283BE3"/>
    <w:rsid w:val="00283D37"/>
    <w:rsid w:val="00283F43"/>
    <w:rsid w:val="00284059"/>
    <w:rsid w:val="002844B3"/>
    <w:rsid w:val="0028457A"/>
    <w:rsid w:val="0028471B"/>
    <w:rsid w:val="00284846"/>
    <w:rsid w:val="00284995"/>
    <w:rsid w:val="0028499E"/>
    <w:rsid w:val="00284B62"/>
    <w:rsid w:val="00284C59"/>
    <w:rsid w:val="00284CAA"/>
    <w:rsid w:val="00284E8B"/>
    <w:rsid w:val="00285089"/>
    <w:rsid w:val="00285141"/>
    <w:rsid w:val="00285248"/>
    <w:rsid w:val="00285352"/>
    <w:rsid w:val="00285369"/>
    <w:rsid w:val="00285968"/>
    <w:rsid w:val="00285B3A"/>
    <w:rsid w:val="00285DE6"/>
    <w:rsid w:val="00285FF6"/>
    <w:rsid w:val="00286081"/>
    <w:rsid w:val="00286635"/>
    <w:rsid w:val="00286668"/>
    <w:rsid w:val="00286833"/>
    <w:rsid w:val="00286BAF"/>
    <w:rsid w:val="00286BF1"/>
    <w:rsid w:val="00286CA2"/>
    <w:rsid w:val="00286E5E"/>
    <w:rsid w:val="00286FB9"/>
    <w:rsid w:val="002870F7"/>
    <w:rsid w:val="002873C1"/>
    <w:rsid w:val="0028745F"/>
    <w:rsid w:val="00287589"/>
    <w:rsid w:val="00287866"/>
    <w:rsid w:val="00287A1D"/>
    <w:rsid w:val="00287AEE"/>
    <w:rsid w:val="00287DA1"/>
    <w:rsid w:val="00290284"/>
    <w:rsid w:val="002904CF"/>
    <w:rsid w:val="002906C2"/>
    <w:rsid w:val="00290790"/>
    <w:rsid w:val="00290ECE"/>
    <w:rsid w:val="00290F6C"/>
    <w:rsid w:val="00290F6E"/>
    <w:rsid w:val="00290F97"/>
    <w:rsid w:val="00291072"/>
    <w:rsid w:val="002910FB"/>
    <w:rsid w:val="002913D4"/>
    <w:rsid w:val="0029150B"/>
    <w:rsid w:val="002915B3"/>
    <w:rsid w:val="002918E0"/>
    <w:rsid w:val="00291A00"/>
    <w:rsid w:val="00291ABC"/>
    <w:rsid w:val="00291ACB"/>
    <w:rsid w:val="00291DD4"/>
    <w:rsid w:val="00291EC4"/>
    <w:rsid w:val="00292586"/>
    <w:rsid w:val="002927B0"/>
    <w:rsid w:val="00292993"/>
    <w:rsid w:val="00292C05"/>
    <w:rsid w:val="00292D02"/>
    <w:rsid w:val="00292E39"/>
    <w:rsid w:val="00293299"/>
    <w:rsid w:val="002933B8"/>
    <w:rsid w:val="002935C0"/>
    <w:rsid w:val="00293631"/>
    <w:rsid w:val="002936C2"/>
    <w:rsid w:val="002937AB"/>
    <w:rsid w:val="00293852"/>
    <w:rsid w:val="00293B2C"/>
    <w:rsid w:val="00293C90"/>
    <w:rsid w:val="00293D0C"/>
    <w:rsid w:val="00293D56"/>
    <w:rsid w:val="00293EA3"/>
    <w:rsid w:val="00294040"/>
    <w:rsid w:val="00294288"/>
    <w:rsid w:val="002943B5"/>
    <w:rsid w:val="00294494"/>
    <w:rsid w:val="00294557"/>
    <w:rsid w:val="00294719"/>
    <w:rsid w:val="0029489E"/>
    <w:rsid w:val="002948DA"/>
    <w:rsid w:val="00294B81"/>
    <w:rsid w:val="00294E10"/>
    <w:rsid w:val="00294E47"/>
    <w:rsid w:val="0029538E"/>
    <w:rsid w:val="002955B0"/>
    <w:rsid w:val="002955D8"/>
    <w:rsid w:val="00295731"/>
    <w:rsid w:val="00295872"/>
    <w:rsid w:val="00295A86"/>
    <w:rsid w:val="00295B4D"/>
    <w:rsid w:val="00295C24"/>
    <w:rsid w:val="00295DEA"/>
    <w:rsid w:val="00295EC2"/>
    <w:rsid w:val="00296356"/>
    <w:rsid w:val="0029643A"/>
    <w:rsid w:val="0029651B"/>
    <w:rsid w:val="002967C4"/>
    <w:rsid w:val="00296812"/>
    <w:rsid w:val="0029696C"/>
    <w:rsid w:val="00296C53"/>
    <w:rsid w:val="00296EE5"/>
    <w:rsid w:val="002973F4"/>
    <w:rsid w:val="00297564"/>
    <w:rsid w:val="00297729"/>
    <w:rsid w:val="00297731"/>
    <w:rsid w:val="0029773E"/>
    <w:rsid w:val="00297BD1"/>
    <w:rsid w:val="00297E40"/>
    <w:rsid w:val="00297E66"/>
    <w:rsid w:val="002A0104"/>
    <w:rsid w:val="002A076D"/>
    <w:rsid w:val="002A07D8"/>
    <w:rsid w:val="002A0B3E"/>
    <w:rsid w:val="002A0BF6"/>
    <w:rsid w:val="002A0E44"/>
    <w:rsid w:val="002A1396"/>
    <w:rsid w:val="002A1406"/>
    <w:rsid w:val="002A1416"/>
    <w:rsid w:val="002A15CA"/>
    <w:rsid w:val="002A1C53"/>
    <w:rsid w:val="002A1F08"/>
    <w:rsid w:val="002A283F"/>
    <w:rsid w:val="002A2966"/>
    <w:rsid w:val="002A2D36"/>
    <w:rsid w:val="002A2FF8"/>
    <w:rsid w:val="002A30DE"/>
    <w:rsid w:val="002A3280"/>
    <w:rsid w:val="002A3454"/>
    <w:rsid w:val="002A34A5"/>
    <w:rsid w:val="002A3759"/>
    <w:rsid w:val="002A3DA8"/>
    <w:rsid w:val="002A425A"/>
    <w:rsid w:val="002A4421"/>
    <w:rsid w:val="002A44A1"/>
    <w:rsid w:val="002A45A1"/>
    <w:rsid w:val="002A4631"/>
    <w:rsid w:val="002A48DC"/>
    <w:rsid w:val="002A4B09"/>
    <w:rsid w:val="002A4CA0"/>
    <w:rsid w:val="002A4E64"/>
    <w:rsid w:val="002A5224"/>
    <w:rsid w:val="002A522C"/>
    <w:rsid w:val="002A5539"/>
    <w:rsid w:val="002A5727"/>
    <w:rsid w:val="002A5761"/>
    <w:rsid w:val="002A5C20"/>
    <w:rsid w:val="002A5E4B"/>
    <w:rsid w:val="002A612B"/>
    <w:rsid w:val="002A6248"/>
    <w:rsid w:val="002A6279"/>
    <w:rsid w:val="002A641B"/>
    <w:rsid w:val="002A6CCD"/>
    <w:rsid w:val="002A6CD7"/>
    <w:rsid w:val="002A6E6E"/>
    <w:rsid w:val="002A71E9"/>
    <w:rsid w:val="002A7587"/>
    <w:rsid w:val="002A761E"/>
    <w:rsid w:val="002A76A5"/>
    <w:rsid w:val="002A76AB"/>
    <w:rsid w:val="002A7738"/>
    <w:rsid w:val="002A7BB8"/>
    <w:rsid w:val="002A7D08"/>
    <w:rsid w:val="002B0058"/>
    <w:rsid w:val="002B0108"/>
    <w:rsid w:val="002B01D7"/>
    <w:rsid w:val="002B04FA"/>
    <w:rsid w:val="002B07B4"/>
    <w:rsid w:val="002B092D"/>
    <w:rsid w:val="002B0AEF"/>
    <w:rsid w:val="002B101A"/>
    <w:rsid w:val="002B127F"/>
    <w:rsid w:val="002B1327"/>
    <w:rsid w:val="002B145A"/>
    <w:rsid w:val="002B14C5"/>
    <w:rsid w:val="002B158A"/>
    <w:rsid w:val="002B1705"/>
    <w:rsid w:val="002B1B2D"/>
    <w:rsid w:val="002B1BD1"/>
    <w:rsid w:val="002B1BDF"/>
    <w:rsid w:val="002B1CB9"/>
    <w:rsid w:val="002B1F90"/>
    <w:rsid w:val="002B1F9F"/>
    <w:rsid w:val="002B22E0"/>
    <w:rsid w:val="002B2CB9"/>
    <w:rsid w:val="002B2E17"/>
    <w:rsid w:val="002B2F43"/>
    <w:rsid w:val="002B3186"/>
    <w:rsid w:val="002B34F8"/>
    <w:rsid w:val="002B3949"/>
    <w:rsid w:val="002B3C07"/>
    <w:rsid w:val="002B3DBA"/>
    <w:rsid w:val="002B459A"/>
    <w:rsid w:val="002B45F0"/>
    <w:rsid w:val="002B460E"/>
    <w:rsid w:val="002B46C5"/>
    <w:rsid w:val="002B4851"/>
    <w:rsid w:val="002B48C5"/>
    <w:rsid w:val="002B4AD6"/>
    <w:rsid w:val="002B4C7A"/>
    <w:rsid w:val="002B4D85"/>
    <w:rsid w:val="002B4EAF"/>
    <w:rsid w:val="002B506C"/>
    <w:rsid w:val="002B560B"/>
    <w:rsid w:val="002B56BA"/>
    <w:rsid w:val="002B571C"/>
    <w:rsid w:val="002B58A9"/>
    <w:rsid w:val="002B5DA2"/>
    <w:rsid w:val="002B637A"/>
    <w:rsid w:val="002B63F3"/>
    <w:rsid w:val="002B6B37"/>
    <w:rsid w:val="002B6BAA"/>
    <w:rsid w:val="002B6BF7"/>
    <w:rsid w:val="002B6E0E"/>
    <w:rsid w:val="002B701F"/>
    <w:rsid w:val="002B75C1"/>
    <w:rsid w:val="002B7666"/>
    <w:rsid w:val="002B767B"/>
    <w:rsid w:val="002B7756"/>
    <w:rsid w:val="002B7EC2"/>
    <w:rsid w:val="002C0199"/>
    <w:rsid w:val="002C0329"/>
    <w:rsid w:val="002C032D"/>
    <w:rsid w:val="002C034C"/>
    <w:rsid w:val="002C06A6"/>
    <w:rsid w:val="002C1171"/>
    <w:rsid w:val="002C1183"/>
    <w:rsid w:val="002C177D"/>
    <w:rsid w:val="002C18CC"/>
    <w:rsid w:val="002C18FD"/>
    <w:rsid w:val="002C1992"/>
    <w:rsid w:val="002C19D1"/>
    <w:rsid w:val="002C1B89"/>
    <w:rsid w:val="002C2123"/>
    <w:rsid w:val="002C2226"/>
    <w:rsid w:val="002C2277"/>
    <w:rsid w:val="002C2330"/>
    <w:rsid w:val="002C255B"/>
    <w:rsid w:val="002C27F6"/>
    <w:rsid w:val="002C2898"/>
    <w:rsid w:val="002C290D"/>
    <w:rsid w:val="002C29DD"/>
    <w:rsid w:val="002C2DFB"/>
    <w:rsid w:val="002C2F4C"/>
    <w:rsid w:val="002C3027"/>
    <w:rsid w:val="002C317A"/>
    <w:rsid w:val="002C31DF"/>
    <w:rsid w:val="002C34A2"/>
    <w:rsid w:val="002C375F"/>
    <w:rsid w:val="002C380A"/>
    <w:rsid w:val="002C384C"/>
    <w:rsid w:val="002C38A6"/>
    <w:rsid w:val="002C3D42"/>
    <w:rsid w:val="002C3EF7"/>
    <w:rsid w:val="002C411F"/>
    <w:rsid w:val="002C4470"/>
    <w:rsid w:val="002C44C3"/>
    <w:rsid w:val="002C44FA"/>
    <w:rsid w:val="002C453E"/>
    <w:rsid w:val="002C471B"/>
    <w:rsid w:val="002C47FA"/>
    <w:rsid w:val="002C4B5C"/>
    <w:rsid w:val="002C4C4D"/>
    <w:rsid w:val="002C4E33"/>
    <w:rsid w:val="002C4F22"/>
    <w:rsid w:val="002C4F56"/>
    <w:rsid w:val="002C4F87"/>
    <w:rsid w:val="002C4FA3"/>
    <w:rsid w:val="002C4FDE"/>
    <w:rsid w:val="002C5050"/>
    <w:rsid w:val="002C544D"/>
    <w:rsid w:val="002C549F"/>
    <w:rsid w:val="002C566C"/>
    <w:rsid w:val="002C56E9"/>
    <w:rsid w:val="002C579D"/>
    <w:rsid w:val="002C57C0"/>
    <w:rsid w:val="002C5A89"/>
    <w:rsid w:val="002C5F6E"/>
    <w:rsid w:val="002C60AD"/>
    <w:rsid w:val="002C6314"/>
    <w:rsid w:val="002C63AF"/>
    <w:rsid w:val="002C645A"/>
    <w:rsid w:val="002C6A93"/>
    <w:rsid w:val="002C6ADE"/>
    <w:rsid w:val="002C6C7B"/>
    <w:rsid w:val="002C6D1A"/>
    <w:rsid w:val="002C6EFF"/>
    <w:rsid w:val="002C7516"/>
    <w:rsid w:val="002C7517"/>
    <w:rsid w:val="002C77BC"/>
    <w:rsid w:val="002C77F0"/>
    <w:rsid w:val="002C7AED"/>
    <w:rsid w:val="002C7CE7"/>
    <w:rsid w:val="002C7E45"/>
    <w:rsid w:val="002D0023"/>
    <w:rsid w:val="002D0191"/>
    <w:rsid w:val="002D045A"/>
    <w:rsid w:val="002D05E3"/>
    <w:rsid w:val="002D0B6D"/>
    <w:rsid w:val="002D0C21"/>
    <w:rsid w:val="002D0C9E"/>
    <w:rsid w:val="002D0D12"/>
    <w:rsid w:val="002D0D18"/>
    <w:rsid w:val="002D1134"/>
    <w:rsid w:val="002D11CA"/>
    <w:rsid w:val="002D129A"/>
    <w:rsid w:val="002D1486"/>
    <w:rsid w:val="002D1496"/>
    <w:rsid w:val="002D15CC"/>
    <w:rsid w:val="002D1C4B"/>
    <w:rsid w:val="002D21A8"/>
    <w:rsid w:val="002D246A"/>
    <w:rsid w:val="002D24FF"/>
    <w:rsid w:val="002D26AE"/>
    <w:rsid w:val="002D28DA"/>
    <w:rsid w:val="002D2BE9"/>
    <w:rsid w:val="002D2D0F"/>
    <w:rsid w:val="002D2D6E"/>
    <w:rsid w:val="002D2F67"/>
    <w:rsid w:val="002D3028"/>
    <w:rsid w:val="002D3035"/>
    <w:rsid w:val="002D3047"/>
    <w:rsid w:val="002D34C5"/>
    <w:rsid w:val="002D3728"/>
    <w:rsid w:val="002D372E"/>
    <w:rsid w:val="002D3849"/>
    <w:rsid w:val="002D3B79"/>
    <w:rsid w:val="002D3BD9"/>
    <w:rsid w:val="002D3FE9"/>
    <w:rsid w:val="002D4186"/>
    <w:rsid w:val="002D4309"/>
    <w:rsid w:val="002D43E1"/>
    <w:rsid w:val="002D442D"/>
    <w:rsid w:val="002D4506"/>
    <w:rsid w:val="002D459C"/>
    <w:rsid w:val="002D4639"/>
    <w:rsid w:val="002D4A56"/>
    <w:rsid w:val="002D4E1E"/>
    <w:rsid w:val="002D4E81"/>
    <w:rsid w:val="002D4F47"/>
    <w:rsid w:val="002D4F85"/>
    <w:rsid w:val="002D51F9"/>
    <w:rsid w:val="002D52A3"/>
    <w:rsid w:val="002D542D"/>
    <w:rsid w:val="002D568D"/>
    <w:rsid w:val="002D575D"/>
    <w:rsid w:val="002D58C9"/>
    <w:rsid w:val="002D600C"/>
    <w:rsid w:val="002D61E0"/>
    <w:rsid w:val="002D6203"/>
    <w:rsid w:val="002D6210"/>
    <w:rsid w:val="002D649F"/>
    <w:rsid w:val="002D65AD"/>
    <w:rsid w:val="002D6605"/>
    <w:rsid w:val="002D6798"/>
    <w:rsid w:val="002D69C1"/>
    <w:rsid w:val="002D6A05"/>
    <w:rsid w:val="002D6DAA"/>
    <w:rsid w:val="002D70A7"/>
    <w:rsid w:val="002D712D"/>
    <w:rsid w:val="002D764D"/>
    <w:rsid w:val="002D7673"/>
    <w:rsid w:val="002D76EC"/>
    <w:rsid w:val="002D7736"/>
    <w:rsid w:val="002D7A03"/>
    <w:rsid w:val="002D7BF7"/>
    <w:rsid w:val="002D7D59"/>
    <w:rsid w:val="002E01AB"/>
    <w:rsid w:val="002E03CF"/>
    <w:rsid w:val="002E04E2"/>
    <w:rsid w:val="002E063F"/>
    <w:rsid w:val="002E0728"/>
    <w:rsid w:val="002E074D"/>
    <w:rsid w:val="002E0C3F"/>
    <w:rsid w:val="002E1039"/>
    <w:rsid w:val="002E123A"/>
    <w:rsid w:val="002E12F1"/>
    <w:rsid w:val="002E1411"/>
    <w:rsid w:val="002E1687"/>
    <w:rsid w:val="002E1873"/>
    <w:rsid w:val="002E1BF8"/>
    <w:rsid w:val="002E1E5C"/>
    <w:rsid w:val="002E1F6F"/>
    <w:rsid w:val="002E2166"/>
    <w:rsid w:val="002E2175"/>
    <w:rsid w:val="002E241B"/>
    <w:rsid w:val="002E25C3"/>
    <w:rsid w:val="002E2715"/>
    <w:rsid w:val="002E2A42"/>
    <w:rsid w:val="002E2BAD"/>
    <w:rsid w:val="002E31A8"/>
    <w:rsid w:val="002E3358"/>
    <w:rsid w:val="002E33BB"/>
    <w:rsid w:val="002E3630"/>
    <w:rsid w:val="002E387F"/>
    <w:rsid w:val="002E3A37"/>
    <w:rsid w:val="002E3C1F"/>
    <w:rsid w:val="002E3CDB"/>
    <w:rsid w:val="002E3F16"/>
    <w:rsid w:val="002E42C7"/>
    <w:rsid w:val="002E4533"/>
    <w:rsid w:val="002E4725"/>
    <w:rsid w:val="002E49F2"/>
    <w:rsid w:val="002E4CC9"/>
    <w:rsid w:val="002E4FCC"/>
    <w:rsid w:val="002E5264"/>
    <w:rsid w:val="002E52A1"/>
    <w:rsid w:val="002E5327"/>
    <w:rsid w:val="002E54E4"/>
    <w:rsid w:val="002E54F2"/>
    <w:rsid w:val="002E5A0C"/>
    <w:rsid w:val="002E5D25"/>
    <w:rsid w:val="002E60A6"/>
    <w:rsid w:val="002E6123"/>
    <w:rsid w:val="002E62EC"/>
    <w:rsid w:val="002E6438"/>
    <w:rsid w:val="002E6523"/>
    <w:rsid w:val="002E652D"/>
    <w:rsid w:val="002E654B"/>
    <w:rsid w:val="002E687E"/>
    <w:rsid w:val="002E6AA6"/>
    <w:rsid w:val="002E6C6D"/>
    <w:rsid w:val="002E6C73"/>
    <w:rsid w:val="002E6E0D"/>
    <w:rsid w:val="002E7343"/>
    <w:rsid w:val="002E74F2"/>
    <w:rsid w:val="002E7706"/>
    <w:rsid w:val="002E7712"/>
    <w:rsid w:val="002E7BEA"/>
    <w:rsid w:val="002E7CB1"/>
    <w:rsid w:val="002E7E61"/>
    <w:rsid w:val="002E7E78"/>
    <w:rsid w:val="002F0018"/>
    <w:rsid w:val="002F0078"/>
    <w:rsid w:val="002F043D"/>
    <w:rsid w:val="002F0505"/>
    <w:rsid w:val="002F0532"/>
    <w:rsid w:val="002F0696"/>
    <w:rsid w:val="002F06C6"/>
    <w:rsid w:val="002F0707"/>
    <w:rsid w:val="002F094B"/>
    <w:rsid w:val="002F0B10"/>
    <w:rsid w:val="002F0BDF"/>
    <w:rsid w:val="002F0CDB"/>
    <w:rsid w:val="002F0EBF"/>
    <w:rsid w:val="002F0FBD"/>
    <w:rsid w:val="002F12A4"/>
    <w:rsid w:val="002F140B"/>
    <w:rsid w:val="002F1534"/>
    <w:rsid w:val="002F1742"/>
    <w:rsid w:val="002F1831"/>
    <w:rsid w:val="002F1E0C"/>
    <w:rsid w:val="002F1E1E"/>
    <w:rsid w:val="002F25CC"/>
    <w:rsid w:val="002F279E"/>
    <w:rsid w:val="002F2849"/>
    <w:rsid w:val="002F298D"/>
    <w:rsid w:val="002F2CFD"/>
    <w:rsid w:val="002F2F6E"/>
    <w:rsid w:val="002F35D1"/>
    <w:rsid w:val="002F35F4"/>
    <w:rsid w:val="002F36D7"/>
    <w:rsid w:val="002F37A1"/>
    <w:rsid w:val="002F37DE"/>
    <w:rsid w:val="002F3C7A"/>
    <w:rsid w:val="002F3C82"/>
    <w:rsid w:val="002F3ED9"/>
    <w:rsid w:val="002F41D9"/>
    <w:rsid w:val="002F4308"/>
    <w:rsid w:val="002F46BD"/>
    <w:rsid w:val="002F4959"/>
    <w:rsid w:val="002F4974"/>
    <w:rsid w:val="002F4E6C"/>
    <w:rsid w:val="002F5009"/>
    <w:rsid w:val="002F50C9"/>
    <w:rsid w:val="002F50CF"/>
    <w:rsid w:val="002F5105"/>
    <w:rsid w:val="002F5388"/>
    <w:rsid w:val="002F555A"/>
    <w:rsid w:val="002F562A"/>
    <w:rsid w:val="002F5799"/>
    <w:rsid w:val="002F57C6"/>
    <w:rsid w:val="002F57FF"/>
    <w:rsid w:val="002F59B9"/>
    <w:rsid w:val="002F5A35"/>
    <w:rsid w:val="002F5BD1"/>
    <w:rsid w:val="002F5DCC"/>
    <w:rsid w:val="002F5E3D"/>
    <w:rsid w:val="002F60BA"/>
    <w:rsid w:val="002F6428"/>
    <w:rsid w:val="002F64C9"/>
    <w:rsid w:val="002F6578"/>
    <w:rsid w:val="002F6862"/>
    <w:rsid w:val="002F6A7B"/>
    <w:rsid w:val="002F6AC5"/>
    <w:rsid w:val="002F6C0C"/>
    <w:rsid w:val="002F6DFA"/>
    <w:rsid w:val="002F6F0B"/>
    <w:rsid w:val="002F7559"/>
    <w:rsid w:val="002F75CE"/>
    <w:rsid w:val="002F7777"/>
    <w:rsid w:val="002F79B4"/>
    <w:rsid w:val="002F7A1D"/>
    <w:rsid w:val="002F7B73"/>
    <w:rsid w:val="002F7D5E"/>
    <w:rsid w:val="002F7E88"/>
    <w:rsid w:val="0030002A"/>
    <w:rsid w:val="003001CE"/>
    <w:rsid w:val="003001F8"/>
    <w:rsid w:val="00300348"/>
    <w:rsid w:val="0030040B"/>
    <w:rsid w:val="003008DC"/>
    <w:rsid w:val="003009FA"/>
    <w:rsid w:val="00300A5D"/>
    <w:rsid w:val="00300A7D"/>
    <w:rsid w:val="00300AA9"/>
    <w:rsid w:val="00300B2A"/>
    <w:rsid w:val="00300BFE"/>
    <w:rsid w:val="003012F9"/>
    <w:rsid w:val="00301619"/>
    <w:rsid w:val="00301679"/>
    <w:rsid w:val="00301872"/>
    <w:rsid w:val="00301A90"/>
    <w:rsid w:val="00301B9E"/>
    <w:rsid w:val="00301CBF"/>
    <w:rsid w:val="00301E86"/>
    <w:rsid w:val="00301EF2"/>
    <w:rsid w:val="00302006"/>
    <w:rsid w:val="0030219E"/>
    <w:rsid w:val="003022EE"/>
    <w:rsid w:val="00302312"/>
    <w:rsid w:val="0030243A"/>
    <w:rsid w:val="0030285E"/>
    <w:rsid w:val="00302D5C"/>
    <w:rsid w:val="00302DDD"/>
    <w:rsid w:val="00302E0D"/>
    <w:rsid w:val="00302E2F"/>
    <w:rsid w:val="00303201"/>
    <w:rsid w:val="00303216"/>
    <w:rsid w:val="00303595"/>
    <w:rsid w:val="0030367B"/>
    <w:rsid w:val="003036EA"/>
    <w:rsid w:val="00303A5C"/>
    <w:rsid w:val="00303FBF"/>
    <w:rsid w:val="0030408E"/>
    <w:rsid w:val="003041F8"/>
    <w:rsid w:val="0030433F"/>
    <w:rsid w:val="00304760"/>
    <w:rsid w:val="00304933"/>
    <w:rsid w:val="00304C7A"/>
    <w:rsid w:val="00304E95"/>
    <w:rsid w:val="00304F77"/>
    <w:rsid w:val="00305247"/>
    <w:rsid w:val="003054B3"/>
    <w:rsid w:val="00305DA6"/>
    <w:rsid w:val="00305F67"/>
    <w:rsid w:val="00305FF8"/>
    <w:rsid w:val="00306120"/>
    <w:rsid w:val="0030626D"/>
    <w:rsid w:val="0030647F"/>
    <w:rsid w:val="00306552"/>
    <w:rsid w:val="00306574"/>
    <w:rsid w:val="0030675F"/>
    <w:rsid w:val="00306877"/>
    <w:rsid w:val="003069AA"/>
    <w:rsid w:val="00306ACF"/>
    <w:rsid w:val="00306B24"/>
    <w:rsid w:val="00306B4C"/>
    <w:rsid w:val="00307010"/>
    <w:rsid w:val="00307122"/>
    <w:rsid w:val="0030714A"/>
    <w:rsid w:val="00307165"/>
    <w:rsid w:val="003071F4"/>
    <w:rsid w:val="0030724F"/>
    <w:rsid w:val="00307506"/>
    <w:rsid w:val="00307587"/>
    <w:rsid w:val="0030758C"/>
    <w:rsid w:val="00307699"/>
    <w:rsid w:val="0030770B"/>
    <w:rsid w:val="003077DD"/>
    <w:rsid w:val="003077F1"/>
    <w:rsid w:val="003077F5"/>
    <w:rsid w:val="00307950"/>
    <w:rsid w:val="00307C63"/>
    <w:rsid w:val="00307C99"/>
    <w:rsid w:val="00307EF3"/>
    <w:rsid w:val="003100F4"/>
    <w:rsid w:val="003108AB"/>
    <w:rsid w:val="00310DE7"/>
    <w:rsid w:val="00310EA4"/>
    <w:rsid w:val="00311059"/>
    <w:rsid w:val="0031136C"/>
    <w:rsid w:val="0031140F"/>
    <w:rsid w:val="00311487"/>
    <w:rsid w:val="0031172A"/>
    <w:rsid w:val="003117B6"/>
    <w:rsid w:val="00311874"/>
    <w:rsid w:val="00311B2C"/>
    <w:rsid w:val="00311D1D"/>
    <w:rsid w:val="00311E34"/>
    <w:rsid w:val="00311F3E"/>
    <w:rsid w:val="0031215F"/>
    <w:rsid w:val="0031230C"/>
    <w:rsid w:val="0031235E"/>
    <w:rsid w:val="003123B0"/>
    <w:rsid w:val="003123BB"/>
    <w:rsid w:val="00312510"/>
    <w:rsid w:val="003125E5"/>
    <w:rsid w:val="0031275E"/>
    <w:rsid w:val="0031283F"/>
    <w:rsid w:val="00312B2A"/>
    <w:rsid w:val="00312DD1"/>
    <w:rsid w:val="00312E36"/>
    <w:rsid w:val="00312ECD"/>
    <w:rsid w:val="00313042"/>
    <w:rsid w:val="003131AA"/>
    <w:rsid w:val="00313217"/>
    <w:rsid w:val="00313654"/>
    <w:rsid w:val="00313BA2"/>
    <w:rsid w:val="00313D1B"/>
    <w:rsid w:val="003142E3"/>
    <w:rsid w:val="0031433F"/>
    <w:rsid w:val="0031440B"/>
    <w:rsid w:val="0031448D"/>
    <w:rsid w:val="003145D0"/>
    <w:rsid w:val="003148C4"/>
    <w:rsid w:val="003152DD"/>
    <w:rsid w:val="00315447"/>
    <w:rsid w:val="0031584A"/>
    <w:rsid w:val="00315953"/>
    <w:rsid w:val="00315B76"/>
    <w:rsid w:val="00315C22"/>
    <w:rsid w:val="00315D6A"/>
    <w:rsid w:val="00315D8A"/>
    <w:rsid w:val="00316312"/>
    <w:rsid w:val="003164BE"/>
    <w:rsid w:val="0031652E"/>
    <w:rsid w:val="003165A4"/>
    <w:rsid w:val="00316660"/>
    <w:rsid w:val="003166C6"/>
    <w:rsid w:val="00316B63"/>
    <w:rsid w:val="0031715A"/>
    <w:rsid w:val="00317199"/>
    <w:rsid w:val="00317354"/>
    <w:rsid w:val="003173F2"/>
    <w:rsid w:val="003175A8"/>
    <w:rsid w:val="0031761F"/>
    <w:rsid w:val="003176E2"/>
    <w:rsid w:val="00317957"/>
    <w:rsid w:val="00317BDF"/>
    <w:rsid w:val="00317E0E"/>
    <w:rsid w:val="00317E84"/>
    <w:rsid w:val="0032004C"/>
    <w:rsid w:val="003200CA"/>
    <w:rsid w:val="0032016D"/>
    <w:rsid w:val="00320265"/>
    <w:rsid w:val="003206F8"/>
    <w:rsid w:val="00320A8D"/>
    <w:rsid w:val="00320CD7"/>
    <w:rsid w:val="00320D81"/>
    <w:rsid w:val="00320DA0"/>
    <w:rsid w:val="003211AE"/>
    <w:rsid w:val="00321411"/>
    <w:rsid w:val="0032164B"/>
    <w:rsid w:val="003218C7"/>
    <w:rsid w:val="00321A3D"/>
    <w:rsid w:val="00321B0D"/>
    <w:rsid w:val="00321B93"/>
    <w:rsid w:val="00321EC0"/>
    <w:rsid w:val="00321FAB"/>
    <w:rsid w:val="00321FCB"/>
    <w:rsid w:val="00322001"/>
    <w:rsid w:val="00322490"/>
    <w:rsid w:val="0032251D"/>
    <w:rsid w:val="00323070"/>
    <w:rsid w:val="00323427"/>
    <w:rsid w:val="003235C2"/>
    <w:rsid w:val="00323980"/>
    <w:rsid w:val="00323A87"/>
    <w:rsid w:val="00323E82"/>
    <w:rsid w:val="0032403E"/>
    <w:rsid w:val="00324040"/>
    <w:rsid w:val="003240B3"/>
    <w:rsid w:val="003241E9"/>
    <w:rsid w:val="00324871"/>
    <w:rsid w:val="00324A98"/>
    <w:rsid w:val="00324E04"/>
    <w:rsid w:val="00324F43"/>
    <w:rsid w:val="00324FA4"/>
    <w:rsid w:val="00324FD4"/>
    <w:rsid w:val="003250E9"/>
    <w:rsid w:val="003258E5"/>
    <w:rsid w:val="003259D3"/>
    <w:rsid w:val="00325C6E"/>
    <w:rsid w:val="00325D4F"/>
    <w:rsid w:val="00325DBB"/>
    <w:rsid w:val="00325E25"/>
    <w:rsid w:val="00326052"/>
    <w:rsid w:val="003266C5"/>
    <w:rsid w:val="00326932"/>
    <w:rsid w:val="003269AB"/>
    <w:rsid w:val="00326B29"/>
    <w:rsid w:val="00326BEE"/>
    <w:rsid w:val="00326C0B"/>
    <w:rsid w:val="00326C16"/>
    <w:rsid w:val="00326CFB"/>
    <w:rsid w:val="00326D40"/>
    <w:rsid w:val="00326D7F"/>
    <w:rsid w:val="00326E14"/>
    <w:rsid w:val="0032712A"/>
    <w:rsid w:val="00327558"/>
    <w:rsid w:val="003277F4"/>
    <w:rsid w:val="00327822"/>
    <w:rsid w:val="00327896"/>
    <w:rsid w:val="00327B29"/>
    <w:rsid w:val="00327BFC"/>
    <w:rsid w:val="00327F08"/>
    <w:rsid w:val="00327F89"/>
    <w:rsid w:val="0033053A"/>
    <w:rsid w:val="003307C7"/>
    <w:rsid w:val="00330978"/>
    <w:rsid w:val="00330D20"/>
    <w:rsid w:val="0033158F"/>
    <w:rsid w:val="0033191D"/>
    <w:rsid w:val="00331C1B"/>
    <w:rsid w:val="00331C38"/>
    <w:rsid w:val="00331DCE"/>
    <w:rsid w:val="0033202F"/>
    <w:rsid w:val="003322D3"/>
    <w:rsid w:val="00332441"/>
    <w:rsid w:val="0033263D"/>
    <w:rsid w:val="0033294C"/>
    <w:rsid w:val="00332ABD"/>
    <w:rsid w:val="00332ED3"/>
    <w:rsid w:val="0033335F"/>
    <w:rsid w:val="003334EA"/>
    <w:rsid w:val="00333718"/>
    <w:rsid w:val="0033392C"/>
    <w:rsid w:val="00333B58"/>
    <w:rsid w:val="00333E09"/>
    <w:rsid w:val="00333F67"/>
    <w:rsid w:val="0033421E"/>
    <w:rsid w:val="003342AC"/>
    <w:rsid w:val="00334305"/>
    <w:rsid w:val="00334556"/>
    <w:rsid w:val="003345CB"/>
    <w:rsid w:val="003347FC"/>
    <w:rsid w:val="00334A8C"/>
    <w:rsid w:val="00334D2A"/>
    <w:rsid w:val="00334E31"/>
    <w:rsid w:val="0033536B"/>
    <w:rsid w:val="003353C5"/>
    <w:rsid w:val="00335792"/>
    <w:rsid w:val="00335A99"/>
    <w:rsid w:val="00335D57"/>
    <w:rsid w:val="00336064"/>
    <w:rsid w:val="003360BB"/>
    <w:rsid w:val="00336226"/>
    <w:rsid w:val="00336ABD"/>
    <w:rsid w:val="00336EF6"/>
    <w:rsid w:val="00337062"/>
    <w:rsid w:val="00337226"/>
    <w:rsid w:val="003376C4"/>
    <w:rsid w:val="003376FF"/>
    <w:rsid w:val="00337900"/>
    <w:rsid w:val="00337908"/>
    <w:rsid w:val="00337C68"/>
    <w:rsid w:val="00337D5F"/>
    <w:rsid w:val="00337D9D"/>
    <w:rsid w:val="00337EC6"/>
    <w:rsid w:val="00340228"/>
    <w:rsid w:val="00340483"/>
    <w:rsid w:val="00340519"/>
    <w:rsid w:val="003408C3"/>
    <w:rsid w:val="00340A9E"/>
    <w:rsid w:val="00340B19"/>
    <w:rsid w:val="00340DBF"/>
    <w:rsid w:val="00340FB1"/>
    <w:rsid w:val="0034111B"/>
    <w:rsid w:val="00341190"/>
    <w:rsid w:val="003413DD"/>
    <w:rsid w:val="00341775"/>
    <w:rsid w:val="0034185E"/>
    <w:rsid w:val="003419F9"/>
    <w:rsid w:val="00341BAF"/>
    <w:rsid w:val="00341DAF"/>
    <w:rsid w:val="0034206E"/>
    <w:rsid w:val="0034222C"/>
    <w:rsid w:val="0034231C"/>
    <w:rsid w:val="00342337"/>
    <w:rsid w:val="003424C0"/>
    <w:rsid w:val="003424E8"/>
    <w:rsid w:val="003427B2"/>
    <w:rsid w:val="00342A24"/>
    <w:rsid w:val="00342A86"/>
    <w:rsid w:val="00342CF6"/>
    <w:rsid w:val="00342EB3"/>
    <w:rsid w:val="00342EBD"/>
    <w:rsid w:val="003430B1"/>
    <w:rsid w:val="00343115"/>
    <w:rsid w:val="003431DD"/>
    <w:rsid w:val="0034335C"/>
    <w:rsid w:val="003433BD"/>
    <w:rsid w:val="00343542"/>
    <w:rsid w:val="0034391A"/>
    <w:rsid w:val="00343AF0"/>
    <w:rsid w:val="00343E07"/>
    <w:rsid w:val="00343F03"/>
    <w:rsid w:val="00343FB7"/>
    <w:rsid w:val="0034410B"/>
    <w:rsid w:val="0034424D"/>
    <w:rsid w:val="003443B6"/>
    <w:rsid w:val="003444CB"/>
    <w:rsid w:val="00344723"/>
    <w:rsid w:val="003447B5"/>
    <w:rsid w:val="00344856"/>
    <w:rsid w:val="00344C03"/>
    <w:rsid w:val="00344C91"/>
    <w:rsid w:val="00344E0F"/>
    <w:rsid w:val="00344F9B"/>
    <w:rsid w:val="00345284"/>
    <w:rsid w:val="003452A5"/>
    <w:rsid w:val="00345859"/>
    <w:rsid w:val="00345913"/>
    <w:rsid w:val="00345941"/>
    <w:rsid w:val="00345989"/>
    <w:rsid w:val="00345A28"/>
    <w:rsid w:val="00345A80"/>
    <w:rsid w:val="00345BE9"/>
    <w:rsid w:val="00345E5B"/>
    <w:rsid w:val="00345F60"/>
    <w:rsid w:val="00345FBA"/>
    <w:rsid w:val="003461D2"/>
    <w:rsid w:val="00346298"/>
    <w:rsid w:val="003462A8"/>
    <w:rsid w:val="00346364"/>
    <w:rsid w:val="003463BE"/>
    <w:rsid w:val="00346408"/>
    <w:rsid w:val="0034643E"/>
    <w:rsid w:val="0034646D"/>
    <w:rsid w:val="00346504"/>
    <w:rsid w:val="0034658D"/>
    <w:rsid w:val="00346733"/>
    <w:rsid w:val="00346AEB"/>
    <w:rsid w:val="00346BC2"/>
    <w:rsid w:val="00346C8F"/>
    <w:rsid w:val="00346D44"/>
    <w:rsid w:val="00346E32"/>
    <w:rsid w:val="00346F1D"/>
    <w:rsid w:val="0034728C"/>
    <w:rsid w:val="00347350"/>
    <w:rsid w:val="003474F5"/>
    <w:rsid w:val="003479FE"/>
    <w:rsid w:val="00347A94"/>
    <w:rsid w:val="00347C0B"/>
    <w:rsid w:val="00347C6D"/>
    <w:rsid w:val="00347EB9"/>
    <w:rsid w:val="00347FAD"/>
    <w:rsid w:val="00350337"/>
    <w:rsid w:val="0035041D"/>
    <w:rsid w:val="00350422"/>
    <w:rsid w:val="0035061F"/>
    <w:rsid w:val="00350690"/>
    <w:rsid w:val="00350705"/>
    <w:rsid w:val="00350749"/>
    <w:rsid w:val="00350831"/>
    <w:rsid w:val="00350B24"/>
    <w:rsid w:val="00350B9B"/>
    <w:rsid w:val="00350BF0"/>
    <w:rsid w:val="00350C17"/>
    <w:rsid w:val="00350C1C"/>
    <w:rsid w:val="003510CC"/>
    <w:rsid w:val="0035116A"/>
    <w:rsid w:val="003511B6"/>
    <w:rsid w:val="0035147F"/>
    <w:rsid w:val="0035152D"/>
    <w:rsid w:val="003518EA"/>
    <w:rsid w:val="003519AD"/>
    <w:rsid w:val="0035235A"/>
    <w:rsid w:val="0035261A"/>
    <w:rsid w:val="00352636"/>
    <w:rsid w:val="003528C4"/>
    <w:rsid w:val="0035296D"/>
    <w:rsid w:val="00352B48"/>
    <w:rsid w:val="00352BD2"/>
    <w:rsid w:val="00352C17"/>
    <w:rsid w:val="00352D42"/>
    <w:rsid w:val="00352D5B"/>
    <w:rsid w:val="00352DC1"/>
    <w:rsid w:val="00352EF0"/>
    <w:rsid w:val="003532B3"/>
    <w:rsid w:val="00353501"/>
    <w:rsid w:val="00353550"/>
    <w:rsid w:val="0035394B"/>
    <w:rsid w:val="00353B3C"/>
    <w:rsid w:val="00353C86"/>
    <w:rsid w:val="00353D4C"/>
    <w:rsid w:val="00354054"/>
    <w:rsid w:val="00354190"/>
    <w:rsid w:val="00354208"/>
    <w:rsid w:val="00354333"/>
    <w:rsid w:val="003547CF"/>
    <w:rsid w:val="003548CA"/>
    <w:rsid w:val="00354AF4"/>
    <w:rsid w:val="00354C92"/>
    <w:rsid w:val="00354E41"/>
    <w:rsid w:val="00355175"/>
    <w:rsid w:val="003553AB"/>
    <w:rsid w:val="003554CE"/>
    <w:rsid w:val="00355584"/>
    <w:rsid w:val="00355E03"/>
    <w:rsid w:val="00355E25"/>
    <w:rsid w:val="00355FE4"/>
    <w:rsid w:val="00356211"/>
    <w:rsid w:val="00356605"/>
    <w:rsid w:val="0035686F"/>
    <w:rsid w:val="003568E7"/>
    <w:rsid w:val="00356AD5"/>
    <w:rsid w:val="00356B7C"/>
    <w:rsid w:val="00356E62"/>
    <w:rsid w:val="00356EC1"/>
    <w:rsid w:val="00356F6F"/>
    <w:rsid w:val="00357122"/>
    <w:rsid w:val="0035737C"/>
    <w:rsid w:val="00357425"/>
    <w:rsid w:val="00357551"/>
    <w:rsid w:val="00357B99"/>
    <w:rsid w:val="00357D12"/>
    <w:rsid w:val="00357DC5"/>
    <w:rsid w:val="00357EFF"/>
    <w:rsid w:val="00359103"/>
    <w:rsid w:val="00360097"/>
    <w:rsid w:val="003602A6"/>
    <w:rsid w:val="0036033D"/>
    <w:rsid w:val="003606E7"/>
    <w:rsid w:val="003607EF"/>
    <w:rsid w:val="00360966"/>
    <w:rsid w:val="003609F2"/>
    <w:rsid w:val="00360CAD"/>
    <w:rsid w:val="00360CB9"/>
    <w:rsid w:val="00360E47"/>
    <w:rsid w:val="00360ED2"/>
    <w:rsid w:val="00360F39"/>
    <w:rsid w:val="00361120"/>
    <w:rsid w:val="00361181"/>
    <w:rsid w:val="00361228"/>
    <w:rsid w:val="00361335"/>
    <w:rsid w:val="0036141F"/>
    <w:rsid w:val="00361587"/>
    <w:rsid w:val="00362014"/>
    <w:rsid w:val="0036222A"/>
    <w:rsid w:val="00362544"/>
    <w:rsid w:val="003627A0"/>
    <w:rsid w:val="003627DB"/>
    <w:rsid w:val="00362A35"/>
    <w:rsid w:val="00362F87"/>
    <w:rsid w:val="0036302B"/>
    <w:rsid w:val="00363556"/>
    <w:rsid w:val="003635F0"/>
    <w:rsid w:val="00363703"/>
    <w:rsid w:val="00363C39"/>
    <w:rsid w:val="0036405E"/>
    <w:rsid w:val="0036412D"/>
    <w:rsid w:val="00364222"/>
    <w:rsid w:val="0036475C"/>
    <w:rsid w:val="0036494E"/>
    <w:rsid w:val="00364BFB"/>
    <w:rsid w:val="00364C16"/>
    <w:rsid w:val="00364DF2"/>
    <w:rsid w:val="00364DFB"/>
    <w:rsid w:val="003650E0"/>
    <w:rsid w:val="00365373"/>
    <w:rsid w:val="003653F5"/>
    <w:rsid w:val="00365709"/>
    <w:rsid w:val="00365B07"/>
    <w:rsid w:val="00365D9E"/>
    <w:rsid w:val="00365F2C"/>
    <w:rsid w:val="00365F88"/>
    <w:rsid w:val="00366032"/>
    <w:rsid w:val="0036615F"/>
    <w:rsid w:val="00366426"/>
    <w:rsid w:val="00366508"/>
    <w:rsid w:val="0036679D"/>
    <w:rsid w:val="003669C3"/>
    <w:rsid w:val="00366B6B"/>
    <w:rsid w:val="00366D41"/>
    <w:rsid w:val="003670C1"/>
    <w:rsid w:val="00367237"/>
    <w:rsid w:val="00367521"/>
    <w:rsid w:val="003679D3"/>
    <w:rsid w:val="00367DB6"/>
    <w:rsid w:val="00367FF6"/>
    <w:rsid w:val="00370410"/>
    <w:rsid w:val="003706F2"/>
    <w:rsid w:val="00370944"/>
    <w:rsid w:val="00370BEE"/>
    <w:rsid w:val="00370EC4"/>
    <w:rsid w:val="00370F5C"/>
    <w:rsid w:val="00370F5D"/>
    <w:rsid w:val="00370FD5"/>
    <w:rsid w:val="0037122A"/>
    <w:rsid w:val="003714DF"/>
    <w:rsid w:val="003714E2"/>
    <w:rsid w:val="0037187C"/>
    <w:rsid w:val="00371927"/>
    <w:rsid w:val="00371FD0"/>
    <w:rsid w:val="003721F6"/>
    <w:rsid w:val="003722CD"/>
    <w:rsid w:val="003723B9"/>
    <w:rsid w:val="003724FA"/>
    <w:rsid w:val="00372A28"/>
    <w:rsid w:val="00372ABC"/>
    <w:rsid w:val="00372B11"/>
    <w:rsid w:val="00372B5E"/>
    <w:rsid w:val="00372DD0"/>
    <w:rsid w:val="00372F25"/>
    <w:rsid w:val="003730A6"/>
    <w:rsid w:val="00373512"/>
    <w:rsid w:val="00373611"/>
    <w:rsid w:val="003738EC"/>
    <w:rsid w:val="00373A27"/>
    <w:rsid w:val="00373BF4"/>
    <w:rsid w:val="00373D63"/>
    <w:rsid w:val="003743EF"/>
    <w:rsid w:val="0037499F"/>
    <w:rsid w:val="00374A83"/>
    <w:rsid w:val="00374D6D"/>
    <w:rsid w:val="00374DFE"/>
    <w:rsid w:val="00374FEA"/>
    <w:rsid w:val="003750B0"/>
    <w:rsid w:val="003755BE"/>
    <w:rsid w:val="00375739"/>
    <w:rsid w:val="00375787"/>
    <w:rsid w:val="0037580C"/>
    <w:rsid w:val="00375AFF"/>
    <w:rsid w:val="0037601A"/>
    <w:rsid w:val="00376139"/>
    <w:rsid w:val="00376346"/>
    <w:rsid w:val="003763CF"/>
    <w:rsid w:val="0037649D"/>
    <w:rsid w:val="0037661C"/>
    <w:rsid w:val="00376651"/>
    <w:rsid w:val="00376750"/>
    <w:rsid w:val="003768DD"/>
    <w:rsid w:val="0037696B"/>
    <w:rsid w:val="00376C36"/>
    <w:rsid w:val="00376CAF"/>
    <w:rsid w:val="00376DC9"/>
    <w:rsid w:val="00377224"/>
    <w:rsid w:val="00377607"/>
    <w:rsid w:val="00377B05"/>
    <w:rsid w:val="00377B7B"/>
    <w:rsid w:val="00377B80"/>
    <w:rsid w:val="00377DAE"/>
    <w:rsid w:val="00377ED0"/>
    <w:rsid w:val="00380485"/>
    <w:rsid w:val="003806B2"/>
    <w:rsid w:val="003807CB"/>
    <w:rsid w:val="003807E9"/>
    <w:rsid w:val="00380842"/>
    <w:rsid w:val="003808E6"/>
    <w:rsid w:val="00380D5A"/>
    <w:rsid w:val="00380D7A"/>
    <w:rsid w:val="00380DE8"/>
    <w:rsid w:val="00381001"/>
    <w:rsid w:val="00381064"/>
    <w:rsid w:val="00381112"/>
    <w:rsid w:val="0038144C"/>
    <w:rsid w:val="00381518"/>
    <w:rsid w:val="0038168A"/>
    <w:rsid w:val="00381692"/>
    <w:rsid w:val="003816B9"/>
    <w:rsid w:val="003817FC"/>
    <w:rsid w:val="00381959"/>
    <w:rsid w:val="00381A21"/>
    <w:rsid w:val="00381A7B"/>
    <w:rsid w:val="00381A8D"/>
    <w:rsid w:val="00381D98"/>
    <w:rsid w:val="00381F75"/>
    <w:rsid w:val="0038220B"/>
    <w:rsid w:val="00382542"/>
    <w:rsid w:val="00382582"/>
    <w:rsid w:val="00382663"/>
    <w:rsid w:val="003827E8"/>
    <w:rsid w:val="00382A3C"/>
    <w:rsid w:val="00382A69"/>
    <w:rsid w:val="00382C06"/>
    <w:rsid w:val="00382D30"/>
    <w:rsid w:val="00382DEE"/>
    <w:rsid w:val="00382F5E"/>
    <w:rsid w:val="0038318A"/>
    <w:rsid w:val="0038326C"/>
    <w:rsid w:val="003833EA"/>
    <w:rsid w:val="003835F3"/>
    <w:rsid w:val="00383880"/>
    <w:rsid w:val="003839B0"/>
    <w:rsid w:val="00383A46"/>
    <w:rsid w:val="00383BBE"/>
    <w:rsid w:val="00383D32"/>
    <w:rsid w:val="0038427D"/>
    <w:rsid w:val="003842B9"/>
    <w:rsid w:val="00384361"/>
    <w:rsid w:val="003843A6"/>
    <w:rsid w:val="00384610"/>
    <w:rsid w:val="00384A4C"/>
    <w:rsid w:val="00384B01"/>
    <w:rsid w:val="00384BF9"/>
    <w:rsid w:val="00384D49"/>
    <w:rsid w:val="00385202"/>
    <w:rsid w:val="0038528F"/>
    <w:rsid w:val="003853F3"/>
    <w:rsid w:val="0038554A"/>
    <w:rsid w:val="0038575E"/>
    <w:rsid w:val="00385823"/>
    <w:rsid w:val="003859BE"/>
    <w:rsid w:val="00386016"/>
    <w:rsid w:val="00386086"/>
    <w:rsid w:val="00386628"/>
    <w:rsid w:val="00386709"/>
    <w:rsid w:val="003869B9"/>
    <w:rsid w:val="00386DC8"/>
    <w:rsid w:val="00387219"/>
    <w:rsid w:val="003872DB"/>
    <w:rsid w:val="00387332"/>
    <w:rsid w:val="003873C4"/>
    <w:rsid w:val="00387774"/>
    <w:rsid w:val="0038790B"/>
    <w:rsid w:val="00387CA3"/>
    <w:rsid w:val="00387F28"/>
    <w:rsid w:val="00390117"/>
    <w:rsid w:val="00390496"/>
    <w:rsid w:val="003904EC"/>
    <w:rsid w:val="00390511"/>
    <w:rsid w:val="0039064C"/>
    <w:rsid w:val="00390845"/>
    <w:rsid w:val="00390AA0"/>
    <w:rsid w:val="00390BF8"/>
    <w:rsid w:val="00390DE4"/>
    <w:rsid w:val="00390E57"/>
    <w:rsid w:val="003910DD"/>
    <w:rsid w:val="0039116F"/>
    <w:rsid w:val="00391997"/>
    <w:rsid w:val="00391B80"/>
    <w:rsid w:val="00392081"/>
    <w:rsid w:val="00392138"/>
    <w:rsid w:val="003921FD"/>
    <w:rsid w:val="003922C4"/>
    <w:rsid w:val="00392381"/>
    <w:rsid w:val="0039255E"/>
    <w:rsid w:val="00392635"/>
    <w:rsid w:val="00392766"/>
    <w:rsid w:val="003928A4"/>
    <w:rsid w:val="00393031"/>
    <w:rsid w:val="003930FF"/>
    <w:rsid w:val="003932C4"/>
    <w:rsid w:val="003933ED"/>
    <w:rsid w:val="00393509"/>
    <w:rsid w:val="0039390E"/>
    <w:rsid w:val="00393B8C"/>
    <w:rsid w:val="00393E06"/>
    <w:rsid w:val="00393FB3"/>
    <w:rsid w:val="00393FD2"/>
    <w:rsid w:val="003941F2"/>
    <w:rsid w:val="00394355"/>
    <w:rsid w:val="0039439F"/>
    <w:rsid w:val="003943E8"/>
    <w:rsid w:val="00394717"/>
    <w:rsid w:val="003947A6"/>
    <w:rsid w:val="00394AF2"/>
    <w:rsid w:val="00394F5E"/>
    <w:rsid w:val="0039517B"/>
    <w:rsid w:val="003952AD"/>
    <w:rsid w:val="003952FB"/>
    <w:rsid w:val="003953CF"/>
    <w:rsid w:val="00395514"/>
    <w:rsid w:val="003959A0"/>
    <w:rsid w:val="003959F3"/>
    <w:rsid w:val="00395A9F"/>
    <w:rsid w:val="00395ACB"/>
    <w:rsid w:val="00395AF8"/>
    <w:rsid w:val="00395B59"/>
    <w:rsid w:val="00395EA5"/>
    <w:rsid w:val="003960A0"/>
    <w:rsid w:val="003962A4"/>
    <w:rsid w:val="00396339"/>
    <w:rsid w:val="00396584"/>
    <w:rsid w:val="003967FD"/>
    <w:rsid w:val="00396D97"/>
    <w:rsid w:val="00396E18"/>
    <w:rsid w:val="003971D4"/>
    <w:rsid w:val="003977A2"/>
    <w:rsid w:val="00397813"/>
    <w:rsid w:val="00397872"/>
    <w:rsid w:val="003979A1"/>
    <w:rsid w:val="003979B5"/>
    <w:rsid w:val="00397ADD"/>
    <w:rsid w:val="00397BE6"/>
    <w:rsid w:val="0039C5DA"/>
    <w:rsid w:val="003A0599"/>
    <w:rsid w:val="003A0700"/>
    <w:rsid w:val="003A072F"/>
    <w:rsid w:val="003A0C64"/>
    <w:rsid w:val="003A0C6A"/>
    <w:rsid w:val="003A0D24"/>
    <w:rsid w:val="003A0F93"/>
    <w:rsid w:val="003A108B"/>
    <w:rsid w:val="003A11DA"/>
    <w:rsid w:val="003A12B1"/>
    <w:rsid w:val="003A1461"/>
    <w:rsid w:val="003A14CC"/>
    <w:rsid w:val="003A15D0"/>
    <w:rsid w:val="003A1652"/>
    <w:rsid w:val="003A1A47"/>
    <w:rsid w:val="003A1AE7"/>
    <w:rsid w:val="003A1BCF"/>
    <w:rsid w:val="003A1D4B"/>
    <w:rsid w:val="003A20C9"/>
    <w:rsid w:val="003A25B2"/>
    <w:rsid w:val="003A2610"/>
    <w:rsid w:val="003A2CC8"/>
    <w:rsid w:val="003A2F70"/>
    <w:rsid w:val="003A304D"/>
    <w:rsid w:val="003A329C"/>
    <w:rsid w:val="003A3605"/>
    <w:rsid w:val="003A3C0D"/>
    <w:rsid w:val="003A3D49"/>
    <w:rsid w:val="003A3E5D"/>
    <w:rsid w:val="003A3E8A"/>
    <w:rsid w:val="003A3FCE"/>
    <w:rsid w:val="003A415A"/>
    <w:rsid w:val="003A4192"/>
    <w:rsid w:val="003A4258"/>
    <w:rsid w:val="003A4325"/>
    <w:rsid w:val="003A44F7"/>
    <w:rsid w:val="003A4515"/>
    <w:rsid w:val="003A4780"/>
    <w:rsid w:val="003A48A8"/>
    <w:rsid w:val="003A48AA"/>
    <w:rsid w:val="003A49B7"/>
    <w:rsid w:val="003A511A"/>
    <w:rsid w:val="003A55EA"/>
    <w:rsid w:val="003A5673"/>
    <w:rsid w:val="003A5B08"/>
    <w:rsid w:val="003A5D55"/>
    <w:rsid w:val="003A5D7D"/>
    <w:rsid w:val="003A5EB3"/>
    <w:rsid w:val="003A671A"/>
    <w:rsid w:val="003A6746"/>
    <w:rsid w:val="003A67FB"/>
    <w:rsid w:val="003A6B79"/>
    <w:rsid w:val="003A6DDA"/>
    <w:rsid w:val="003A700A"/>
    <w:rsid w:val="003A7225"/>
    <w:rsid w:val="003A72B4"/>
    <w:rsid w:val="003A735B"/>
    <w:rsid w:val="003A75DA"/>
    <w:rsid w:val="003A79FE"/>
    <w:rsid w:val="003A7A49"/>
    <w:rsid w:val="003A7B93"/>
    <w:rsid w:val="003B00E7"/>
    <w:rsid w:val="003B0176"/>
    <w:rsid w:val="003B04AA"/>
    <w:rsid w:val="003B07A4"/>
    <w:rsid w:val="003B0829"/>
    <w:rsid w:val="003B0B06"/>
    <w:rsid w:val="003B0D76"/>
    <w:rsid w:val="003B0E11"/>
    <w:rsid w:val="003B109F"/>
    <w:rsid w:val="003B1163"/>
    <w:rsid w:val="003B1289"/>
    <w:rsid w:val="003B1A92"/>
    <w:rsid w:val="003B1CF4"/>
    <w:rsid w:val="003B1ECD"/>
    <w:rsid w:val="003B2201"/>
    <w:rsid w:val="003B235C"/>
    <w:rsid w:val="003B2556"/>
    <w:rsid w:val="003B2918"/>
    <w:rsid w:val="003B2B22"/>
    <w:rsid w:val="003B2B37"/>
    <w:rsid w:val="003B2C8C"/>
    <w:rsid w:val="003B2D26"/>
    <w:rsid w:val="003B2E87"/>
    <w:rsid w:val="003B2E98"/>
    <w:rsid w:val="003B361A"/>
    <w:rsid w:val="003B363B"/>
    <w:rsid w:val="003B3697"/>
    <w:rsid w:val="003B3825"/>
    <w:rsid w:val="003B39B1"/>
    <w:rsid w:val="003B3C35"/>
    <w:rsid w:val="003B3C92"/>
    <w:rsid w:val="003B3F47"/>
    <w:rsid w:val="003B3FAF"/>
    <w:rsid w:val="003B4431"/>
    <w:rsid w:val="003B46C1"/>
    <w:rsid w:val="003B4735"/>
    <w:rsid w:val="003B473D"/>
    <w:rsid w:val="003B4BEC"/>
    <w:rsid w:val="003B4BF0"/>
    <w:rsid w:val="003B4C76"/>
    <w:rsid w:val="003B501B"/>
    <w:rsid w:val="003B53DE"/>
    <w:rsid w:val="003B5450"/>
    <w:rsid w:val="003B54F9"/>
    <w:rsid w:val="003B5524"/>
    <w:rsid w:val="003B57C0"/>
    <w:rsid w:val="003B57C7"/>
    <w:rsid w:val="003B5978"/>
    <w:rsid w:val="003B59A1"/>
    <w:rsid w:val="003B5B75"/>
    <w:rsid w:val="003B5BF3"/>
    <w:rsid w:val="003B5D0F"/>
    <w:rsid w:val="003B5E4E"/>
    <w:rsid w:val="003B60E5"/>
    <w:rsid w:val="003B6181"/>
    <w:rsid w:val="003B6278"/>
    <w:rsid w:val="003B62BE"/>
    <w:rsid w:val="003B654E"/>
    <w:rsid w:val="003B6584"/>
    <w:rsid w:val="003B6921"/>
    <w:rsid w:val="003B6ACA"/>
    <w:rsid w:val="003B6F63"/>
    <w:rsid w:val="003B70E2"/>
    <w:rsid w:val="003B72E8"/>
    <w:rsid w:val="003B78DF"/>
    <w:rsid w:val="003B7E49"/>
    <w:rsid w:val="003C02AE"/>
    <w:rsid w:val="003C05C2"/>
    <w:rsid w:val="003C05E3"/>
    <w:rsid w:val="003C05EF"/>
    <w:rsid w:val="003C0944"/>
    <w:rsid w:val="003C09FB"/>
    <w:rsid w:val="003C0BED"/>
    <w:rsid w:val="003C0F25"/>
    <w:rsid w:val="003C1131"/>
    <w:rsid w:val="003C119E"/>
    <w:rsid w:val="003C128A"/>
    <w:rsid w:val="003C14A3"/>
    <w:rsid w:val="003C179F"/>
    <w:rsid w:val="003C17D3"/>
    <w:rsid w:val="003C18C5"/>
    <w:rsid w:val="003C1910"/>
    <w:rsid w:val="003C19DE"/>
    <w:rsid w:val="003C1CF3"/>
    <w:rsid w:val="003C1F1A"/>
    <w:rsid w:val="003C1F8C"/>
    <w:rsid w:val="003C20D6"/>
    <w:rsid w:val="003C20F3"/>
    <w:rsid w:val="003C2168"/>
    <w:rsid w:val="003C23A3"/>
    <w:rsid w:val="003C25E0"/>
    <w:rsid w:val="003C26D2"/>
    <w:rsid w:val="003C2938"/>
    <w:rsid w:val="003C29B6"/>
    <w:rsid w:val="003C2A3C"/>
    <w:rsid w:val="003C2CDE"/>
    <w:rsid w:val="003C2D06"/>
    <w:rsid w:val="003C3C6E"/>
    <w:rsid w:val="003C3E58"/>
    <w:rsid w:val="003C41E5"/>
    <w:rsid w:val="003C4645"/>
    <w:rsid w:val="003C464F"/>
    <w:rsid w:val="003C48F4"/>
    <w:rsid w:val="003C4BC5"/>
    <w:rsid w:val="003C4C4B"/>
    <w:rsid w:val="003C4DFE"/>
    <w:rsid w:val="003C4E2C"/>
    <w:rsid w:val="003C4E5A"/>
    <w:rsid w:val="003C5084"/>
    <w:rsid w:val="003C52DB"/>
    <w:rsid w:val="003C5539"/>
    <w:rsid w:val="003C56BD"/>
    <w:rsid w:val="003C579A"/>
    <w:rsid w:val="003C59DC"/>
    <w:rsid w:val="003C5A89"/>
    <w:rsid w:val="003C5AB5"/>
    <w:rsid w:val="003C5F8D"/>
    <w:rsid w:val="003C5FA0"/>
    <w:rsid w:val="003C60D7"/>
    <w:rsid w:val="003C60E0"/>
    <w:rsid w:val="003C6219"/>
    <w:rsid w:val="003C6272"/>
    <w:rsid w:val="003C63D9"/>
    <w:rsid w:val="003C6420"/>
    <w:rsid w:val="003C647F"/>
    <w:rsid w:val="003C69F5"/>
    <w:rsid w:val="003C6A17"/>
    <w:rsid w:val="003C6A69"/>
    <w:rsid w:val="003C7114"/>
    <w:rsid w:val="003C726A"/>
    <w:rsid w:val="003C73B0"/>
    <w:rsid w:val="003C7652"/>
    <w:rsid w:val="003C76C6"/>
    <w:rsid w:val="003C795B"/>
    <w:rsid w:val="003C7EB3"/>
    <w:rsid w:val="003D02C3"/>
    <w:rsid w:val="003D031C"/>
    <w:rsid w:val="003D04A5"/>
    <w:rsid w:val="003D08B7"/>
    <w:rsid w:val="003D0D25"/>
    <w:rsid w:val="003D1003"/>
    <w:rsid w:val="003D1120"/>
    <w:rsid w:val="003D1155"/>
    <w:rsid w:val="003D12EE"/>
    <w:rsid w:val="003D16B0"/>
    <w:rsid w:val="003D174F"/>
    <w:rsid w:val="003D175A"/>
    <w:rsid w:val="003D184A"/>
    <w:rsid w:val="003D1A2B"/>
    <w:rsid w:val="003D1AC1"/>
    <w:rsid w:val="003D1C6F"/>
    <w:rsid w:val="003D1DC8"/>
    <w:rsid w:val="003D1FFD"/>
    <w:rsid w:val="003D2226"/>
    <w:rsid w:val="003D223C"/>
    <w:rsid w:val="003D245F"/>
    <w:rsid w:val="003D253E"/>
    <w:rsid w:val="003D2675"/>
    <w:rsid w:val="003D2C36"/>
    <w:rsid w:val="003D3105"/>
    <w:rsid w:val="003D331C"/>
    <w:rsid w:val="003D38F7"/>
    <w:rsid w:val="003D3A44"/>
    <w:rsid w:val="003D3C42"/>
    <w:rsid w:val="003D3D4C"/>
    <w:rsid w:val="003D3E5E"/>
    <w:rsid w:val="003D3F38"/>
    <w:rsid w:val="003D3FB6"/>
    <w:rsid w:val="003D41DD"/>
    <w:rsid w:val="003D43BA"/>
    <w:rsid w:val="003D4656"/>
    <w:rsid w:val="003D47E8"/>
    <w:rsid w:val="003D48D3"/>
    <w:rsid w:val="003D49F5"/>
    <w:rsid w:val="003D4F92"/>
    <w:rsid w:val="003D505B"/>
    <w:rsid w:val="003D513B"/>
    <w:rsid w:val="003D530C"/>
    <w:rsid w:val="003D5332"/>
    <w:rsid w:val="003D5BB1"/>
    <w:rsid w:val="003D5BB3"/>
    <w:rsid w:val="003D5CC2"/>
    <w:rsid w:val="003D5CCF"/>
    <w:rsid w:val="003D5CDA"/>
    <w:rsid w:val="003D5CFB"/>
    <w:rsid w:val="003D5D0F"/>
    <w:rsid w:val="003D5E1B"/>
    <w:rsid w:val="003D5F13"/>
    <w:rsid w:val="003D62CF"/>
    <w:rsid w:val="003D6483"/>
    <w:rsid w:val="003D668A"/>
    <w:rsid w:val="003D6785"/>
    <w:rsid w:val="003D6B45"/>
    <w:rsid w:val="003D6B57"/>
    <w:rsid w:val="003D6CB8"/>
    <w:rsid w:val="003D6E5E"/>
    <w:rsid w:val="003D6F5F"/>
    <w:rsid w:val="003D6FE8"/>
    <w:rsid w:val="003D737C"/>
    <w:rsid w:val="003D7414"/>
    <w:rsid w:val="003D7730"/>
    <w:rsid w:val="003D7786"/>
    <w:rsid w:val="003D786E"/>
    <w:rsid w:val="003D7877"/>
    <w:rsid w:val="003D789A"/>
    <w:rsid w:val="003D7C38"/>
    <w:rsid w:val="003D7D71"/>
    <w:rsid w:val="003E00B5"/>
    <w:rsid w:val="003E013C"/>
    <w:rsid w:val="003E031B"/>
    <w:rsid w:val="003E04C8"/>
    <w:rsid w:val="003E09C5"/>
    <w:rsid w:val="003E0A13"/>
    <w:rsid w:val="003E0AFA"/>
    <w:rsid w:val="003E0E8C"/>
    <w:rsid w:val="003E0EA1"/>
    <w:rsid w:val="003E106F"/>
    <w:rsid w:val="003E1443"/>
    <w:rsid w:val="003E16B0"/>
    <w:rsid w:val="003E1789"/>
    <w:rsid w:val="003E17ED"/>
    <w:rsid w:val="003E186C"/>
    <w:rsid w:val="003E19D8"/>
    <w:rsid w:val="003E1A33"/>
    <w:rsid w:val="003E1C12"/>
    <w:rsid w:val="003E1FAB"/>
    <w:rsid w:val="003E20C6"/>
    <w:rsid w:val="003E236B"/>
    <w:rsid w:val="003E25AE"/>
    <w:rsid w:val="003E27FF"/>
    <w:rsid w:val="003E2A5C"/>
    <w:rsid w:val="003E2BE5"/>
    <w:rsid w:val="003E2C5B"/>
    <w:rsid w:val="003E2EC4"/>
    <w:rsid w:val="003E3152"/>
    <w:rsid w:val="003E3583"/>
    <w:rsid w:val="003E3732"/>
    <w:rsid w:val="003E3740"/>
    <w:rsid w:val="003E3773"/>
    <w:rsid w:val="003E378C"/>
    <w:rsid w:val="003E3C31"/>
    <w:rsid w:val="003E3C98"/>
    <w:rsid w:val="003E3D2C"/>
    <w:rsid w:val="003E3E7C"/>
    <w:rsid w:val="003E4039"/>
    <w:rsid w:val="003E4066"/>
    <w:rsid w:val="003E40E2"/>
    <w:rsid w:val="003E4161"/>
    <w:rsid w:val="003E45DF"/>
    <w:rsid w:val="003E4CF1"/>
    <w:rsid w:val="003E4EF8"/>
    <w:rsid w:val="003E4F7F"/>
    <w:rsid w:val="003E4FBA"/>
    <w:rsid w:val="003E504B"/>
    <w:rsid w:val="003E58D3"/>
    <w:rsid w:val="003E59F2"/>
    <w:rsid w:val="003E5C0F"/>
    <w:rsid w:val="003E5D8E"/>
    <w:rsid w:val="003E605A"/>
    <w:rsid w:val="003E6208"/>
    <w:rsid w:val="003E6275"/>
    <w:rsid w:val="003E679D"/>
    <w:rsid w:val="003E67B7"/>
    <w:rsid w:val="003E6C71"/>
    <w:rsid w:val="003E70FF"/>
    <w:rsid w:val="003E74AF"/>
    <w:rsid w:val="003E76BC"/>
    <w:rsid w:val="003E7798"/>
    <w:rsid w:val="003E7970"/>
    <w:rsid w:val="003E7A80"/>
    <w:rsid w:val="003E7BB2"/>
    <w:rsid w:val="003E7F2F"/>
    <w:rsid w:val="003E7FE7"/>
    <w:rsid w:val="003F0256"/>
    <w:rsid w:val="003F0269"/>
    <w:rsid w:val="003F02DB"/>
    <w:rsid w:val="003F0814"/>
    <w:rsid w:val="003F08B5"/>
    <w:rsid w:val="003F090E"/>
    <w:rsid w:val="003F0D56"/>
    <w:rsid w:val="003F0E11"/>
    <w:rsid w:val="003F1668"/>
    <w:rsid w:val="003F193F"/>
    <w:rsid w:val="003F1A31"/>
    <w:rsid w:val="003F1BD0"/>
    <w:rsid w:val="003F1BF8"/>
    <w:rsid w:val="003F1C5E"/>
    <w:rsid w:val="003F1EF9"/>
    <w:rsid w:val="003F2020"/>
    <w:rsid w:val="003F2157"/>
    <w:rsid w:val="003F2355"/>
    <w:rsid w:val="003F240F"/>
    <w:rsid w:val="003F25D5"/>
    <w:rsid w:val="003F2941"/>
    <w:rsid w:val="003F2A94"/>
    <w:rsid w:val="003F2C52"/>
    <w:rsid w:val="003F2F78"/>
    <w:rsid w:val="003F30E4"/>
    <w:rsid w:val="003F328C"/>
    <w:rsid w:val="003F33B7"/>
    <w:rsid w:val="003F33E9"/>
    <w:rsid w:val="003F33F9"/>
    <w:rsid w:val="003F36F4"/>
    <w:rsid w:val="003F3853"/>
    <w:rsid w:val="003F391F"/>
    <w:rsid w:val="003F3AED"/>
    <w:rsid w:val="003F3C57"/>
    <w:rsid w:val="003F3D8C"/>
    <w:rsid w:val="003F407A"/>
    <w:rsid w:val="003F41F3"/>
    <w:rsid w:val="003F4475"/>
    <w:rsid w:val="003F453E"/>
    <w:rsid w:val="003F5000"/>
    <w:rsid w:val="003F53A6"/>
    <w:rsid w:val="003F5AD7"/>
    <w:rsid w:val="003F5ED5"/>
    <w:rsid w:val="003F5F2F"/>
    <w:rsid w:val="003F603D"/>
    <w:rsid w:val="003F614D"/>
    <w:rsid w:val="003F6153"/>
    <w:rsid w:val="003F6346"/>
    <w:rsid w:val="003F645E"/>
    <w:rsid w:val="003F6517"/>
    <w:rsid w:val="003F6719"/>
    <w:rsid w:val="003F694E"/>
    <w:rsid w:val="003F69BB"/>
    <w:rsid w:val="003F6B71"/>
    <w:rsid w:val="003F6CFE"/>
    <w:rsid w:val="003F6DF4"/>
    <w:rsid w:val="003F6E77"/>
    <w:rsid w:val="003F70B6"/>
    <w:rsid w:val="003F7115"/>
    <w:rsid w:val="003F7121"/>
    <w:rsid w:val="003F712A"/>
    <w:rsid w:val="003F72B9"/>
    <w:rsid w:val="003F74AA"/>
    <w:rsid w:val="003F74C5"/>
    <w:rsid w:val="003F78D8"/>
    <w:rsid w:val="003F7BB9"/>
    <w:rsid w:val="003F7F80"/>
    <w:rsid w:val="003F7F92"/>
    <w:rsid w:val="004003E8"/>
    <w:rsid w:val="00400509"/>
    <w:rsid w:val="004005CA"/>
    <w:rsid w:val="00400751"/>
    <w:rsid w:val="004009CA"/>
    <w:rsid w:val="00400D6F"/>
    <w:rsid w:val="004011B8"/>
    <w:rsid w:val="00401487"/>
    <w:rsid w:val="00401559"/>
    <w:rsid w:val="0040174B"/>
    <w:rsid w:val="00401855"/>
    <w:rsid w:val="004018BD"/>
    <w:rsid w:val="004019B0"/>
    <w:rsid w:val="004019C7"/>
    <w:rsid w:val="004019F7"/>
    <w:rsid w:val="00401A44"/>
    <w:rsid w:val="00401B56"/>
    <w:rsid w:val="00401BC1"/>
    <w:rsid w:val="00401D00"/>
    <w:rsid w:val="00402531"/>
    <w:rsid w:val="004025C5"/>
    <w:rsid w:val="00402682"/>
    <w:rsid w:val="004027AD"/>
    <w:rsid w:val="004027FA"/>
    <w:rsid w:val="00402A47"/>
    <w:rsid w:val="00402AB5"/>
    <w:rsid w:val="0040319F"/>
    <w:rsid w:val="00403287"/>
    <w:rsid w:val="00403684"/>
    <w:rsid w:val="004037F0"/>
    <w:rsid w:val="00403898"/>
    <w:rsid w:val="00403BCC"/>
    <w:rsid w:val="00403CD1"/>
    <w:rsid w:val="00403F97"/>
    <w:rsid w:val="0040422E"/>
    <w:rsid w:val="00404350"/>
    <w:rsid w:val="0040444B"/>
    <w:rsid w:val="004046AA"/>
    <w:rsid w:val="004047BC"/>
    <w:rsid w:val="00404861"/>
    <w:rsid w:val="0040497E"/>
    <w:rsid w:val="00404A07"/>
    <w:rsid w:val="00404A7E"/>
    <w:rsid w:val="00404B3C"/>
    <w:rsid w:val="00404F2C"/>
    <w:rsid w:val="0040516B"/>
    <w:rsid w:val="00405186"/>
    <w:rsid w:val="004056A7"/>
    <w:rsid w:val="00405C4B"/>
    <w:rsid w:val="0040657F"/>
    <w:rsid w:val="0040675D"/>
    <w:rsid w:val="004067D2"/>
    <w:rsid w:val="00406C70"/>
    <w:rsid w:val="0040713D"/>
    <w:rsid w:val="004073FE"/>
    <w:rsid w:val="00407ADF"/>
    <w:rsid w:val="00407B59"/>
    <w:rsid w:val="00407DFD"/>
    <w:rsid w:val="00410071"/>
    <w:rsid w:val="00410245"/>
    <w:rsid w:val="0041061A"/>
    <w:rsid w:val="00410633"/>
    <w:rsid w:val="0041080A"/>
    <w:rsid w:val="00410891"/>
    <w:rsid w:val="0041095E"/>
    <w:rsid w:val="00410BF1"/>
    <w:rsid w:val="00410D09"/>
    <w:rsid w:val="00410E39"/>
    <w:rsid w:val="004112A5"/>
    <w:rsid w:val="0041140B"/>
    <w:rsid w:val="00411889"/>
    <w:rsid w:val="0041202E"/>
    <w:rsid w:val="004122DF"/>
    <w:rsid w:val="00412567"/>
    <w:rsid w:val="00412A3A"/>
    <w:rsid w:val="00412A73"/>
    <w:rsid w:val="00412AB9"/>
    <w:rsid w:val="00412ABF"/>
    <w:rsid w:val="00412BAA"/>
    <w:rsid w:val="00412ED3"/>
    <w:rsid w:val="004133F9"/>
    <w:rsid w:val="004134A4"/>
    <w:rsid w:val="00413672"/>
    <w:rsid w:val="004136BF"/>
    <w:rsid w:val="004137A1"/>
    <w:rsid w:val="004137B7"/>
    <w:rsid w:val="004137ED"/>
    <w:rsid w:val="00413A80"/>
    <w:rsid w:val="00413AF6"/>
    <w:rsid w:val="00413B57"/>
    <w:rsid w:val="00413C61"/>
    <w:rsid w:val="00413CE3"/>
    <w:rsid w:val="00413DBE"/>
    <w:rsid w:val="00413EFC"/>
    <w:rsid w:val="004141B6"/>
    <w:rsid w:val="004144AD"/>
    <w:rsid w:val="004144FC"/>
    <w:rsid w:val="004145AA"/>
    <w:rsid w:val="00414765"/>
    <w:rsid w:val="00414919"/>
    <w:rsid w:val="00414B4C"/>
    <w:rsid w:val="00414CD5"/>
    <w:rsid w:val="00414D5E"/>
    <w:rsid w:val="00414DF6"/>
    <w:rsid w:val="00414E82"/>
    <w:rsid w:val="00414EC3"/>
    <w:rsid w:val="00414F70"/>
    <w:rsid w:val="00415083"/>
    <w:rsid w:val="00415096"/>
    <w:rsid w:val="0041510B"/>
    <w:rsid w:val="004152F7"/>
    <w:rsid w:val="00415335"/>
    <w:rsid w:val="00415384"/>
    <w:rsid w:val="0041552E"/>
    <w:rsid w:val="00415539"/>
    <w:rsid w:val="00415767"/>
    <w:rsid w:val="004158FD"/>
    <w:rsid w:val="00415C71"/>
    <w:rsid w:val="00415EA5"/>
    <w:rsid w:val="00416294"/>
    <w:rsid w:val="00416929"/>
    <w:rsid w:val="00416CEB"/>
    <w:rsid w:val="00416D05"/>
    <w:rsid w:val="00416EC7"/>
    <w:rsid w:val="0041701A"/>
    <w:rsid w:val="00417160"/>
    <w:rsid w:val="004174C2"/>
    <w:rsid w:val="00417A99"/>
    <w:rsid w:val="00417B11"/>
    <w:rsid w:val="00417D3F"/>
    <w:rsid w:val="00417F73"/>
    <w:rsid w:val="004200EB"/>
    <w:rsid w:val="00420495"/>
    <w:rsid w:val="0042080C"/>
    <w:rsid w:val="00420AB9"/>
    <w:rsid w:val="0042146D"/>
    <w:rsid w:val="00421534"/>
    <w:rsid w:val="004215F0"/>
    <w:rsid w:val="00421871"/>
    <w:rsid w:val="00421BD6"/>
    <w:rsid w:val="00421C81"/>
    <w:rsid w:val="00421E30"/>
    <w:rsid w:val="0042204F"/>
    <w:rsid w:val="0042242B"/>
    <w:rsid w:val="00422491"/>
    <w:rsid w:val="00422715"/>
    <w:rsid w:val="0042278D"/>
    <w:rsid w:val="004227FD"/>
    <w:rsid w:val="004228EF"/>
    <w:rsid w:val="004228F0"/>
    <w:rsid w:val="0042299F"/>
    <w:rsid w:val="004230CC"/>
    <w:rsid w:val="00423302"/>
    <w:rsid w:val="004238B0"/>
    <w:rsid w:val="00423E6B"/>
    <w:rsid w:val="00423EAB"/>
    <w:rsid w:val="0042405C"/>
    <w:rsid w:val="00424438"/>
    <w:rsid w:val="004246FD"/>
    <w:rsid w:val="004247FE"/>
    <w:rsid w:val="00424C35"/>
    <w:rsid w:val="00424CAD"/>
    <w:rsid w:val="00424E73"/>
    <w:rsid w:val="00424E7D"/>
    <w:rsid w:val="00424E93"/>
    <w:rsid w:val="0042509A"/>
    <w:rsid w:val="00425154"/>
    <w:rsid w:val="004251B3"/>
    <w:rsid w:val="004251D9"/>
    <w:rsid w:val="00425272"/>
    <w:rsid w:val="004252A6"/>
    <w:rsid w:val="00425301"/>
    <w:rsid w:val="004254BA"/>
    <w:rsid w:val="0042550B"/>
    <w:rsid w:val="004257A3"/>
    <w:rsid w:val="0042580F"/>
    <w:rsid w:val="00425D17"/>
    <w:rsid w:val="00425F77"/>
    <w:rsid w:val="00425FEA"/>
    <w:rsid w:val="0042607F"/>
    <w:rsid w:val="00426301"/>
    <w:rsid w:val="00426431"/>
    <w:rsid w:val="00426810"/>
    <w:rsid w:val="004268D8"/>
    <w:rsid w:val="00426E8C"/>
    <w:rsid w:val="00426F30"/>
    <w:rsid w:val="0042709C"/>
    <w:rsid w:val="004271C9"/>
    <w:rsid w:val="0042732E"/>
    <w:rsid w:val="00427386"/>
    <w:rsid w:val="004275D8"/>
    <w:rsid w:val="004275F3"/>
    <w:rsid w:val="004277BA"/>
    <w:rsid w:val="0042795E"/>
    <w:rsid w:val="00427CE9"/>
    <w:rsid w:val="004303B6"/>
    <w:rsid w:val="00430630"/>
    <w:rsid w:val="00430683"/>
    <w:rsid w:val="004307FD"/>
    <w:rsid w:val="00430A6C"/>
    <w:rsid w:val="00430A7A"/>
    <w:rsid w:val="00430AC5"/>
    <w:rsid w:val="00430B32"/>
    <w:rsid w:val="00430D18"/>
    <w:rsid w:val="004314DE"/>
    <w:rsid w:val="00431DF4"/>
    <w:rsid w:val="0043237E"/>
    <w:rsid w:val="00432E4A"/>
    <w:rsid w:val="00432FEC"/>
    <w:rsid w:val="00433171"/>
    <w:rsid w:val="0043339F"/>
    <w:rsid w:val="004333D1"/>
    <w:rsid w:val="00433560"/>
    <w:rsid w:val="00433650"/>
    <w:rsid w:val="004338AB"/>
    <w:rsid w:val="004338FF"/>
    <w:rsid w:val="00433A10"/>
    <w:rsid w:val="00433C82"/>
    <w:rsid w:val="00433D23"/>
    <w:rsid w:val="00433DC1"/>
    <w:rsid w:val="00433E04"/>
    <w:rsid w:val="00433F62"/>
    <w:rsid w:val="004342CA"/>
    <w:rsid w:val="00434463"/>
    <w:rsid w:val="00434504"/>
    <w:rsid w:val="004348CC"/>
    <w:rsid w:val="00434AD5"/>
    <w:rsid w:val="00434B4E"/>
    <w:rsid w:val="00434CC6"/>
    <w:rsid w:val="00434D05"/>
    <w:rsid w:val="00434FEB"/>
    <w:rsid w:val="004350F0"/>
    <w:rsid w:val="0043522B"/>
    <w:rsid w:val="004355FF"/>
    <w:rsid w:val="00435B75"/>
    <w:rsid w:val="00435D02"/>
    <w:rsid w:val="004361D6"/>
    <w:rsid w:val="004362D2"/>
    <w:rsid w:val="004363E1"/>
    <w:rsid w:val="00436442"/>
    <w:rsid w:val="004367AF"/>
    <w:rsid w:val="00436F50"/>
    <w:rsid w:val="004371F8"/>
    <w:rsid w:val="00437235"/>
    <w:rsid w:val="004374BA"/>
    <w:rsid w:val="00437691"/>
    <w:rsid w:val="004377CC"/>
    <w:rsid w:val="00437E34"/>
    <w:rsid w:val="00440041"/>
    <w:rsid w:val="0044006B"/>
    <w:rsid w:val="0044018D"/>
    <w:rsid w:val="00440191"/>
    <w:rsid w:val="004401CC"/>
    <w:rsid w:val="0044022B"/>
    <w:rsid w:val="0044034F"/>
    <w:rsid w:val="004407B6"/>
    <w:rsid w:val="004407BB"/>
    <w:rsid w:val="004409A5"/>
    <w:rsid w:val="00440A67"/>
    <w:rsid w:val="00440D0D"/>
    <w:rsid w:val="00440DE8"/>
    <w:rsid w:val="00441014"/>
    <w:rsid w:val="0044183C"/>
    <w:rsid w:val="00441945"/>
    <w:rsid w:val="004419B7"/>
    <w:rsid w:val="004419BF"/>
    <w:rsid w:val="00441C04"/>
    <w:rsid w:val="00441D2D"/>
    <w:rsid w:val="00441DAE"/>
    <w:rsid w:val="00441FCD"/>
    <w:rsid w:val="00442113"/>
    <w:rsid w:val="00442ADD"/>
    <w:rsid w:val="00442C44"/>
    <w:rsid w:val="00442E4D"/>
    <w:rsid w:val="00442E9B"/>
    <w:rsid w:val="00442F8A"/>
    <w:rsid w:val="004430EA"/>
    <w:rsid w:val="004435E7"/>
    <w:rsid w:val="00443649"/>
    <w:rsid w:val="00443651"/>
    <w:rsid w:val="00443862"/>
    <w:rsid w:val="0044387C"/>
    <w:rsid w:val="0044389D"/>
    <w:rsid w:val="00443AD2"/>
    <w:rsid w:val="00444255"/>
    <w:rsid w:val="0044444E"/>
    <w:rsid w:val="004447C8"/>
    <w:rsid w:val="00444BBA"/>
    <w:rsid w:val="00444F7A"/>
    <w:rsid w:val="004451E9"/>
    <w:rsid w:val="00445224"/>
    <w:rsid w:val="0044552D"/>
    <w:rsid w:val="004457FD"/>
    <w:rsid w:val="00445C50"/>
    <w:rsid w:val="00446070"/>
    <w:rsid w:val="004460B7"/>
    <w:rsid w:val="0044640B"/>
    <w:rsid w:val="0044655B"/>
    <w:rsid w:val="00446D9A"/>
    <w:rsid w:val="00446F46"/>
    <w:rsid w:val="00446FC7"/>
    <w:rsid w:val="00447329"/>
    <w:rsid w:val="00447393"/>
    <w:rsid w:val="00447573"/>
    <w:rsid w:val="004478D0"/>
    <w:rsid w:val="00447B1D"/>
    <w:rsid w:val="00447FE1"/>
    <w:rsid w:val="0045013D"/>
    <w:rsid w:val="0045026B"/>
    <w:rsid w:val="00450532"/>
    <w:rsid w:val="00450535"/>
    <w:rsid w:val="004506B0"/>
    <w:rsid w:val="004506CA"/>
    <w:rsid w:val="0045073B"/>
    <w:rsid w:val="0045082C"/>
    <w:rsid w:val="0045119A"/>
    <w:rsid w:val="00451309"/>
    <w:rsid w:val="00451572"/>
    <w:rsid w:val="0045174D"/>
    <w:rsid w:val="00451AFF"/>
    <w:rsid w:val="00451C07"/>
    <w:rsid w:val="00451D0E"/>
    <w:rsid w:val="00451E79"/>
    <w:rsid w:val="00451EAE"/>
    <w:rsid w:val="0045211C"/>
    <w:rsid w:val="00452317"/>
    <w:rsid w:val="00452803"/>
    <w:rsid w:val="00452A54"/>
    <w:rsid w:val="00452C4E"/>
    <w:rsid w:val="00452F42"/>
    <w:rsid w:val="0045307E"/>
    <w:rsid w:val="004531DE"/>
    <w:rsid w:val="0045366A"/>
    <w:rsid w:val="00453829"/>
    <w:rsid w:val="00453ABC"/>
    <w:rsid w:val="00453E2C"/>
    <w:rsid w:val="00453F71"/>
    <w:rsid w:val="00454C4E"/>
    <w:rsid w:val="00454EFA"/>
    <w:rsid w:val="00455550"/>
    <w:rsid w:val="004555F4"/>
    <w:rsid w:val="00455A7E"/>
    <w:rsid w:val="00455D17"/>
    <w:rsid w:val="00455F16"/>
    <w:rsid w:val="00455FB9"/>
    <w:rsid w:val="00455FD8"/>
    <w:rsid w:val="00455FFA"/>
    <w:rsid w:val="00456016"/>
    <w:rsid w:val="00456142"/>
    <w:rsid w:val="00456316"/>
    <w:rsid w:val="00456498"/>
    <w:rsid w:val="00456876"/>
    <w:rsid w:val="00456EFC"/>
    <w:rsid w:val="00457314"/>
    <w:rsid w:val="00457498"/>
    <w:rsid w:val="004574BE"/>
    <w:rsid w:val="004574CB"/>
    <w:rsid w:val="0045752D"/>
    <w:rsid w:val="00457936"/>
    <w:rsid w:val="00457969"/>
    <w:rsid w:val="00457BD9"/>
    <w:rsid w:val="00457C33"/>
    <w:rsid w:val="00457E42"/>
    <w:rsid w:val="0046016F"/>
    <w:rsid w:val="00460264"/>
    <w:rsid w:val="004602B5"/>
    <w:rsid w:val="004602CE"/>
    <w:rsid w:val="004605CF"/>
    <w:rsid w:val="004609EA"/>
    <w:rsid w:val="00460A8C"/>
    <w:rsid w:val="00460AA4"/>
    <w:rsid w:val="00460CDA"/>
    <w:rsid w:val="00460D37"/>
    <w:rsid w:val="00460DB7"/>
    <w:rsid w:val="00460DD3"/>
    <w:rsid w:val="00460E10"/>
    <w:rsid w:val="0046103C"/>
    <w:rsid w:val="004611EF"/>
    <w:rsid w:val="0046135B"/>
    <w:rsid w:val="00461474"/>
    <w:rsid w:val="004615AA"/>
    <w:rsid w:val="00461BA6"/>
    <w:rsid w:val="00461DB7"/>
    <w:rsid w:val="00461FE9"/>
    <w:rsid w:val="00461FEC"/>
    <w:rsid w:val="00462165"/>
    <w:rsid w:val="00462375"/>
    <w:rsid w:val="004626C3"/>
    <w:rsid w:val="00462F21"/>
    <w:rsid w:val="0046315C"/>
    <w:rsid w:val="00463311"/>
    <w:rsid w:val="0046389F"/>
    <w:rsid w:val="00463B74"/>
    <w:rsid w:val="00463CE3"/>
    <w:rsid w:val="0046410A"/>
    <w:rsid w:val="0046421A"/>
    <w:rsid w:val="004642A5"/>
    <w:rsid w:val="004642F8"/>
    <w:rsid w:val="0046431F"/>
    <w:rsid w:val="00464376"/>
    <w:rsid w:val="004643AE"/>
    <w:rsid w:val="0046477F"/>
    <w:rsid w:val="004648CB"/>
    <w:rsid w:val="00464C24"/>
    <w:rsid w:val="00464D95"/>
    <w:rsid w:val="00464FDD"/>
    <w:rsid w:val="004650C5"/>
    <w:rsid w:val="0046575C"/>
    <w:rsid w:val="0046591A"/>
    <w:rsid w:val="00465AD3"/>
    <w:rsid w:val="00465B63"/>
    <w:rsid w:val="00465BA7"/>
    <w:rsid w:val="00465FA5"/>
    <w:rsid w:val="004660CA"/>
    <w:rsid w:val="004667AD"/>
    <w:rsid w:val="004667B1"/>
    <w:rsid w:val="004667EA"/>
    <w:rsid w:val="004668AA"/>
    <w:rsid w:val="00466B64"/>
    <w:rsid w:val="00466BFB"/>
    <w:rsid w:val="00466CFC"/>
    <w:rsid w:val="00466DEE"/>
    <w:rsid w:val="0046725B"/>
    <w:rsid w:val="0046762D"/>
    <w:rsid w:val="004676D6"/>
    <w:rsid w:val="00467772"/>
    <w:rsid w:val="00467866"/>
    <w:rsid w:val="00467994"/>
    <w:rsid w:val="00467A54"/>
    <w:rsid w:val="00467A6E"/>
    <w:rsid w:val="00467C8A"/>
    <w:rsid w:val="00467D74"/>
    <w:rsid w:val="00467E21"/>
    <w:rsid w:val="00467E6B"/>
    <w:rsid w:val="0047009A"/>
    <w:rsid w:val="004700AD"/>
    <w:rsid w:val="004700B7"/>
    <w:rsid w:val="0047014A"/>
    <w:rsid w:val="0047092E"/>
    <w:rsid w:val="00470951"/>
    <w:rsid w:val="00470C30"/>
    <w:rsid w:val="00470E8A"/>
    <w:rsid w:val="00471213"/>
    <w:rsid w:val="00471315"/>
    <w:rsid w:val="004715D8"/>
    <w:rsid w:val="004715EF"/>
    <w:rsid w:val="00471870"/>
    <w:rsid w:val="00471D38"/>
    <w:rsid w:val="00471DC0"/>
    <w:rsid w:val="00472139"/>
    <w:rsid w:val="00472141"/>
    <w:rsid w:val="00472284"/>
    <w:rsid w:val="004724CF"/>
    <w:rsid w:val="00472503"/>
    <w:rsid w:val="0047255B"/>
    <w:rsid w:val="004726F0"/>
    <w:rsid w:val="00472794"/>
    <w:rsid w:val="00472825"/>
    <w:rsid w:val="0047286C"/>
    <w:rsid w:val="00472BCB"/>
    <w:rsid w:val="00472EE2"/>
    <w:rsid w:val="00472F0C"/>
    <w:rsid w:val="00472FBC"/>
    <w:rsid w:val="00472FC5"/>
    <w:rsid w:val="00473711"/>
    <w:rsid w:val="004738C8"/>
    <w:rsid w:val="00473959"/>
    <w:rsid w:val="004739F7"/>
    <w:rsid w:val="00473C95"/>
    <w:rsid w:val="00473DAA"/>
    <w:rsid w:val="00473FBD"/>
    <w:rsid w:val="00474003"/>
    <w:rsid w:val="0047418C"/>
    <w:rsid w:val="00474547"/>
    <w:rsid w:val="004746D4"/>
    <w:rsid w:val="00474822"/>
    <w:rsid w:val="004748CA"/>
    <w:rsid w:val="00474BF8"/>
    <w:rsid w:val="00474C24"/>
    <w:rsid w:val="00474C8D"/>
    <w:rsid w:val="00474CE4"/>
    <w:rsid w:val="00475402"/>
    <w:rsid w:val="0047559F"/>
    <w:rsid w:val="004755A7"/>
    <w:rsid w:val="00475803"/>
    <w:rsid w:val="00475947"/>
    <w:rsid w:val="00475997"/>
    <w:rsid w:val="004759E7"/>
    <w:rsid w:val="0047609D"/>
    <w:rsid w:val="00476330"/>
    <w:rsid w:val="004767F2"/>
    <w:rsid w:val="004768A8"/>
    <w:rsid w:val="00476904"/>
    <w:rsid w:val="00476B9D"/>
    <w:rsid w:val="00476BB7"/>
    <w:rsid w:val="00476DB7"/>
    <w:rsid w:val="00477047"/>
    <w:rsid w:val="004773B2"/>
    <w:rsid w:val="0047760C"/>
    <w:rsid w:val="004777BA"/>
    <w:rsid w:val="00477856"/>
    <w:rsid w:val="00477CE7"/>
    <w:rsid w:val="00477DC1"/>
    <w:rsid w:val="00477F1C"/>
    <w:rsid w:val="00477FBE"/>
    <w:rsid w:val="004800E9"/>
    <w:rsid w:val="00480244"/>
    <w:rsid w:val="00480819"/>
    <w:rsid w:val="00480B55"/>
    <w:rsid w:val="00480B9E"/>
    <w:rsid w:val="00480FAA"/>
    <w:rsid w:val="00480FEC"/>
    <w:rsid w:val="00481089"/>
    <w:rsid w:val="00481241"/>
    <w:rsid w:val="00481531"/>
    <w:rsid w:val="00481C98"/>
    <w:rsid w:val="00481E90"/>
    <w:rsid w:val="00481F59"/>
    <w:rsid w:val="004824E6"/>
    <w:rsid w:val="0048251F"/>
    <w:rsid w:val="004828BA"/>
    <w:rsid w:val="00482CA6"/>
    <w:rsid w:val="00482E04"/>
    <w:rsid w:val="00482FB8"/>
    <w:rsid w:val="0048309B"/>
    <w:rsid w:val="004831FA"/>
    <w:rsid w:val="0048360F"/>
    <w:rsid w:val="00483635"/>
    <w:rsid w:val="00483927"/>
    <w:rsid w:val="004839A1"/>
    <w:rsid w:val="00483A32"/>
    <w:rsid w:val="00483B37"/>
    <w:rsid w:val="00483C70"/>
    <w:rsid w:val="00483D0D"/>
    <w:rsid w:val="00483ED2"/>
    <w:rsid w:val="00483F5A"/>
    <w:rsid w:val="00483F71"/>
    <w:rsid w:val="0048416B"/>
    <w:rsid w:val="0048418C"/>
    <w:rsid w:val="0048435A"/>
    <w:rsid w:val="004845D6"/>
    <w:rsid w:val="00484637"/>
    <w:rsid w:val="004847C6"/>
    <w:rsid w:val="00484DAF"/>
    <w:rsid w:val="00485262"/>
    <w:rsid w:val="00485836"/>
    <w:rsid w:val="00485C90"/>
    <w:rsid w:val="00485DF1"/>
    <w:rsid w:val="00485F49"/>
    <w:rsid w:val="00486154"/>
    <w:rsid w:val="004864CF"/>
    <w:rsid w:val="004868F6"/>
    <w:rsid w:val="004870CE"/>
    <w:rsid w:val="00487249"/>
    <w:rsid w:val="00487395"/>
    <w:rsid w:val="004873FA"/>
    <w:rsid w:val="004875C7"/>
    <w:rsid w:val="004877CC"/>
    <w:rsid w:val="004877F1"/>
    <w:rsid w:val="00487B51"/>
    <w:rsid w:val="00487DE2"/>
    <w:rsid w:val="00487F6B"/>
    <w:rsid w:val="00490216"/>
    <w:rsid w:val="00490854"/>
    <w:rsid w:val="0049096A"/>
    <w:rsid w:val="00490A21"/>
    <w:rsid w:val="00490CA1"/>
    <w:rsid w:val="00490D13"/>
    <w:rsid w:val="00491840"/>
    <w:rsid w:val="00491858"/>
    <w:rsid w:val="0049197A"/>
    <w:rsid w:val="004919EF"/>
    <w:rsid w:val="00491E50"/>
    <w:rsid w:val="00491EBC"/>
    <w:rsid w:val="00492332"/>
    <w:rsid w:val="004927DA"/>
    <w:rsid w:val="00492932"/>
    <w:rsid w:val="0049301B"/>
    <w:rsid w:val="004930B3"/>
    <w:rsid w:val="004933B1"/>
    <w:rsid w:val="00493406"/>
    <w:rsid w:val="00493563"/>
    <w:rsid w:val="00493600"/>
    <w:rsid w:val="0049375D"/>
    <w:rsid w:val="00493764"/>
    <w:rsid w:val="00493CF3"/>
    <w:rsid w:val="00493F7A"/>
    <w:rsid w:val="004941B0"/>
    <w:rsid w:val="0049440E"/>
    <w:rsid w:val="00494B86"/>
    <w:rsid w:val="00495026"/>
    <w:rsid w:val="0049529C"/>
    <w:rsid w:val="00495332"/>
    <w:rsid w:val="004954C7"/>
    <w:rsid w:val="00495510"/>
    <w:rsid w:val="00495712"/>
    <w:rsid w:val="00495820"/>
    <w:rsid w:val="004959FD"/>
    <w:rsid w:val="00495A03"/>
    <w:rsid w:val="00495A0F"/>
    <w:rsid w:val="00495A8D"/>
    <w:rsid w:val="00495B06"/>
    <w:rsid w:val="00495D3C"/>
    <w:rsid w:val="00495F78"/>
    <w:rsid w:val="00495FA8"/>
    <w:rsid w:val="00496272"/>
    <w:rsid w:val="00496DF1"/>
    <w:rsid w:val="00496ED8"/>
    <w:rsid w:val="00497134"/>
    <w:rsid w:val="00497378"/>
    <w:rsid w:val="0049742E"/>
    <w:rsid w:val="00497561"/>
    <w:rsid w:val="004977B8"/>
    <w:rsid w:val="004977E4"/>
    <w:rsid w:val="004978BD"/>
    <w:rsid w:val="004978C6"/>
    <w:rsid w:val="00497BBA"/>
    <w:rsid w:val="004A01BD"/>
    <w:rsid w:val="004A0239"/>
    <w:rsid w:val="004A03A8"/>
    <w:rsid w:val="004A0504"/>
    <w:rsid w:val="004A06EA"/>
    <w:rsid w:val="004A0A03"/>
    <w:rsid w:val="004A0F46"/>
    <w:rsid w:val="004A10C6"/>
    <w:rsid w:val="004A132C"/>
    <w:rsid w:val="004A13AD"/>
    <w:rsid w:val="004A16E6"/>
    <w:rsid w:val="004A1947"/>
    <w:rsid w:val="004A196C"/>
    <w:rsid w:val="004A1B12"/>
    <w:rsid w:val="004A1ECB"/>
    <w:rsid w:val="004A213E"/>
    <w:rsid w:val="004A214A"/>
    <w:rsid w:val="004A2396"/>
    <w:rsid w:val="004A23FE"/>
    <w:rsid w:val="004A257A"/>
    <w:rsid w:val="004A2D74"/>
    <w:rsid w:val="004A2FD4"/>
    <w:rsid w:val="004A306D"/>
    <w:rsid w:val="004A319A"/>
    <w:rsid w:val="004A31F7"/>
    <w:rsid w:val="004A3487"/>
    <w:rsid w:val="004A3506"/>
    <w:rsid w:val="004A366B"/>
    <w:rsid w:val="004A38F3"/>
    <w:rsid w:val="004A3CE6"/>
    <w:rsid w:val="004A3D61"/>
    <w:rsid w:val="004A3F40"/>
    <w:rsid w:val="004A3F48"/>
    <w:rsid w:val="004A402B"/>
    <w:rsid w:val="004A40CA"/>
    <w:rsid w:val="004A41D1"/>
    <w:rsid w:val="004A443D"/>
    <w:rsid w:val="004A4935"/>
    <w:rsid w:val="004A4B4D"/>
    <w:rsid w:val="004A4C9D"/>
    <w:rsid w:val="004A4F1D"/>
    <w:rsid w:val="004A5467"/>
    <w:rsid w:val="004A547F"/>
    <w:rsid w:val="004A5639"/>
    <w:rsid w:val="004A592C"/>
    <w:rsid w:val="004A59C7"/>
    <w:rsid w:val="004A5BB1"/>
    <w:rsid w:val="004A61FB"/>
    <w:rsid w:val="004A627E"/>
    <w:rsid w:val="004A6295"/>
    <w:rsid w:val="004A6600"/>
    <w:rsid w:val="004A679A"/>
    <w:rsid w:val="004A698D"/>
    <w:rsid w:val="004A6B70"/>
    <w:rsid w:val="004A715B"/>
    <w:rsid w:val="004A72E1"/>
    <w:rsid w:val="004A73E2"/>
    <w:rsid w:val="004A75A9"/>
    <w:rsid w:val="004A75DB"/>
    <w:rsid w:val="004A7B6C"/>
    <w:rsid w:val="004A7B70"/>
    <w:rsid w:val="004A7D01"/>
    <w:rsid w:val="004A7D90"/>
    <w:rsid w:val="004AC8DF"/>
    <w:rsid w:val="004B00F2"/>
    <w:rsid w:val="004B0353"/>
    <w:rsid w:val="004B0382"/>
    <w:rsid w:val="004B03F6"/>
    <w:rsid w:val="004B0409"/>
    <w:rsid w:val="004B0499"/>
    <w:rsid w:val="004B052D"/>
    <w:rsid w:val="004B0B9A"/>
    <w:rsid w:val="004B0F05"/>
    <w:rsid w:val="004B11E8"/>
    <w:rsid w:val="004B129D"/>
    <w:rsid w:val="004B14B5"/>
    <w:rsid w:val="004B161C"/>
    <w:rsid w:val="004B1686"/>
    <w:rsid w:val="004B18AC"/>
    <w:rsid w:val="004B1B88"/>
    <w:rsid w:val="004B21B4"/>
    <w:rsid w:val="004B222D"/>
    <w:rsid w:val="004B2389"/>
    <w:rsid w:val="004B2668"/>
    <w:rsid w:val="004B2B4F"/>
    <w:rsid w:val="004B2DC8"/>
    <w:rsid w:val="004B31B5"/>
    <w:rsid w:val="004B3824"/>
    <w:rsid w:val="004B3921"/>
    <w:rsid w:val="004B3B5E"/>
    <w:rsid w:val="004B3B74"/>
    <w:rsid w:val="004B3EAE"/>
    <w:rsid w:val="004B3F5A"/>
    <w:rsid w:val="004B3FEB"/>
    <w:rsid w:val="004B45A4"/>
    <w:rsid w:val="004B474A"/>
    <w:rsid w:val="004B47B2"/>
    <w:rsid w:val="004B495A"/>
    <w:rsid w:val="004B4A12"/>
    <w:rsid w:val="004B4AF5"/>
    <w:rsid w:val="004B4E7F"/>
    <w:rsid w:val="004B4EFA"/>
    <w:rsid w:val="004B4F5D"/>
    <w:rsid w:val="004B5039"/>
    <w:rsid w:val="004B5114"/>
    <w:rsid w:val="004B5306"/>
    <w:rsid w:val="004B5440"/>
    <w:rsid w:val="004B5454"/>
    <w:rsid w:val="004B5715"/>
    <w:rsid w:val="004B5808"/>
    <w:rsid w:val="004B5F1D"/>
    <w:rsid w:val="004B607B"/>
    <w:rsid w:val="004B62B3"/>
    <w:rsid w:val="004B6A32"/>
    <w:rsid w:val="004B6A97"/>
    <w:rsid w:val="004B6AB9"/>
    <w:rsid w:val="004B6BC9"/>
    <w:rsid w:val="004B6DC2"/>
    <w:rsid w:val="004B6FE4"/>
    <w:rsid w:val="004B709E"/>
    <w:rsid w:val="004B727A"/>
    <w:rsid w:val="004B7445"/>
    <w:rsid w:val="004B74F4"/>
    <w:rsid w:val="004B750E"/>
    <w:rsid w:val="004B755A"/>
    <w:rsid w:val="004B7AA5"/>
    <w:rsid w:val="004B7AAB"/>
    <w:rsid w:val="004B7C8E"/>
    <w:rsid w:val="004B7C9C"/>
    <w:rsid w:val="004B7CC4"/>
    <w:rsid w:val="004B7D3E"/>
    <w:rsid w:val="004B7DDB"/>
    <w:rsid w:val="004C0006"/>
    <w:rsid w:val="004C014D"/>
    <w:rsid w:val="004C0614"/>
    <w:rsid w:val="004C0634"/>
    <w:rsid w:val="004C0731"/>
    <w:rsid w:val="004C091B"/>
    <w:rsid w:val="004C09A8"/>
    <w:rsid w:val="004C0A82"/>
    <w:rsid w:val="004C0B16"/>
    <w:rsid w:val="004C0C0C"/>
    <w:rsid w:val="004C0C97"/>
    <w:rsid w:val="004C0CFB"/>
    <w:rsid w:val="004C0FF7"/>
    <w:rsid w:val="004C10B3"/>
    <w:rsid w:val="004C159B"/>
    <w:rsid w:val="004C15CA"/>
    <w:rsid w:val="004C183B"/>
    <w:rsid w:val="004C1999"/>
    <w:rsid w:val="004C1B9D"/>
    <w:rsid w:val="004C1C83"/>
    <w:rsid w:val="004C1E70"/>
    <w:rsid w:val="004C1F3C"/>
    <w:rsid w:val="004C2207"/>
    <w:rsid w:val="004C2463"/>
    <w:rsid w:val="004C27D6"/>
    <w:rsid w:val="004C2808"/>
    <w:rsid w:val="004C2871"/>
    <w:rsid w:val="004C2916"/>
    <w:rsid w:val="004C2AC9"/>
    <w:rsid w:val="004C2C27"/>
    <w:rsid w:val="004C2C63"/>
    <w:rsid w:val="004C2CD1"/>
    <w:rsid w:val="004C2E57"/>
    <w:rsid w:val="004C319E"/>
    <w:rsid w:val="004C33DB"/>
    <w:rsid w:val="004C3493"/>
    <w:rsid w:val="004C3B7D"/>
    <w:rsid w:val="004C3D50"/>
    <w:rsid w:val="004C3D5D"/>
    <w:rsid w:val="004C40A7"/>
    <w:rsid w:val="004C41BA"/>
    <w:rsid w:val="004C436B"/>
    <w:rsid w:val="004C459D"/>
    <w:rsid w:val="004C4A11"/>
    <w:rsid w:val="004C4D0E"/>
    <w:rsid w:val="004C50E9"/>
    <w:rsid w:val="004C518D"/>
    <w:rsid w:val="004C53A5"/>
    <w:rsid w:val="004C555E"/>
    <w:rsid w:val="004C55A8"/>
    <w:rsid w:val="004C5ADE"/>
    <w:rsid w:val="004C5BC7"/>
    <w:rsid w:val="004C5CCB"/>
    <w:rsid w:val="004C5D83"/>
    <w:rsid w:val="004C5F53"/>
    <w:rsid w:val="004C5FAD"/>
    <w:rsid w:val="004C60F3"/>
    <w:rsid w:val="004C6656"/>
    <w:rsid w:val="004C6713"/>
    <w:rsid w:val="004C69D7"/>
    <w:rsid w:val="004C6AAC"/>
    <w:rsid w:val="004C6B82"/>
    <w:rsid w:val="004C6D71"/>
    <w:rsid w:val="004C7099"/>
    <w:rsid w:val="004C7813"/>
    <w:rsid w:val="004C7837"/>
    <w:rsid w:val="004C7BB4"/>
    <w:rsid w:val="004C7C85"/>
    <w:rsid w:val="004C7E11"/>
    <w:rsid w:val="004C7F36"/>
    <w:rsid w:val="004C7FAC"/>
    <w:rsid w:val="004C7FD0"/>
    <w:rsid w:val="004D0077"/>
    <w:rsid w:val="004D02B5"/>
    <w:rsid w:val="004D0609"/>
    <w:rsid w:val="004D0647"/>
    <w:rsid w:val="004D082A"/>
    <w:rsid w:val="004D0C4E"/>
    <w:rsid w:val="004D0C8E"/>
    <w:rsid w:val="004D0CF1"/>
    <w:rsid w:val="004D0EC3"/>
    <w:rsid w:val="004D1148"/>
    <w:rsid w:val="004D21E0"/>
    <w:rsid w:val="004D240B"/>
    <w:rsid w:val="004D266C"/>
    <w:rsid w:val="004D2672"/>
    <w:rsid w:val="004D2733"/>
    <w:rsid w:val="004D274E"/>
    <w:rsid w:val="004D30C0"/>
    <w:rsid w:val="004D30D8"/>
    <w:rsid w:val="004D33C1"/>
    <w:rsid w:val="004D3614"/>
    <w:rsid w:val="004D364C"/>
    <w:rsid w:val="004D375B"/>
    <w:rsid w:val="004D3954"/>
    <w:rsid w:val="004D3A8F"/>
    <w:rsid w:val="004D3ACA"/>
    <w:rsid w:val="004D3B2A"/>
    <w:rsid w:val="004D3B7D"/>
    <w:rsid w:val="004D3F57"/>
    <w:rsid w:val="004D3F82"/>
    <w:rsid w:val="004D40B4"/>
    <w:rsid w:val="004D4509"/>
    <w:rsid w:val="004D4541"/>
    <w:rsid w:val="004D4555"/>
    <w:rsid w:val="004D4733"/>
    <w:rsid w:val="004D477A"/>
    <w:rsid w:val="004D47AB"/>
    <w:rsid w:val="004D491E"/>
    <w:rsid w:val="004D4B8E"/>
    <w:rsid w:val="004D4CA2"/>
    <w:rsid w:val="004D4CB3"/>
    <w:rsid w:val="004D4DFE"/>
    <w:rsid w:val="004D4F16"/>
    <w:rsid w:val="004D508D"/>
    <w:rsid w:val="004D50BC"/>
    <w:rsid w:val="004D5341"/>
    <w:rsid w:val="004D53C6"/>
    <w:rsid w:val="004D53D5"/>
    <w:rsid w:val="004D53E8"/>
    <w:rsid w:val="004D5AA8"/>
    <w:rsid w:val="004D5FBA"/>
    <w:rsid w:val="004D615F"/>
    <w:rsid w:val="004D6611"/>
    <w:rsid w:val="004D66ED"/>
    <w:rsid w:val="004D6931"/>
    <w:rsid w:val="004D6ABB"/>
    <w:rsid w:val="004D6BBF"/>
    <w:rsid w:val="004D6CFA"/>
    <w:rsid w:val="004D6E0F"/>
    <w:rsid w:val="004D70E1"/>
    <w:rsid w:val="004D70ED"/>
    <w:rsid w:val="004D71B0"/>
    <w:rsid w:val="004D71CD"/>
    <w:rsid w:val="004D7383"/>
    <w:rsid w:val="004D768B"/>
    <w:rsid w:val="004D76E9"/>
    <w:rsid w:val="004D7721"/>
    <w:rsid w:val="004D772C"/>
    <w:rsid w:val="004D7762"/>
    <w:rsid w:val="004D790B"/>
    <w:rsid w:val="004D7B3A"/>
    <w:rsid w:val="004D7B99"/>
    <w:rsid w:val="004D7C75"/>
    <w:rsid w:val="004D7DA4"/>
    <w:rsid w:val="004D7E0E"/>
    <w:rsid w:val="004D7E69"/>
    <w:rsid w:val="004D7EAE"/>
    <w:rsid w:val="004D7F76"/>
    <w:rsid w:val="004E00FB"/>
    <w:rsid w:val="004E025F"/>
    <w:rsid w:val="004E02F2"/>
    <w:rsid w:val="004E056F"/>
    <w:rsid w:val="004E0A1F"/>
    <w:rsid w:val="004E0B33"/>
    <w:rsid w:val="004E0C16"/>
    <w:rsid w:val="004E0C4E"/>
    <w:rsid w:val="004E0CD1"/>
    <w:rsid w:val="004E145B"/>
    <w:rsid w:val="004E1515"/>
    <w:rsid w:val="004E165A"/>
    <w:rsid w:val="004E168A"/>
    <w:rsid w:val="004E172F"/>
    <w:rsid w:val="004E1F70"/>
    <w:rsid w:val="004E218E"/>
    <w:rsid w:val="004E255E"/>
    <w:rsid w:val="004E2D27"/>
    <w:rsid w:val="004E3677"/>
    <w:rsid w:val="004E37D0"/>
    <w:rsid w:val="004E39C1"/>
    <w:rsid w:val="004E39D9"/>
    <w:rsid w:val="004E3A07"/>
    <w:rsid w:val="004E3AA0"/>
    <w:rsid w:val="004E3CAE"/>
    <w:rsid w:val="004E45DF"/>
    <w:rsid w:val="004E46B3"/>
    <w:rsid w:val="004E479B"/>
    <w:rsid w:val="004E4874"/>
    <w:rsid w:val="004E491D"/>
    <w:rsid w:val="004E4C35"/>
    <w:rsid w:val="004E4F38"/>
    <w:rsid w:val="004E50AE"/>
    <w:rsid w:val="004E5487"/>
    <w:rsid w:val="004E55D0"/>
    <w:rsid w:val="004E5675"/>
    <w:rsid w:val="004E5988"/>
    <w:rsid w:val="004E5B88"/>
    <w:rsid w:val="004E6340"/>
    <w:rsid w:val="004E63F7"/>
    <w:rsid w:val="004E655E"/>
    <w:rsid w:val="004E6589"/>
    <w:rsid w:val="004E694D"/>
    <w:rsid w:val="004E6BF8"/>
    <w:rsid w:val="004E6CDC"/>
    <w:rsid w:val="004E6E24"/>
    <w:rsid w:val="004E72FC"/>
    <w:rsid w:val="004E754B"/>
    <w:rsid w:val="004E75A9"/>
    <w:rsid w:val="004E7622"/>
    <w:rsid w:val="004E778D"/>
    <w:rsid w:val="004E7A23"/>
    <w:rsid w:val="004E7A49"/>
    <w:rsid w:val="004E7CE8"/>
    <w:rsid w:val="004E7EDD"/>
    <w:rsid w:val="004E7F3C"/>
    <w:rsid w:val="004F00A0"/>
    <w:rsid w:val="004F01F5"/>
    <w:rsid w:val="004F0207"/>
    <w:rsid w:val="004F032F"/>
    <w:rsid w:val="004F0653"/>
    <w:rsid w:val="004F065E"/>
    <w:rsid w:val="004F06DC"/>
    <w:rsid w:val="004F0B2E"/>
    <w:rsid w:val="004F10E1"/>
    <w:rsid w:val="004F10FC"/>
    <w:rsid w:val="004F124A"/>
    <w:rsid w:val="004F12DD"/>
    <w:rsid w:val="004F1312"/>
    <w:rsid w:val="004F1622"/>
    <w:rsid w:val="004F18DF"/>
    <w:rsid w:val="004F1C7D"/>
    <w:rsid w:val="004F1E50"/>
    <w:rsid w:val="004F1E7D"/>
    <w:rsid w:val="004F1EEF"/>
    <w:rsid w:val="004F1F96"/>
    <w:rsid w:val="004F2048"/>
    <w:rsid w:val="004F204C"/>
    <w:rsid w:val="004F22C2"/>
    <w:rsid w:val="004F2366"/>
    <w:rsid w:val="004F263F"/>
    <w:rsid w:val="004F27D5"/>
    <w:rsid w:val="004F2A49"/>
    <w:rsid w:val="004F2BDC"/>
    <w:rsid w:val="004F2C77"/>
    <w:rsid w:val="004F3034"/>
    <w:rsid w:val="004F30E9"/>
    <w:rsid w:val="004F33DB"/>
    <w:rsid w:val="004F3585"/>
    <w:rsid w:val="004F359D"/>
    <w:rsid w:val="004F3685"/>
    <w:rsid w:val="004F3AA2"/>
    <w:rsid w:val="004F3ABA"/>
    <w:rsid w:val="004F3CA2"/>
    <w:rsid w:val="004F3FF3"/>
    <w:rsid w:val="004F40B3"/>
    <w:rsid w:val="004F437D"/>
    <w:rsid w:val="004F43C8"/>
    <w:rsid w:val="004F4422"/>
    <w:rsid w:val="004F44B6"/>
    <w:rsid w:val="004F4507"/>
    <w:rsid w:val="004F455B"/>
    <w:rsid w:val="004F4588"/>
    <w:rsid w:val="004F45CB"/>
    <w:rsid w:val="004F46D6"/>
    <w:rsid w:val="004F4BCC"/>
    <w:rsid w:val="004F4D7E"/>
    <w:rsid w:val="004F504E"/>
    <w:rsid w:val="004F535C"/>
    <w:rsid w:val="004F53F9"/>
    <w:rsid w:val="004F54F5"/>
    <w:rsid w:val="004F56AE"/>
    <w:rsid w:val="004F5D15"/>
    <w:rsid w:val="004F5DC4"/>
    <w:rsid w:val="004F5DEE"/>
    <w:rsid w:val="004F6087"/>
    <w:rsid w:val="004F6134"/>
    <w:rsid w:val="004F617F"/>
    <w:rsid w:val="004F6225"/>
    <w:rsid w:val="004F6462"/>
    <w:rsid w:val="004F653D"/>
    <w:rsid w:val="004F69A9"/>
    <w:rsid w:val="004F6ABA"/>
    <w:rsid w:val="004F6ADC"/>
    <w:rsid w:val="004F6B55"/>
    <w:rsid w:val="004F6CE4"/>
    <w:rsid w:val="004F6D98"/>
    <w:rsid w:val="004F6EBE"/>
    <w:rsid w:val="004F6F08"/>
    <w:rsid w:val="004F7020"/>
    <w:rsid w:val="004F7368"/>
    <w:rsid w:val="004F7418"/>
    <w:rsid w:val="004F768E"/>
    <w:rsid w:val="004F770B"/>
    <w:rsid w:val="004F79CA"/>
    <w:rsid w:val="004F7A6A"/>
    <w:rsid w:val="004F7B7B"/>
    <w:rsid w:val="004F7DC9"/>
    <w:rsid w:val="00500CAD"/>
    <w:rsid w:val="00500F4E"/>
    <w:rsid w:val="0050118D"/>
    <w:rsid w:val="005011D7"/>
    <w:rsid w:val="00501298"/>
    <w:rsid w:val="00501605"/>
    <w:rsid w:val="005019E1"/>
    <w:rsid w:val="00501DAF"/>
    <w:rsid w:val="00501F27"/>
    <w:rsid w:val="00502168"/>
    <w:rsid w:val="005021A9"/>
    <w:rsid w:val="00502390"/>
    <w:rsid w:val="005026F8"/>
    <w:rsid w:val="0050278D"/>
    <w:rsid w:val="005027AF"/>
    <w:rsid w:val="00502A68"/>
    <w:rsid w:val="00502BC9"/>
    <w:rsid w:val="00502C69"/>
    <w:rsid w:val="0050301B"/>
    <w:rsid w:val="00503049"/>
    <w:rsid w:val="005031ED"/>
    <w:rsid w:val="00503205"/>
    <w:rsid w:val="005034AB"/>
    <w:rsid w:val="00503883"/>
    <w:rsid w:val="00503A90"/>
    <w:rsid w:val="00503D3A"/>
    <w:rsid w:val="00503F68"/>
    <w:rsid w:val="00504028"/>
    <w:rsid w:val="00504400"/>
    <w:rsid w:val="00504C49"/>
    <w:rsid w:val="0050527A"/>
    <w:rsid w:val="0050557A"/>
    <w:rsid w:val="00505627"/>
    <w:rsid w:val="005058BD"/>
    <w:rsid w:val="005059A7"/>
    <w:rsid w:val="00505DE9"/>
    <w:rsid w:val="00506053"/>
    <w:rsid w:val="005062EC"/>
    <w:rsid w:val="005063A5"/>
    <w:rsid w:val="005063DA"/>
    <w:rsid w:val="00506539"/>
    <w:rsid w:val="005066CC"/>
    <w:rsid w:val="0050679F"/>
    <w:rsid w:val="005069D0"/>
    <w:rsid w:val="00506A03"/>
    <w:rsid w:val="00506D93"/>
    <w:rsid w:val="00506DBB"/>
    <w:rsid w:val="00506F85"/>
    <w:rsid w:val="00507124"/>
    <w:rsid w:val="005071D4"/>
    <w:rsid w:val="0050741A"/>
    <w:rsid w:val="00507429"/>
    <w:rsid w:val="005074F1"/>
    <w:rsid w:val="0050770D"/>
    <w:rsid w:val="00507B48"/>
    <w:rsid w:val="00507C60"/>
    <w:rsid w:val="00507CB8"/>
    <w:rsid w:val="005100C5"/>
    <w:rsid w:val="00510115"/>
    <w:rsid w:val="00510309"/>
    <w:rsid w:val="0051038F"/>
    <w:rsid w:val="0051064E"/>
    <w:rsid w:val="00510865"/>
    <w:rsid w:val="005109C2"/>
    <w:rsid w:val="005109E3"/>
    <w:rsid w:val="00510C7D"/>
    <w:rsid w:val="0051141A"/>
    <w:rsid w:val="0051145C"/>
    <w:rsid w:val="005116F6"/>
    <w:rsid w:val="00511707"/>
    <w:rsid w:val="0051177F"/>
    <w:rsid w:val="00511E19"/>
    <w:rsid w:val="00512352"/>
    <w:rsid w:val="0051242C"/>
    <w:rsid w:val="00512504"/>
    <w:rsid w:val="0051251B"/>
    <w:rsid w:val="0051252C"/>
    <w:rsid w:val="00512550"/>
    <w:rsid w:val="005126FB"/>
    <w:rsid w:val="00512880"/>
    <w:rsid w:val="005129F3"/>
    <w:rsid w:val="00512A66"/>
    <w:rsid w:val="00512B3E"/>
    <w:rsid w:val="00513022"/>
    <w:rsid w:val="00513029"/>
    <w:rsid w:val="005133A2"/>
    <w:rsid w:val="0051346C"/>
    <w:rsid w:val="00513515"/>
    <w:rsid w:val="0051358B"/>
    <w:rsid w:val="005135E0"/>
    <w:rsid w:val="00513790"/>
    <w:rsid w:val="00513AC4"/>
    <w:rsid w:val="00513B14"/>
    <w:rsid w:val="00513B4C"/>
    <w:rsid w:val="00513D95"/>
    <w:rsid w:val="005140E1"/>
    <w:rsid w:val="005144E9"/>
    <w:rsid w:val="00514508"/>
    <w:rsid w:val="00514739"/>
    <w:rsid w:val="0051473D"/>
    <w:rsid w:val="00514A90"/>
    <w:rsid w:val="00514BB2"/>
    <w:rsid w:val="00514D3A"/>
    <w:rsid w:val="00515048"/>
    <w:rsid w:val="005151EE"/>
    <w:rsid w:val="00515AA7"/>
    <w:rsid w:val="00515EAD"/>
    <w:rsid w:val="00515F7B"/>
    <w:rsid w:val="00516089"/>
    <w:rsid w:val="00516183"/>
    <w:rsid w:val="00516389"/>
    <w:rsid w:val="005165DE"/>
    <w:rsid w:val="00516912"/>
    <w:rsid w:val="00516946"/>
    <w:rsid w:val="00516BCC"/>
    <w:rsid w:val="00516D53"/>
    <w:rsid w:val="00516E45"/>
    <w:rsid w:val="00516F81"/>
    <w:rsid w:val="00517149"/>
    <w:rsid w:val="0051754A"/>
    <w:rsid w:val="00517582"/>
    <w:rsid w:val="005179E5"/>
    <w:rsid w:val="00517A83"/>
    <w:rsid w:val="00517A85"/>
    <w:rsid w:val="00517FBF"/>
    <w:rsid w:val="005200AE"/>
    <w:rsid w:val="0052011A"/>
    <w:rsid w:val="005203AE"/>
    <w:rsid w:val="00520C5B"/>
    <w:rsid w:val="00520EA7"/>
    <w:rsid w:val="00520F7F"/>
    <w:rsid w:val="005213A8"/>
    <w:rsid w:val="005217BF"/>
    <w:rsid w:val="00521995"/>
    <w:rsid w:val="00521A71"/>
    <w:rsid w:val="00521A7A"/>
    <w:rsid w:val="00521D63"/>
    <w:rsid w:val="005220CA"/>
    <w:rsid w:val="005220FE"/>
    <w:rsid w:val="00522126"/>
    <w:rsid w:val="0052213A"/>
    <w:rsid w:val="005222E7"/>
    <w:rsid w:val="00522792"/>
    <w:rsid w:val="005227BF"/>
    <w:rsid w:val="00522B16"/>
    <w:rsid w:val="00522BE1"/>
    <w:rsid w:val="00522F3B"/>
    <w:rsid w:val="00523023"/>
    <w:rsid w:val="00523836"/>
    <w:rsid w:val="00523AD0"/>
    <w:rsid w:val="00523AD2"/>
    <w:rsid w:val="00523B8A"/>
    <w:rsid w:val="00523F32"/>
    <w:rsid w:val="005240BD"/>
    <w:rsid w:val="005244D5"/>
    <w:rsid w:val="00524707"/>
    <w:rsid w:val="00524C77"/>
    <w:rsid w:val="00524D84"/>
    <w:rsid w:val="00524F48"/>
    <w:rsid w:val="005252C2"/>
    <w:rsid w:val="005254A9"/>
    <w:rsid w:val="0052550F"/>
    <w:rsid w:val="00525744"/>
    <w:rsid w:val="00525A9F"/>
    <w:rsid w:val="00525BEC"/>
    <w:rsid w:val="00525DFE"/>
    <w:rsid w:val="00525F06"/>
    <w:rsid w:val="00525F62"/>
    <w:rsid w:val="005262A4"/>
    <w:rsid w:val="0052634F"/>
    <w:rsid w:val="005263DC"/>
    <w:rsid w:val="005265D4"/>
    <w:rsid w:val="00526656"/>
    <w:rsid w:val="0052667E"/>
    <w:rsid w:val="005267E3"/>
    <w:rsid w:val="00527107"/>
    <w:rsid w:val="00527352"/>
    <w:rsid w:val="005274A8"/>
    <w:rsid w:val="005274F1"/>
    <w:rsid w:val="00527733"/>
    <w:rsid w:val="005277CD"/>
    <w:rsid w:val="00527B3F"/>
    <w:rsid w:val="00527C7C"/>
    <w:rsid w:val="005302AD"/>
    <w:rsid w:val="0053032B"/>
    <w:rsid w:val="0053038E"/>
    <w:rsid w:val="0053059E"/>
    <w:rsid w:val="00530828"/>
    <w:rsid w:val="00530979"/>
    <w:rsid w:val="00530DF2"/>
    <w:rsid w:val="00530F82"/>
    <w:rsid w:val="00530FEF"/>
    <w:rsid w:val="00531107"/>
    <w:rsid w:val="0053132D"/>
    <w:rsid w:val="005314A2"/>
    <w:rsid w:val="0053166A"/>
    <w:rsid w:val="00531684"/>
    <w:rsid w:val="00531717"/>
    <w:rsid w:val="005319F7"/>
    <w:rsid w:val="005319FB"/>
    <w:rsid w:val="00531E39"/>
    <w:rsid w:val="0053223B"/>
    <w:rsid w:val="00532339"/>
    <w:rsid w:val="00532354"/>
    <w:rsid w:val="005324F1"/>
    <w:rsid w:val="005324FA"/>
    <w:rsid w:val="00532A4F"/>
    <w:rsid w:val="00532CAB"/>
    <w:rsid w:val="00532D2C"/>
    <w:rsid w:val="00532DBA"/>
    <w:rsid w:val="00532ED6"/>
    <w:rsid w:val="00532EEC"/>
    <w:rsid w:val="00532F67"/>
    <w:rsid w:val="00532FE9"/>
    <w:rsid w:val="0053360D"/>
    <w:rsid w:val="00533797"/>
    <w:rsid w:val="0053384E"/>
    <w:rsid w:val="005339AD"/>
    <w:rsid w:val="00533A0F"/>
    <w:rsid w:val="00533F3C"/>
    <w:rsid w:val="0053415C"/>
    <w:rsid w:val="005344B4"/>
    <w:rsid w:val="00534770"/>
    <w:rsid w:val="005347B2"/>
    <w:rsid w:val="005348FD"/>
    <w:rsid w:val="00534A16"/>
    <w:rsid w:val="00534A33"/>
    <w:rsid w:val="00534B19"/>
    <w:rsid w:val="00534C14"/>
    <w:rsid w:val="00534F52"/>
    <w:rsid w:val="00534FD3"/>
    <w:rsid w:val="005352C2"/>
    <w:rsid w:val="005353F0"/>
    <w:rsid w:val="00535908"/>
    <w:rsid w:val="0053592E"/>
    <w:rsid w:val="00535A91"/>
    <w:rsid w:val="0053635F"/>
    <w:rsid w:val="005367AE"/>
    <w:rsid w:val="0053690B"/>
    <w:rsid w:val="00536DC2"/>
    <w:rsid w:val="00536FAE"/>
    <w:rsid w:val="00537247"/>
    <w:rsid w:val="00537350"/>
    <w:rsid w:val="00537596"/>
    <w:rsid w:val="00537631"/>
    <w:rsid w:val="005379B8"/>
    <w:rsid w:val="00537B94"/>
    <w:rsid w:val="00537E3C"/>
    <w:rsid w:val="00537F70"/>
    <w:rsid w:val="00537FD0"/>
    <w:rsid w:val="00540300"/>
    <w:rsid w:val="005403D9"/>
    <w:rsid w:val="005406A8"/>
    <w:rsid w:val="005406C7"/>
    <w:rsid w:val="00540766"/>
    <w:rsid w:val="00540AC4"/>
    <w:rsid w:val="00540BC1"/>
    <w:rsid w:val="00540DBA"/>
    <w:rsid w:val="00540E95"/>
    <w:rsid w:val="00540FCA"/>
    <w:rsid w:val="00541094"/>
    <w:rsid w:val="0054134F"/>
    <w:rsid w:val="005417C2"/>
    <w:rsid w:val="00541A6C"/>
    <w:rsid w:val="00541BE1"/>
    <w:rsid w:val="00541CD0"/>
    <w:rsid w:val="0054205E"/>
    <w:rsid w:val="0054235C"/>
    <w:rsid w:val="005424FF"/>
    <w:rsid w:val="005426C3"/>
    <w:rsid w:val="00542D13"/>
    <w:rsid w:val="00542DD4"/>
    <w:rsid w:val="00542E3C"/>
    <w:rsid w:val="00542E5F"/>
    <w:rsid w:val="00542F9B"/>
    <w:rsid w:val="00543799"/>
    <w:rsid w:val="00543817"/>
    <w:rsid w:val="0054391C"/>
    <w:rsid w:val="0054398D"/>
    <w:rsid w:val="005439EE"/>
    <w:rsid w:val="00543E15"/>
    <w:rsid w:val="00543E3C"/>
    <w:rsid w:val="00543EB6"/>
    <w:rsid w:val="00543F24"/>
    <w:rsid w:val="00544524"/>
    <w:rsid w:val="00544747"/>
    <w:rsid w:val="00544809"/>
    <w:rsid w:val="00544876"/>
    <w:rsid w:val="00544941"/>
    <w:rsid w:val="00544A35"/>
    <w:rsid w:val="00544C50"/>
    <w:rsid w:val="00544C96"/>
    <w:rsid w:val="00544CEE"/>
    <w:rsid w:val="00544DCD"/>
    <w:rsid w:val="00544EE5"/>
    <w:rsid w:val="00544FEB"/>
    <w:rsid w:val="00545063"/>
    <w:rsid w:val="0054529A"/>
    <w:rsid w:val="005452D0"/>
    <w:rsid w:val="00545674"/>
    <w:rsid w:val="005459E1"/>
    <w:rsid w:val="00545B5D"/>
    <w:rsid w:val="00545D12"/>
    <w:rsid w:val="00545F8F"/>
    <w:rsid w:val="00546476"/>
    <w:rsid w:val="00546604"/>
    <w:rsid w:val="005466EC"/>
    <w:rsid w:val="00546700"/>
    <w:rsid w:val="00546DFC"/>
    <w:rsid w:val="00546E2A"/>
    <w:rsid w:val="0054706A"/>
    <w:rsid w:val="0054718A"/>
    <w:rsid w:val="00547323"/>
    <w:rsid w:val="005474E5"/>
    <w:rsid w:val="0054781D"/>
    <w:rsid w:val="0054783A"/>
    <w:rsid w:val="00547A7C"/>
    <w:rsid w:val="00547E05"/>
    <w:rsid w:val="00547E0A"/>
    <w:rsid w:val="00550170"/>
    <w:rsid w:val="0055030D"/>
    <w:rsid w:val="00550AB5"/>
    <w:rsid w:val="00550EF0"/>
    <w:rsid w:val="0055106C"/>
    <w:rsid w:val="005510A9"/>
    <w:rsid w:val="0055112D"/>
    <w:rsid w:val="0055115C"/>
    <w:rsid w:val="005515CD"/>
    <w:rsid w:val="0055161C"/>
    <w:rsid w:val="00551D31"/>
    <w:rsid w:val="00551DED"/>
    <w:rsid w:val="005520F3"/>
    <w:rsid w:val="00552308"/>
    <w:rsid w:val="00552402"/>
    <w:rsid w:val="00552405"/>
    <w:rsid w:val="00552810"/>
    <w:rsid w:val="005528CC"/>
    <w:rsid w:val="005529D4"/>
    <w:rsid w:val="00552A9D"/>
    <w:rsid w:val="00552BF6"/>
    <w:rsid w:val="00552C6A"/>
    <w:rsid w:val="00552F82"/>
    <w:rsid w:val="005531C2"/>
    <w:rsid w:val="0055322D"/>
    <w:rsid w:val="00553549"/>
    <w:rsid w:val="00553815"/>
    <w:rsid w:val="005539C0"/>
    <w:rsid w:val="00553F70"/>
    <w:rsid w:val="00553FCC"/>
    <w:rsid w:val="00553FFF"/>
    <w:rsid w:val="005544FC"/>
    <w:rsid w:val="00554559"/>
    <w:rsid w:val="00554883"/>
    <w:rsid w:val="005548E1"/>
    <w:rsid w:val="00554963"/>
    <w:rsid w:val="00554B9F"/>
    <w:rsid w:val="00554FB8"/>
    <w:rsid w:val="0055517B"/>
    <w:rsid w:val="00555512"/>
    <w:rsid w:val="00555550"/>
    <w:rsid w:val="005556B2"/>
    <w:rsid w:val="00555739"/>
    <w:rsid w:val="00555AAA"/>
    <w:rsid w:val="00555B57"/>
    <w:rsid w:val="00555E46"/>
    <w:rsid w:val="00555E80"/>
    <w:rsid w:val="00555FC1"/>
    <w:rsid w:val="00556030"/>
    <w:rsid w:val="0055629F"/>
    <w:rsid w:val="00556411"/>
    <w:rsid w:val="005565C3"/>
    <w:rsid w:val="00556653"/>
    <w:rsid w:val="005566C2"/>
    <w:rsid w:val="00556735"/>
    <w:rsid w:val="005571F6"/>
    <w:rsid w:val="00557628"/>
    <w:rsid w:val="00557746"/>
    <w:rsid w:val="0055796A"/>
    <w:rsid w:val="0055797F"/>
    <w:rsid w:val="0056004A"/>
    <w:rsid w:val="0056041B"/>
    <w:rsid w:val="005606AB"/>
    <w:rsid w:val="00560C65"/>
    <w:rsid w:val="005610A0"/>
    <w:rsid w:val="00561171"/>
    <w:rsid w:val="0056152E"/>
    <w:rsid w:val="00561645"/>
    <w:rsid w:val="00561660"/>
    <w:rsid w:val="00561792"/>
    <w:rsid w:val="00561856"/>
    <w:rsid w:val="00561881"/>
    <w:rsid w:val="00561982"/>
    <w:rsid w:val="00561AEE"/>
    <w:rsid w:val="00561C0A"/>
    <w:rsid w:val="00561C86"/>
    <w:rsid w:val="00562281"/>
    <w:rsid w:val="005624A2"/>
    <w:rsid w:val="005624A6"/>
    <w:rsid w:val="005624B2"/>
    <w:rsid w:val="00562664"/>
    <w:rsid w:val="005629F0"/>
    <w:rsid w:val="00562A1F"/>
    <w:rsid w:val="00562A3B"/>
    <w:rsid w:val="00562A55"/>
    <w:rsid w:val="00562C6B"/>
    <w:rsid w:val="00562E8F"/>
    <w:rsid w:val="00563112"/>
    <w:rsid w:val="00563656"/>
    <w:rsid w:val="005636F3"/>
    <w:rsid w:val="00563B7B"/>
    <w:rsid w:val="00563CA4"/>
    <w:rsid w:val="00563E05"/>
    <w:rsid w:val="00563E12"/>
    <w:rsid w:val="00564018"/>
    <w:rsid w:val="0056408A"/>
    <w:rsid w:val="005642D8"/>
    <w:rsid w:val="005642F8"/>
    <w:rsid w:val="0056430E"/>
    <w:rsid w:val="00564392"/>
    <w:rsid w:val="0056458B"/>
    <w:rsid w:val="00564682"/>
    <w:rsid w:val="00564717"/>
    <w:rsid w:val="0056487B"/>
    <w:rsid w:val="00564B8E"/>
    <w:rsid w:val="00564D6C"/>
    <w:rsid w:val="00564FF9"/>
    <w:rsid w:val="00565071"/>
    <w:rsid w:val="00565895"/>
    <w:rsid w:val="00565A8E"/>
    <w:rsid w:val="00565AC3"/>
    <w:rsid w:val="00566083"/>
    <w:rsid w:val="0056664F"/>
    <w:rsid w:val="00566A13"/>
    <w:rsid w:val="00566A23"/>
    <w:rsid w:val="00566C64"/>
    <w:rsid w:val="00566DAF"/>
    <w:rsid w:val="005670E1"/>
    <w:rsid w:val="005675E4"/>
    <w:rsid w:val="005678E4"/>
    <w:rsid w:val="00567931"/>
    <w:rsid w:val="005679C2"/>
    <w:rsid w:val="00567E43"/>
    <w:rsid w:val="00567E75"/>
    <w:rsid w:val="00567F2F"/>
    <w:rsid w:val="00567FEC"/>
    <w:rsid w:val="0057017F"/>
    <w:rsid w:val="005703C5"/>
    <w:rsid w:val="005709AC"/>
    <w:rsid w:val="005709D3"/>
    <w:rsid w:val="00570A24"/>
    <w:rsid w:val="00570B99"/>
    <w:rsid w:val="00570C6F"/>
    <w:rsid w:val="00570DB4"/>
    <w:rsid w:val="00570E25"/>
    <w:rsid w:val="00570ED2"/>
    <w:rsid w:val="00570F32"/>
    <w:rsid w:val="00571873"/>
    <w:rsid w:val="00571A6A"/>
    <w:rsid w:val="00571C9F"/>
    <w:rsid w:val="00571E8C"/>
    <w:rsid w:val="00572196"/>
    <w:rsid w:val="005721B8"/>
    <w:rsid w:val="00572693"/>
    <w:rsid w:val="005728E8"/>
    <w:rsid w:val="00572D90"/>
    <w:rsid w:val="00572DBB"/>
    <w:rsid w:val="00572E00"/>
    <w:rsid w:val="00572E3D"/>
    <w:rsid w:val="00572EED"/>
    <w:rsid w:val="00572F0D"/>
    <w:rsid w:val="0057328A"/>
    <w:rsid w:val="005732FD"/>
    <w:rsid w:val="0057337C"/>
    <w:rsid w:val="005733FB"/>
    <w:rsid w:val="00573526"/>
    <w:rsid w:val="00573656"/>
    <w:rsid w:val="00573748"/>
    <w:rsid w:val="00573758"/>
    <w:rsid w:val="00573795"/>
    <w:rsid w:val="00573858"/>
    <w:rsid w:val="0057399F"/>
    <w:rsid w:val="00573ABA"/>
    <w:rsid w:val="00573B95"/>
    <w:rsid w:val="00573BE9"/>
    <w:rsid w:val="00573C67"/>
    <w:rsid w:val="00573DAC"/>
    <w:rsid w:val="005740A4"/>
    <w:rsid w:val="0057411F"/>
    <w:rsid w:val="005741BF"/>
    <w:rsid w:val="0057447B"/>
    <w:rsid w:val="0057485C"/>
    <w:rsid w:val="005748B7"/>
    <w:rsid w:val="0057496E"/>
    <w:rsid w:val="00574AEC"/>
    <w:rsid w:val="00574CDB"/>
    <w:rsid w:val="00574E65"/>
    <w:rsid w:val="00575103"/>
    <w:rsid w:val="005753DB"/>
    <w:rsid w:val="005759A5"/>
    <w:rsid w:val="0057610B"/>
    <w:rsid w:val="005761B9"/>
    <w:rsid w:val="005761DB"/>
    <w:rsid w:val="00576367"/>
    <w:rsid w:val="005767DD"/>
    <w:rsid w:val="00576C38"/>
    <w:rsid w:val="00577196"/>
    <w:rsid w:val="005771A5"/>
    <w:rsid w:val="00577439"/>
    <w:rsid w:val="005774FD"/>
    <w:rsid w:val="00577665"/>
    <w:rsid w:val="0057792F"/>
    <w:rsid w:val="00577E1A"/>
    <w:rsid w:val="0058041D"/>
    <w:rsid w:val="005805CD"/>
    <w:rsid w:val="00580815"/>
    <w:rsid w:val="00580966"/>
    <w:rsid w:val="00580AEF"/>
    <w:rsid w:val="00580C0D"/>
    <w:rsid w:val="00580E24"/>
    <w:rsid w:val="00580F80"/>
    <w:rsid w:val="0058156A"/>
    <w:rsid w:val="005816C3"/>
    <w:rsid w:val="00581804"/>
    <w:rsid w:val="00581D66"/>
    <w:rsid w:val="00582003"/>
    <w:rsid w:val="0058212F"/>
    <w:rsid w:val="0058239F"/>
    <w:rsid w:val="005824C9"/>
    <w:rsid w:val="0058253D"/>
    <w:rsid w:val="00582594"/>
    <w:rsid w:val="00582723"/>
    <w:rsid w:val="0058272C"/>
    <w:rsid w:val="00582B7A"/>
    <w:rsid w:val="00582C4A"/>
    <w:rsid w:val="00582D95"/>
    <w:rsid w:val="00582EF7"/>
    <w:rsid w:val="00582F91"/>
    <w:rsid w:val="005832EF"/>
    <w:rsid w:val="005839B1"/>
    <w:rsid w:val="00583CDC"/>
    <w:rsid w:val="00583D66"/>
    <w:rsid w:val="00583F09"/>
    <w:rsid w:val="00584207"/>
    <w:rsid w:val="0058474F"/>
    <w:rsid w:val="005847C8"/>
    <w:rsid w:val="005847F6"/>
    <w:rsid w:val="0058497D"/>
    <w:rsid w:val="00584DAA"/>
    <w:rsid w:val="00584E23"/>
    <w:rsid w:val="00584F9E"/>
    <w:rsid w:val="0058515E"/>
    <w:rsid w:val="005853F0"/>
    <w:rsid w:val="00585D25"/>
    <w:rsid w:val="00585DDE"/>
    <w:rsid w:val="00585F6B"/>
    <w:rsid w:val="00585F98"/>
    <w:rsid w:val="0058615E"/>
    <w:rsid w:val="00586177"/>
    <w:rsid w:val="00586229"/>
    <w:rsid w:val="00586343"/>
    <w:rsid w:val="00586443"/>
    <w:rsid w:val="0058644B"/>
    <w:rsid w:val="005864A8"/>
    <w:rsid w:val="005865C0"/>
    <w:rsid w:val="00586982"/>
    <w:rsid w:val="00586AF3"/>
    <w:rsid w:val="00586D7B"/>
    <w:rsid w:val="00587385"/>
    <w:rsid w:val="00587473"/>
    <w:rsid w:val="005879CB"/>
    <w:rsid w:val="00587A49"/>
    <w:rsid w:val="00587A93"/>
    <w:rsid w:val="00587B92"/>
    <w:rsid w:val="00587CBB"/>
    <w:rsid w:val="00587F22"/>
    <w:rsid w:val="0059034C"/>
    <w:rsid w:val="005905DE"/>
    <w:rsid w:val="00590635"/>
    <w:rsid w:val="00590645"/>
    <w:rsid w:val="005906AA"/>
    <w:rsid w:val="005907E0"/>
    <w:rsid w:val="00590AA9"/>
    <w:rsid w:val="00590D49"/>
    <w:rsid w:val="00590F1C"/>
    <w:rsid w:val="00590FCC"/>
    <w:rsid w:val="005911FB"/>
    <w:rsid w:val="0059167E"/>
    <w:rsid w:val="00591D2F"/>
    <w:rsid w:val="00591DD0"/>
    <w:rsid w:val="00591FB4"/>
    <w:rsid w:val="005920DA"/>
    <w:rsid w:val="0059213A"/>
    <w:rsid w:val="00592355"/>
    <w:rsid w:val="0059236A"/>
    <w:rsid w:val="005923C5"/>
    <w:rsid w:val="005923C8"/>
    <w:rsid w:val="00592585"/>
    <w:rsid w:val="005926C6"/>
    <w:rsid w:val="0059270A"/>
    <w:rsid w:val="00592757"/>
    <w:rsid w:val="005928DD"/>
    <w:rsid w:val="00592B08"/>
    <w:rsid w:val="005935FA"/>
    <w:rsid w:val="00593A7B"/>
    <w:rsid w:val="00593B03"/>
    <w:rsid w:val="00593BFF"/>
    <w:rsid w:val="00593D09"/>
    <w:rsid w:val="00593FA4"/>
    <w:rsid w:val="00594094"/>
    <w:rsid w:val="005941BE"/>
    <w:rsid w:val="005941CA"/>
    <w:rsid w:val="005946AB"/>
    <w:rsid w:val="00594AB5"/>
    <w:rsid w:val="00594BA8"/>
    <w:rsid w:val="00594D13"/>
    <w:rsid w:val="00594E59"/>
    <w:rsid w:val="00594ECF"/>
    <w:rsid w:val="00594EDC"/>
    <w:rsid w:val="00594EF5"/>
    <w:rsid w:val="005950B7"/>
    <w:rsid w:val="0059519F"/>
    <w:rsid w:val="00595264"/>
    <w:rsid w:val="005953DF"/>
    <w:rsid w:val="0059561F"/>
    <w:rsid w:val="00595686"/>
    <w:rsid w:val="00595D43"/>
    <w:rsid w:val="00595FB2"/>
    <w:rsid w:val="005961B6"/>
    <w:rsid w:val="0059631B"/>
    <w:rsid w:val="00596443"/>
    <w:rsid w:val="005965ED"/>
    <w:rsid w:val="00596644"/>
    <w:rsid w:val="00596B51"/>
    <w:rsid w:val="00596CC5"/>
    <w:rsid w:val="00596CD4"/>
    <w:rsid w:val="00596EB3"/>
    <w:rsid w:val="00597053"/>
    <w:rsid w:val="00597191"/>
    <w:rsid w:val="0059755B"/>
    <w:rsid w:val="00597975"/>
    <w:rsid w:val="00597A58"/>
    <w:rsid w:val="00597AA9"/>
    <w:rsid w:val="00597B8F"/>
    <w:rsid w:val="00597F63"/>
    <w:rsid w:val="005A0277"/>
    <w:rsid w:val="005A0361"/>
    <w:rsid w:val="005A03C8"/>
    <w:rsid w:val="005A03E1"/>
    <w:rsid w:val="005A073D"/>
    <w:rsid w:val="005A08EE"/>
    <w:rsid w:val="005A0B6C"/>
    <w:rsid w:val="005A0C90"/>
    <w:rsid w:val="005A0F22"/>
    <w:rsid w:val="005A122C"/>
    <w:rsid w:val="005A12C1"/>
    <w:rsid w:val="005A1628"/>
    <w:rsid w:val="005A17AA"/>
    <w:rsid w:val="005A1831"/>
    <w:rsid w:val="005A1847"/>
    <w:rsid w:val="005A1958"/>
    <w:rsid w:val="005A1AEE"/>
    <w:rsid w:val="005A1AFC"/>
    <w:rsid w:val="005A1B62"/>
    <w:rsid w:val="005A1C4D"/>
    <w:rsid w:val="005A1F6C"/>
    <w:rsid w:val="005A2362"/>
    <w:rsid w:val="005A2747"/>
    <w:rsid w:val="005A299F"/>
    <w:rsid w:val="005A2A5D"/>
    <w:rsid w:val="005A2AAF"/>
    <w:rsid w:val="005A2CF3"/>
    <w:rsid w:val="005A33D6"/>
    <w:rsid w:val="005A3791"/>
    <w:rsid w:val="005A3AD5"/>
    <w:rsid w:val="005A3C1E"/>
    <w:rsid w:val="005A3CA1"/>
    <w:rsid w:val="005A3CBF"/>
    <w:rsid w:val="005A3F34"/>
    <w:rsid w:val="005A3F6D"/>
    <w:rsid w:val="005A4455"/>
    <w:rsid w:val="005A44B1"/>
    <w:rsid w:val="005A44B4"/>
    <w:rsid w:val="005A461F"/>
    <w:rsid w:val="005A4AE2"/>
    <w:rsid w:val="005A4E84"/>
    <w:rsid w:val="005A507C"/>
    <w:rsid w:val="005A50B7"/>
    <w:rsid w:val="005A5191"/>
    <w:rsid w:val="005A53D4"/>
    <w:rsid w:val="005A54A6"/>
    <w:rsid w:val="005A556E"/>
    <w:rsid w:val="005A5A9C"/>
    <w:rsid w:val="005A5ADC"/>
    <w:rsid w:val="005A5FAE"/>
    <w:rsid w:val="005A60E9"/>
    <w:rsid w:val="005A6280"/>
    <w:rsid w:val="005A68F6"/>
    <w:rsid w:val="005A6A90"/>
    <w:rsid w:val="005A6A9E"/>
    <w:rsid w:val="005A73DF"/>
    <w:rsid w:val="005A7495"/>
    <w:rsid w:val="005A7646"/>
    <w:rsid w:val="005A771B"/>
    <w:rsid w:val="005A7766"/>
    <w:rsid w:val="005A7B1E"/>
    <w:rsid w:val="005A7DD2"/>
    <w:rsid w:val="005A7E9D"/>
    <w:rsid w:val="005B02DC"/>
    <w:rsid w:val="005B043B"/>
    <w:rsid w:val="005B04B2"/>
    <w:rsid w:val="005B077D"/>
    <w:rsid w:val="005B0DCE"/>
    <w:rsid w:val="005B0FD1"/>
    <w:rsid w:val="005B113C"/>
    <w:rsid w:val="005B127B"/>
    <w:rsid w:val="005B12D4"/>
    <w:rsid w:val="005B15B9"/>
    <w:rsid w:val="005B1680"/>
    <w:rsid w:val="005B190F"/>
    <w:rsid w:val="005B1A9E"/>
    <w:rsid w:val="005B1B43"/>
    <w:rsid w:val="005B2130"/>
    <w:rsid w:val="005B225B"/>
    <w:rsid w:val="005B2364"/>
    <w:rsid w:val="005B2414"/>
    <w:rsid w:val="005B268B"/>
    <w:rsid w:val="005B28A7"/>
    <w:rsid w:val="005B296C"/>
    <w:rsid w:val="005B2A2B"/>
    <w:rsid w:val="005B2B45"/>
    <w:rsid w:val="005B2B88"/>
    <w:rsid w:val="005B2D00"/>
    <w:rsid w:val="005B2E59"/>
    <w:rsid w:val="005B3131"/>
    <w:rsid w:val="005B3375"/>
    <w:rsid w:val="005B35DF"/>
    <w:rsid w:val="005B370F"/>
    <w:rsid w:val="005B3A2A"/>
    <w:rsid w:val="005B3A70"/>
    <w:rsid w:val="005B3A91"/>
    <w:rsid w:val="005B3BA0"/>
    <w:rsid w:val="005B3F45"/>
    <w:rsid w:val="005B3FDC"/>
    <w:rsid w:val="005B415F"/>
    <w:rsid w:val="005B41E3"/>
    <w:rsid w:val="005B4238"/>
    <w:rsid w:val="005B4249"/>
    <w:rsid w:val="005B42A7"/>
    <w:rsid w:val="005B4355"/>
    <w:rsid w:val="005B43C3"/>
    <w:rsid w:val="005B4421"/>
    <w:rsid w:val="005B455E"/>
    <w:rsid w:val="005B47AE"/>
    <w:rsid w:val="005B4935"/>
    <w:rsid w:val="005B49A9"/>
    <w:rsid w:val="005B4A5B"/>
    <w:rsid w:val="005B4F04"/>
    <w:rsid w:val="005B4F5F"/>
    <w:rsid w:val="005B51A8"/>
    <w:rsid w:val="005B5310"/>
    <w:rsid w:val="005B573C"/>
    <w:rsid w:val="005B585C"/>
    <w:rsid w:val="005B59BD"/>
    <w:rsid w:val="005B5ED0"/>
    <w:rsid w:val="005B6203"/>
    <w:rsid w:val="005B623A"/>
    <w:rsid w:val="005B6472"/>
    <w:rsid w:val="005B6568"/>
    <w:rsid w:val="005B66E4"/>
    <w:rsid w:val="005B6AAF"/>
    <w:rsid w:val="005B6AD8"/>
    <w:rsid w:val="005B6E2B"/>
    <w:rsid w:val="005B726F"/>
    <w:rsid w:val="005B728F"/>
    <w:rsid w:val="005B740F"/>
    <w:rsid w:val="005B76D5"/>
    <w:rsid w:val="005B7819"/>
    <w:rsid w:val="005B7AEC"/>
    <w:rsid w:val="005B7C6B"/>
    <w:rsid w:val="005B7D93"/>
    <w:rsid w:val="005B7EB9"/>
    <w:rsid w:val="005B7FEF"/>
    <w:rsid w:val="005C00E2"/>
    <w:rsid w:val="005C02DF"/>
    <w:rsid w:val="005C0300"/>
    <w:rsid w:val="005C0319"/>
    <w:rsid w:val="005C0474"/>
    <w:rsid w:val="005C0555"/>
    <w:rsid w:val="005C05B7"/>
    <w:rsid w:val="005C08FD"/>
    <w:rsid w:val="005C0937"/>
    <w:rsid w:val="005C0B73"/>
    <w:rsid w:val="005C0CD5"/>
    <w:rsid w:val="005C0F95"/>
    <w:rsid w:val="005C1541"/>
    <w:rsid w:val="005C1961"/>
    <w:rsid w:val="005C197A"/>
    <w:rsid w:val="005C1DF7"/>
    <w:rsid w:val="005C28A4"/>
    <w:rsid w:val="005C29A5"/>
    <w:rsid w:val="005C2AD7"/>
    <w:rsid w:val="005C2B13"/>
    <w:rsid w:val="005C2B5A"/>
    <w:rsid w:val="005C2EDB"/>
    <w:rsid w:val="005C2FE8"/>
    <w:rsid w:val="005C3030"/>
    <w:rsid w:val="005C32F4"/>
    <w:rsid w:val="005C33D3"/>
    <w:rsid w:val="005C3B4A"/>
    <w:rsid w:val="005C3C66"/>
    <w:rsid w:val="005C3C8B"/>
    <w:rsid w:val="005C3FE0"/>
    <w:rsid w:val="005C40E0"/>
    <w:rsid w:val="005C4134"/>
    <w:rsid w:val="005C4373"/>
    <w:rsid w:val="005C43CB"/>
    <w:rsid w:val="005C44F1"/>
    <w:rsid w:val="005C4ADF"/>
    <w:rsid w:val="005C4D68"/>
    <w:rsid w:val="005C4DB1"/>
    <w:rsid w:val="005C520F"/>
    <w:rsid w:val="005C5211"/>
    <w:rsid w:val="005C52C9"/>
    <w:rsid w:val="005C567F"/>
    <w:rsid w:val="005C588D"/>
    <w:rsid w:val="005C59A4"/>
    <w:rsid w:val="005C5AF5"/>
    <w:rsid w:val="005C5D2F"/>
    <w:rsid w:val="005C5DAB"/>
    <w:rsid w:val="005C6085"/>
    <w:rsid w:val="005C60EB"/>
    <w:rsid w:val="005C623E"/>
    <w:rsid w:val="005C63BE"/>
    <w:rsid w:val="005C644F"/>
    <w:rsid w:val="005C6552"/>
    <w:rsid w:val="005C6604"/>
    <w:rsid w:val="005C675A"/>
    <w:rsid w:val="005C6A74"/>
    <w:rsid w:val="005C6AC2"/>
    <w:rsid w:val="005C6D90"/>
    <w:rsid w:val="005C6F28"/>
    <w:rsid w:val="005C74E1"/>
    <w:rsid w:val="005C7841"/>
    <w:rsid w:val="005C7BB3"/>
    <w:rsid w:val="005C7BDF"/>
    <w:rsid w:val="005C7C89"/>
    <w:rsid w:val="005C7E1D"/>
    <w:rsid w:val="005D0284"/>
    <w:rsid w:val="005D033E"/>
    <w:rsid w:val="005D05A6"/>
    <w:rsid w:val="005D0693"/>
    <w:rsid w:val="005D089F"/>
    <w:rsid w:val="005D0A11"/>
    <w:rsid w:val="005D0C5E"/>
    <w:rsid w:val="005D0E38"/>
    <w:rsid w:val="005D0F02"/>
    <w:rsid w:val="005D0F9D"/>
    <w:rsid w:val="005D1042"/>
    <w:rsid w:val="005D1519"/>
    <w:rsid w:val="005D17FF"/>
    <w:rsid w:val="005D195C"/>
    <w:rsid w:val="005D1A23"/>
    <w:rsid w:val="005D22C1"/>
    <w:rsid w:val="005D27EC"/>
    <w:rsid w:val="005D2922"/>
    <w:rsid w:val="005D292C"/>
    <w:rsid w:val="005D2E74"/>
    <w:rsid w:val="005D2FF6"/>
    <w:rsid w:val="005D32FC"/>
    <w:rsid w:val="005D3631"/>
    <w:rsid w:val="005D3A9D"/>
    <w:rsid w:val="005D3ABD"/>
    <w:rsid w:val="005D3B16"/>
    <w:rsid w:val="005D3C25"/>
    <w:rsid w:val="005D3E86"/>
    <w:rsid w:val="005D4BC6"/>
    <w:rsid w:val="005D4E50"/>
    <w:rsid w:val="005D4EFF"/>
    <w:rsid w:val="005D4F8E"/>
    <w:rsid w:val="005D5069"/>
    <w:rsid w:val="005D5158"/>
    <w:rsid w:val="005D5167"/>
    <w:rsid w:val="005D55E4"/>
    <w:rsid w:val="005D5641"/>
    <w:rsid w:val="005D56F2"/>
    <w:rsid w:val="005D57CB"/>
    <w:rsid w:val="005D581B"/>
    <w:rsid w:val="005D5914"/>
    <w:rsid w:val="005D5B63"/>
    <w:rsid w:val="005D5CD7"/>
    <w:rsid w:val="005D5CEF"/>
    <w:rsid w:val="005D5DDA"/>
    <w:rsid w:val="005D5E2A"/>
    <w:rsid w:val="005D5EF4"/>
    <w:rsid w:val="005D5F62"/>
    <w:rsid w:val="005D6620"/>
    <w:rsid w:val="005D6857"/>
    <w:rsid w:val="005D687E"/>
    <w:rsid w:val="005D6A5C"/>
    <w:rsid w:val="005D6DE8"/>
    <w:rsid w:val="005D6E16"/>
    <w:rsid w:val="005D739F"/>
    <w:rsid w:val="005D73C3"/>
    <w:rsid w:val="005D74B3"/>
    <w:rsid w:val="005D77EE"/>
    <w:rsid w:val="005D7B78"/>
    <w:rsid w:val="005D7B83"/>
    <w:rsid w:val="005E0091"/>
    <w:rsid w:val="005E00BE"/>
    <w:rsid w:val="005E04C9"/>
    <w:rsid w:val="005E09C2"/>
    <w:rsid w:val="005E0C12"/>
    <w:rsid w:val="005E0E2E"/>
    <w:rsid w:val="005E0F88"/>
    <w:rsid w:val="005E1179"/>
    <w:rsid w:val="005E1638"/>
    <w:rsid w:val="005E1893"/>
    <w:rsid w:val="005E18FB"/>
    <w:rsid w:val="005E19EE"/>
    <w:rsid w:val="005E1A57"/>
    <w:rsid w:val="005E1CBF"/>
    <w:rsid w:val="005E1EFF"/>
    <w:rsid w:val="005E1FE9"/>
    <w:rsid w:val="005E20EA"/>
    <w:rsid w:val="005E22D2"/>
    <w:rsid w:val="005E2894"/>
    <w:rsid w:val="005E298D"/>
    <w:rsid w:val="005E2A76"/>
    <w:rsid w:val="005E2A86"/>
    <w:rsid w:val="005E2AC2"/>
    <w:rsid w:val="005E2EF0"/>
    <w:rsid w:val="005E302E"/>
    <w:rsid w:val="005E304E"/>
    <w:rsid w:val="005E319F"/>
    <w:rsid w:val="005E3276"/>
    <w:rsid w:val="005E3353"/>
    <w:rsid w:val="005E33CF"/>
    <w:rsid w:val="005E3533"/>
    <w:rsid w:val="005E355B"/>
    <w:rsid w:val="005E39AD"/>
    <w:rsid w:val="005E3C23"/>
    <w:rsid w:val="005E49F9"/>
    <w:rsid w:val="005E4A54"/>
    <w:rsid w:val="005E4A7A"/>
    <w:rsid w:val="005E4AF8"/>
    <w:rsid w:val="005E4B49"/>
    <w:rsid w:val="005E4BCE"/>
    <w:rsid w:val="005E4D34"/>
    <w:rsid w:val="005E4E10"/>
    <w:rsid w:val="005E4FAD"/>
    <w:rsid w:val="005E50E3"/>
    <w:rsid w:val="005E50F1"/>
    <w:rsid w:val="005E5165"/>
    <w:rsid w:val="005E55FC"/>
    <w:rsid w:val="005E5734"/>
    <w:rsid w:val="005E5B07"/>
    <w:rsid w:val="005E5DDF"/>
    <w:rsid w:val="005E5F57"/>
    <w:rsid w:val="005E60A7"/>
    <w:rsid w:val="005E6346"/>
    <w:rsid w:val="005E6720"/>
    <w:rsid w:val="005E685F"/>
    <w:rsid w:val="005E69C5"/>
    <w:rsid w:val="005E6F12"/>
    <w:rsid w:val="005E7673"/>
    <w:rsid w:val="005E78D0"/>
    <w:rsid w:val="005E7B41"/>
    <w:rsid w:val="005E7B4D"/>
    <w:rsid w:val="005F016B"/>
    <w:rsid w:val="005F01E0"/>
    <w:rsid w:val="005F01ED"/>
    <w:rsid w:val="005F01F1"/>
    <w:rsid w:val="005F0263"/>
    <w:rsid w:val="005F052C"/>
    <w:rsid w:val="005F057F"/>
    <w:rsid w:val="005F0976"/>
    <w:rsid w:val="005F0A56"/>
    <w:rsid w:val="005F0B9F"/>
    <w:rsid w:val="005F0F2C"/>
    <w:rsid w:val="005F100E"/>
    <w:rsid w:val="005F12B5"/>
    <w:rsid w:val="005F1438"/>
    <w:rsid w:val="005F146E"/>
    <w:rsid w:val="005F15C4"/>
    <w:rsid w:val="005F1713"/>
    <w:rsid w:val="005F1714"/>
    <w:rsid w:val="005F172B"/>
    <w:rsid w:val="005F1776"/>
    <w:rsid w:val="005F177B"/>
    <w:rsid w:val="005F1B39"/>
    <w:rsid w:val="005F1C5B"/>
    <w:rsid w:val="005F1DB8"/>
    <w:rsid w:val="005F1FE6"/>
    <w:rsid w:val="005F2684"/>
    <w:rsid w:val="005F2709"/>
    <w:rsid w:val="005F293F"/>
    <w:rsid w:val="005F2B44"/>
    <w:rsid w:val="005F2E8E"/>
    <w:rsid w:val="005F31AF"/>
    <w:rsid w:val="005F35BC"/>
    <w:rsid w:val="005F35D6"/>
    <w:rsid w:val="005F36AA"/>
    <w:rsid w:val="005F3AD6"/>
    <w:rsid w:val="005F3EBC"/>
    <w:rsid w:val="005F3EE3"/>
    <w:rsid w:val="005F403B"/>
    <w:rsid w:val="005F4075"/>
    <w:rsid w:val="005F438A"/>
    <w:rsid w:val="005F45A4"/>
    <w:rsid w:val="005F4630"/>
    <w:rsid w:val="005F475F"/>
    <w:rsid w:val="005F4E2F"/>
    <w:rsid w:val="005F4EA2"/>
    <w:rsid w:val="005F4EA4"/>
    <w:rsid w:val="005F50FB"/>
    <w:rsid w:val="005F5137"/>
    <w:rsid w:val="005F5234"/>
    <w:rsid w:val="005F5268"/>
    <w:rsid w:val="005F52C6"/>
    <w:rsid w:val="005F55DE"/>
    <w:rsid w:val="005F56D7"/>
    <w:rsid w:val="005F57EE"/>
    <w:rsid w:val="005F590D"/>
    <w:rsid w:val="005F5A36"/>
    <w:rsid w:val="005F5B60"/>
    <w:rsid w:val="005F5C46"/>
    <w:rsid w:val="005F5F3B"/>
    <w:rsid w:val="005F6154"/>
    <w:rsid w:val="005F6320"/>
    <w:rsid w:val="005F6534"/>
    <w:rsid w:val="005F6549"/>
    <w:rsid w:val="005F6A37"/>
    <w:rsid w:val="005F71CE"/>
    <w:rsid w:val="005F7200"/>
    <w:rsid w:val="005F7405"/>
    <w:rsid w:val="005F76B6"/>
    <w:rsid w:val="005F7806"/>
    <w:rsid w:val="005F7A5A"/>
    <w:rsid w:val="005F7AB8"/>
    <w:rsid w:val="005F7C76"/>
    <w:rsid w:val="005F7D25"/>
    <w:rsid w:val="0060005E"/>
    <w:rsid w:val="00600253"/>
    <w:rsid w:val="00600317"/>
    <w:rsid w:val="0060039A"/>
    <w:rsid w:val="00600413"/>
    <w:rsid w:val="0060065E"/>
    <w:rsid w:val="0060080F"/>
    <w:rsid w:val="006008B1"/>
    <w:rsid w:val="006009B7"/>
    <w:rsid w:val="00600CEE"/>
    <w:rsid w:val="00600E17"/>
    <w:rsid w:val="00600EA9"/>
    <w:rsid w:val="00600FE5"/>
    <w:rsid w:val="00601212"/>
    <w:rsid w:val="00601316"/>
    <w:rsid w:val="00601391"/>
    <w:rsid w:val="006016E3"/>
    <w:rsid w:val="00601831"/>
    <w:rsid w:val="006019BB"/>
    <w:rsid w:val="00601B1D"/>
    <w:rsid w:val="00601B6F"/>
    <w:rsid w:val="00601C0C"/>
    <w:rsid w:val="00601EC1"/>
    <w:rsid w:val="006020CF"/>
    <w:rsid w:val="0060253A"/>
    <w:rsid w:val="00602718"/>
    <w:rsid w:val="006027CE"/>
    <w:rsid w:val="0060285E"/>
    <w:rsid w:val="006028D1"/>
    <w:rsid w:val="00602E93"/>
    <w:rsid w:val="006036C3"/>
    <w:rsid w:val="006037DE"/>
    <w:rsid w:val="00603FCE"/>
    <w:rsid w:val="006041BE"/>
    <w:rsid w:val="00604247"/>
    <w:rsid w:val="006043F2"/>
    <w:rsid w:val="006043FA"/>
    <w:rsid w:val="006047B2"/>
    <w:rsid w:val="00604824"/>
    <w:rsid w:val="00604935"/>
    <w:rsid w:val="00604A65"/>
    <w:rsid w:val="00604BFF"/>
    <w:rsid w:val="00604C91"/>
    <w:rsid w:val="00604F20"/>
    <w:rsid w:val="00605300"/>
    <w:rsid w:val="00605703"/>
    <w:rsid w:val="006058C7"/>
    <w:rsid w:val="00605CCC"/>
    <w:rsid w:val="00605CEB"/>
    <w:rsid w:val="00605E87"/>
    <w:rsid w:val="00605FCB"/>
    <w:rsid w:val="00606930"/>
    <w:rsid w:val="00606A26"/>
    <w:rsid w:val="00606A4C"/>
    <w:rsid w:val="00606A99"/>
    <w:rsid w:val="00606DE8"/>
    <w:rsid w:val="0060710A"/>
    <w:rsid w:val="006072F2"/>
    <w:rsid w:val="006072FD"/>
    <w:rsid w:val="00607635"/>
    <w:rsid w:val="0060787E"/>
    <w:rsid w:val="006078AB"/>
    <w:rsid w:val="006078C8"/>
    <w:rsid w:val="006079B7"/>
    <w:rsid w:val="00607A67"/>
    <w:rsid w:val="00607AB0"/>
    <w:rsid w:val="00607C23"/>
    <w:rsid w:val="00607C6E"/>
    <w:rsid w:val="00610036"/>
    <w:rsid w:val="00610092"/>
    <w:rsid w:val="00610105"/>
    <w:rsid w:val="006101E2"/>
    <w:rsid w:val="0061028B"/>
    <w:rsid w:val="006102EA"/>
    <w:rsid w:val="00610A76"/>
    <w:rsid w:val="00610DC1"/>
    <w:rsid w:val="00610F95"/>
    <w:rsid w:val="006111EA"/>
    <w:rsid w:val="00611412"/>
    <w:rsid w:val="0061143B"/>
    <w:rsid w:val="006115DB"/>
    <w:rsid w:val="006116BC"/>
    <w:rsid w:val="00611A92"/>
    <w:rsid w:val="00611B94"/>
    <w:rsid w:val="00611C27"/>
    <w:rsid w:val="00611CC1"/>
    <w:rsid w:val="00611DD6"/>
    <w:rsid w:val="00611F96"/>
    <w:rsid w:val="0061205F"/>
    <w:rsid w:val="006120C8"/>
    <w:rsid w:val="00612403"/>
    <w:rsid w:val="00612464"/>
    <w:rsid w:val="0061275B"/>
    <w:rsid w:val="0061280F"/>
    <w:rsid w:val="00612DBE"/>
    <w:rsid w:val="00612F92"/>
    <w:rsid w:val="00613689"/>
    <w:rsid w:val="006136B3"/>
    <w:rsid w:val="006140D3"/>
    <w:rsid w:val="0061442E"/>
    <w:rsid w:val="00614A02"/>
    <w:rsid w:val="00614A18"/>
    <w:rsid w:val="006153D5"/>
    <w:rsid w:val="006154DA"/>
    <w:rsid w:val="006156CB"/>
    <w:rsid w:val="00615B72"/>
    <w:rsid w:val="00615D36"/>
    <w:rsid w:val="00615E47"/>
    <w:rsid w:val="00615EEB"/>
    <w:rsid w:val="00615F74"/>
    <w:rsid w:val="00615F9D"/>
    <w:rsid w:val="00616002"/>
    <w:rsid w:val="00616069"/>
    <w:rsid w:val="006160B6"/>
    <w:rsid w:val="00616233"/>
    <w:rsid w:val="00616701"/>
    <w:rsid w:val="0061676F"/>
    <w:rsid w:val="00616D83"/>
    <w:rsid w:val="00616DD3"/>
    <w:rsid w:val="00616F3B"/>
    <w:rsid w:val="00616F85"/>
    <w:rsid w:val="006174D8"/>
    <w:rsid w:val="006174F8"/>
    <w:rsid w:val="00617671"/>
    <w:rsid w:val="00617847"/>
    <w:rsid w:val="006178BF"/>
    <w:rsid w:val="00617905"/>
    <w:rsid w:val="00617A69"/>
    <w:rsid w:val="00617C07"/>
    <w:rsid w:val="00617EBF"/>
    <w:rsid w:val="00620006"/>
    <w:rsid w:val="00620204"/>
    <w:rsid w:val="00620452"/>
    <w:rsid w:val="00620643"/>
    <w:rsid w:val="00620751"/>
    <w:rsid w:val="0062080E"/>
    <w:rsid w:val="00620898"/>
    <w:rsid w:val="00620C91"/>
    <w:rsid w:val="00620D86"/>
    <w:rsid w:val="00620DE7"/>
    <w:rsid w:val="00620DF7"/>
    <w:rsid w:val="00620E5F"/>
    <w:rsid w:val="00621166"/>
    <w:rsid w:val="0062116D"/>
    <w:rsid w:val="00621214"/>
    <w:rsid w:val="006213E0"/>
    <w:rsid w:val="00621420"/>
    <w:rsid w:val="00621570"/>
    <w:rsid w:val="006215F4"/>
    <w:rsid w:val="0062180D"/>
    <w:rsid w:val="00621984"/>
    <w:rsid w:val="006219D9"/>
    <w:rsid w:val="00621D64"/>
    <w:rsid w:val="00621FCD"/>
    <w:rsid w:val="00622067"/>
    <w:rsid w:val="00622123"/>
    <w:rsid w:val="00622168"/>
    <w:rsid w:val="0062221F"/>
    <w:rsid w:val="00622336"/>
    <w:rsid w:val="006224BE"/>
    <w:rsid w:val="00622568"/>
    <w:rsid w:val="006225A5"/>
    <w:rsid w:val="00622C2D"/>
    <w:rsid w:val="00622C7B"/>
    <w:rsid w:val="00622CCC"/>
    <w:rsid w:val="00622F17"/>
    <w:rsid w:val="006233E0"/>
    <w:rsid w:val="00623560"/>
    <w:rsid w:val="006239F5"/>
    <w:rsid w:val="00623A0B"/>
    <w:rsid w:val="00623A51"/>
    <w:rsid w:val="00623D08"/>
    <w:rsid w:val="00623E7B"/>
    <w:rsid w:val="00623E8B"/>
    <w:rsid w:val="00624089"/>
    <w:rsid w:val="0062451B"/>
    <w:rsid w:val="00624544"/>
    <w:rsid w:val="006245B3"/>
    <w:rsid w:val="0062495E"/>
    <w:rsid w:val="00624975"/>
    <w:rsid w:val="00624ECA"/>
    <w:rsid w:val="006253F5"/>
    <w:rsid w:val="006257B6"/>
    <w:rsid w:val="00625831"/>
    <w:rsid w:val="0062586D"/>
    <w:rsid w:val="00625946"/>
    <w:rsid w:val="00625977"/>
    <w:rsid w:val="00625A1A"/>
    <w:rsid w:val="00625A72"/>
    <w:rsid w:val="00625CBF"/>
    <w:rsid w:val="00625DBE"/>
    <w:rsid w:val="00625F36"/>
    <w:rsid w:val="006262E3"/>
    <w:rsid w:val="006262E9"/>
    <w:rsid w:val="006265AE"/>
    <w:rsid w:val="00626650"/>
    <w:rsid w:val="006267BE"/>
    <w:rsid w:val="00626AF2"/>
    <w:rsid w:val="00626C8A"/>
    <w:rsid w:val="00626FCF"/>
    <w:rsid w:val="00627052"/>
    <w:rsid w:val="006270AA"/>
    <w:rsid w:val="0062730A"/>
    <w:rsid w:val="00627798"/>
    <w:rsid w:val="00627A50"/>
    <w:rsid w:val="00627FB4"/>
    <w:rsid w:val="00630025"/>
    <w:rsid w:val="00630193"/>
    <w:rsid w:val="006302B2"/>
    <w:rsid w:val="00630352"/>
    <w:rsid w:val="006305C1"/>
    <w:rsid w:val="006305C6"/>
    <w:rsid w:val="006305C9"/>
    <w:rsid w:val="0063084E"/>
    <w:rsid w:val="00630A8C"/>
    <w:rsid w:val="00630C01"/>
    <w:rsid w:val="00630C0C"/>
    <w:rsid w:val="00630C59"/>
    <w:rsid w:val="00630D60"/>
    <w:rsid w:val="00630F84"/>
    <w:rsid w:val="00631715"/>
    <w:rsid w:val="00631959"/>
    <w:rsid w:val="00631E49"/>
    <w:rsid w:val="00631F37"/>
    <w:rsid w:val="00632001"/>
    <w:rsid w:val="0063245F"/>
    <w:rsid w:val="00632572"/>
    <w:rsid w:val="006325CC"/>
    <w:rsid w:val="0063265A"/>
    <w:rsid w:val="006328D3"/>
    <w:rsid w:val="00632AA2"/>
    <w:rsid w:val="00632D7B"/>
    <w:rsid w:val="00633023"/>
    <w:rsid w:val="00633099"/>
    <w:rsid w:val="00633233"/>
    <w:rsid w:val="00633234"/>
    <w:rsid w:val="00633280"/>
    <w:rsid w:val="006332CA"/>
    <w:rsid w:val="006333D7"/>
    <w:rsid w:val="00633569"/>
    <w:rsid w:val="0063363F"/>
    <w:rsid w:val="006336F7"/>
    <w:rsid w:val="0063372B"/>
    <w:rsid w:val="00633AC5"/>
    <w:rsid w:val="00633B9E"/>
    <w:rsid w:val="00633E08"/>
    <w:rsid w:val="00633E2A"/>
    <w:rsid w:val="00634150"/>
    <w:rsid w:val="00634482"/>
    <w:rsid w:val="00634514"/>
    <w:rsid w:val="0063455F"/>
    <w:rsid w:val="006345F9"/>
    <w:rsid w:val="0063473C"/>
    <w:rsid w:val="006347D5"/>
    <w:rsid w:val="00634994"/>
    <w:rsid w:val="006349EE"/>
    <w:rsid w:val="00634C24"/>
    <w:rsid w:val="00634E7C"/>
    <w:rsid w:val="00634E93"/>
    <w:rsid w:val="00634F3B"/>
    <w:rsid w:val="00634F4B"/>
    <w:rsid w:val="00635054"/>
    <w:rsid w:val="006350DC"/>
    <w:rsid w:val="00635243"/>
    <w:rsid w:val="0063558D"/>
    <w:rsid w:val="00635745"/>
    <w:rsid w:val="00635D34"/>
    <w:rsid w:val="00635F72"/>
    <w:rsid w:val="0063609E"/>
    <w:rsid w:val="00636137"/>
    <w:rsid w:val="0063639F"/>
    <w:rsid w:val="0063674C"/>
    <w:rsid w:val="00636788"/>
    <w:rsid w:val="00636951"/>
    <w:rsid w:val="00636B20"/>
    <w:rsid w:val="00636C48"/>
    <w:rsid w:val="00636D00"/>
    <w:rsid w:val="00636D84"/>
    <w:rsid w:val="0063710F"/>
    <w:rsid w:val="006371B0"/>
    <w:rsid w:val="006373BE"/>
    <w:rsid w:val="006373D3"/>
    <w:rsid w:val="00637E84"/>
    <w:rsid w:val="00640169"/>
    <w:rsid w:val="00640329"/>
    <w:rsid w:val="00640486"/>
    <w:rsid w:val="00640494"/>
    <w:rsid w:val="00640519"/>
    <w:rsid w:val="006406E8"/>
    <w:rsid w:val="00640A72"/>
    <w:rsid w:val="00640AAE"/>
    <w:rsid w:val="00640C75"/>
    <w:rsid w:val="00640E7C"/>
    <w:rsid w:val="00640F01"/>
    <w:rsid w:val="00640F18"/>
    <w:rsid w:val="006410F5"/>
    <w:rsid w:val="00641158"/>
    <w:rsid w:val="006416BC"/>
    <w:rsid w:val="00641888"/>
    <w:rsid w:val="00641B68"/>
    <w:rsid w:val="00641B6F"/>
    <w:rsid w:val="00641BB9"/>
    <w:rsid w:val="00642279"/>
    <w:rsid w:val="0064227B"/>
    <w:rsid w:val="006423A4"/>
    <w:rsid w:val="00642619"/>
    <w:rsid w:val="0064275D"/>
    <w:rsid w:val="006428B0"/>
    <w:rsid w:val="006428D2"/>
    <w:rsid w:val="00642B50"/>
    <w:rsid w:val="00642B66"/>
    <w:rsid w:val="00642D24"/>
    <w:rsid w:val="00642EEA"/>
    <w:rsid w:val="006437FD"/>
    <w:rsid w:val="006439D7"/>
    <w:rsid w:val="00643E29"/>
    <w:rsid w:val="0064416E"/>
    <w:rsid w:val="0064417F"/>
    <w:rsid w:val="006441C3"/>
    <w:rsid w:val="006441FF"/>
    <w:rsid w:val="0064462D"/>
    <w:rsid w:val="006450B9"/>
    <w:rsid w:val="006454AC"/>
    <w:rsid w:val="00645627"/>
    <w:rsid w:val="0064564B"/>
    <w:rsid w:val="0064568F"/>
    <w:rsid w:val="006456DB"/>
    <w:rsid w:val="006458F6"/>
    <w:rsid w:val="00645C11"/>
    <w:rsid w:val="00645DE5"/>
    <w:rsid w:val="006460C0"/>
    <w:rsid w:val="0064612B"/>
    <w:rsid w:val="006461F3"/>
    <w:rsid w:val="0064656C"/>
    <w:rsid w:val="0064657E"/>
    <w:rsid w:val="0064673C"/>
    <w:rsid w:val="00646742"/>
    <w:rsid w:val="00646812"/>
    <w:rsid w:val="006468D9"/>
    <w:rsid w:val="00646B03"/>
    <w:rsid w:val="00646D97"/>
    <w:rsid w:val="006475DC"/>
    <w:rsid w:val="0064764A"/>
    <w:rsid w:val="0064778A"/>
    <w:rsid w:val="006477B5"/>
    <w:rsid w:val="0064787C"/>
    <w:rsid w:val="0064796E"/>
    <w:rsid w:val="00647A34"/>
    <w:rsid w:val="00647C45"/>
    <w:rsid w:val="00647DED"/>
    <w:rsid w:val="00650008"/>
    <w:rsid w:val="00650056"/>
    <w:rsid w:val="0065008D"/>
    <w:rsid w:val="006509FD"/>
    <w:rsid w:val="00650A25"/>
    <w:rsid w:val="00651048"/>
    <w:rsid w:val="006511BF"/>
    <w:rsid w:val="006512C9"/>
    <w:rsid w:val="0065147E"/>
    <w:rsid w:val="0065167B"/>
    <w:rsid w:val="00651691"/>
    <w:rsid w:val="006519DF"/>
    <w:rsid w:val="00651D70"/>
    <w:rsid w:val="00651E43"/>
    <w:rsid w:val="00651E82"/>
    <w:rsid w:val="00651F27"/>
    <w:rsid w:val="0065223D"/>
    <w:rsid w:val="00652301"/>
    <w:rsid w:val="006524EB"/>
    <w:rsid w:val="00652818"/>
    <w:rsid w:val="00652A8C"/>
    <w:rsid w:val="00652B30"/>
    <w:rsid w:val="00652CDD"/>
    <w:rsid w:val="00653031"/>
    <w:rsid w:val="00653139"/>
    <w:rsid w:val="00653144"/>
    <w:rsid w:val="0065329A"/>
    <w:rsid w:val="006532CB"/>
    <w:rsid w:val="00653329"/>
    <w:rsid w:val="0065337A"/>
    <w:rsid w:val="006534F6"/>
    <w:rsid w:val="00653579"/>
    <w:rsid w:val="00653DFF"/>
    <w:rsid w:val="00654347"/>
    <w:rsid w:val="006543C4"/>
    <w:rsid w:val="00654418"/>
    <w:rsid w:val="00654478"/>
    <w:rsid w:val="00654599"/>
    <w:rsid w:val="0065463E"/>
    <w:rsid w:val="00654E5B"/>
    <w:rsid w:val="00654F42"/>
    <w:rsid w:val="00655229"/>
    <w:rsid w:val="006553D0"/>
    <w:rsid w:val="00655C6A"/>
    <w:rsid w:val="00655CFF"/>
    <w:rsid w:val="00655D10"/>
    <w:rsid w:val="00655E4E"/>
    <w:rsid w:val="00655E5F"/>
    <w:rsid w:val="00655F6F"/>
    <w:rsid w:val="0065614C"/>
    <w:rsid w:val="0065623D"/>
    <w:rsid w:val="006567F3"/>
    <w:rsid w:val="00656943"/>
    <w:rsid w:val="00656A1B"/>
    <w:rsid w:val="00656A66"/>
    <w:rsid w:val="00656B1E"/>
    <w:rsid w:val="00656B6F"/>
    <w:rsid w:val="00656CB4"/>
    <w:rsid w:val="00656D2A"/>
    <w:rsid w:val="00656E2F"/>
    <w:rsid w:val="0065715C"/>
    <w:rsid w:val="006571C0"/>
    <w:rsid w:val="0065765D"/>
    <w:rsid w:val="006576D3"/>
    <w:rsid w:val="00657737"/>
    <w:rsid w:val="00657745"/>
    <w:rsid w:val="0065775B"/>
    <w:rsid w:val="00657A46"/>
    <w:rsid w:val="00657D27"/>
    <w:rsid w:val="00657D9E"/>
    <w:rsid w:val="00657E8D"/>
    <w:rsid w:val="00660041"/>
    <w:rsid w:val="0066073E"/>
    <w:rsid w:val="00660B5A"/>
    <w:rsid w:val="00660D46"/>
    <w:rsid w:val="00660E21"/>
    <w:rsid w:val="00661020"/>
    <w:rsid w:val="006610B9"/>
    <w:rsid w:val="0066111A"/>
    <w:rsid w:val="006616C4"/>
    <w:rsid w:val="006617D0"/>
    <w:rsid w:val="00661874"/>
    <w:rsid w:val="00661989"/>
    <w:rsid w:val="00661A98"/>
    <w:rsid w:val="00662033"/>
    <w:rsid w:val="0066212F"/>
    <w:rsid w:val="006622E3"/>
    <w:rsid w:val="006626EB"/>
    <w:rsid w:val="00662917"/>
    <w:rsid w:val="00662A67"/>
    <w:rsid w:val="00662B2F"/>
    <w:rsid w:val="00662DEA"/>
    <w:rsid w:val="00662E36"/>
    <w:rsid w:val="00662FC1"/>
    <w:rsid w:val="00663185"/>
    <w:rsid w:val="006631DF"/>
    <w:rsid w:val="00663288"/>
    <w:rsid w:val="00663537"/>
    <w:rsid w:val="00663675"/>
    <w:rsid w:val="00663998"/>
    <w:rsid w:val="00663AD8"/>
    <w:rsid w:val="00663BA0"/>
    <w:rsid w:val="00664128"/>
    <w:rsid w:val="0066428D"/>
    <w:rsid w:val="006642B3"/>
    <w:rsid w:val="00664391"/>
    <w:rsid w:val="0066450A"/>
    <w:rsid w:val="00664CF4"/>
    <w:rsid w:val="00664D5E"/>
    <w:rsid w:val="00664FF9"/>
    <w:rsid w:val="00665DD2"/>
    <w:rsid w:val="00665F92"/>
    <w:rsid w:val="00666016"/>
    <w:rsid w:val="006660F3"/>
    <w:rsid w:val="006662DA"/>
    <w:rsid w:val="00666664"/>
    <w:rsid w:val="00666B37"/>
    <w:rsid w:val="00666C32"/>
    <w:rsid w:val="00666CD3"/>
    <w:rsid w:val="00666E58"/>
    <w:rsid w:val="00666F52"/>
    <w:rsid w:val="00666F5D"/>
    <w:rsid w:val="00666FCF"/>
    <w:rsid w:val="006670F9"/>
    <w:rsid w:val="00667217"/>
    <w:rsid w:val="006672C5"/>
    <w:rsid w:val="0066790A"/>
    <w:rsid w:val="00667CEB"/>
    <w:rsid w:val="00667E9B"/>
    <w:rsid w:val="006703FC"/>
    <w:rsid w:val="00670C5A"/>
    <w:rsid w:val="00670C7B"/>
    <w:rsid w:val="00670D22"/>
    <w:rsid w:val="00670D6E"/>
    <w:rsid w:val="00670D89"/>
    <w:rsid w:val="006711B4"/>
    <w:rsid w:val="006713E4"/>
    <w:rsid w:val="006716A6"/>
    <w:rsid w:val="0067197F"/>
    <w:rsid w:val="00671F60"/>
    <w:rsid w:val="00672119"/>
    <w:rsid w:val="00672425"/>
    <w:rsid w:val="0067246A"/>
    <w:rsid w:val="00672F69"/>
    <w:rsid w:val="00672FCF"/>
    <w:rsid w:val="00673169"/>
    <w:rsid w:val="00673390"/>
    <w:rsid w:val="006736AF"/>
    <w:rsid w:val="006736D6"/>
    <w:rsid w:val="0067370A"/>
    <w:rsid w:val="00673749"/>
    <w:rsid w:val="00673870"/>
    <w:rsid w:val="00673CE8"/>
    <w:rsid w:val="00673FAC"/>
    <w:rsid w:val="006741E3"/>
    <w:rsid w:val="0067483F"/>
    <w:rsid w:val="00674B5C"/>
    <w:rsid w:val="00675240"/>
    <w:rsid w:val="00675393"/>
    <w:rsid w:val="006753ED"/>
    <w:rsid w:val="006754EC"/>
    <w:rsid w:val="00675554"/>
    <w:rsid w:val="0067560A"/>
    <w:rsid w:val="00675729"/>
    <w:rsid w:val="00675982"/>
    <w:rsid w:val="00675F06"/>
    <w:rsid w:val="00676268"/>
    <w:rsid w:val="00676739"/>
    <w:rsid w:val="00676AD5"/>
    <w:rsid w:val="00676CE7"/>
    <w:rsid w:val="006771BE"/>
    <w:rsid w:val="00677287"/>
    <w:rsid w:val="006773C3"/>
    <w:rsid w:val="006773D0"/>
    <w:rsid w:val="006778B9"/>
    <w:rsid w:val="00677C1D"/>
    <w:rsid w:val="00677CB3"/>
    <w:rsid w:val="00677F0B"/>
    <w:rsid w:val="00677FC5"/>
    <w:rsid w:val="006804F4"/>
    <w:rsid w:val="00680532"/>
    <w:rsid w:val="006805E0"/>
    <w:rsid w:val="0068061B"/>
    <w:rsid w:val="00680B19"/>
    <w:rsid w:val="00680CC4"/>
    <w:rsid w:val="00681188"/>
    <w:rsid w:val="0068133B"/>
    <w:rsid w:val="00681520"/>
    <w:rsid w:val="006817C6"/>
    <w:rsid w:val="00681A11"/>
    <w:rsid w:val="00681CED"/>
    <w:rsid w:val="00681D7B"/>
    <w:rsid w:val="006821CA"/>
    <w:rsid w:val="006821E9"/>
    <w:rsid w:val="006822D0"/>
    <w:rsid w:val="0068268D"/>
    <w:rsid w:val="006827EB"/>
    <w:rsid w:val="0068299D"/>
    <w:rsid w:val="00683020"/>
    <w:rsid w:val="006830B8"/>
    <w:rsid w:val="006830FD"/>
    <w:rsid w:val="006833CF"/>
    <w:rsid w:val="00683719"/>
    <w:rsid w:val="006837F4"/>
    <w:rsid w:val="00683B68"/>
    <w:rsid w:val="00683B7B"/>
    <w:rsid w:val="00683C1E"/>
    <w:rsid w:val="00683ED4"/>
    <w:rsid w:val="006840D7"/>
    <w:rsid w:val="006841ED"/>
    <w:rsid w:val="0068424F"/>
    <w:rsid w:val="0068442A"/>
    <w:rsid w:val="00684467"/>
    <w:rsid w:val="00684B2A"/>
    <w:rsid w:val="00684B4F"/>
    <w:rsid w:val="00684B7B"/>
    <w:rsid w:val="00684BE7"/>
    <w:rsid w:val="00684C0E"/>
    <w:rsid w:val="00684F27"/>
    <w:rsid w:val="006850D2"/>
    <w:rsid w:val="006851AA"/>
    <w:rsid w:val="006853E1"/>
    <w:rsid w:val="00685589"/>
    <w:rsid w:val="00685615"/>
    <w:rsid w:val="00685DCF"/>
    <w:rsid w:val="0068605D"/>
    <w:rsid w:val="00686083"/>
    <w:rsid w:val="00686812"/>
    <w:rsid w:val="00686AB4"/>
    <w:rsid w:val="00687086"/>
    <w:rsid w:val="006870FC"/>
    <w:rsid w:val="00687121"/>
    <w:rsid w:val="00687505"/>
    <w:rsid w:val="0068762D"/>
    <w:rsid w:val="00687690"/>
    <w:rsid w:val="00687CA5"/>
    <w:rsid w:val="00687E8E"/>
    <w:rsid w:val="006908E8"/>
    <w:rsid w:val="00690CAA"/>
    <w:rsid w:val="00690CCF"/>
    <w:rsid w:val="0069119B"/>
    <w:rsid w:val="006916CF"/>
    <w:rsid w:val="006919DF"/>
    <w:rsid w:val="00691BF8"/>
    <w:rsid w:val="00691DB1"/>
    <w:rsid w:val="00691DEE"/>
    <w:rsid w:val="0069268C"/>
    <w:rsid w:val="006926F8"/>
    <w:rsid w:val="00692880"/>
    <w:rsid w:val="00692F11"/>
    <w:rsid w:val="00692F42"/>
    <w:rsid w:val="00693392"/>
    <w:rsid w:val="0069340D"/>
    <w:rsid w:val="00693507"/>
    <w:rsid w:val="0069368E"/>
    <w:rsid w:val="0069377C"/>
    <w:rsid w:val="00693848"/>
    <w:rsid w:val="00693AB7"/>
    <w:rsid w:val="00693B55"/>
    <w:rsid w:val="00693C62"/>
    <w:rsid w:val="00693D22"/>
    <w:rsid w:val="00693D6B"/>
    <w:rsid w:val="00693DB6"/>
    <w:rsid w:val="00693E85"/>
    <w:rsid w:val="0069413F"/>
    <w:rsid w:val="00694443"/>
    <w:rsid w:val="00694B7B"/>
    <w:rsid w:val="00694FDC"/>
    <w:rsid w:val="0069533B"/>
    <w:rsid w:val="00695419"/>
    <w:rsid w:val="006954AF"/>
    <w:rsid w:val="00695CB6"/>
    <w:rsid w:val="00695D0D"/>
    <w:rsid w:val="00695EB6"/>
    <w:rsid w:val="00696176"/>
    <w:rsid w:val="006965ED"/>
    <w:rsid w:val="00696A03"/>
    <w:rsid w:val="00696A83"/>
    <w:rsid w:val="00696EEE"/>
    <w:rsid w:val="0069703D"/>
    <w:rsid w:val="006970DA"/>
    <w:rsid w:val="00697117"/>
    <w:rsid w:val="0069723E"/>
    <w:rsid w:val="006972B0"/>
    <w:rsid w:val="006972FF"/>
    <w:rsid w:val="006979BA"/>
    <w:rsid w:val="00697E11"/>
    <w:rsid w:val="006A02A3"/>
    <w:rsid w:val="006A03D6"/>
    <w:rsid w:val="006A0502"/>
    <w:rsid w:val="006A06DB"/>
    <w:rsid w:val="006A0A44"/>
    <w:rsid w:val="006A0BD3"/>
    <w:rsid w:val="006A10F1"/>
    <w:rsid w:val="006A11A0"/>
    <w:rsid w:val="006A11C3"/>
    <w:rsid w:val="006A138A"/>
    <w:rsid w:val="006A17D8"/>
    <w:rsid w:val="006A1E62"/>
    <w:rsid w:val="006A2115"/>
    <w:rsid w:val="006A2546"/>
    <w:rsid w:val="006A2B5C"/>
    <w:rsid w:val="006A2B85"/>
    <w:rsid w:val="006A2E28"/>
    <w:rsid w:val="006A2E5B"/>
    <w:rsid w:val="006A2EC9"/>
    <w:rsid w:val="006A2EE9"/>
    <w:rsid w:val="006A2FD4"/>
    <w:rsid w:val="006A32F4"/>
    <w:rsid w:val="006A355A"/>
    <w:rsid w:val="006A38F3"/>
    <w:rsid w:val="006A3988"/>
    <w:rsid w:val="006A3DC5"/>
    <w:rsid w:val="006A3E1E"/>
    <w:rsid w:val="006A3FC3"/>
    <w:rsid w:val="006A40EC"/>
    <w:rsid w:val="006A41ED"/>
    <w:rsid w:val="006A4396"/>
    <w:rsid w:val="006A457A"/>
    <w:rsid w:val="006A45E7"/>
    <w:rsid w:val="006A486F"/>
    <w:rsid w:val="006A4E91"/>
    <w:rsid w:val="006A4FE1"/>
    <w:rsid w:val="006A524B"/>
    <w:rsid w:val="006A571F"/>
    <w:rsid w:val="006A5868"/>
    <w:rsid w:val="006A596D"/>
    <w:rsid w:val="006A5A59"/>
    <w:rsid w:val="006A5DF8"/>
    <w:rsid w:val="006A5F9A"/>
    <w:rsid w:val="006A5FA2"/>
    <w:rsid w:val="006A6163"/>
    <w:rsid w:val="006A61EA"/>
    <w:rsid w:val="006A6435"/>
    <w:rsid w:val="006A6602"/>
    <w:rsid w:val="006A69E9"/>
    <w:rsid w:val="006A69EA"/>
    <w:rsid w:val="006A6A21"/>
    <w:rsid w:val="006A6ABB"/>
    <w:rsid w:val="006A6E10"/>
    <w:rsid w:val="006A6FE7"/>
    <w:rsid w:val="006A7043"/>
    <w:rsid w:val="006A7424"/>
    <w:rsid w:val="006A75A9"/>
    <w:rsid w:val="006A7652"/>
    <w:rsid w:val="006A783E"/>
    <w:rsid w:val="006A794B"/>
    <w:rsid w:val="006B0018"/>
    <w:rsid w:val="006B0189"/>
    <w:rsid w:val="006B01D8"/>
    <w:rsid w:val="006B049B"/>
    <w:rsid w:val="006B06DB"/>
    <w:rsid w:val="006B094F"/>
    <w:rsid w:val="006B0A3A"/>
    <w:rsid w:val="006B0A8D"/>
    <w:rsid w:val="006B0CF4"/>
    <w:rsid w:val="006B0DAB"/>
    <w:rsid w:val="006B0E00"/>
    <w:rsid w:val="006B114B"/>
    <w:rsid w:val="006B1208"/>
    <w:rsid w:val="006B1545"/>
    <w:rsid w:val="006B16E8"/>
    <w:rsid w:val="006B1954"/>
    <w:rsid w:val="006B1BCC"/>
    <w:rsid w:val="006B1DD9"/>
    <w:rsid w:val="006B1E3E"/>
    <w:rsid w:val="006B235B"/>
    <w:rsid w:val="006B2387"/>
    <w:rsid w:val="006B245E"/>
    <w:rsid w:val="006B24BE"/>
    <w:rsid w:val="006B2B44"/>
    <w:rsid w:val="006B2EF4"/>
    <w:rsid w:val="006B306E"/>
    <w:rsid w:val="006B3175"/>
    <w:rsid w:val="006B3253"/>
    <w:rsid w:val="006B32D1"/>
    <w:rsid w:val="006B32DA"/>
    <w:rsid w:val="006B36DC"/>
    <w:rsid w:val="006B37E8"/>
    <w:rsid w:val="006B38F6"/>
    <w:rsid w:val="006B3CC0"/>
    <w:rsid w:val="006B3F6A"/>
    <w:rsid w:val="006B3FA3"/>
    <w:rsid w:val="006B4187"/>
    <w:rsid w:val="006B41B8"/>
    <w:rsid w:val="006B45C6"/>
    <w:rsid w:val="006B4953"/>
    <w:rsid w:val="006B4995"/>
    <w:rsid w:val="006B4DAD"/>
    <w:rsid w:val="006B518C"/>
    <w:rsid w:val="006B5795"/>
    <w:rsid w:val="006B587A"/>
    <w:rsid w:val="006B58B0"/>
    <w:rsid w:val="006B59B9"/>
    <w:rsid w:val="006B5C62"/>
    <w:rsid w:val="006B5C86"/>
    <w:rsid w:val="006B5E96"/>
    <w:rsid w:val="006B602C"/>
    <w:rsid w:val="006B621B"/>
    <w:rsid w:val="006B629C"/>
    <w:rsid w:val="006B6413"/>
    <w:rsid w:val="006B64D2"/>
    <w:rsid w:val="006B67C0"/>
    <w:rsid w:val="006B6821"/>
    <w:rsid w:val="006B6B66"/>
    <w:rsid w:val="006B6BED"/>
    <w:rsid w:val="006B6BFC"/>
    <w:rsid w:val="006B6C38"/>
    <w:rsid w:val="006B6CDC"/>
    <w:rsid w:val="006B73A7"/>
    <w:rsid w:val="006B76A5"/>
    <w:rsid w:val="006B77BB"/>
    <w:rsid w:val="006B7A9B"/>
    <w:rsid w:val="006B7C2A"/>
    <w:rsid w:val="006B7CFB"/>
    <w:rsid w:val="006B7D7D"/>
    <w:rsid w:val="006B7F1C"/>
    <w:rsid w:val="006B7F5B"/>
    <w:rsid w:val="006C0369"/>
    <w:rsid w:val="006C06DC"/>
    <w:rsid w:val="006C07C5"/>
    <w:rsid w:val="006C0923"/>
    <w:rsid w:val="006C0D51"/>
    <w:rsid w:val="006C0FE6"/>
    <w:rsid w:val="006C1092"/>
    <w:rsid w:val="006C125B"/>
    <w:rsid w:val="006C12A1"/>
    <w:rsid w:val="006C15E4"/>
    <w:rsid w:val="006C15ED"/>
    <w:rsid w:val="006C172A"/>
    <w:rsid w:val="006C1930"/>
    <w:rsid w:val="006C1A0A"/>
    <w:rsid w:val="006C1BA2"/>
    <w:rsid w:val="006C1DC6"/>
    <w:rsid w:val="006C1E3E"/>
    <w:rsid w:val="006C2001"/>
    <w:rsid w:val="006C20B2"/>
    <w:rsid w:val="006C2ABE"/>
    <w:rsid w:val="006C2C52"/>
    <w:rsid w:val="006C30E7"/>
    <w:rsid w:val="006C318D"/>
    <w:rsid w:val="006C32CF"/>
    <w:rsid w:val="006C3469"/>
    <w:rsid w:val="006C3497"/>
    <w:rsid w:val="006C3823"/>
    <w:rsid w:val="006C391B"/>
    <w:rsid w:val="006C3A1F"/>
    <w:rsid w:val="006C422C"/>
    <w:rsid w:val="006C4447"/>
    <w:rsid w:val="006C4C26"/>
    <w:rsid w:val="006C536B"/>
    <w:rsid w:val="006C5423"/>
    <w:rsid w:val="006C55F2"/>
    <w:rsid w:val="006C575D"/>
    <w:rsid w:val="006C5792"/>
    <w:rsid w:val="006C5949"/>
    <w:rsid w:val="006C5E02"/>
    <w:rsid w:val="006C6202"/>
    <w:rsid w:val="006C6255"/>
    <w:rsid w:val="006C6261"/>
    <w:rsid w:val="006C62DC"/>
    <w:rsid w:val="006C62E9"/>
    <w:rsid w:val="006C6376"/>
    <w:rsid w:val="006C638B"/>
    <w:rsid w:val="006C664D"/>
    <w:rsid w:val="006C669A"/>
    <w:rsid w:val="006C6773"/>
    <w:rsid w:val="006C67A3"/>
    <w:rsid w:val="006C696D"/>
    <w:rsid w:val="006C6ABE"/>
    <w:rsid w:val="006C6B7E"/>
    <w:rsid w:val="006C6C4D"/>
    <w:rsid w:val="006C6D79"/>
    <w:rsid w:val="006C7725"/>
    <w:rsid w:val="006C7BF0"/>
    <w:rsid w:val="006C7C4A"/>
    <w:rsid w:val="006C7DE9"/>
    <w:rsid w:val="006C7F8C"/>
    <w:rsid w:val="006D0324"/>
    <w:rsid w:val="006D03C2"/>
    <w:rsid w:val="006D048E"/>
    <w:rsid w:val="006D0566"/>
    <w:rsid w:val="006D0697"/>
    <w:rsid w:val="006D0A2E"/>
    <w:rsid w:val="006D0B0D"/>
    <w:rsid w:val="006D11F1"/>
    <w:rsid w:val="006D138D"/>
    <w:rsid w:val="006D16E2"/>
    <w:rsid w:val="006D174C"/>
    <w:rsid w:val="006D1A96"/>
    <w:rsid w:val="006D1ACD"/>
    <w:rsid w:val="006D1B15"/>
    <w:rsid w:val="006D1DD1"/>
    <w:rsid w:val="006D1FC3"/>
    <w:rsid w:val="006D2074"/>
    <w:rsid w:val="006D213F"/>
    <w:rsid w:val="006D23DA"/>
    <w:rsid w:val="006D23FF"/>
    <w:rsid w:val="006D24EA"/>
    <w:rsid w:val="006D27E4"/>
    <w:rsid w:val="006D28BF"/>
    <w:rsid w:val="006D2B19"/>
    <w:rsid w:val="006D2B52"/>
    <w:rsid w:val="006D2B6A"/>
    <w:rsid w:val="006D2FD9"/>
    <w:rsid w:val="006D3078"/>
    <w:rsid w:val="006D3087"/>
    <w:rsid w:val="006D33C5"/>
    <w:rsid w:val="006D346A"/>
    <w:rsid w:val="006D3685"/>
    <w:rsid w:val="006D37DE"/>
    <w:rsid w:val="006D38CA"/>
    <w:rsid w:val="006D3FBD"/>
    <w:rsid w:val="006D406A"/>
    <w:rsid w:val="006D42E5"/>
    <w:rsid w:val="006D441D"/>
    <w:rsid w:val="006D458B"/>
    <w:rsid w:val="006D48FE"/>
    <w:rsid w:val="006D49EB"/>
    <w:rsid w:val="006D4A93"/>
    <w:rsid w:val="006D4ACD"/>
    <w:rsid w:val="006D4BE1"/>
    <w:rsid w:val="006D4C04"/>
    <w:rsid w:val="006D4CBF"/>
    <w:rsid w:val="006D4D3F"/>
    <w:rsid w:val="006D4FC9"/>
    <w:rsid w:val="006D4FCF"/>
    <w:rsid w:val="006D5150"/>
    <w:rsid w:val="006D532C"/>
    <w:rsid w:val="006D5393"/>
    <w:rsid w:val="006D55BE"/>
    <w:rsid w:val="006D5A89"/>
    <w:rsid w:val="006D5D1E"/>
    <w:rsid w:val="006D5FF9"/>
    <w:rsid w:val="006D61E2"/>
    <w:rsid w:val="006D65F3"/>
    <w:rsid w:val="006D6625"/>
    <w:rsid w:val="006D6B79"/>
    <w:rsid w:val="006D6C1A"/>
    <w:rsid w:val="006D700B"/>
    <w:rsid w:val="006D7066"/>
    <w:rsid w:val="006D735D"/>
    <w:rsid w:val="006D77AD"/>
    <w:rsid w:val="006D77D8"/>
    <w:rsid w:val="006D78CF"/>
    <w:rsid w:val="006D7A3F"/>
    <w:rsid w:val="006D7BAD"/>
    <w:rsid w:val="006D7E91"/>
    <w:rsid w:val="006D7F00"/>
    <w:rsid w:val="006D7F38"/>
    <w:rsid w:val="006E0077"/>
    <w:rsid w:val="006E07B6"/>
    <w:rsid w:val="006E093B"/>
    <w:rsid w:val="006E0ADE"/>
    <w:rsid w:val="006E0C5E"/>
    <w:rsid w:val="006E0C8C"/>
    <w:rsid w:val="006E0F05"/>
    <w:rsid w:val="006E0FEC"/>
    <w:rsid w:val="006E1110"/>
    <w:rsid w:val="006E1413"/>
    <w:rsid w:val="006E14E9"/>
    <w:rsid w:val="006E15D5"/>
    <w:rsid w:val="006E165D"/>
    <w:rsid w:val="006E1826"/>
    <w:rsid w:val="006E1A6D"/>
    <w:rsid w:val="006E1B60"/>
    <w:rsid w:val="006E1B62"/>
    <w:rsid w:val="006E1B97"/>
    <w:rsid w:val="006E1D03"/>
    <w:rsid w:val="006E202A"/>
    <w:rsid w:val="006E254B"/>
    <w:rsid w:val="006E25B0"/>
    <w:rsid w:val="006E28F0"/>
    <w:rsid w:val="006E2B88"/>
    <w:rsid w:val="006E2CF2"/>
    <w:rsid w:val="006E2D13"/>
    <w:rsid w:val="006E3020"/>
    <w:rsid w:val="006E30FA"/>
    <w:rsid w:val="006E34C5"/>
    <w:rsid w:val="006E350B"/>
    <w:rsid w:val="006E35FF"/>
    <w:rsid w:val="006E3673"/>
    <w:rsid w:val="006E3675"/>
    <w:rsid w:val="006E379E"/>
    <w:rsid w:val="006E37F4"/>
    <w:rsid w:val="006E38F3"/>
    <w:rsid w:val="006E3C5F"/>
    <w:rsid w:val="006E3CE3"/>
    <w:rsid w:val="006E3DEA"/>
    <w:rsid w:val="006E3E54"/>
    <w:rsid w:val="006E3F3E"/>
    <w:rsid w:val="006E4645"/>
    <w:rsid w:val="006E46C2"/>
    <w:rsid w:val="006E470B"/>
    <w:rsid w:val="006E4885"/>
    <w:rsid w:val="006E4A8B"/>
    <w:rsid w:val="006E4ABB"/>
    <w:rsid w:val="006E4B50"/>
    <w:rsid w:val="006E4CC0"/>
    <w:rsid w:val="006E5421"/>
    <w:rsid w:val="006E551D"/>
    <w:rsid w:val="006E5910"/>
    <w:rsid w:val="006E59D6"/>
    <w:rsid w:val="006E5B10"/>
    <w:rsid w:val="006E5CC0"/>
    <w:rsid w:val="006E5EC7"/>
    <w:rsid w:val="006E61D8"/>
    <w:rsid w:val="006E64A5"/>
    <w:rsid w:val="006E650D"/>
    <w:rsid w:val="006E672A"/>
    <w:rsid w:val="006E6738"/>
    <w:rsid w:val="006E6752"/>
    <w:rsid w:val="006E678B"/>
    <w:rsid w:val="006E6C12"/>
    <w:rsid w:val="006E71E1"/>
    <w:rsid w:val="006E7207"/>
    <w:rsid w:val="006E722E"/>
    <w:rsid w:val="006E738D"/>
    <w:rsid w:val="006E7503"/>
    <w:rsid w:val="006E7596"/>
    <w:rsid w:val="006E77EA"/>
    <w:rsid w:val="006E7AB1"/>
    <w:rsid w:val="006E7AD8"/>
    <w:rsid w:val="006E7CC0"/>
    <w:rsid w:val="006E7CEC"/>
    <w:rsid w:val="006E7EE5"/>
    <w:rsid w:val="006E7FDA"/>
    <w:rsid w:val="006F02DB"/>
    <w:rsid w:val="006F07AB"/>
    <w:rsid w:val="006F07C3"/>
    <w:rsid w:val="006F0D41"/>
    <w:rsid w:val="006F1141"/>
    <w:rsid w:val="006F1192"/>
    <w:rsid w:val="006F125E"/>
    <w:rsid w:val="006F129B"/>
    <w:rsid w:val="006F142B"/>
    <w:rsid w:val="006F154C"/>
    <w:rsid w:val="006F17DF"/>
    <w:rsid w:val="006F1C7F"/>
    <w:rsid w:val="006F1E64"/>
    <w:rsid w:val="006F2140"/>
    <w:rsid w:val="006F22A1"/>
    <w:rsid w:val="006F240E"/>
    <w:rsid w:val="006F2B6B"/>
    <w:rsid w:val="006F2D12"/>
    <w:rsid w:val="006F2D3B"/>
    <w:rsid w:val="006F2E1C"/>
    <w:rsid w:val="006F2E23"/>
    <w:rsid w:val="006F2F68"/>
    <w:rsid w:val="006F2F85"/>
    <w:rsid w:val="006F3122"/>
    <w:rsid w:val="006F313B"/>
    <w:rsid w:val="006F3300"/>
    <w:rsid w:val="006F3310"/>
    <w:rsid w:val="006F37F6"/>
    <w:rsid w:val="006F38EC"/>
    <w:rsid w:val="006F3A45"/>
    <w:rsid w:val="006F3A9B"/>
    <w:rsid w:val="006F3AA6"/>
    <w:rsid w:val="006F3B13"/>
    <w:rsid w:val="006F3CAF"/>
    <w:rsid w:val="006F3D4B"/>
    <w:rsid w:val="006F4353"/>
    <w:rsid w:val="006F4357"/>
    <w:rsid w:val="006F43A5"/>
    <w:rsid w:val="006F44D3"/>
    <w:rsid w:val="006F4587"/>
    <w:rsid w:val="006F46DA"/>
    <w:rsid w:val="006F481E"/>
    <w:rsid w:val="006F48FE"/>
    <w:rsid w:val="006F49DB"/>
    <w:rsid w:val="006F4A7F"/>
    <w:rsid w:val="006F4A9E"/>
    <w:rsid w:val="006F4ADC"/>
    <w:rsid w:val="006F4CCC"/>
    <w:rsid w:val="006F5032"/>
    <w:rsid w:val="006F51E9"/>
    <w:rsid w:val="006F529D"/>
    <w:rsid w:val="006F5707"/>
    <w:rsid w:val="006F590E"/>
    <w:rsid w:val="006F5AA4"/>
    <w:rsid w:val="006F6139"/>
    <w:rsid w:val="006F6412"/>
    <w:rsid w:val="006F64D9"/>
    <w:rsid w:val="006F64E0"/>
    <w:rsid w:val="006F6627"/>
    <w:rsid w:val="006F6634"/>
    <w:rsid w:val="006F6750"/>
    <w:rsid w:val="006F67B1"/>
    <w:rsid w:val="006F67B4"/>
    <w:rsid w:val="006F693F"/>
    <w:rsid w:val="006F6ACC"/>
    <w:rsid w:val="006F7029"/>
    <w:rsid w:val="006F7035"/>
    <w:rsid w:val="006F7036"/>
    <w:rsid w:val="006F70EB"/>
    <w:rsid w:val="006F72A4"/>
    <w:rsid w:val="006F747E"/>
    <w:rsid w:val="006F764D"/>
    <w:rsid w:val="006F78FC"/>
    <w:rsid w:val="006F7D16"/>
    <w:rsid w:val="006FB23F"/>
    <w:rsid w:val="00700080"/>
    <w:rsid w:val="007001D1"/>
    <w:rsid w:val="007001E1"/>
    <w:rsid w:val="00700442"/>
    <w:rsid w:val="0070062C"/>
    <w:rsid w:val="00700634"/>
    <w:rsid w:val="0070085E"/>
    <w:rsid w:val="00700888"/>
    <w:rsid w:val="00700959"/>
    <w:rsid w:val="00700EF9"/>
    <w:rsid w:val="007018B0"/>
    <w:rsid w:val="00701969"/>
    <w:rsid w:val="00701AA0"/>
    <w:rsid w:val="00701D71"/>
    <w:rsid w:val="007021BE"/>
    <w:rsid w:val="0070222A"/>
    <w:rsid w:val="00702489"/>
    <w:rsid w:val="00702664"/>
    <w:rsid w:val="0070293E"/>
    <w:rsid w:val="00702971"/>
    <w:rsid w:val="00702D17"/>
    <w:rsid w:val="00702E9C"/>
    <w:rsid w:val="00702F9C"/>
    <w:rsid w:val="00703129"/>
    <w:rsid w:val="00703596"/>
    <w:rsid w:val="00703ACB"/>
    <w:rsid w:val="00703DDD"/>
    <w:rsid w:val="007040D8"/>
    <w:rsid w:val="0070422E"/>
    <w:rsid w:val="00704595"/>
    <w:rsid w:val="0070464D"/>
    <w:rsid w:val="00704765"/>
    <w:rsid w:val="00704A55"/>
    <w:rsid w:val="00704B5B"/>
    <w:rsid w:val="00704CC2"/>
    <w:rsid w:val="00704D7C"/>
    <w:rsid w:val="00704DCF"/>
    <w:rsid w:val="00704DFC"/>
    <w:rsid w:val="00704EB3"/>
    <w:rsid w:val="00704F13"/>
    <w:rsid w:val="00704FF3"/>
    <w:rsid w:val="007051FD"/>
    <w:rsid w:val="00705247"/>
    <w:rsid w:val="00705595"/>
    <w:rsid w:val="00705606"/>
    <w:rsid w:val="00705763"/>
    <w:rsid w:val="00705BEC"/>
    <w:rsid w:val="00705CE5"/>
    <w:rsid w:val="00705D52"/>
    <w:rsid w:val="00705F7D"/>
    <w:rsid w:val="007061C2"/>
    <w:rsid w:val="00706280"/>
    <w:rsid w:val="007063C8"/>
    <w:rsid w:val="007063CA"/>
    <w:rsid w:val="00706483"/>
    <w:rsid w:val="00706661"/>
    <w:rsid w:val="0070669E"/>
    <w:rsid w:val="0070681E"/>
    <w:rsid w:val="007070B8"/>
    <w:rsid w:val="0070733F"/>
    <w:rsid w:val="007073A1"/>
    <w:rsid w:val="00707498"/>
    <w:rsid w:val="0070781F"/>
    <w:rsid w:val="007079DB"/>
    <w:rsid w:val="00707E24"/>
    <w:rsid w:val="00707F4A"/>
    <w:rsid w:val="00710170"/>
    <w:rsid w:val="007101DC"/>
    <w:rsid w:val="0071021B"/>
    <w:rsid w:val="00710764"/>
    <w:rsid w:val="007107D7"/>
    <w:rsid w:val="0071091C"/>
    <w:rsid w:val="007109EB"/>
    <w:rsid w:val="00710BD0"/>
    <w:rsid w:val="00711412"/>
    <w:rsid w:val="0071147A"/>
    <w:rsid w:val="00711736"/>
    <w:rsid w:val="007117E8"/>
    <w:rsid w:val="007119E0"/>
    <w:rsid w:val="00711BB9"/>
    <w:rsid w:val="00711F02"/>
    <w:rsid w:val="00712068"/>
    <w:rsid w:val="00712132"/>
    <w:rsid w:val="007123A6"/>
    <w:rsid w:val="00712520"/>
    <w:rsid w:val="007126FA"/>
    <w:rsid w:val="00712798"/>
    <w:rsid w:val="00712B5B"/>
    <w:rsid w:val="00712C80"/>
    <w:rsid w:val="007130F8"/>
    <w:rsid w:val="00713145"/>
    <w:rsid w:val="00713217"/>
    <w:rsid w:val="0071322B"/>
    <w:rsid w:val="007137C5"/>
    <w:rsid w:val="007137EB"/>
    <w:rsid w:val="00713DA7"/>
    <w:rsid w:val="00713E2A"/>
    <w:rsid w:val="00714198"/>
    <w:rsid w:val="0071420C"/>
    <w:rsid w:val="00714604"/>
    <w:rsid w:val="00715079"/>
    <w:rsid w:val="007150DB"/>
    <w:rsid w:val="0071522D"/>
    <w:rsid w:val="007152CF"/>
    <w:rsid w:val="00715363"/>
    <w:rsid w:val="0071540B"/>
    <w:rsid w:val="007159B9"/>
    <w:rsid w:val="00715A1D"/>
    <w:rsid w:val="007160B3"/>
    <w:rsid w:val="00716187"/>
    <w:rsid w:val="0071619C"/>
    <w:rsid w:val="007161B1"/>
    <w:rsid w:val="00716316"/>
    <w:rsid w:val="00716347"/>
    <w:rsid w:val="00716648"/>
    <w:rsid w:val="007167DD"/>
    <w:rsid w:val="007168C5"/>
    <w:rsid w:val="007168E3"/>
    <w:rsid w:val="00716AE6"/>
    <w:rsid w:val="00717139"/>
    <w:rsid w:val="007175A1"/>
    <w:rsid w:val="0071761C"/>
    <w:rsid w:val="007177D0"/>
    <w:rsid w:val="00717A9B"/>
    <w:rsid w:val="00717AD5"/>
    <w:rsid w:val="00717C48"/>
    <w:rsid w:val="00717C95"/>
    <w:rsid w:val="00717D89"/>
    <w:rsid w:val="00717DD9"/>
    <w:rsid w:val="007200E6"/>
    <w:rsid w:val="007201DC"/>
    <w:rsid w:val="007204D7"/>
    <w:rsid w:val="00720537"/>
    <w:rsid w:val="00720545"/>
    <w:rsid w:val="0072069E"/>
    <w:rsid w:val="007208AE"/>
    <w:rsid w:val="00720A9C"/>
    <w:rsid w:val="00720E27"/>
    <w:rsid w:val="00720E82"/>
    <w:rsid w:val="00720EC5"/>
    <w:rsid w:val="0072101B"/>
    <w:rsid w:val="00721196"/>
    <w:rsid w:val="007211D3"/>
    <w:rsid w:val="00721389"/>
    <w:rsid w:val="0072148D"/>
    <w:rsid w:val="007214B3"/>
    <w:rsid w:val="00721CB2"/>
    <w:rsid w:val="00721CD0"/>
    <w:rsid w:val="00722625"/>
    <w:rsid w:val="00722ACC"/>
    <w:rsid w:val="00722D73"/>
    <w:rsid w:val="00722FA0"/>
    <w:rsid w:val="007231AE"/>
    <w:rsid w:val="0072332D"/>
    <w:rsid w:val="0072335F"/>
    <w:rsid w:val="00723493"/>
    <w:rsid w:val="0072354E"/>
    <w:rsid w:val="00723621"/>
    <w:rsid w:val="007239B9"/>
    <w:rsid w:val="00724300"/>
    <w:rsid w:val="0072439F"/>
    <w:rsid w:val="007246B6"/>
    <w:rsid w:val="007246B7"/>
    <w:rsid w:val="0072475A"/>
    <w:rsid w:val="00724878"/>
    <w:rsid w:val="007252DF"/>
    <w:rsid w:val="00725669"/>
    <w:rsid w:val="00725695"/>
    <w:rsid w:val="00725757"/>
    <w:rsid w:val="007258D9"/>
    <w:rsid w:val="00725948"/>
    <w:rsid w:val="00725C04"/>
    <w:rsid w:val="00725CBE"/>
    <w:rsid w:val="00725CCB"/>
    <w:rsid w:val="00725CF0"/>
    <w:rsid w:val="00725E31"/>
    <w:rsid w:val="00726001"/>
    <w:rsid w:val="0072611B"/>
    <w:rsid w:val="007261C9"/>
    <w:rsid w:val="00726337"/>
    <w:rsid w:val="0072654D"/>
    <w:rsid w:val="007266AB"/>
    <w:rsid w:val="007266CC"/>
    <w:rsid w:val="007269A5"/>
    <w:rsid w:val="00726AA2"/>
    <w:rsid w:val="00726AC5"/>
    <w:rsid w:val="00727203"/>
    <w:rsid w:val="0072726F"/>
    <w:rsid w:val="007275D3"/>
    <w:rsid w:val="00727611"/>
    <w:rsid w:val="007276F9"/>
    <w:rsid w:val="0072797E"/>
    <w:rsid w:val="007279A8"/>
    <w:rsid w:val="00727C7B"/>
    <w:rsid w:val="0073024A"/>
    <w:rsid w:val="007302F2"/>
    <w:rsid w:val="00730567"/>
    <w:rsid w:val="007307C8"/>
    <w:rsid w:val="007307E3"/>
    <w:rsid w:val="0073094F"/>
    <w:rsid w:val="00730F27"/>
    <w:rsid w:val="0073100B"/>
    <w:rsid w:val="007311E5"/>
    <w:rsid w:val="007313C6"/>
    <w:rsid w:val="007313DC"/>
    <w:rsid w:val="00731720"/>
    <w:rsid w:val="0073172F"/>
    <w:rsid w:val="0073178F"/>
    <w:rsid w:val="00731868"/>
    <w:rsid w:val="00732045"/>
    <w:rsid w:val="007324B7"/>
    <w:rsid w:val="007326C2"/>
    <w:rsid w:val="007326C6"/>
    <w:rsid w:val="00732BDA"/>
    <w:rsid w:val="00732C0D"/>
    <w:rsid w:val="00732C18"/>
    <w:rsid w:val="00732F94"/>
    <w:rsid w:val="007330D5"/>
    <w:rsid w:val="00733203"/>
    <w:rsid w:val="007334EB"/>
    <w:rsid w:val="00733502"/>
    <w:rsid w:val="00733616"/>
    <w:rsid w:val="00733929"/>
    <w:rsid w:val="00733BF7"/>
    <w:rsid w:val="00733F25"/>
    <w:rsid w:val="00733F3B"/>
    <w:rsid w:val="007340A5"/>
    <w:rsid w:val="00734275"/>
    <w:rsid w:val="0073428D"/>
    <w:rsid w:val="0073439E"/>
    <w:rsid w:val="0073456B"/>
    <w:rsid w:val="007346FF"/>
    <w:rsid w:val="00734A9C"/>
    <w:rsid w:val="00734B6D"/>
    <w:rsid w:val="00734DFF"/>
    <w:rsid w:val="00734E7E"/>
    <w:rsid w:val="00735290"/>
    <w:rsid w:val="00735765"/>
    <w:rsid w:val="00735A0F"/>
    <w:rsid w:val="00735A3E"/>
    <w:rsid w:val="00735EBA"/>
    <w:rsid w:val="00736737"/>
    <w:rsid w:val="0073673C"/>
    <w:rsid w:val="00736752"/>
    <w:rsid w:val="00736AA5"/>
    <w:rsid w:val="00736E97"/>
    <w:rsid w:val="00737032"/>
    <w:rsid w:val="0073752F"/>
    <w:rsid w:val="0073777C"/>
    <w:rsid w:val="00737935"/>
    <w:rsid w:val="0073798E"/>
    <w:rsid w:val="007379DC"/>
    <w:rsid w:val="00737A79"/>
    <w:rsid w:val="00737B6F"/>
    <w:rsid w:val="00737C99"/>
    <w:rsid w:val="00737D62"/>
    <w:rsid w:val="00737D79"/>
    <w:rsid w:val="00737FCC"/>
    <w:rsid w:val="0074006A"/>
    <w:rsid w:val="007403D3"/>
    <w:rsid w:val="007404A0"/>
    <w:rsid w:val="007405A9"/>
    <w:rsid w:val="0074067D"/>
    <w:rsid w:val="007408A1"/>
    <w:rsid w:val="00740A5E"/>
    <w:rsid w:val="007410F3"/>
    <w:rsid w:val="0074110E"/>
    <w:rsid w:val="00741125"/>
    <w:rsid w:val="00741154"/>
    <w:rsid w:val="007411CA"/>
    <w:rsid w:val="007411CF"/>
    <w:rsid w:val="00741522"/>
    <w:rsid w:val="00741982"/>
    <w:rsid w:val="007419B8"/>
    <w:rsid w:val="007419CA"/>
    <w:rsid w:val="007419E3"/>
    <w:rsid w:val="00741AAE"/>
    <w:rsid w:val="00741C04"/>
    <w:rsid w:val="00741CEC"/>
    <w:rsid w:val="00741DD6"/>
    <w:rsid w:val="00741E8E"/>
    <w:rsid w:val="00741ED9"/>
    <w:rsid w:val="00742135"/>
    <w:rsid w:val="00742273"/>
    <w:rsid w:val="00742411"/>
    <w:rsid w:val="00742451"/>
    <w:rsid w:val="00742883"/>
    <w:rsid w:val="0074291B"/>
    <w:rsid w:val="0074298A"/>
    <w:rsid w:val="00742A83"/>
    <w:rsid w:val="00742FAB"/>
    <w:rsid w:val="00743028"/>
    <w:rsid w:val="0074333A"/>
    <w:rsid w:val="00743360"/>
    <w:rsid w:val="00743859"/>
    <w:rsid w:val="00743928"/>
    <w:rsid w:val="00743E0F"/>
    <w:rsid w:val="00743F4B"/>
    <w:rsid w:val="00744155"/>
    <w:rsid w:val="00744426"/>
    <w:rsid w:val="00744547"/>
    <w:rsid w:val="0074458D"/>
    <w:rsid w:val="0074471C"/>
    <w:rsid w:val="00744ADF"/>
    <w:rsid w:val="00744B60"/>
    <w:rsid w:val="00744CBA"/>
    <w:rsid w:val="00744F4D"/>
    <w:rsid w:val="00744F69"/>
    <w:rsid w:val="00744F9F"/>
    <w:rsid w:val="007450A8"/>
    <w:rsid w:val="007451EF"/>
    <w:rsid w:val="00745400"/>
    <w:rsid w:val="00745453"/>
    <w:rsid w:val="0074545C"/>
    <w:rsid w:val="007454DF"/>
    <w:rsid w:val="007459D1"/>
    <w:rsid w:val="00745A96"/>
    <w:rsid w:val="00745B70"/>
    <w:rsid w:val="00745B97"/>
    <w:rsid w:val="00745C86"/>
    <w:rsid w:val="00745CD0"/>
    <w:rsid w:val="00745E09"/>
    <w:rsid w:val="00745EC7"/>
    <w:rsid w:val="00745F90"/>
    <w:rsid w:val="007461E2"/>
    <w:rsid w:val="0074635B"/>
    <w:rsid w:val="00746446"/>
    <w:rsid w:val="007466CE"/>
    <w:rsid w:val="00746735"/>
    <w:rsid w:val="00746768"/>
    <w:rsid w:val="00746860"/>
    <w:rsid w:val="0074693C"/>
    <w:rsid w:val="00746AC8"/>
    <w:rsid w:val="00746B5D"/>
    <w:rsid w:val="00746CB1"/>
    <w:rsid w:val="00747002"/>
    <w:rsid w:val="0074712D"/>
    <w:rsid w:val="00747313"/>
    <w:rsid w:val="0074742D"/>
    <w:rsid w:val="007474F5"/>
    <w:rsid w:val="007475AE"/>
    <w:rsid w:val="007475C3"/>
    <w:rsid w:val="00747675"/>
    <w:rsid w:val="007477D8"/>
    <w:rsid w:val="00747D04"/>
    <w:rsid w:val="00747EB9"/>
    <w:rsid w:val="00747F1A"/>
    <w:rsid w:val="007501DA"/>
    <w:rsid w:val="007502A8"/>
    <w:rsid w:val="007504FA"/>
    <w:rsid w:val="00750628"/>
    <w:rsid w:val="0075069B"/>
    <w:rsid w:val="007508DE"/>
    <w:rsid w:val="007509C4"/>
    <w:rsid w:val="00750C97"/>
    <w:rsid w:val="00750F75"/>
    <w:rsid w:val="00751178"/>
    <w:rsid w:val="00751243"/>
    <w:rsid w:val="007512D1"/>
    <w:rsid w:val="00751329"/>
    <w:rsid w:val="007515CE"/>
    <w:rsid w:val="00751729"/>
    <w:rsid w:val="00751B68"/>
    <w:rsid w:val="00751E7A"/>
    <w:rsid w:val="00752363"/>
    <w:rsid w:val="007523C0"/>
    <w:rsid w:val="007524F2"/>
    <w:rsid w:val="007525BF"/>
    <w:rsid w:val="0075299E"/>
    <w:rsid w:val="00752C0F"/>
    <w:rsid w:val="00752E65"/>
    <w:rsid w:val="00753616"/>
    <w:rsid w:val="00753935"/>
    <w:rsid w:val="0075396E"/>
    <w:rsid w:val="00753ABF"/>
    <w:rsid w:val="00753E0C"/>
    <w:rsid w:val="00754004"/>
    <w:rsid w:val="00754113"/>
    <w:rsid w:val="0075415B"/>
    <w:rsid w:val="007541F8"/>
    <w:rsid w:val="00754261"/>
    <w:rsid w:val="0075426A"/>
    <w:rsid w:val="0075444F"/>
    <w:rsid w:val="00754467"/>
    <w:rsid w:val="007544C6"/>
    <w:rsid w:val="00754657"/>
    <w:rsid w:val="007549F9"/>
    <w:rsid w:val="00754A4E"/>
    <w:rsid w:val="00754DC6"/>
    <w:rsid w:val="00754F69"/>
    <w:rsid w:val="007550D2"/>
    <w:rsid w:val="007554C3"/>
    <w:rsid w:val="007554E3"/>
    <w:rsid w:val="0075564E"/>
    <w:rsid w:val="00755806"/>
    <w:rsid w:val="00755901"/>
    <w:rsid w:val="007559BA"/>
    <w:rsid w:val="00755B71"/>
    <w:rsid w:val="00755BB3"/>
    <w:rsid w:val="00755EC3"/>
    <w:rsid w:val="0075603B"/>
    <w:rsid w:val="00756086"/>
    <w:rsid w:val="007561A9"/>
    <w:rsid w:val="00756247"/>
    <w:rsid w:val="007568FB"/>
    <w:rsid w:val="00756B8C"/>
    <w:rsid w:val="00756C34"/>
    <w:rsid w:val="00756F89"/>
    <w:rsid w:val="00756FFA"/>
    <w:rsid w:val="007573A5"/>
    <w:rsid w:val="0075742C"/>
    <w:rsid w:val="00757492"/>
    <w:rsid w:val="007574F0"/>
    <w:rsid w:val="007577AA"/>
    <w:rsid w:val="007579CB"/>
    <w:rsid w:val="00757A46"/>
    <w:rsid w:val="00757C6D"/>
    <w:rsid w:val="00760031"/>
    <w:rsid w:val="0076008A"/>
    <w:rsid w:val="007600BF"/>
    <w:rsid w:val="00760129"/>
    <w:rsid w:val="00760251"/>
    <w:rsid w:val="0076029B"/>
    <w:rsid w:val="007603A2"/>
    <w:rsid w:val="00760507"/>
    <w:rsid w:val="0076055A"/>
    <w:rsid w:val="007607BF"/>
    <w:rsid w:val="007608D4"/>
    <w:rsid w:val="007608F7"/>
    <w:rsid w:val="00760B2C"/>
    <w:rsid w:val="00761423"/>
    <w:rsid w:val="007614A8"/>
    <w:rsid w:val="00761537"/>
    <w:rsid w:val="007616C8"/>
    <w:rsid w:val="00761761"/>
    <w:rsid w:val="0076184E"/>
    <w:rsid w:val="00761958"/>
    <w:rsid w:val="00761AB5"/>
    <w:rsid w:val="00761BC2"/>
    <w:rsid w:val="00761BCA"/>
    <w:rsid w:val="00761BD9"/>
    <w:rsid w:val="00761C87"/>
    <w:rsid w:val="00761D98"/>
    <w:rsid w:val="00761E11"/>
    <w:rsid w:val="00761F8E"/>
    <w:rsid w:val="00762046"/>
    <w:rsid w:val="007620B7"/>
    <w:rsid w:val="0076223B"/>
    <w:rsid w:val="007623BE"/>
    <w:rsid w:val="007624D0"/>
    <w:rsid w:val="0076256E"/>
    <w:rsid w:val="00762815"/>
    <w:rsid w:val="00762A39"/>
    <w:rsid w:val="00762AA3"/>
    <w:rsid w:val="00762AAD"/>
    <w:rsid w:val="00762AFB"/>
    <w:rsid w:val="00762C46"/>
    <w:rsid w:val="00762CAA"/>
    <w:rsid w:val="00762D10"/>
    <w:rsid w:val="00762D8C"/>
    <w:rsid w:val="00762E55"/>
    <w:rsid w:val="00762EFF"/>
    <w:rsid w:val="00763044"/>
    <w:rsid w:val="00763675"/>
    <w:rsid w:val="007637C0"/>
    <w:rsid w:val="00763C1E"/>
    <w:rsid w:val="00763C5D"/>
    <w:rsid w:val="00763C94"/>
    <w:rsid w:val="00763D4B"/>
    <w:rsid w:val="007641BE"/>
    <w:rsid w:val="007641FE"/>
    <w:rsid w:val="0076423C"/>
    <w:rsid w:val="0076427D"/>
    <w:rsid w:val="007642F0"/>
    <w:rsid w:val="00764487"/>
    <w:rsid w:val="0076461B"/>
    <w:rsid w:val="007646FC"/>
    <w:rsid w:val="0076473E"/>
    <w:rsid w:val="0076484A"/>
    <w:rsid w:val="00764D87"/>
    <w:rsid w:val="00764E75"/>
    <w:rsid w:val="0076507C"/>
    <w:rsid w:val="00765158"/>
    <w:rsid w:val="00765235"/>
    <w:rsid w:val="007653EC"/>
    <w:rsid w:val="00765420"/>
    <w:rsid w:val="007654BE"/>
    <w:rsid w:val="007655DF"/>
    <w:rsid w:val="007657C7"/>
    <w:rsid w:val="00765A0E"/>
    <w:rsid w:val="00765B3C"/>
    <w:rsid w:val="00765C26"/>
    <w:rsid w:val="00765C76"/>
    <w:rsid w:val="00765FFD"/>
    <w:rsid w:val="007660CA"/>
    <w:rsid w:val="0076619E"/>
    <w:rsid w:val="00766427"/>
    <w:rsid w:val="0076654E"/>
    <w:rsid w:val="007665E8"/>
    <w:rsid w:val="00766697"/>
    <w:rsid w:val="00766841"/>
    <w:rsid w:val="00766AF9"/>
    <w:rsid w:val="00766B0D"/>
    <w:rsid w:val="00766CD1"/>
    <w:rsid w:val="00766F79"/>
    <w:rsid w:val="00767069"/>
    <w:rsid w:val="007670F3"/>
    <w:rsid w:val="007672E3"/>
    <w:rsid w:val="00767365"/>
    <w:rsid w:val="00767416"/>
    <w:rsid w:val="00767702"/>
    <w:rsid w:val="00767789"/>
    <w:rsid w:val="007677F0"/>
    <w:rsid w:val="007679A4"/>
    <w:rsid w:val="00767A96"/>
    <w:rsid w:val="00767ACB"/>
    <w:rsid w:val="00767C7C"/>
    <w:rsid w:val="00767D5F"/>
    <w:rsid w:val="00767E37"/>
    <w:rsid w:val="00767FF9"/>
    <w:rsid w:val="00770179"/>
    <w:rsid w:val="0077024B"/>
    <w:rsid w:val="0077050F"/>
    <w:rsid w:val="007706F5"/>
    <w:rsid w:val="00770730"/>
    <w:rsid w:val="007707D5"/>
    <w:rsid w:val="007709FF"/>
    <w:rsid w:val="00770A1A"/>
    <w:rsid w:val="00770A89"/>
    <w:rsid w:val="00770E09"/>
    <w:rsid w:val="007710F4"/>
    <w:rsid w:val="007712FB"/>
    <w:rsid w:val="00771529"/>
    <w:rsid w:val="007715EF"/>
    <w:rsid w:val="00771BC6"/>
    <w:rsid w:val="00771C1B"/>
    <w:rsid w:val="0077203F"/>
    <w:rsid w:val="007721CE"/>
    <w:rsid w:val="0077221A"/>
    <w:rsid w:val="00772519"/>
    <w:rsid w:val="0077256A"/>
    <w:rsid w:val="007727D1"/>
    <w:rsid w:val="007728EC"/>
    <w:rsid w:val="0077294E"/>
    <w:rsid w:val="00772D4E"/>
    <w:rsid w:val="00772DD4"/>
    <w:rsid w:val="00772DEE"/>
    <w:rsid w:val="007730F0"/>
    <w:rsid w:val="00773151"/>
    <w:rsid w:val="00773261"/>
    <w:rsid w:val="00773553"/>
    <w:rsid w:val="00773712"/>
    <w:rsid w:val="00773822"/>
    <w:rsid w:val="00773920"/>
    <w:rsid w:val="00773DFC"/>
    <w:rsid w:val="00774399"/>
    <w:rsid w:val="00774668"/>
    <w:rsid w:val="00774675"/>
    <w:rsid w:val="007748AE"/>
    <w:rsid w:val="007749FC"/>
    <w:rsid w:val="00774C91"/>
    <w:rsid w:val="00774D2C"/>
    <w:rsid w:val="0077520B"/>
    <w:rsid w:val="007752B1"/>
    <w:rsid w:val="0077533D"/>
    <w:rsid w:val="00775546"/>
    <w:rsid w:val="0077564D"/>
    <w:rsid w:val="00775658"/>
    <w:rsid w:val="00775746"/>
    <w:rsid w:val="00775B9C"/>
    <w:rsid w:val="00775C0B"/>
    <w:rsid w:val="00775C88"/>
    <w:rsid w:val="00775D3C"/>
    <w:rsid w:val="00775DA9"/>
    <w:rsid w:val="00775FA2"/>
    <w:rsid w:val="00776031"/>
    <w:rsid w:val="007762AF"/>
    <w:rsid w:val="007764B1"/>
    <w:rsid w:val="007765B5"/>
    <w:rsid w:val="0077675B"/>
    <w:rsid w:val="00776945"/>
    <w:rsid w:val="007773D6"/>
    <w:rsid w:val="007779DC"/>
    <w:rsid w:val="00777AA3"/>
    <w:rsid w:val="00777B77"/>
    <w:rsid w:val="00777D01"/>
    <w:rsid w:val="00777D21"/>
    <w:rsid w:val="00777D33"/>
    <w:rsid w:val="00777ED0"/>
    <w:rsid w:val="00780631"/>
    <w:rsid w:val="00780DB6"/>
    <w:rsid w:val="00780EBF"/>
    <w:rsid w:val="00780EE5"/>
    <w:rsid w:val="00780F9C"/>
    <w:rsid w:val="0078100B"/>
    <w:rsid w:val="00781264"/>
    <w:rsid w:val="00781533"/>
    <w:rsid w:val="0078157E"/>
    <w:rsid w:val="007818EE"/>
    <w:rsid w:val="00781AED"/>
    <w:rsid w:val="00781B69"/>
    <w:rsid w:val="00781E67"/>
    <w:rsid w:val="00781F22"/>
    <w:rsid w:val="00781F99"/>
    <w:rsid w:val="00781FE0"/>
    <w:rsid w:val="007820CB"/>
    <w:rsid w:val="0078215C"/>
    <w:rsid w:val="007821FA"/>
    <w:rsid w:val="007828EF"/>
    <w:rsid w:val="00782A00"/>
    <w:rsid w:val="00782AB5"/>
    <w:rsid w:val="00782B83"/>
    <w:rsid w:val="00782D2F"/>
    <w:rsid w:val="00782E44"/>
    <w:rsid w:val="00782FCF"/>
    <w:rsid w:val="007830D0"/>
    <w:rsid w:val="007830E4"/>
    <w:rsid w:val="0078331E"/>
    <w:rsid w:val="00783933"/>
    <w:rsid w:val="00783996"/>
    <w:rsid w:val="00783C7E"/>
    <w:rsid w:val="00784013"/>
    <w:rsid w:val="0078407F"/>
    <w:rsid w:val="00784148"/>
    <w:rsid w:val="007841E4"/>
    <w:rsid w:val="007843DE"/>
    <w:rsid w:val="00784409"/>
    <w:rsid w:val="00784560"/>
    <w:rsid w:val="00784955"/>
    <w:rsid w:val="00784996"/>
    <w:rsid w:val="00784AA6"/>
    <w:rsid w:val="00784BF5"/>
    <w:rsid w:val="00784DB8"/>
    <w:rsid w:val="00784E00"/>
    <w:rsid w:val="00784E6B"/>
    <w:rsid w:val="00784E7A"/>
    <w:rsid w:val="007850D0"/>
    <w:rsid w:val="00785103"/>
    <w:rsid w:val="00785340"/>
    <w:rsid w:val="0078561E"/>
    <w:rsid w:val="007856A2"/>
    <w:rsid w:val="00785818"/>
    <w:rsid w:val="00785ABE"/>
    <w:rsid w:val="00785B8A"/>
    <w:rsid w:val="00785BDB"/>
    <w:rsid w:val="00786038"/>
    <w:rsid w:val="0078632D"/>
    <w:rsid w:val="00786334"/>
    <w:rsid w:val="007865C6"/>
    <w:rsid w:val="007869F2"/>
    <w:rsid w:val="00786CD3"/>
    <w:rsid w:val="00786D4A"/>
    <w:rsid w:val="00786DA2"/>
    <w:rsid w:val="00786E15"/>
    <w:rsid w:val="00786E41"/>
    <w:rsid w:val="007872F4"/>
    <w:rsid w:val="007876CD"/>
    <w:rsid w:val="00787DBD"/>
    <w:rsid w:val="00790053"/>
    <w:rsid w:val="00790149"/>
    <w:rsid w:val="007903DA"/>
    <w:rsid w:val="007904C0"/>
    <w:rsid w:val="007908F7"/>
    <w:rsid w:val="00790FB2"/>
    <w:rsid w:val="007910F4"/>
    <w:rsid w:val="00791293"/>
    <w:rsid w:val="007919CA"/>
    <w:rsid w:val="00791B73"/>
    <w:rsid w:val="00791CF2"/>
    <w:rsid w:val="00792253"/>
    <w:rsid w:val="00792516"/>
    <w:rsid w:val="0079281F"/>
    <w:rsid w:val="0079299C"/>
    <w:rsid w:val="00792AE5"/>
    <w:rsid w:val="00792BBD"/>
    <w:rsid w:val="00792BD8"/>
    <w:rsid w:val="00792DC4"/>
    <w:rsid w:val="00792EC9"/>
    <w:rsid w:val="007932CC"/>
    <w:rsid w:val="00793452"/>
    <w:rsid w:val="007935ED"/>
    <w:rsid w:val="007935FF"/>
    <w:rsid w:val="00793826"/>
    <w:rsid w:val="007938D2"/>
    <w:rsid w:val="00793A28"/>
    <w:rsid w:val="00793A79"/>
    <w:rsid w:val="00793B9A"/>
    <w:rsid w:val="00793EE3"/>
    <w:rsid w:val="0079421B"/>
    <w:rsid w:val="0079438D"/>
    <w:rsid w:val="0079445D"/>
    <w:rsid w:val="007946CC"/>
    <w:rsid w:val="00794CA4"/>
    <w:rsid w:val="00794D81"/>
    <w:rsid w:val="00794F40"/>
    <w:rsid w:val="00795590"/>
    <w:rsid w:val="007956EA"/>
    <w:rsid w:val="00795951"/>
    <w:rsid w:val="00795A67"/>
    <w:rsid w:val="00795B94"/>
    <w:rsid w:val="00795D73"/>
    <w:rsid w:val="00795DFC"/>
    <w:rsid w:val="00795FB3"/>
    <w:rsid w:val="0079680D"/>
    <w:rsid w:val="00796DC1"/>
    <w:rsid w:val="00796E35"/>
    <w:rsid w:val="00797180"/>
    <w:rsid w:val="007971A1"/>
    <w:rsid w:val="00797461"/>
    <w:rsid w:val="007975F2"/>
    <w:rsid w:val="00797756"/>
    <w:rsid w:val="007978E6"/>
    <w:rsid w:val="00797CA9"/>
    <w:rsid w:val="00797CDF"/>
    <w:rsid w:val="00797F20"/>
    <w:rsid w:val="007A004B"/>
    <w:rsid w:val="007A0207"/>
    <w:rsid w:val="007A05FB"/>
    <w:rsid w:val="007A0921"/>
    <w:rsid w:val="007A0A62"/>
    <w:rsid w:val="007A0C16"/>
    <w:rsid w:val="007A0F6A"/>
    <w:rsid w:val="007A0F81"/>
    <w:rsid w:val="007A0F84"/>
    <w:rsid w:val="007A1233"/>
    <w:rsid w:val="007A18DE"/>
    <w:rsid w:val="007A1BA8"/>
    <w:rsid w:val="007A1D97"/>
    <w:rsid w:val="007A1DE3"/>
    <w:rsid w:val="007A1E51"/>
    <w:rsid w:val="007A1FB7"/>
    <w:rsid w:val="007A256B"/>
    <w:rsid w:val="007A26AD"/>
    <w:rsid w:val="007A2AF9"/>
    <w:rsid w:val="007A3163"/>
    <w:rsid w:val="007A33AE"/>
    <w:rsid w:val="007A33F6"/>
    <w:rsid w:val="007A3462"/>
    <w:rsid w:val="007A3883"/>
    <w:rsid w:val="007A38B1"/>
    <w:rsid w:val="007A39D9"/>
    <w:rsid w:val="007A3AA8"/>
    <w:rsid w:val="007A3C88"/>
    <w:rsid w:val="007A3D29"/>
    <w:rsid w:val="007A3ECE"/>
    <w:rsid w:val="007A3F0A"/>
    <w:rsid w:val="007A4456"/>
    <w:rsid w:val="007A4770"/>
    <w:rsid w:val="007A49D3"/>
    <w:rsid w:val="007A4C6D"/>
    <w:rsid w:val="007A4F39"/>
    <w:rsid w:val="007A50B6"/>
    <w:rsid w:val="007A51C6"/>
    <w:rsid w:val="007A5236"/>
    <w:rsid w:val="007A5332"/>
    <w:rsid w:val="007A5354"/>
    <w:rsid w:val="007A5439"/>
    <w:rsid w:val="007A56F4"/>
    <w:rsid w:val="007A5809"/>
    <w:rsid w:val="007A5856"/>
    <w:rsid w:val="007A5ED6"/>
    <w:rsid w:val="007A6034"/>
    <w:rsid w:val="007A6380"/>
    <w:rsid w:val="007A645D"/>
    <w:rsid w:val="007A667B"/>
    <w:rsid w:val="007A6934"/>
    <w:rsid w:val="007A6C16"/>
    <w:rsid w:val="007A6D3C"/>
    <w:rsid w:val="007A721B"/>
    <w:rsid w:val="007A75A0"/>
    <w:rsid w:val="007A75CD"/>
    <w:rsid w:val="007A7801"/>
    <w:rsid w:val="007B0029"/>
    <w:rsid w:val="007B07EC"/>
    <w:rsid w:val="007B092E"/>
    <w:rsid w:val="007B0AE7"/>
    <w:rsid w:val="007B0BC4"/>
    <w:rsid w:val="007B0D69"/>
    <w:rsid w:val="007B0E45"/>
    <w:rsid w:val="007B11DA"/>
    <w:rsid w:val="007B121C"/>
    <w:rsid w:val="007B1963"/>
    <w:rsid w:val="007B199D"/>
    <w:rsid w:val="007B1BCB"/>
    <w:rsid w:val="007B1D6B"/>
    <w:rsid w:val="007B1E05"/>
    <w:rsid w:val="007B20DD"/>
    <w:rsid w:val="007B2244"/>
    <w:rsid w:val="007B229F"/>
    <w:rsid w:val="007B24A3"/>
    <w:rsid w:val="007B273F"/>
    <w:rsid w:val="007B2E64"/>
    <w:rsid w:val="007B2F71"/>
    <w:rsid w:val="007B3703"/>
    <w:rsid w:val="007B399A"/>
    <w:rsid w:val="007B3BDD"/>
    <w:rsid w:val="007B3C01"/>
    <w:rsid w:val="007B40B1"/>
    <w:rsid w:val="007B43BE"/>
    <w:rsid w:val="007B45DB"/>
    <w:rsid w:val="007B492E"/>
    <w:rsid w:val="007B4C3D"/>
    <w:rsid w:val="007B4D80"/>
    <w:rsid w:val="007B4E61"/>
    <w:rsid w:val="007B521C"/>
    <w:rsid w:val="007B54B3"/>
    <w:rsid w:val="007B57C9"/>
    <w:rsid w:val="007B5837"/>
    <w:rsid w:val="007B5BA7"/>
    <w:rsid w:val="007B5E62"/>
    <w:rsid w:val="007B5EA0"/>
    <w:rsid w:val="007B5F71"/>
    <w:rsid w:val="007B6070"/>
    <w:rsid w:val="007B6082"/>
    <w:rsid w:val="007B61C5"/>
    <w:rsid w:val="007B61D3"/>
    <w:rsid w:val="007B626A"/>
    <w:rsid w:val="007B62A8"/>
    <w:rsid w:val="007B62FB"/>
    <w:rsid w:val="007B699C"/>
    <w:rsid w:val="007B69AE"/>
    <w:rsid w:val="007B6B3D"/>
    <w:rsid w:val="007B6B80"/>
    <w:rsid w:val="007B6C81"/>
    <w:rsid w:val="007B704E"/>
    <w:rsid w:val="007B7565"/>
    <w:rsid w:val="007B7593"/>
    <w:rsid w:val="007B759E"/>
    <w:rsid w:val="007B77C6"/>
    <w:rsid w:val="007B7BEA"/>
    <w:rsid w:val="007B7CBA"/>
    <w:rsid w:val="007B7CFF"/>
    <w:rsid w:val="007B7D1C"/>
    <w:rsid w:val="007B7EBC"/>
    <w:rsid w:val="007B7F63"/>
    <w:rsid w:val="007B7F9A"/>
    <w:rsid w:val="007C005F"/>
    <w:rsid w:val="007C006F"/>
    <w:rsid w:val="007C0101"/>
    <w:rsid w:val="007C0188"/>
    <w:rsid w:val="007C01EA"/>
    <w:rsid w:val="007C0238"/>
    <w:rsid w:val="007C041F"/>
    <w:rsid w:val="007C04E1"/>
    <w:rsid w:val="007C0A76"/>
    <w:rsid w:val="007C0C5F"/>
    <w:rsid w:val="007C133A"/>
    <w:rsid w:val="007C1664"/>
    <w:rsid w:val="007C177F"/>
    <w:rsid w:val="007C197D"/>
    <w:rsid w:val="007C1B61"/>
    <w:rsid w:val="007C1C8E"/>
    <w:rsid w:val="007C1F70"/>
    <w:rsid w:val="007C21ED"/>
    <w:rsid w:val="007C2678"/>
    <w:rsid w:val="007C28F1"/>
    <w:rsid w:val="007C2C6B"/>
    <w:rsid w:val="007C2F7F"/>
    <w:rsid w:val="007C3012"/>
    <w:rsid w:val="007C307B"/>
    <w:rsid w:val="007C3147"/>
    <w:rsid w:val="007C324B"/>
    <w:rsid w:val="007C3355"/>
    <w:rsid w:val="007C3AF5"/>
    <w:rsid w:val="007C3BE4"/>
    <w:rsid w:val="007C3C22"/>
    <w:rsid w:val="007C3C4B"/>
    <w:rsid w:val="007C3DB1"/>
    <w:rsid w:val="007C3E4E"/>
    <w:rsid w:val="007C4342"/>
    <w:rsid w:val="007C47C0"/>
    <w:rsid w:val="007C4899"/>
    <w:rsid w:val="007C4A58"/>
    <w:rsid w:val="007C4A5A"/>
    <w:rsid w:val="007C4AFC"/>
    <w:rsid w:val="007C4D6B"/>
    <w:rsid w:val="007C4F3B"/>
    <w:rsid w:val="007C543E"/>
    <w:rsid w:val="007C570F"/>
    <w:rsid w:val="007C5ABF"/>
    <w:rsid w:val="007C5D57"/>
    <w:rsid w:val="007C62DA"/>
    <w:rsid w:val="007C634F"/>
    <w:rsid w:val="007C65AD"/>
    <w:rsid w:val="007C66C9"/>
    <w:rsid w:val="007C6729"/>
    <w:rsid w:val="007C6855"/>
    <w:rsid w:val="007C68FA"/>
    <w:rsid w:val="007C6A48"/>
    <w:rsid w:val="007C6A5B"/>
    <w:rsid w:val="007C6B13"/>
    <w:rsid w:val="007C6B2F"/>
    <w:rsid w:val="007C6BC2"/>
    <w:rsid w:val="007C6D9B"/>
    <w:rsid w:val="007C6F32"/>
    <w:rsid w:val="007C70B6"/>
    <w:rsid w:val="007C73E1"/>
    <w:rsid w:val="007C74A1"/>
    <w:rsid w:val="007C755A"/>
    <w:rsid w:val="007C75FC"/>
    <w:rsid w:val="007C78A0"/>
    <w:rsid w:val="007C7EA3"/>
    <w:rsid w:val="007D02E1"/>
    <w:rsid w:val="007D0324"/>
    <w:rsid w:val="007D056E"/>
    <w:rsid w:val="007D074E"/>
    <w:rsid w:val="007D0890"/>
    <w:rsid w:val="007D0ABC"/>
    <w:rsid w:val="007D0C3E"/>
    <w:rsid w:val="007D0DF8"/>
    <w:rsid w:val="007D0E75"/>
    <w:rsid w:val="007D0ED7"/>
    <w:rsid w:val="007D12CE"/>
    <w:rsid w:val="007D1404"/>
    <w:rsid w:val="007D1846"/>
    <w:rsid w:val="007D1973"/>
    <w:rsid w:val="007D1EF3"/>
    <w:rsid w:val="007D1EFF"/>
    <w:rsid w:val="007D21D7"/>
    <w:rsid w:val="007D2211"/>
    <w:rsid w:val="007D227B"/>
    <w:rsid w:val="007D2616"/>
    <w:rsid w:val="007D28FF"/>
    <w:rsid w:val="007D2A8B"/>
    <w:rsid w:val="007D2A95"/>
    <w:rsid w:val="007D2C46"/>
    <w:rsid w:val="007D2CBB"/>
    <w:rsid w:val="007D2D17"/>
    <w:rsid w:val="007D2DF5"/>
    <w:rsid w:val="007D2FBD"/>
    <w:rsid w:val="007D3223"/>
    <w:rsid w:val="007D3264"/>
    <w:rsid w:val="007D32F2"/>
    <w:rsid w:val="007D34FA"/>
    <w:rsid w:val="007D35B3"/>
    <w:rsid w:val="007D3697"/>
    <w:rsid w:val="007D3729"/>
    <w:rsid w:val="007D3839"/>
    <w:rsid w:val="007D3937"/>
    <w:rsid w:val="007D3FBD"/>
    <w:rsid w:val="007D40DF"/>
    <w:rsid w:val="007D4267"/>
    <w:rsid w:val="007D4482"/>
    <w:rsid w:val="007D44E4"/>
    <w:rsid w:val="007D4645"/>
    <w:rsid w:val="007D46B9"/>
    <w:rsid w:val="007D47BA"/>
    <w:rsid w:val="007D48AA"/>
    <w:rsid w:val="007D49C9"/>
    <w:rsid w:val="007D4D9E"/>
    <w:rsid w:val="007D4E0C"/>
    <w:rsid w:val="007D53B7"/>
    <w:rsid w:val="007D55EA"/>
    <w:rsid w:val="007D56BE"/>
    <w:rsid w:val="007D5938"/>
    <w:rsid w:val="007D5C52"/>
    <w:rsid w:val="007D5C82"/>
    <w:rsid w:val="007D6005"/>
    <w:rsid w:val="007D6149"/>
    <w:rsid w:val="007D617D"/>
    <w:rsid w:val="007D664D"/>
    <w:rsid w:val="007D6BE2"/>
    <w:rsid w:val="007D6CE2"/>
    <w:rsid w:val="007D6EDD"/>
    <w:rsid w:val="007D70F2"/>
    <w:rsid w:val="007D7385"/>
    <w:rsid w:val="007D740F"/>
    <w:rsid w:val="007D7814"/>
    <w:rsid w:val="007D78F9"/>
    <w:rsid w:val="007D7E24"/>
    <w:rsid w:val="007E01F1"/>
    <w:rsid w:val="007E0437"/>
    <w:rsid w:val="007E0512"/>
    <w:rsid w:val="007E0570"/>
    <w:rsid w:val="007E083D"/>
    <w:rsid w:val="007E091D"/>
    <w:rsid w:val="007E0C9E"/>
    <w:rsid w:val="007E0CB8"/>
    <w:rsid w:val="007E1816"/>
    <w:rsid w:val="007E1921"/>
    <w:rsid w:val="007E1A2C"/>
    <w:rsid w:val="007E1B0E"/>
    <w:rsid w:val="007E1EA3"/>
    <w:rsid w:val="007E2406"/>
    <w:rsid w:val="007E27F1"/>
    <w:rsid w:val="007E2C2C"/>
    <w:rsid w:val="007E2E93"/>
    <w:rsid w:val="007E2FC6"/>
    <w:rsid w:val="007E30E3"/>
    <w:rsid w:val="007E3104"/>
    <w:rsid w:val="007E319F"/>
    <w:rsid w:val="007E32A5"/>
    <w:rsid w:val="007E3512"/>
    <w:rsid w:val="007E36C9"/>
    <w:rsid w:val="007E374F"/>
    <w:rsid w:val="007E379B"/>
    <w:rsid w:val="007E37C7"/>
    <w:rsid w:val="007E39B9"/>
    <w:rsid w:val="007E39E0"/>
    <w:rsid w:val="007E3B92"/>
    <w:rsid w:val="007E4343"/>
    <w:rsid w:val="007E4497"/>
    <w:rsid w:val="007E45BE"/>
    <w:rsid w:val="007E48CA"/>
    <w:rsid w:val="007E4A2E"/>
    <w:rsid w:val="007E4B2C"/>
    <w:rsid w:val="007E4BEE"/>
    <w:rsid w:val="007E4D98"/>
    <w:rsid w:val="007E4F97"/>
    <w:rsid w:val="007E4F99"/>
    <w:rsid w:val="007E5138"/>
    <w:rsid w:val="007E5227"/>
    <w:rsid w:val="007E529A"/>
    <w:rsid w:val="007E579E"/>
    <w:rsid w:val="007E57AE"/>
    <w:rsid w:val="007E5A07"/>
    <w:rsid w:val="007E5B23"/>
    <w:rsid w:val="007E5BA1"/>
    <w:rsid w:val="007E5BFA"/>
    <w:rsid w:val="007E5C5D"/>
    <w:rsid w:val="007E5C76"/>
    <w:rsid w:val="007E5D00"/>
    <w:rsid w:val="007E5EBF"/>
    <w:rsid w:val="007E639C"/>
    <w:rsid w:val="007E63B6"/>
    <w:rsid w:val="007E640C"/>
    <w:rsid w:val="007E645B"/>
    <w:rsid w:val="007E6718"/>
    <w:rsid w:val="007E690D"/>
    <w:rsid w:val="007E69A8"/>
    <w:rsid w:val="007E6A43"/>
    <w:rsid w:val="007E6B37"/>
    <w:rsid w:val="007E6CE5"/>
    <w:rsid w:val="007E6D3D"/>
    <w:rsid w:val="007E6DD6"/>
    <w:rsid w:val="007E7166"/>
    <w:rsid w:val="007E725A"/>
    <w:rsid w:val="007E72AC"/>
    <w:rsid w:val="007E7319"/>
    <w:rsid w:val="007E7416"/>
    <w:rsid w:val="007E77A7"/>
    <w:rsid w:val="007E789E"/>
    <w:rsid w:val="007E7AD5"/>
    <w:rsid w:val="007E7DE9"/>
    <w:rsid w:val="007ECB63"/>
    <w:rsid w:val="007F0163"/>
    <w:rsid w:val="007F021A"/>
    <w:rsid w:val="007F0295"/>
    <w:rsid w:val="007F04C0"/>
    <w:rsid w:val="007F06A2"/>
    <w:rsid w:val="007F0A17"/>
    <w:rsid w:val="007F0DFD"/>
    <w:rsid w:val="007F0E3B"/>
    <w:rsid w:val="007F0E81"/>
    <w:rsid w:val="007F0F7D"/>
    <w:rsid w:val="007F1058"/>
    <w:rsid w:val="007F11AA"/>
    <w:rsid w:val="007F13CD"/>
    <w:rsid w:val="007F16FB"/>
    <w:rsid w:val="007F1902"/>
    <w:rsid w:val="007F1AD7"/>
    <w:rsid w:val="007F1B5C"/>
    <w:rsid w:val="007F1E00"/>
    <w:rsid w:val="007F1E10"/>
    <w:rsid w:val="007F20EF"/>
    <w:rsid w:val="007F2A60"/>
    <w:rsid w:val="007F2D79"/>
    <w:rsid w:val="007F312E"/>
    <w:rsid w:val="007F374C"/>
    <w:rsid w:val="007F3801"/>
    <w:rsid w:val="007F3A62"/>
    <w:rsid w:val="007F3B7A"/>
    <w:rsid w:val="007F4136"/>
    <w:rsid w:val="007F414D"/>
    <w:rsid w:val="007F4324"/>
    <w:rsid w:val="007F4597"/>
    <w:rsid w:val="007F4620"/>
    <w:rsid w:val="007F46DB"/>
    <w:rsid w:val="007F478A"/>
    <w:rsid w:val="007F47F5"/>
    <w:rsid w:val="007F48E2"/>
    <w:rsid w:val="007F4B8A"/>
    <w:rsid w:val="007F5288"/>
    <w:rsid w:val="007F55FC"/>
    <w:rsid w:val="007F5998"/>
    <w:rsid w:val="007F59FA"/>
    <w:rsid w:val="007F5A0E"/>
    <w:rsid w:val="007F5AC7"/>
    <w:rsid w:val="007F5C15"/>
    <w:rsid w:val="007F5E42"/>
    <w:rsid w:val="007F5E6D"/>
    <w:rsid w:val="007F5E6F"/>
    <w:rsid w:val="007F5EE3"/>
    <w:rsid w:val="007F5F2D"/>
    <w:rsid w:val="007F65CC"/>
    <w:rsid w:val="007F6877"/>
    <w:rsid w:val="007F699D"/>
    <w:rsid w:val="007F6BE2"/>
    <w:rsid w:val="007F6D3B"/>
    <w:rsid w:val="007F6DB2"/>
    <w:rsid w:val="007F7174"/>
    <w:rsid w:val="007F720D"/>
    <w:rsid w:val="007F73FF"/>
    <w:rsid w:val="007F74A0"/>
    <w:rsid w:val="007F7723"/>
    <w:rsid w:val="007F7813"/>
    <w:rsid w:val="007F7DFB"/>
    <w:rsid w:val="0080006B"/>
    <w:rsid w:val="008000BF"/>
    <w:rsid w:val="00800134"/>
    <w:rsid w:val="008001DA"/>
    <w:rsid w:val="00800405"/>
    <w:rsid w:val="00800A1D"/>
    <w:rsid w:val="00800B08"/>
    <w:rsid w:val="00800DBF"/>
    <w:rsid w:val="0080105A"/>
    <w:rsid w:val="00801083"/>
    <w:rsid w:val="008013BE"/>
    <w:rsid w:val="008014EC"/>
    <w:rsid w:val="008014F1"/>
    <w:rsid w:val="0080163D"/>
    <w:rsid w:val="008018FA"/>
    <w:rsid w:val="00801AB4"/>
    <w:rsid w:val="00801B51"/>
    <w:rsid w:val="00801BAC"/>
    <w:rsid w:val="00801F67"/>
    <w:rsid w:val="00801FAE"/>
    <w:rsid w:val="008022FC"/>
    <w:rsid w:val="00802329"/>
    <w:rsid w:val="008023AE"/>
    <w:rsid w:val="00802416"/>
    <w:rsid w:val="00802805"/>
    <w:rsid w:val="008028F5"/>
    <w:rsid w:val="00802D1E"/>
    <w:rsid w:val="00802D1F"/>
    <w:rsid w:val="00802D5D"/>
    <w:rsid w:val="00802DB7"/>
    <w:rsid w:val="008030E2"/>
    <w:rsid w:val="00803135"/>
    <w:rsid w:val="00803162"/>
    <w:rsid w:val="00803273"/>
    <w:rsid w:val="00803448"/>
    <w:rsid w:val="008035CA"/>
    <w:rsid w:val="00803656"/>
    <w:rsid w:val="0080378B"/>
    <w:rsid w:val="0080380D"/>
    <w:rsid w:val="008038C7"/>
    <w:rsid w:val="00803A8E"/>
    <w:rsid w:val="00803B35"/>
    <w:rsid w:val="00803B75"/>
    <w:rsid w:val="00803C9F"/>
    <w:rsid w:val="00803E1E"/>
    <w:rsid w:val="0080409C"/>
    <w:rsid w:val="0080444D"/>
    <w:rsid w:val="0080453C"/>
    <w:rsid w:val="008046C2"/>
    <w:rsid w:val="008046DB"/>
    <w:rsid w:val="00804789"/>
    <w:rsid w:val="00804B9B"/>
    <w:rsid w:val="00804DF7"/>
    <w:rsid w:val="00804DF8"/>
    <w:rsid w:val="00804F5F"/>
    <w:rsid w:val="0080515D"/>
    <w:rsid w:val="008053B1"/>
    <w:rsid w:val="0080553F"/>
    <w:rsid w:val="00805801"/>
    <w:rsid w:val="0080580B"/>
    <w:rsid w:val="00805996"/>
    <w:rsid w:val="0080599E"/>
    <w:rsid w:val="00805AE4"/>
    <w:rsid w:val="00805B73"/>
    <w:rsid w:val="00806F3D"/>
    <w:rsid w:val="00806FBF"/>
    <w:rsid w:val="00807096"/>
    <w:rsid w:val="00807108"/>
    <w:rsid w:val="00807286"/>
    <w:rsid w:val="0080732C"/>
    <w:rsid w:val="008076CA"/>
    <w:rsid w:val="0080794C"/>
    <w:rsid w:val="00807AEF"/>
    <w:rsid w:val="00807B58"/>
    <w:rsid w:val="00807CF5"/>
    <w:rsid w:val="00807D06"/>
    <w:rsid w:val="00807EB4"/>
    <w:rsid w:val="00810058"/>
    <w:rsid w:val="0081017E"/>
    <w:rsid w:val="0081027D"/>
    <w:rsid w:val="008102ED"/>
    <w:rsid w:val="0081043F"/>
    <w:rsid w:val="00811406"/>
    <w:rsid w:val="00811426"/>
    <w:rsid w:val="00811A96"/>
    <w:rsid w:val="00811B70"/>
    <w:rsid w:val="00811B7C"/>
    <w:rsid w:val="00811C40"/>
    <w:rsid w:val="00811C5E"/>
    <w:rsid w:val="00811D98"/>
    <w:rsid w:val="0081221E"/>
    <w:rsid w:val="00812555"/>
    <w:rsid w:val="008127F1"/>
    <w:rsid w:val="0081287D"/>
    <w:rsid w:val="00812982"/>
    <w:rsid w:val="00812B9D"/>
    <w:rsid w:val="00812C92"/>
    <w:rsid w:val="00812CF3"/>
    <w:rsid w:val="00812FFC"/>
    <w:rsid w:val="008135B8"/>
    <w:rsid w:val="008135DB"/>
    <w:rsid w:val="0081374D"/>
    <w:rsid w:val="00813960"/>
    <w:rsid w:val="00813D21"/>
    <w:rsid w:val="00813D2F"/>
    <w:rsid w:val="00813E4A"/>
    <w:rsid w:val="00814324"/>
    <w:rsid w:val="00814329"/>
    <w:rsid w:val="00814412"/>
    <w:rsid w:val="008145B8"/>
    <w:rsid w:val="00814619"/>
    <w:rsid w:val="008147D7"/>
    <w:rsid w:val="008147E7"/>
    <w:rsid w:val="008149D1"/>
    <w:rsid w:val="00814DE3"/>
    <w:rsid w:val="00814EC6"/>
    <w:rsid w:val="00814EF5"/>
    <w:rsid w:val="00814F7A"/>
    <w:rsid w:val="00815010"/>
    <w:rsid w:val="00815043"/>
    <w:rsid w:val="0081508B"/>
    <w:rsid w:val="008154C0"/>
    <w:rsid w:val="00815B30"/>
    <w:rsid w:val="00815BBC"/>
    <w:rsid w:val="00815E10"/>
    <w:rsid w:val="00815F75"/>
    <w:rsid w:val="0081609A"/>
    <w:rsid w:val="008163ED"/>
    <w:rsid w:val="008168C9"/>
    <w:rsid w:val="00816BBC"/>
    <w:rsid w:val="00816C53"/>
    <w:rsid w:val="0081715A"/>
    <w:rsid w:val="00817658"/>
    <w:rsid w:val="00817667"/>
    <w:rsid w:val="008176CB"/>
    <w:rsid w:val="00817826"/>
    <w:rsid w:val="00817872"/>
    <w:rsid w:val="008179A8"/>
    <w:rsid w:val="00817AA4"/>
    <w:rsid w:val="00817B69"/>
    <w:rsid w:val="00817D3F"/>
    <w:rsid w:val="00817DC9"/>
    <w:rsid w:val="00817EE9"/>
    <w:rsid w:val="00817FC2"/>
    <w:rsid w:val="0082001E"/>
    <w:rsid w:val="008201B5"/>
    <w:rsid w:val="0082020A"/>
    <w:rsid w:val="00820380"/>
    <w:rsid w:val="00820387"/>
    <w:rsid w:val="00820746"/>
    <w:rsid w:val="0082092B"/>
    <w:rsid w:val="00820E02"/>
    <w:rsid w:val="00820E8C"/>
    <w:rsid w:val="00821185"/>
    <w:rsid w:val="0082130C"/>
    <w:rsid w:val="008213B9"/>
    <w:rsid w:val="00821C05"/>
    <w:rsid w:val="00821CA5"/>
    <w:rsid w:val="00821ED8"/>
    <w:rsid w:val="00821F29"/>
    <w:rsid w:val="00821F2F"/>
    <w:rsid w:val="00822217"/>
    <w:rsid w:val="00822268"/>
    <w:rsid w:val="0082236C"/>
    <w:rsid w:val="008227AB"/>
    <w:rsid w:val="008227F6"/>
    <w:rsid w:val="00822C9F"/>
    <w:rsid w:val="00822D8C"/>
    <w:rsid w:val="00822EF5"/>
    <w:rsid w:val="00823177"/>
    <w:rsid w:val="008231F5"/>
    <w:rsid w:val="008236AF"/>
    <w:rsid w:val="008237A3"/>
    <w:rsid w:val="00823A4F"/>
    <w:rsid w:val="00823A8C"/>
    <w:rsid w:val="00823AA6"/>
    <w:rsid w:val="00823FCC"/>
    <w:rsid w:val="00824361"/>
    <w:rsid w:val="008246D4"/>
    <w:rsid w:val="00824E77"/>
    <w:rsid w:val="00824FB1"/>
    <w:rsid w:val="008252C0"/>
    <w:rsid w:val="008252E1"/>
    <w:rsid w:val="0082559F"/>
    <w:rsid w:val="00825ACA"/>
    <w:rsid w:val="00825CCE"/>
    <w:rsid w:val="00825D6F"/>
    <w:rsid w:val="00825DA5"/>
    <w:rsid w:val="00825E33"/>
    <w:rsid w:val="00825E71"/>
    <w:rsid w:val="00826514"/>
    <w:rsid w:val="0082672F"/>
    <w:rsid w:val="008269E2"/>
    <w:rsid w:val="00826AD9"/>
    <w:rsid w:val="00826D1D"/>
    <w:rsid w:val="00827083"/>
    <w:rsid w:val="00827174"/>
    <w:rsid w:val="008271E2"/>
    <w:rsid w:val="0082765C"/>
    <w:rsid w:val="0082770D"/>
    <w:rsid w:val="0082776B"/>
    <w:rsid w:val="008277F2"/>
    <w:rsid w:val="0082783D"/>
    <w:rsid w:val="008303BB"/>
    <w:rsid w:val="008305ED"/>
    <w:rsid w:val="00830622"/>
    <w:rsid w:val="00830981"/>
    <w:rsid w:val="00830A11"/>
    <w:rsid w:val="00830A20"/>
    <w:rsid w:val="00831141"/>
    <w:rsid w:val="0083159E"/>
    <w:rsid w:val="0083180C"/>
    <w:rsid w:val="008318C5"/>
    <w:rsid w:val="00831C16"/>
    <w:rsid w:val="00831C7E"/>
    <w:rsid w:val="0083204E"/>
    <w:rsid w:val="0083215E"/>
    <w:rsid w:val="008321D0"/>
    <w:rsid w:val="0083229E"/>
    <w:rsid w:val="00832496"/>
    <w:rsid w:val="0083252E"/>
    <w:rsid w:val="0083258F"/>
    <w:rsid w:val="008325B9"/>
    <w:rsid w:val="00832610"/>
    <w:rsid w:val="00832B86"/>
    <w:rsid w:val="00832BFD"/>
    <w:rsid w:val="00833176"/>
    <w:rsid w:val="0083337A"/>
    <w:rsid w:val="00833DBE"/>
    <w:rsid w:val="00833F6A"/>
    <w:rsid w:val="00834337"/>
    <w:rsid w:val="008343D2"/>
    <w:rsid w:val="008345F7"/>
    <w:rsid w:val="008346D8"/>
    <w:rsid w:val="0083477B"/>
    <w:rsid w:val="008348A1"/>
    <w:rsid w:val="008349C0"/>
    <w:rsid w:val="00834B4C"/>
    <w:rsid w:val="00834BF7"/>
    <w:rsid w:val="00834CA6"/>
    <w:rsid w:val="00834CBE"/>
    <w:rsid w:val="00834CE1"/>
    <w:rsid w:val="00834CEB"/>
    <w:rsid w:val="008353C7"/>
    <w:rsid w:val="008353FB"/>
    <w:rsid w:val="008355EC"/>
    <w:rsid w:val="00835901"/>
    <w:rsid w:val="008359DF"/>
    <w:rsid w:val="00835B35"/>
    <w:rsid w:val="00836034"/>
    <w:rsid w:val="008363C3"/>
    <w:rsid w:val="00836856"/>
    <w:rsid w:val="0083694E"/>
    <w:rsid w:val="00836E57"/>
    <w:rsid w:val="0083705A"/>
    <w:rsid w:val="00837177"/>
    <w:rsid w:val="008374B9"/>
    <w:rsid w:val="0083759C"/>
    <w:rsid w:val="00837781"/>
    <w:rsid w:val="00837809"/>
    <w:rsid w:val="00837A94"/>
    <w:rsid w:val="00837E1F"/>
    <w:rsid w:val="00837E91"/>
    <w:rsid w:val="00837E96"/>
    <w:rsid w:val="00837EA7"/>
    <w:rsid w:val="00837EB7"/>
    <w:rsid w:val="00837FCB"/>
    <w:rsid w:val="008400F5"/>
    <w:rsid w:val="00840167"/>
    <w:rsid w:val="00840242"/>
    <w:rsid w:val="00840540"/>
    <w:rsid w:val="00840919"/>
    <w:rsid w:val="008409B4"/>
    <w:rsid w:val="00840ABB"/>
    <w:rsid w:val="00840DD3"/>
    <w:rsid w:val="00840DD5"/>
    <w:rsid w:val="00840F95"/>
    <w:rsid w:val="00841024"/>
    <w:rsid w:val="008410A6"/>
    <w:rsid w:val="00841126"/>
    <w:rsid w:val="0084144E"/>
    <w:rsid w:val="00841557"/>
    <w:rsid w:val="0084197E"/>
    <w:rsid w:val="0084197F"/>
    <w:rsid w:val="00841A8F"/>
    <w:rsid w:val="00841DD0"/>
    <w:rsid w:val="00842123"/>
    <w:rsid w:val="008421A5"/>
    <w:rsid w:val="00842261"/>
    <w:rsid w:val="008425AF"/>
    <w:rsid w:val="00842986"/>
    <w:rsid w:val="00842AE4"/>
    <w:rsid w:val="00842D50"/>
    <w:rsid w:val="00843003"/>
    <w:rsid w:val="00843139"/>
    <w:rsid w:val="0084323E"/>
    <w:rsid w:val="00843628"/>
    <w:rsid w:val="00843654"/>
    <w:rsid w:val="00843666"/>
    <w:rsid w:val="00843919"/>
    <w:rsid w:val="00843A63"/>
    <w:rsid w:val="00843C27"/>
    <w:rsid w:val="00843C68"/>
    <w:rsid w:val="00843D90"/>
    <w:rsid w:val="00843F7A"/>
    <w:rsid w:val="0084430B"/>
    <w:rsid w:val="008449A2"/>
    <w:rsid w:val="008449F4"/>
    <w:rsid w:val="00844B16"/>
    <w:rsid w:val="00844DD4"/>
    <w:rsid w:val="00844E99"/>
    <w:rsid w:val="00845149"/>
    <w:rsid w:val="0084543B"/>
    <w:rsid w:val="0084544E"/>
    <w:rsid w:val="008455ED"/>
    <w:rsid w:val="0084578B"/>
    <w:rsid w:val="00845A18"/>
    <w:rsid w:val="00845A55"/>
    <w:rsid w:val="00845A64"/>
    <w:rsid w:val="00845D49"/>
    <w:rsid w:val="00845E8E"/>
    <w:rsid w:val="00845F0C"/>
    <w:rsid w:val="00846444"/>
    <w:rsid w:val="0084661C"/>
    <w:rsid w:val="008467DA"/>
    <w:rsid w:val="00846889"/>
    <w:rsid w:val="00846C4E"/>
    <w:rsid w:val="00846C9E"/>
    <w:rsid w:val="0084718F"/>
    <w:rsid w:val="00847208"/>
    <w:rsid w:val="00847829"/>
    <w:rsid w:val="00847AFC"/>
    <w:rsid w:val="00847B92"/>
    <w:rsid w:val="00847D34"/>
    <w:rsid w:val="00847DB9"/>
    <w:rsid w:val="00847F08"/>
    <w:rsid w:val="0085000A"/>
    <w:rsid w:val="0085032E"/>
    <w:rsid w:val="008504AB"/>
    <w:rsid w:val="00850641"/>
    <w:rsid w:val="00850A8E"/>
    <w:rsid w:val="00850AEB"/>
    <w:rsid w:val="008513EC"/>
    <w:rsid w:val="008516FC"/>
    <w:rsid w:val="00851800"/>
    <w:rsid w:val="008518DD"/>
    <w:rsid w:val="00851AF8"/>
    <w:rsid w:val="00851C38"/>
    <w:rsid w:val="00851D92"/>
    <w:rsid w:val="00851E3A"/>
    <w:rsid w:val="00852049"/>
    <w:rsid w:val="00852278"/>
    <w:rsid w:val="008522C8"/>
    <w:rsid w:val="008522E7"/>
    <w:rsid w:val="0085232E"/>
    <w:rsid w:val="008526EA"/>
    <w:rsid w:val="00852CCC"/>
    <w:rsid w:val="0085303F"/>
    <w:rsid w:val="008532EB"/>
    <w:rsid w:val="008533C0"/>
    <w:rsid w:val="0085371E"/>
    <w:rsid w:val="008537B7"/>
    <w:rsid w:val="00853CDB"/>
    <w:rsid w:val="008541C1"/>
    <w:rsid w:val="008547F8"/>
    <w:rsid w:val="008548AD"/>
    <w:rsid w:val="008548DF"/>
    <w:rsid w:val="00854914"/>
    <w:rsid w:val="00854CBB"/>
    <w:rsid w:val="00854D7B"/>
    <w:rsid w:val="00855226"/>
    <w:rsid w:val="0085532A"/>
    <w:rsid w:val="00855435"/>
    <w:rsid w:val="00855485"/>
    <w:rsid w:val="00855528"/>
    <w:rsid w:val="00855947"/>
    <w:rsid w:val="00855ACF"/>
    <w:rsid w:val="00855B56"/>
    <w:rsid w:val="00855C47"/>
    <w:rsid w:val="00855E25"/>
    <w:rsid w:val="00855E47"/>
    <w:rsid w:val="00856095"/>
    <w:rsid w:val="008560DC"/>
    <w:rsid w:val="008566F3"/>
    <w:rsid w:val="008568AE"/>
    <w:rsid w:val="00856984"/>
    <w:rsid w:val="00856ADC"/>
    <w:rsid w:val="00856D6D"/>
    <w:rsid w:val="00856F3E"/>
    <w:rsid w:val="008572F2"/>
    <w:rsid w:val="00857495"/>
    <w:rsid w:val="00857498"/>
    <w:rsid w:val="008574A0"/>
    <w:rsid w:val="00857A7D"/>
    <w:rsid w:val="00857B0B"/>
    <w:rsid w:val="00857B50"/>
    <w:rsid w:val="00857BFA"/>
    <w:rsid w:val="0085883D"/>
    <w:rsid w:val="0086022C"/>
    <w:rsid w:val="00860646"/>
    <w:rsid w:val="0086090A"/>
    <w:rsid w:val="008609A6"/>
    <w:rsid w:val="00860D39"/>
    <w:rsid w:val="00860F0E"/>
    <w:rsid w:val="00860FA1"/>
    <w:rsid w:val="00860FAC"/>
    <w:rsid w:val="0086116E"/>
    <w:rsid w:val="0086188A"/>
    <w:rsid w:val="008619E5"/>
    <w:rsid w:val="00861C58"/>
    <w:rsid w:val="008620BB"/>
    <w:rsid w:val="008625EF"/>
    <w:rsid w:val="008626B0"/>
    <w:rsid w:val="00862824"/>
    <w:rsid w:val="0086283C"/>
    <w:rsid w:val="0086290A"/>
    <w:rsid w:val="00862B0B"/>
    <w:rsid w:val="00862B1A"/>
    <w:rsid w:val="00862E64"/>
    <w:rsid w:val="00862E79"/>
    <w:rsid w:val="00862F5A"/>
    <w:rsid w:val="00863249"/>
    <w:rsid w:val="008632D2"/>
    <w:rsid w:val="008633C1"/>
    <w:rsid w:val="0086347E"/>
    <w:rsid w:val="00863E92"/>
    <w:rsid w:val="0086415D"/>
    <w:rsid w:val="00864178"/>
    <w:rsid w:val="0086441C"/>
    <w:rsid w:val="00864557"/>
    <w:rsid w:val="00864901"/>
    <w:rsid w:val="00864AD9"/>
    <w:rsid w:val="00864DDC"/>
    <w:rsid w:val="00864EF6"/>
    <w:rsid w:val="0086515A"/>
    <w:rsid w:val="008651BC"/>
    <w:rsid w:val="008651FA"/>
    <w:rsid w:val="00865FE8"/>
    <w:rsid w:val="0086600C"/>
    <w:rsid w:val="008660EA"/>
    <w:rsid w:val="00866102"/>
    <w:rsid w:val="0086630C"/>
    <w:rsid w:val="00866313"/>
    <w:rsid w:val="0086649A"/>
    <w:rsid w:val="008664D9"/>
    <w:rsid w:val="0086671F"/>
    <w:rsid w:val="00866A57"/>
    <w:rsid w:val="00867222"/>
    <w:rsid w:val="008674AA"/>
    <w:rsid w:val="0086753C"/>
    <w:rsid w:val="00867586"/>
    <w:rsid w:val="0086784E"/>
    <w:rsid w:val="00867C35"/>
    <w:rsid w:val="00867D7A"/>
    <w:rsid w:val="00870506"/>
    <w:rsid w:val="00870557"/>
    <w:rsid w:val="008705A7"/>
    <w:rsid w:val="008706C8"/>
    <w:rsid w:val="008707B3"/>
    <w:rsid w:val="008707F6"/>
    <w:rsid w:val="00870C94"/>
    <w:rsid w:val="00870CD4"/>
    <w:rsid w:val="00870E6D"/>
    <w:rsid w:val="0087101A"/>
    <w:rsid w:val="008710E2"/>
    <w:rsid w:val="0087118E"/>
    <w:rsid w:val="0087119D"/>
    <w:rsid w:val="0087153B"/>
    <w:rsid w:val="00871601"/>
    <w:rsid w:val="00871944"/>
    <w:rsid w:val="00871950"/>
    <w:rsid w:val="00871D35"/>
    <w:rsid w:val="00871DDF"/>
    <w:rsid w:val="0087203F"/>
    <w:rsid w:val="008720A9"/>
    <w:rsid w:val="008720AB"/>
    <w:rsid w:val="0087210B"/>
    <w:rsid w:val="008721AA"/>
    <w:rsid w:val="008722B8"/>
    <w:rsid w:val="008723A3"/>
    <w:rsid w:val="0087243F"/>
    <w:rsid w:val="00872606"/>
    <w:rsid w:val="00872710"/>
    <w:rsid w:val="008728F2"/>
    <w:rsid w:val="008729DA"/>
    <w:rsid w:val="0087311F"/>
    <w:rsid w:val="008735F4"/>
    <w:rsid w:val="00873DF1"/>
    <w:rsid w:val="00873E31"/>
    <w:rsid w:val="008740B6"/>
    <w:rsid w:val="0087418F"/>
    <w:rsid w:val="008742A5"/>
    <w:rsid w:val="0087444C"/>
    <w:rsid w:val="0087456E"/>
    <w:rsid w:val="008745C4"/>
    <w:rsid w:val="00874700"/>
    <w:rsid w:val="0087493B"/>
    <w:rsid w:val="00874B90"/>
    <w:rsid w:val="00874C79"/>
    <w:rsid w:val="00874D7D"/>
    <w:rsid w:val="00874DB8"/>
    <w:rsid w:val="00874DF5"/>
    <w:rsid w:val="008751C1"/>
    <w:rsid w:val="00875306"/>
    <w:rsid w:val="0087540D"/>
    <w:rsid w:val="00875540"/>
    <w:rsid w:val="008758CC"/>
    <w:rsid w:val="00875B03"/>
    <w:rsid w:val="00876005"/>
    <w:rsid w:val="008760FE"/>
    <w:rsid w:val="00876211"/>
    <w:rsid w:val="0087647C"/>
    <w:rsid w:val="008764E9"/>
    <w:rsid w:val="008765A0"/>
    <w:rsid w:val="00876808"/>
    <w:rsid w:val="0087695F"/>
    <w:rsid w:val="008769DA"/>
    <w:rsid w:val="00876AAA"/>
    <w:rsid w:val="00876C9C"/>
    <w:rsid w:val="00876CFF"/>
    <w:rsid w:val="00876E85"/>
    <w:rsid w:val="00876F01"/>
    <w:rsid w:val="008771DD"/>
    <w:rsid w:val="008772BB"/>
    <w:rsid w:val="0087741D"/>
    <w:rsid w:val="00877530"/>
    <w:rsid w:val="008775BD"/>
    <w:rsid w:val="008775C1"/>
    <w:rsid w:val="008778FF"/>
    <w:rsid w:val="00877A7E"/>
    <w:rsid w:val="00877BE8"/>
    <w:rsid w:val="00877F56"/>
    <w:rsid w:val="0088019D"/>
    <w:rsid w:val="00880499"/>
    <w:rsid w:val="008806AF"/>
    <w:rsid w:val="00880C63"/>
    <w:rsid w:val="00880CC8"/>
    <w:rsid w:val="00880CCA"/>
    <w:rsid w:val="00880EC5"/>
    <w:rsid w:val="0088102E"/>
    <w:rsid w:val="0088106D"/>
    <w:rsid w:val="00881100"/>
    <w:rsid w:val="00881370"/>
    <w:rsid w:val="00881578"/>
    <w:rsid w:val="0088192C"/>
    <w:rsid w:val="00881A3C"/>
    <w:rsid w:val="00881AE1"/>
    <w:rsid w:val="00881CF3"/>
    <w:rsid w:val="00881D96"/>
    <w:rsid w:val="00881F48"/>
    <w:rsid w:val="00882026"/>
    <w:rsid w:val="00882169"/>
    <w:rsid w:val="00882CBD"/>
    <w:rsid w:val="00882D61"/>
    <w:rsid w:val="00883440"/>
    <w:rsid w:val="008834C6"/>
    <w:rsid w:val="008837FA"/>
    <w:rsid w:val="0088382B"/>
    <w:rsid w:val="00883962"/>
    <w:rsid w:val="00883B6B"/>
    <w:rsid w:val="00883CC1"/>
    <w:rsid w:val="00883D8C"/>
    <w:rsid w:val="00883EF2"/>
    <w:rsid w:val="0088427E"/>
    <w:rsid w:val="00884751"/>
    <w:rsid w:val="0088481A"/>
    <w:rsid w:val="00884935"/>
    <w:rsid w:val="00884946"/>
    <w:rsid w:val="00884A30"/>
    <w:rsid w:val="00884BC8"/>
    <w:rsid w:val="00884EEE"/>
    <w:rsid w:val="00884F46"/>
    <w:rsid w:val="00885282"/>
    <w:rsid w:val="0088541B"/>
    <w:rsid w:val="0088571E"/>
    <w:rsid w:val="00885E3E"/>
    <w:rsid w:val="00885E88"/>
    <w:rsid w:val="0088602F"/>
    <w:rsid w:val="00886345"/>
    <w:rsid w:val="00886359"/>
    <w:rsid w:val="00886AB5"/>
    <w:rsid w:val="00886B0F"/>
    <w:rsid w:val="00886F71"/>
    <w:rsid w:val="00886F93"/>
    <w:rsid w:val="00887146"/>
    <w:rsid w:val="008872BF"/>
    <w:rsid w:val="00887506"/>
    <w:rsid w:val="00887530"/>
    <w:rsid w:val="008875A4"/>
    <w:rsid w:val="008876E7"/>
    <w:rsid w:val="00887C7C"/>
    <w:rsid w:val="00887D87"/>
    <w:rsid w:val="008901C2"/>
    <w:rsid w:val="00890350"/>
    <w:rsid w:val="008905A1"/>
    <w:rsid w:val="008907D6"/>
    <w:rsid w:val="0089095C"/>
    <w:rsid w:val="00890AB7"/>
    <w:rsid w:val="00891053"/>
    <w:rsid w:val="008910CE"/>
    <w:rsid w:val="00891215"/>
    <w:rsid w:val="00891261"/>
    <w:rsid w:val="008912A0"/>
    <w:rsid w:val="00891372"/>
    <w:rsid w:val="008913D1"/>
    <w:rsid w:val="008914C0"/>
    <w:rsid w:val="0089156A"/>
    <w:rsid w:val="00891689"/>
    <w:rsid w:val="008916E7"/>
    <w:rsid w:val="0089175D"/>
    <w:rsid w:val="008917EC"/>
    <w:rsid w:val="00891DA7"/>
    <w:rsid w:val="00891DB2"/>
    <w:rsid w:val="00891DFC"/>
    <w:rsid w:val="008920F1"/>
    <w:rsid w:val="00892399"/>
    <w:rsid w:val="0089246F"/>
    <w:rsid w:val="008924D3"/>
    <w:rsid w:val="0089256C"/>
    <w:rsid w:val="00892917"/>
    <w:rsid w:val="0089292F"/>
    <w:rsid w:val="0089299C"/>
    <w:rsid w:val="00892DE3"/>
    <w:rsid w:val="00893042"/>
    <w:rsid w:val="00893342"/>
    <w:rsid w:val="008936C9"/>
    <w:rsid w:val="00893996"/>
    <w:rsid w:val="00893F23"/>
    <w:rsid w:val="00893FB7"/>
    <w:rsid w:val="008944FF"/>
    <w:rsid w:val="0089451E"/>
    <w:rsid w:val="0089469B"/>
    <w:rsid w:val="00894769"/>
    <w:rsid w:val="008947A2"/>
    <w:rsid w:val="00894868"/>
    <w:rsid w:val="00894883"/>
    <w:rsid w:val="008951DB"/>
    <w:rsid w:val="00895306"/>
    <w:rsid w:val="0089536A"/>
    <w:rsid w:val="008954F6"/>
    <w:rsid w:val="008955A0"/>
    <w:rsid w:val="008955A6"/>
    <w:rsid w:val="008956AB"/>
    <w:rsid w:val="008956F7"/>
    <w:rsid w:val="008959E1"/>
    <w:rsid w:val="00895A8F"/>
    <w:rsid w:val="00895DA9"/>
    <w:rsid w:val="00895DD3"/>
    <w:rsid w:val="00895EFB"/>
    <w:rsid w:val="00896043"/>
    <w:rsid w:val="00896134"/>
    <w:rsid w:val="008962BE"/>
    <w:rsid w:val="00896551"/>
    <w:rsid w:val="00896B24"/>
    <w:rsid w:val="00896FD1"/>
    <w:rsid w:val="008973C4"/>
    <w:rsid w:val="008978FA"/>
    <w:rsid w:val="008979AA"/>
    <w:rsid w:val="00897C7E"/>
    <w:rsid w:val="00897E36"/>
    <w:rsid w:val="008A0312"/>
    <w:rsid w:val="008A0562"/>
    <w:rsid w:val="008A05F3"/>
    <w:rsid w:val="008A06A0"/>
    <w:rsid w:val="008A090E"/>
    <w:rsid w:val="008A0959"/>
    <w:rsid w:val="008A0EFA"/>
    <w:rsid w:val="008A1124"/>
    <w:rsid w:val="008A13A3"/>
    <w:rsid w:val="008A14B5"/>
    <w:rsid w:val="008A14BF"/>
    <w:rsid w:val="008A166B"/>
    <w:rsid w:val="008A170A"/>
    <w:rsid w:val="008A1A08"/>
    <w:rsid w:val="008A1A7E"/>
    <w:rsid w:val="008A1AB9"/>
    <w:rsid w:val="008A1B4F"/>
    <w:rsid w:val="008A1B68"/>
    <w:rsid w:val="008A1BA9"/>
    <w:rsid w:val="008A1F7C"/>
    <w:rsid w:val="008A23BC"/>
    <w:rsid w:val="008A240A"/>
    <w:rsid w:val="008A25F1"/>
    <w:rsid w:val="008A2652"/>
    <w:rsid w:val="008A267A"/>
    <w:rsid w:val="008A27FF"/>
    <w:rsid w:val="008A286A"/>
    <w:rsid w:val="008A29A7"/>
    <w:rsid w:val="008A2AA5"/>
    <w:rsid w:val="008A2BB2"/>
    <w:rsid w:val="008A2BDC"/>
    <w:rsid w:val="008A2EF6"/>
    <w:rsid w:val="008A2F5B"/>
    <w:rsid w:val="008A2F88"/>
    <w:rsid w:val="008A2FA6"/>
    <w:rsid w:val="008A2FDC"/>
    <w:rsid w:val="008A327C"/>
    <w:rsid w:val="008A3372"/>
    <w:rsid w:val="008A3381"/>
    <w:rsid w:val="008A34FC"/>
    <w:rsid w:val="008A379D"/>
    <w:rsid w:val="008A380B"/>
    <w:rsid w:val="008A3B6C"/>
    <w:rsid w:val="008A3C56"/>
    <w:rsid w:val="008A3F53"/>
    <w:rsid w:val="008A4315"/>
    <w:rsid w:val="008A43AE"/>
    <w:rsid w:val="008A43E3"/>
    <w:rsid w:val="008A56CC"/>
    <w:rsid w:val="008A5983"/>
    <w:rsid w:val="008A5BA1"/>
    <w:rsid w:val="008A624D"/>
    <w:rsid w:val="008A6294"/>
    <w:rsid w:val="008A6537"/>
    <w:rsid w:val="008A6736"/>
    <w:rsid w:val="008A68A7"/>
    <w:rsid w:val="008A68C0"/>
    <w:rsid w:val="008A68C2"/>
    <w:rsid w:val="008A6A49"/>
    <w:rsid w:val="008A6AEA"/>
    <w:rsid w:val="008A6C1F"/>
    <w:rsid w:val="008A6C8F"/>
    <w:rsid w:val="008A6C9A"/>
    <w:rsid w:val="008A6D7E"/>
    <w:rsid w:val="008A6E4C"/>
    <w:rsid w:val="008A6F4C"/>
    <w:rsid w:val="008A700F"/>
    <w:rsid w:val="008A7213"/>
    <w:rsid w:val="008A7313"/>
    <w:rsid w:val="008A73A7"/>
    <w:rsid w:val="008A74DA"/>
    <w:rsid w:val="008A7684"/>
    <w:rsid w:val="008A76DB"/>
    <w:rsid w:val="008A77CA"/>
    <w:rsid w:val="008A7AFD"/>
    <w:rsid w:val="008A7F2F"/>
    <w:rsid w:val="008A7F86"/>
    <w:rsid w:val="008B01AD"/>
    <w:rsid w:val="008B0280"/>
    <w:rsid w:val="008B05BA"/>
    <w:rsid w:val="008B0773"/>
    <w:rsid w:val="008B07B6"/>
    <w:rsid w:val="008B0CA5"/>
    <w:rsid w:val="008B0CA6"/>
    <w:rsid w:val="008B10D8"/>
    <w:rsid w:val="008B1457"/>
    <w:rsid w:val="008B1580"/>
    <w:rsid w:val="008B16D0"/>
    <w:rsid w:val="008B1B95"/>
    <w:rsid w:val="008B1C19"/>
    <w:rsid w:val="008B1E90"/>
    <w:rsid w:val="008B20CB"/>
    <w:rsid w:val="008B2169"/>
    <w:rsid w:val="008B2296"/>
    <w:rsid w:val="008B2592"/>
    <w:rsid w:val="008B2854"/>
    <w:rsid w:val="008B2A08"/>
    <w:rsid w:val="008B2B21"/>
    <w:rsid w:val="008B2E72"/>
    <w:rsid w:val="008B339B"/>
    <w:rsid w:val="008B36BB"/>
    <w:rsid w:val="008B3744"/>
    <w:rsid w:val="008B386F"/>
    <w:rsid w:val="008B3A59"/>
    <w:rsid w:val="008B3B73"/>
    <w:rsid w:val="008B3B76"/>
    <w:rsid w:val="008B3DC7"/>
    <w:rsid w:val="008B426A"/>
    <w:rsid w:val="008B44B1"/>
    <w:rsid w:val="008B44E6"/>
    <w:rsid w:val="008B4559"/>
    <w:rsid w:val="008B4833"/>
    <w:rsid w:val="008B4B3B"/>
    <w:rsid w:val="008B4BFC"/>
    <w:rsid w:val="008B4D2C"/>
    <w:rsid w:val="008B4F97"/>
    <w:rsid w:val="008B4FD9"/>
    <w:rsid w:val="008B5016"/>
    <w:rsid w:val="008B52F4"/>
    <w:rsid w:val="008B54CC"/>
    <w:rsid w:val="008B5B6B"/>
    <w:rsid w:val="008B5BCA"/>
    <w:rsid w:val="008B5D29"/>
    <w:rsid w:val="008B5E22"/>
    <w:rsid w:val="008B5E44"/>
    <w:rsid w:val="008B5F7C"/>
    <w:rsid w:val="008B606A"/>
    <w:rsid w:val="008B64CC"/>
    <w:rsid w:val="008B650F"/>
    <w:rsid w:val="008B665A"/>
    <w:rsid w:val="008B6863"/>
    <w:rsid w:val="008B690C"/>
    <w:rsid w:val="008B6A3F"/>
    <w:rsid w:val="008B6C3A"/>
    <w:rsid w:val="008B6DA5"/>
    <w:rsid w:val="008B6E1D"/>
    <w:rsid w:val="008B6EF8"/>
    <w:rsid w:val="008B7206"/>
    <w:rsid w:val="008B72C2"/>
    <w:rsid w:val="008B72CC"/>
    <w:rsid w:val="008B72F4"/>
    <w:rsid w:val="008B74AF"/>
    <w:rsid w:val="008B74C0"/>
    <w:rsid w:val="008B74FF"/>
    <w:rsid w:val="008B7A10"/>
    <w:rsid w:val="008B7CFE"/>
    <w:rsid w:val="008C00CF"/>
    <w:rsid w:val="008C0344"/>
    <w:rsid w:val="008C0959"/>
    <w:rsid w:val="008C1001"/>
    <w:rsid w:val="008C1107"/>
    <w:rsid w:val="008C1287"/>
    <w:rsid w:val="008C13F5"/>
    <w:rsid w:val="008C1465"/>
    <w:rsid w:val="008C1668"/>
    <w:rsid w:val="008C1726"/>
    <w:rsid w:val="008C1899"/>
    <w:rsid w:val="008C1A3B"/>
    <w:rsid w:val="008C1C81"/>
    <w:rsid w:val="008C1F40"/>
    <w:rsid w:val="008C2152"/>
    <w:rsid w:val="008C21DC"/>
    <w:rsid w:val="008C2403"/>
    <w:rsid w:val="008C25DA"/>
    <w:rsid w:val="008C2614"/>
    <w:rsid w:val="008C26CD"/>
    <w:rsid w:val="008C27C4"/>
    <w:rsid w:val="008C2853"/>
    <w:rsid w:val="008C29B7"/>
    <w:rsid w:val="008C2A9F"/>
    <w:rsid w:val="008C2B5C"/>
    <w:rsid w:val="008C2CB5"/>
    <w:rsid w:val="008C2D44"/>
    <w:rsid w:val="008C2E16"/>
    <w:rsid w:val="008C2F62"/>
    <w:rsid w:val="008C2F75"/>
    <w:rsid w:val="008C3D85"/>
    <w:rsid w:val="008C3E28"/>
    <w:rsid w:val="008C3E97"/>
    <w:rsid w:val="008C3ED4"/>
    <w:rsid w:val="008C4132"/>
    <w:rsid w:val="008C426D"/>
    <w:rsid w:val="008C46A4"/>
    <w:rsid w:val="008C479D"/>
    <w:rsid w:val="008C48B6"/>
    <w:rsid w:val="008C4A19"/>
    <w:rsid w:val="008C4D1D"/>
    <w:rsid w:val="008C4ED1"/>
    <w:rsid w:val="008C4F45"/>
    <w:rsid w:val="008C5043"/>
    <w:rsid w:val="008C51E3"/>
    <w:rsid w:val="008C5347"/>
    <w:rsid w:val="008C5580"/>
    <w:rsid w:val="008C57A5"/>
    <w:rsid w:val="008C5AAD"/>
    <w:rsid w:val="008C63A0"/>
    <w:rsid w:val="008C6797"/>
    <w:rsid w:val="008C6C59"/>
    <w:rsid w:val="008C6DEE"/>
    <w:rsid w:val="008C6EFA"/>
    <w:rsid w:val="008C727C"/>
    <w:rsid w:val="008C7716"/>
    <w:rsid w:val="008C7962"/>
    <w:rsid w:val="008C7B92"/>
    <w:rsid w:val="008D0318"/>
    <w:rsid w:val="008D0337"/>
    <w:rsid w:val="008D05A2"/>
    <w:rsid w:val="008D07D7"/>
    <w:rsid w:val="008D0973"/>
    <w:rsid w:val="008D09C0"/>
    <w:rsid w:val="008D0B28"/>
    <w:rsid w:val="008D0F9A"/>
    <w:rsid w:val="008D1036"/>
    <w:rsid w:val="008D10C9"/>
    <w:rsid w:val="008D12C7"/>
    <w:rsid w:val="008D14CA"/>
    <w:rsid w:val="008D17E8"/>
    <w:rsid w:val="008D1D0C"/>
    <w:rsid w:val="008D2003"/>
    <w:rsid w:val="008D21B6"/>
    <w:rsid w:val="008D21CB"/>
    <w:rsid w:val="008D22A9"/>
    <w:rsid w:val="008D2330"/>
    <w:rsid w:val="008D27F6"/>
    <w:rsid w:val="008D29B4"/>
    <w:rsid w:val="008D2CC1"/>
    <w:rsid w:val="008D3002"/>
    <w:rsid w:val="008D31AB"/>
    <w:rsid w:val="008D37DA"/>
    <w:rsid w:val="008D3804"/>
    <w:rsid w:val="008D3975"/>
    <w:rsid w:val="008D3AF2"/>
    <w:rsid w:val="008D3FBA"/>
    <w:rsid w:val="008D415E"/>
    <w:rsid w:val="008D4431"/>
    <w:rsid w:val="008D46BA"/>
    <w:rsid w:val="008D484B"/>
    <w:rsid w:val="008D48CE"/>
    <w:rsid w:val="008D4DED"/>
    <w:rsid w:val="008D4E8B"/>
    <w:rsid w:val="008D500F"/>
    <w:rsid w:val="008D52C5"/>
    <w:rsid w:val="008D52F1"/>
    <w:rsid w:val="008D546C"/>
    <w:rsid w:val="008D54B0"/>
    <w:rsid w:val="008D5741"/>
    <w:rsid w:val="008D5952"/>
    <w:rsid w:val="008D5960"/>
    <w:rsid w:val="008D59A7"/>
    <w:rsid w:val="008D5A44"/>
    <w:rsid w:val="008D5DCC"/>
    <w:rsid w:val="008D5F97"/>
    <w:rsid w:val="008D5FDB"/>
    <w:rsid w:val="008D6018"/>
    <w:rsid w:val="008D6202"/>
    <w:rsid w:val="008D62CD"/>
    <w:rsid w:val="008D63F2"/>
    <w:rsid w:val="008D6C89"/>
    <w:rsid w:val="008D6D6C"/>
    <w:rsid w:val="008D6D73"/>
    <w:rsid w:val="008D6E90"/>
    <w:rsid w:val="008D6F00"/>
    <w:rsid w:val="008D6F71"/>
    <w:rsid w:val="008D713E"/>
    <w:rsid w:val="008D7179"/>
    <w:rsid w:val="008D72D3"/>
    <w:rsid w:val="008D7D16"/>
    <w:rsid w:val="008E04F8"/>
    <w:rsid w:val="008E0666"/>
    <w:rsid w:val="008E070B"/>
    <w:rsid w:val="008E0781"/>
    <w:rsid w:val="008E087A"/>
    <w:rsid w:val="008E08AD"/>
    <w:rsid w:val="008E095F"/>
    <w:rsid w:val="008E0AB0"/>
    <w:rsid w:val="008E0E7D"/>
    <w:rsid w:val="008E12E4"/>
    <w:rsid w:val="008E17A5"/>
    <w:rsid w:val="008E17CF"/>
    <w:rsid w:val="008E1D70"/>
    <w:rsid w:val="008E219A"/>
    <w:rsid w:val="008E21B2"/>
    <w:rsid w:val="008E26C3"/>
    <w:rsid w:val="008E2737"/>
    <w:rsid w:val="008E276C"/>
    <w:rsid w:val="008E31DE"/>
    <w:rsid w:val="008E32FD"/>
    <w:rsid w:val="008E334B"/>
    <w:rsid w:val="008E3595"/>
    <w:rsid w:val="008E35D3"/>
    <w:rsid w:val="008E3603"/>
    <w:rsid w:val="008E394F"/>
    <w:rsid w:val="008E4558"/>
    <w:rsid w:val="008E4CEE"/>
    <w:rsid w:val="008E51DB"/>
    <w:rsid w:val="008E5234"/>
    <w:rsid w:val="008E5241"/>
    <w:rsid w:val="008E529D"/>
    <w:rsid w:val="008E54AA"/>
    <w:rsid w:val="008E54CA"/>
    <w:rsid w:val="008E5581"/>
    <w:rsid w:val="008E55D4"/>
    <w:rsid w:val="008E56B5"/>
    <w:rsid w:val="008E5A4F"/>
    <w:rsid w:val="008E5D43"/>
    <w:rsid w:val="008E5D82"/>
    <w:rsid w:val="008E5DD1"/>
    <w:rsid w:val="008E664F"/>
    <w:rsid w:val="008E6725"/>
    <w:rsid w:val="008E6870"/>
    <w:rsid w:val="008E6A0E"/>
    <w:rsid w:val="008E6A5F"/>
    <w:rsid w:val="008E6D26"/>
    <w:rsid w:val="008E732C"/>
    <w:rsid w:val="008E7393"/>
    <w:rsid w:val="008E73DF"/>
    <w:rsid w:val="008E773C"/>
    <w:rsid w:val="008E7A6D"/>
    <w:rsid w:val="008E7B59"/>
    <w:rsid w:val="008E7CE6"/>
    <w:rsid w:val="008E7DBC"/>
    <w:rsid w:val="008F0122"/>
    <w:rsid w:val="008F0169"/>
    <w:rsid w:val="008F04B7"/>
    <w:rsid w:val="008F05BF"/>
    <w:rsid w:val="008F0BBB"/>
    <w:rsid w:val="008F0DDF"/>
    <w:rsid w:val="008F0E7B"/>
    <w:rsid w:val="008F0EC8"/>
    <w:rsid w:val="008F1417"/>
    <w:rsid w:val="008F143F"/>
    <w:rsid w:val="008F14B9"/>
    <w:rsid w:val="008F15A4"/>
    <w:rsid w:val="008F1971"/>
    <w:rsid w:val="008F19A6"/>
    <w:rsid w:val="008F19D4"/>
    <w:rsid w:val="008F1B8F"/>
    <w:rsid w:val="008F1CE1"/>
    <w:rsid w:val="008F1E55"/>
    <w:rsid w:val="008F1E83"/>
    <w:rsid w:val="008F20A8"/>
    <w:rsid w:val="008F216E"/>
    <w:rsid w:val="008F2217"/>
    <w:rsid w:val="008F22D1"/>
    <w:rsid w:val="008F236F"/>
    <w:rsid w:val="008F2869"/>
    <w:rsid w:val="008F2929"/>
    <w:rsid w:val="008F313B"/>
    <w:rsid w:val="008F31F0"/>
    <w:rsid w:val="008F3254"/>
    <w:rsid w:val="008F33F8"/>
    <w:rsid w:val="008F3585"/>
    <w:rsid w:val="008F3A76"/>
    <w:rsid w:val="008F3AB8"/>
    <w:rsid w:val="008F3B39"/>
    <w:rsid w:val="008F448C"/>
    <w:rsid w:val="008F4871"/>
    <w:rsid w:val="008F4949"/>
    <w:rsid w:val="008F4F08"/>
    <w:rsid w:val="008F51B2"/>
    <w:rsid w:val="008F524C"/>
    <w:rsid w:val="008F5328"/>
    <w:rsid w:val="008F54B0"/>
    <w:rsid w:val="008F54C7"/>
    <w:rsid w:val="008F585B"/>
    <w:rsid w:val="008F5BFF"/>
    <w:rsid w:val="008F5D36"/>
    <w:rsid w:val="008F5D88"/>
    <w:rsid w:val="008F5D8E"/>
    <w:rsid w:val="008F5DDF"/>
    <w:rsid w:val="008F60F5"/>
    <w:rsid w:val="008F6555"/>
    <w:rsid w:val="008F683C"/>
    <w:rsid w:val="008F6871"/>
    <w:rsid w:val="008F689B"/>
    <w:rsid w:val="008F69BE"/>
    <w:rsid w:val="008F6A8F"/>
    <w:rsid w:val="008F6EB0"/>
    <w:rsid w:val="008F6F0C"/>
    <w:rsid w:val="008F75F2"/>
    <w:rsid w:val="008F7956"/>
    <w:rsid w:val="008F7B3F"/>
    <w:rsid w:val="008F7BF5"/>
    <w:rsid w:val="008F7CC6"/>
    <w:rsid w:val="008F7D49"/>
    <w:rsid w:val="00900076"/>
    <w:rsid w:val="00900090"/>
    <w:rsid w:val="009001DB"/>
    <w:rsid w:val="00900407"/>
    <w:rsid w:val="00900438"/>
    <w:rsid w:val="00900453"/>
    <w:rsid w:val="00900534"/>
    <w:rsid w:val="0090055A"/>
    <w:rsid w:val="009009F5"/>
    <w:rsid w:val="00900A83"/>
    <w:rsid w:val="00900A88"/>
    <w:rsid w:val="00901274"/>
    <w:rsid w:val="0090130C"/>
    <w:rsid w:val="009014A1"/>
    <w:rsid w:val="009019D4"/>
    <w:rsid w:val="00901B26"/>
    <w:rsid w:val="00901C01"/>
    <w:rsid w:val="009021E3"/>
    <w:rsid w:val="00902712"/>
    <w:rsid w:val="00902B23"/>
    <w:rsid w:val="00902BDD"/>
    <w:rsid w:val="00902CE8"/>
    <w:rsid w:val="0090329D"/>
    <w:rsid w:val="009032C0"/>
    <w:rsid w:val="00903469"/>
    <w:rsid w:val="00903B39"/>
    <w:rsid w:val="00903BE4"/>
    <w:rsid w:val="00903C6B"/>
    <w:rsid w:val="00903FA6"/>
    <w:rsid w:val="00904036"/>
    <w:rsid w:val="00904372"/>
    <w:rsid w:val="00904626"/>
    <w:rsid w:val="00904761"/>
    <w:rsid w:val="009047EC"/>
    <w:rsid w:val="00904FB3"/>
    <w:rsid w:val="0090502D"/>
    <w:rsid w:val="00905104"/>
    <w:rsid w:val="00905149"/>
    <w:rsid w:val="009053FE"/>
    <w:rsid w:val="00905462"/>
    <w:rsid w:val="009057B0"/>
    <w:rsid w:val="00905907"/>
    <w:rsid w:val="00905978"/>
    <w:rsid w:val="00905F7A"/>
    <w:rsid w:val="00905F7C"/>
    <w:rsid w:val="00905FB3"/>
    <w:rsid w:val="0090608E"/>
    <w:rsid w:val="00906282"/>
    <w:rsid w:val="00906373"/>
    <w:rsid w:val="00906462"/>
    <w:rsid w:val="00906535"/>
    <w:rsid w:val="00906EFD"/>
    <w:rsid w:val="00906F4A"/>
    <w:rsid w:val="009070EF"/>
    <w:rsid w:val="0090742F"/>
    <w:rsid w:val="0090763F"/>
    <w:rsid w:val="00907731"/>
    <w:rsid w:val="00907BA0"/>
    <w:rsid w:val="00907BA8"/>
    <w:rsid w:val="00907C77"/>
    <w:rsid w:val="00907C82"/>
    <w:rsid w:val="00907F0C"/>
    <w:rsid w:val="00910146"/>
    <w:rsid w:val="00910521"/>
    <w:rsid w:val="00910610"/>
    <w:rsid w:val="0091082D"/>
    <w:rsid w:val="009108CE"/>
    <w:rsid w:val="009109C2"/>
    <w:rsid w:val="00910ACF"/>
    <w:rsid w:val="00910B8C"/>
    <w:rsid w:val="00910BCC"/>
    <w:rsid w:val="00910C79"/>
    <w:rsid w:val="00910E29"/>
    <w:rsid w:val="00910ECC"/>
    <w:rsid w:val="00910FB5"/>
    <w:rsid w:val="0091108B"/>
    <w:rsid w:val="00911117"/>
    <w:rsid w:val="0091134E"/>
    <w:rsid w:val="009113C7"/>
    <w:rsid w:val="0091143F"/>
    <w:rsid w:val="009115B4"/>
    <w:rsid w:val="00911654"/>
    <w:rsid w:val="00911775"/>
    <w:rsid w:val="00911894"/>
    <w:rsid w:val="00911A7D"/>
    <w:rsid w:val="00911ABC"/>
    <w:rsid w:val="00911B67"/>
    <w:rsid w:val="00911E73"/>
    <w:rsid w:val="00911F28"/>
    <w:rsid w:val="009120E1"/>
    <w:rsid w:val="00912141"/>
    <w:rsid w:val="009122C5"/>
    <w:rsid w:val="0091240C"/>
    <w:rsid w:val="009124D2"/>
    <w:rsid w:val="00912C17"/>
    <w:rsid w:val="00912D0E"/>
    <w:rsid w:val="00912D16"/>
    <w:rsid w:val="00912DE6"/>
    <w:rsid w:val="00913505"/>
    <w:rsid w:val="009137BB"/>
    <w:rsid w:val="0091385E"/>
    <w:rsid w:val="0091388F"/>
    <w:rsid w:val="00913892"/>
    <w:rsid w:val="00913E3A"/>
    <w:rsid w:val="00913FD4"/>
    <w:rsid w:val="009140B9"/>
    <w:rsid w:val="009140F1"/>
    <w:rsid w:val="00914538"/>
    <w:rsid w:val="00914550"/>
    <w:rsid w:val="009145C5"/>
    <w:rsid w:val="00914943"/>
    <w:rsid w:val="00914AAD"/>
    <w:rsid w:val="00914C16"/>
    <w:rsid w:val="00914E8E"/>
    <w:rsid w:val="00915026"/>
    <w:rsid w:val="0091511E"/>
    <w:rsid w:val="009151C7"/>
    <w:rsid w:val="0091579D"/>
    <w:rsid w:val="00915CB2"/>
    <w:rsid w:val="00915EA1"/>
    <w:rsid w:val="0091610C"/>
    <w:rsid w:val="0091622A"/>
    <w:rsid w:val="009162CC"/>
    <w:rsid w:val="00916640"/>
    <w:rsid w:val="00916955"/>
    <w:rsid w:val="0091697C"/>
    <w:rsid w:val="009169EF"/>
    <w:rsid w:val="00916A3F"/>
    <w:rsid w:val="00916CF1"/>
    <w:rsid w:val="00916D75"/>
    <w:rsid w:val="00916D9D"/>
    <w:rsid w:val="00916E31"/>
    <w:rsid w:val="00916EF8"/>
    <w:rsid w:val="00916F74"/>
    <w:rsid w:val="00917300"/>
    <w:rsid w:val="0091761A"/>
    <w:rsid w:val="00917628"/>
    <w:rsid w:val="0091775F"/>
    <w:rsid w:val="009179A9"/>
    <w:rsid w:val="009179FA"/>
    <w:rsid w:val="00917A12"/>
    <w:rsid w:val="00917A7F"/>
    <w:rsid w:val="00917B1F"/>
    <w:rsid w:val="00917B58"/>
    <w:rsid w:val="0092004C"/>
    <w:rsid w:val="00920101"/>
    <w:rsid w:val="009201F1"/>
    <w:rsid w:val="0092022B"/>
    <w:rsid w:val="00920318"/>
    <w:rsid w:val="009203D6"/>
    <w:rsid w:val="00920834"/>
    <w:rsid w:val="009209F4"/>
    <w:rsid w:val="00920ABD"/>
    <w:rsid w:val="00920ADD"/>
    <w:rsid w:val="00920ECD"/>
    <w:rsid w:val="00920F1D"/>
    <w:rsid w:val="00920FE8"/>
    <w:rsid w:val="00921130"/>
    <w:rsid w:val="00921A46"/>
    <w:rsid w:val="00921B96"/>
    <w:rsid w:val="00921CAA"/>
    <w:rsid w:val="0092208C"/>
    <w:rsid w:val="009221F9"/>
    <w:rsid w:val="0092222D"/>
    <w:rsid w:val="009222AB"/>
    <w:rsid w:val="009226DE"/>
    <w:rsid w:val="0092283D"/>
    <w:rsid w:val="00922897"/>
    <w:rsid w:val="009229E4"/>
    <w:rsid w:val="00922AE2"/>
    <w:rsid w:val="00922C41"/>
    <w:rsid w:val="00922C70"/>
    <w:rsid w:val="00922CAE"/>
    <w:rsid w:val="00922CE3"/>
    <w:rsid w:val="0092357E"/>
    <w:rsid w:val="00923806"/>
    <w:rsid w:val="00923CCE"/>
    <w:rsid w:val="00923EFE"/>
    <w:rsid w:val="00923F1B"/>
    <w:rsid w:val="00924096"/>
    <w:rsid w:val="00924115"/>
    <w:rsid w:val="009245AD"/>
    <w:rsid w:val="0092476C"/>
    <w:rsid w:val="00924936"/>
    <w:rsid w:val="00924992"/>
    <w:rsid w:val="009249E3"/>
    <w:rsid w:val="009249EF"/>
    <w:rsid w:val="00924C5D"/>
    <w:rsid w:val="00924DBA"/>
    <w:rsid w:val="00925349"/>
    <w:rsid w:val="00925371"/>
    <w:rsid w:val="009253DD"/>
    <w:rsid w:val="00925636"/>
    <w:rsid w:val="00925B1B"/>
    <w:rsid w:val="00925C43"/>
    <w:rsid w:val="00925DC0"/>
    <w:rsid w:val="00925DE5"/>
    <w:rsid w:val="00925FCB"/>
    <w:rsid w:val="009263CA"/>
    <w:rsid w:val="009268F9"/>
    <w:rsid w:val="00926D03"/>
    <w:rsid w:val="00926D3B"/>
    <w:rsid w:val="00926DE3"/>
    <w:rsid w:val="00926EAC"/>
    <w:rsid w:val="00927310"/>
    <w:rsid w:val="0092734A"/>
    <w:rsid w:val="00927809"/>
    <w:rsid w:val="009279CE"/>
    <w:rsid w:val="00927A83"/>
    <w:rsid w:val="00927AF3"/>
    <w:rsid w:val="00927E6C"/>
    <w:rsid w:val="00927EC3"/>
    <w:rsid w:val="00930143"/>
    <w:rsid w:val="009303C8"/>
    <w:rsid w:val="00930C5D"/>
    <w:rsid w:val="00930DE2"/>
    <w:rsid w:val="0093144A"/>
    <w:rsid w:val="009314D2"/>
    <w:rsid w:val="009317A7"/>
    <w:rsid w:val="009318B9"/>
    <w:rsid w:val="0093196D"/>
    <w:rsid w:val="009319BB"/>
    <w:rsid w:val="00931A94"/>
    <w:rsid w:val="00931B53"/>
    <w:rsid w:val="00931B76"/>
    <w:rsid w:val="00931C78"/>
    <w:rsid w:val="00931EFB"/>
    <w:rsid w:val="00932153"/>
    <w:rsid w:val="00932389"/>
    <w:rsid w:val="0093259C"/>
    <w:rsid w:val="00932AF1"/>
    <w:rsid w:val="00932E90"/>
    <w:rsid w:val="00933450"/>
    <w:rsid w:val="0093351F"/>
    <w:rsid w:val="00933552"/>
    <w:rsid w:val="0093373A"/>
    <w:rsid w:val="0093395F"/>
    <w:rsid w:val="00933BDD"/>
    <w:rsid w:val="00933C09"/>
    <w:rsid w:val="00933E27"/>
    <w:rsid w:val="00933F50"/>
    <w:rsid w:val="00933F65"/>
    <w:rsid w:val="00933FE4"/>
    <w:rsid w:val="0093423C"/>
    <w:rsid w:val="00934408"/>
    <w:rsid w:val="009345C6"/>
    <w:rsid w:val="00934AE9"/>
    <w:rsid w:val="00934B84"/>
    <w:rsid w:val="00934BA1"/>
    <w:rsid w:val="00934E4B"/>
    <w:rsid w:val="00935060"/>
    <w:rsid w:val="00935079"/>
    <w:rsid w:val="009352C5"/>
    <w:rsid w:val="00935368"/>
    <w:rsid w:val="0093545B"/>
    <w:rsid w:val="00935591"/>
    <w:rsid w:val="00935CC0"/>
    <w:rsid w:val="00936566"/>
    <w:rsid w:val="00936797"/>
    <w:rsid w:val="0093692E"/>
    <w:rsid w:val="00936B5B"/>
    <w:rsid w:val="00936DBA"/>
    <w:rsid w:val="00936E51"/>
    <w:rsid w:val="00937016"/>
    <w:rsid w:val="009370CE"/>
    <w:rsid w:val="009370D5"/>
    <w:rsid w:val="0093713E"/>
    <w:rsid w:val="009379CC"/>
    <w:rsid w:val="00937B54"/>
    <w:rsid w:val="00937D06"/>
    <w:rsid w:val="00937F20"/>
    <w:rsid w:val="00937FFB"/>
    <w:rsid w:val="00940176"/>
    <w:rsid w:val="009402A0"/>
    <w:rsid w:val="009403DD"/>
    <w:rsid w:val="00940590"/>
    <w:rsid w:val="00940841"/>
    <w:rsid w:val="00940F47"/>
    <w:rsid w:val="00941085"/>
    <w:rsid w:val="009412C3"/>
    <w:rsid w:val="00941487"/>
    <w:rsid w:val="009414F5"/>
    <w:rsid w:val="00941506"/>
    <w:rsid w:val="0094154D"/>
    <w:rsid w:val="00941CEA"/>
    <w:rsid w:val="00942984"/>
    <w:rsid w:val="00942A5D"/>
    <w:rsid w:val="00942E22"/>
    <w:rsid w:val="00942F5B"/>
    <w:rsid w:val="00943AD7"/>
    <w:rsid w:val="00943C14"/>
    <w:rsid w:val="00944000"/>
    <w:rsid w:val="009441BB"/>
    <w:rsid w:val="0094458B"/>
    <w:rsid w:val="009445F4"/>
    <w:rsid w:val="00944877"/>
    <w:rsid w:val="0094489D"/>
    <w:rsid w:val="009448D3"/>
    <w:rsid w:val="00944B80"/>
    <w:rsid w:val="0094503F"/>
    <w:rsid w:val="00945111"/>
    <w:rsid w:val="0094524C"/>
    <w:rsid w:val="00945555"/>
    <w:rsid w:val="00945662"/>
    <w:rsid w:val="00945683"/>
    <w:rsid w:val="009458B7"/>
    <w:rsid w:val="009459B6"/>
    <w:rsid w:val="00945EEF"/>
    <w:rsid w:val="009460D2"/>
    <w:rsid w:val="009460E4"/>
    <w:rsid w:val="00946310"/>
    <w:rsid w:val="009465CB"/>
    <w:rsid w:val="00946753"/>
    <w:rsid w:val="00946A7C"/>
    <w:rsid w:val="00946AC1"/>
    <w:rsid w:val="00946CD0"/>
    <w:rsid w:val="00946E38"/>
    <w:rsid w:val="00947671"/>
    <w:rsid w:val="00947758"/>
    <w:rsid w:val="009477A8"/>
    <w:rsid w:val="009477BD"/>
    <w:rsid w:val="00947A46"/>
    <w:rsid w:val="00947AD2"/>
    <w:rsid w:val="00947D6C"/>
    <w:rsid w:val="00947F37"/>
    <w:rsid w:val="00950145"/>
    <w:rsid w:val="009504CA"/>
    <w:rsid w:val="00950507"/>
    <w:rsid w:val="00950898"/>
    <w:rsid w:val="00950B4B"/>
    <w:rsid w:val="00950B7D"/>
    <w:rsid w:val="00950C88"/>
    <w:rsid w:val="00950C89"/>
    <w:rsid w:val="00950DD8"/>
    <w:rsid w:val="00950DDC"/>
    <w:rsid w:val="0095112D"/>
    <w:rsid w:val="009513A1"/>
    <w:rsid w:val="009513AA"/>
    <w:rsid w:val="0095141C"/>
    <w:rsid w:val="009515A8"/>
    <w:rsid w:val="00951698"/>
    <w:rsid w:val="00951841"/>
    <w:rsid w:val="009518FC"/>
    <w:rsid w:val="00951C5A"/>
    <w:rsid w:val="00951D22"/>
    <w:rsid w:val="00952024"/>
    <w:rsid w:val="0095222A"/>
    <w:rsid w:val="00952515"/>
    <w:rsid w:val="00952604"/>
    <w:rsid w:val="00952605"/>
    <w:rsid w:val="0095260E"/>
    <w:rsid w:val="0095284C"/>
    <w:rsid w:val="00952C71"/>
    <w:rsid w:val="00952E09"/>
    <w:rsid w:val="00952E16"/>
    <w:rsid w:val="00952E84"/>
    <w:rsid w:val="00952ED9"/>
    <w:rsid w:val="00953029"/>
    <w:rsid w:val="00953167"/>
    <w:rsid w:val="009531DD"/>
    <w:rsid w:val="00953397"/>
    <w:rsid w:val="009533C2"/>
    <w:rsid w:val="00953421"/>
    <w:rsid w:val="009534A0"/>
    <w:rsid w:val="00953594"/>
    <w:rsid w:val="009537FA"/>
    <w:rsid w:val="00953DDF"/>
    <w:rsid w:val="00953F1F"/>
    <w:rsid w:val="00954371"/>
    <w:rsid w:val="009546A3"/>
    <w:rsid w:val="00954764"/>
    <w:rsid w:val="00954A47"/>
    <w:rsid w:val="00954BC1"/>
    <w:rsid w:val="00954DD7"/>
    <w:rsid w:val="00954FA9"/>
    <w:rsid w:val="00954FBC"/>
    <w:rsid w:val="009554DE"/>
    <w:rsid w:val="0095550D"/>
    <w:rsid w:val="0095559A"/>
    <w:rsid w:val="009555F7"/>
    <w:rsid w:val="009556D9"/>
    <w:rsid w:val="0095592D"/>
    <w:rsid w:val="00955970"/>
    <w:rsid w:val="00955B27"/>
    <w:rsid w:val="00955C93"/>
    <w:rsid w:val="00955CFB"/>
    <w:rsid w:val="009560C9"/>
    <w:rsid w:val="009560FC"/>
    <w:rsid w:val="00956894"/>
    <w:rsid w:val="00956972"/>
    <w:rsid w:val="00956DF6"/>
    <w:rsid w:val="009573DA"/>
    <w:rsid w:val="009573E7"/>
    <w:rsid w:val="00957610"/>
    <w:rsid w:val="00957AFF"/>
    <w:rsid w:val="00957EE4"/>
    <w:rsid w:val="00960031"/>
    <w:rsid w:val="0096012E"/>
    <w:rsid w:val="009601B1"/>
    <w:rsid w:val="009603E7"/>
    <w:rsid w:val="0096045A"/>
    <w:rsid w:val="0096050A"/>
    <w:rsid w:val="0096051B"/>
    <w:rsid w:val="00960550"/>
    <w:rsid w:val="00960C47"/>
    <w:rsid w:val="00960D67"/>
    <w:rsid w:val="00960EB6"/>
    <w:rsid w:val="00960F69"/>
    <w:rsid w:val="00960FD8"/>
    <w:rsid w:val="0096142E"/>
    <w:rsid w:val="0096166C"/>
    <w:rsid w:val="00961A4D"/>
    <w:rsid w:val="00961EB1"/>
    <w:rsid w:val="009621DE"/>
    <w:rsid w:val="009622A5"/>
    <w:rsid w:val="00962705"/>
    <w:rsid w:val="00962947"/>
    <w:rsid w:val="00962C39"/>
    <w:rsid w:val="0096308A"/>
    <w:rsid w:val="00963100"/>
    <w:rsid w:val="0096310F"/>
    <w:rsid w:val="00963182"/>
    <w:rsid w:val="009631A8"/>
    <w:rsid w:val="00963462"/>
    <w:rsid w:val="00963483"/>
    <w:rsid w:val="00963550"/>
    <w:rsid w:val="009637E8"/>
    <w:rsid w:val="009638B6"/>
    <w:rsid w:val="00963979"/>
    <w:rsid w:val="00963B6E"/>
    <w:rsid w:val="009644D8"/>
    <w:rsid w:val="009646AD"/>
    <w:rsid w:val="00964AA8"/>
    <w:rsid w:val="00964B66"/>
    <w:rsid w:val="00964C1E"/>
    <w:rsid w:val="00964C2A"/>
    <w:rsid w:val="00964D0A"/>
    <w:rsid w:val="00964D17"/>
    <w:rsid w:val="00964EAC"/>
    <w:rsid w:val="009652BF"/>
    <w:rsid w:val="00965354"/>
    <w:rsid w:val="009653D2"/>
    <w:rsid w:val="009653FF"/>
    <w:rsid w:val="009656AF"/>
    <w:rsid w:val="0096589E"/>
    <w:rsid w:val="00965BB7"/>
    <w:rsid w:val="00965F7D"/>
    <w:rsid w:val="00966023"/>
    <w:rsid w:val="0096611D"/>
    <w:rsid w:val="009663CF"/>
    <w:rsid w:val="009663EF"/>
    <w:rsid w:val="00966441"/>
    <w:rsid w:val="00966573"/>
    <w:rsid w:val="009665A6"/>
    <w:rsid w:val="0096671A"/>
    <w:rsid w:val="009667DC"/>
    <w:rsid w:val="009667FB"/>
    <w:rsid w:val="0096695A"/>
    <w:rsid w:val="00966B9C"/>
    <w:rsid w:val="00966D31"/>
    <w:rsid w:val="00966DC9"/>
    <w:rsid w:val="00966E14"/>
    <w:rsid w:val="00966FF4"/>
    <w:rsid w:val="00967133"/>
    <w:rsid w:val="00967219"/>
    <w:rsid w:val="009674BB"/>
    <w:rsid w:val="009675EE"/>
    <w:rsid w:val="00967769"/>
    <w:rsid w:val="009678B6"/>
    <w:rsid w:val="009693E2"/>
    <w:rsid w:val="0096F273"/>
    <w:rsid w:val="00970083"/>
    <w:rsid w:val="0097018A"/>
    <w:rsid w:val="00970296"/>
    <w:rsid w:val="009702D4"/>
    <w:rsid w:val="0097037F"/>
    <w:rsid w:val="00970475"/>
    <w:rsid w:val="0097050C"/>
    <w:rsid w:val="0097073B"/>
    <w:rsid w:val="00970A59"/>
    <w:rsid w:val="00970B1C"/>
    <w:rsid w:val="00970B55"/>
    <w:rsid w:val="00970BCB"/>
    <w:rsid w:val="00970F75"/>
    <w:rsid w:val="00970FA8"/>
    <w:rsid w:val="00971640"/>
    <w:rsid w:val="00971948"/>
    <w:rsid w:val="00971B64"/>
    <w:rsid w:val="00971E11"/>
    <w:rsid w:val="00971ED2"/>
    <w:rsid w:val="00971EDF"/>
    <w:rsid w:val="00971EF1"/>
    <w:rsid w:val="00971FF4"/>
    <w:rsid w:val="0097212B"/>
    <w:rsid w:val="0097262D"/>
    <w:rsid w:val="009727B7"/>
    <w:rsid w:val="00972AB8"/>
    <w:rsid w:val="00972E7E"/>
    <w:rsid w:val="00973349"/>
    <w:rsid w:val="0097336D"/>
    <w:rsid w:val="00973724"/>
    <w:rsid w:val="00973761"/>
    <w:rsid w:val="009737C4"/>
    <w:rsid w:val="009738F3"/>
    <w:rsid w:val="00973B35"/>
    <w:rsid w:val="00973BB7"/>
    <w:rsid w:val="00973CD1"/>
    <w:rsid w:val="00973CF8"/>
    <w:rsid w:val="00973F23"/>
    <w:rsid w:val="0097446B"/>
    <w:rsid w:val="00974CF3"/>
    <w:rsid w:val="00974E63"/>
    <w:rsid w:val="00974E7D"/>
    <w:rsid w:val="00974FF5"/>
    <w:rsid w:val="00975093"/>
    <w:rsid w:val="009751AF"/>
    <w:rsid w:val="0097542D"/>
    <w:rsid w:val="0097560E"/>
    <w:rsid w:val="00975825"/>
    <w:rsid w:val="00975BB4"/>
    <w:rsid w:val="00975D66"/>
    <w:rsid w:val="00976038"/>
    <w:rsid w:val="00976128"/>
    <w:rsid w:val="009761F4"/>
    <w:rsid w:val="00976278"/>
    <w:rsid w:val="009762A2"/>
    <w:rsid w:val="009762C9"/>
    <w:rsid w:val="00976954"/>
    <w:rsid w:val="00976B1B"/>
    <w:rsid w:val="00976F24"/>
    <w:rsid w:val="00976F4B"/>
    <w:rsid w:val="009773E5"/>
    <w:rsid w:val="00977450"/>
    <w:rsid w:val="009776B6"/>
    <w:rsid w:val="00977C18"/>
    <w:rsid w:val="00977D4A"/>
    <w:rsid w:val="00977D4D"/>
    <w:rsid w:val="00977D64"/>
    <w:rsid w:val="00977E1B"/>
    <w:rsid w:val="00977E4F"/>
    <w:rsid w:val="00977FB5"/>
    <w:rsid w:val="0098039F"/>
    <w:rsid w:val="009806B5"/>
    <w:rsid w:val="00980708"/>
    <w:rsid w:val="009807A8"/>
    <w:rsid w:val="00980879"/>
    <w:rsid w:val="009809A4"/>
    <w:rsid w:val="00980A08"/>
    <w:rsid w:val="00980AFF"/>
    <w:rsid w:val="00980BD8"/>
    <w:rsid w:val="00980EF8"/>
    <w:rsid w:val="00980F52"/>
    <w:rsid w:val="0098122B"/>
    <w:rsid w:val="009812EE"/>
    <w:rsid w:val="009813EE"/>
    <w:rsid w:val="009814F0"/>
    <w:rsid w:val="009815AE"/>
    <w:rsid w:val="0098184D"/>
    <w:rsid w:val="0098197D"/>
    <w:rsid w:val="00981A56"/>
    <w:rsid w:val="00981F57"/>
    <w:rsid w:val="0098210E"/>
    <w:rsid w:val="009822FD"/>
    <w:rsid w:val="00982397"/>
    <w:rsid w:val="00982416"/>
    <w:rsid w:val="0098253B"/>
    <w:rsid w:val="00982721"/>
    <w:rsid w:val="0098280B"/>
    <w:rsid w:val="00982890"/>
    <w:rsid w:val="00982C96"/>
    <w:rsid w:val="00982D22"/>
    <w:rsid w:val="00982F8A"/>
    <w:rsid w:val="009835EE"/>
    <w:rsid w:val="00983728"/>
    <w:rsid w:val="009839AA"/>
    <w:rsid w:val="009839E7"/>
    <w:rsid w:val="00983EED"/>
    <w:rsid w:val="00983F28"/>
    <w:rsid w:val="00983F72"/>
    <w:rsid w:val="009840E0"/>
    <w:rsid w:val="009845D8"/>
    <w:rsid w:val="0098466F"/>
    <w:rsid w:val="009846DC"/>
    <w:rsid w:val="00984711"/>
    <w:rsid w:val="009851C7"/>
    <w:rsid w:val="0098535F"/>
    <w:rsid w:val="0098549B"/>
    <w:rsid w:val="009856B0"/>
    <w:rsid w:val="009856BE"/>
    <w:rsid w:val="009856F9"/>
    <w:rsid w:val="00985705"/>
    <w:rsid w:val="00985A79"/>
    <w:rsid w:val="00985C9D"/>
    <w:rsid w:val="0098634E"/>
    <w:rsid w:val="00986435"/>
    <w:rsid w:val="009864C7"/>
    <w:rsid w:val="00986768"/>
    <w:rsid w:val="00986A5E"/>
    <w:rsid w:val="00986B80"/>
    <w:rsid w:val="00986C13"/>
    <w:rsid w:val="00986C1B"/>
    <w:rsid w:val="00986C6B"/>
    <w:rsid w:val="00986CD4"/>
    <w:rsid w:val="00987064"/>
    <w:rsid w:val="00987123"/>
    <w:rsid w:val="00987147"/>
    <w:rsid w:val="009873E1"/>
    <w:rsid w:val="0098754D"/>
    <w:rsid w:val="009879EE"/>
    <w:rsid w:val="00987AA0"/>
    <w:rsid w:val="00987CEF"/>
    <w:rsid w:val="00987DE7"/>
    <w:rsid w:val="00987E49"/>
    <w:rsid w:val="00987F00"/>
    <w:rsid w:val="0099012B"/>
    <w:rsid w:val="00990173"/>
    <w:rsid w:val="009901FE"/>
    <w:rsid w:val="0099025A"/>
    <w:rsid w:val="00990528"/>
    <w:rsid w:val="00990544"/>
    <w:rsid w:val="009905F3"/>
    <w:rsid w:val="00990731"/>
    <w:rsid w:val="0099091D"/>
    <w:rsid w:val="0099094A"/>
    <w:rsid w:val="0099119D"/>
    <w:rsid w:val="009919AE"/>
    <w:rsid w:val="00991BDD"/>
    <w:rsid w:val="00991F3A"/>
    <w:rsid w:val="00991F8C"/>
    <w:rsid w:val="00991F9C"/>
    <w:rsid w:val="00992082"/>
    <w:rsid w:val="0099222A"/>
    <w:rsid w:val="0099240D"/>
    <w:rsid w:val="00992491"/>
    <w:rsid w:val="009927A4"/>
    <w:rsid w:val="0099293C"/>
    <w:rsid w:val="00992947"/>
    <w:rsid w:val="00992A5D"/>
    <w:rsid w:val="00992AB1"/>
    <w:rsid w:val="00992B82"/>
    <w:rsid w:val="00992C60"/>
    <w:rsid w:val="00993235"/>
    <w:rsid w:val="00993361"/>
    <w:rsid w:val="00993565"/>
    <w:rsid w:val="00993CE0"/>
    <w:rsid w:val="00994019"/>
    <w:rsid w:val="009944C2"/>
    <w:rsid w:val="009946BF"/>
    <w:rsid w:val="009947BA"/>
    <w:rsid w:val="00994904"/>
    <w:rsid w:val="00994A93"/>
    <w:rsid w:val="00994C02"/>
    <w:rsid w:val="00994EDA"/>
    <w:rsid w:val="00994EF4"/>
    <w:rsid w:val="00994FD7"/>
    <w:rsid w:val="00994FFB"/>
    <w:rsid w:val="00995104"/>
    <w:rsid w:val="00995545"/>
    <w:rsid w:val="009956F4"/>
    <w:rsid w:val="0099577E"/>
    <w:rsid w:val="009959D9"/>
    <w:rsid w:val="00995B2A"/>
    <w:rsid w:val="00995B7D"/>
    <w:rsid w:val="00995E2F"/>
    <w:rsid w:val="00996093"/>
    <w:rsid w:val="00996415"/>
    <w:rsid w:val="00996728"/>
    <w:rsid w:val="00996791"/>
    <w:rsid w:val="009967E0"/>
    <w:rsid w:val="00996974"/>
    <w:rsid w:val="00996A68"/>
    <w:rsid w:val="00996B53"/>
    <w:rsid w:val="00996C77"/>
    <w:rsid w:val="00997385"/>
    <w:rsid w:val="0099747E"/>
    <w:rsid w:val="009975D9"/>
    <w:rsid w:val="009976DC"/>
    <w:rsid w:val="00997946"/>
    <w:rsid w:val="009979D2"/>
    <w:rsid w:val="00997A60"/>
    <w:rsid w:val="00997CCF"/>
    <w:rsid w:val="00997FF3"/>
    <w:rsid w:val="009A0144"/>
    <w:rsid w:val="009A018A"/>
    <w:rsid w:val="009A01A7"/>
    <w:rsid w:val="009A0271"/>
    <w:rsid w:val="009A0280"/>
    <w:rsid w:val="009A02D6"/>
    <w:rsid w:val="009A04AB"/>
    <w:rsid w:val="009A05E7"/>
    <w:rsid w:val="009A07C4"/>
    <w:rsid w:val="009A08F4"/>
    <w:rsid w:val="009A0B46"/>
    <w:rsid w:val="009A0CB0"/>
    <w:rsid w:val="009A0D2C"/>
    <w:rsid w:val="009A0D90"/>
    <w:rsid w:val="009A111C"/>
    <w:rsid w:val="009A14FD"/>
    <w:rsid w:val="009A17E8"/>
    <w:rsid w:val="009A1A87"/>
    <w:rsid w:val="009A1F2A"/>
    <w:rsid w:val="009A207F"/>
    <w:rsid w:val="009A2238"/>
    <w:rsid w:val="009A2576"/>
    <w:rsid w:val="009A2798"/>
    <w:rsid w:val="009A2803"/>
    <w:rsid w:val="009A2935"/>
    <w:rsid w:val="009A2AC9"/>
    <w:rsid w:val="009A2F63"/>
    <w:rsid w:val="009A3153"/>
    <w:rsid w:val="009A3208"/>
    <w:rsid w:val="009A340C"/>
    <w:rsid w:val="009A3461"/>
    <w:rsid w:val="009A371A"/>
    <w:rsid w:val="009A3BB0"/>
    <w:rsid w:val="009A3C7A"/>
    <w:rsid w:val="009A41B8"/>
    <w:rsid w:val="009A4329"/>
    <w:rsid w:val="009A460D"/>
    <w:rsid w:val="009A4701"/>
    <w:rsid w:val="009A474A"/>
    <w:rsid w:val="009A47A7"/>
    <w:rsid w:val="009A493A"/>
    <w:rsid w:val="009A4DA4"/>
    <w:rsid w:val="009A51D8"/>
    <w:rsid w:val="009A5360"/>
    <w:rsid w:val="009A546A"/>
    <w:rsid w:val="009A54FE"/>
    <w:rsid w:val="009A5569"/>
    <w:rsid w:val="009A5766"/>
    <w:rsid w:val="009A58B7"/>
    <w:rsid w:val="009A58FD"/>
    <w:rsid w:val="009A5A2A"/>
    <w:rsid w:val="009A5CAD"/>
    <w:rsid w:val="009A5FCC"/>
    <w:rsid w:val="009A6350"/>
    <w:rsid w:val="009A646F"/>
    <w:rsid w:val="009A6698"/>
    <w:rsid w:val="009A6A80"/>
    <w:rsid w:val="009A6B07"/>
    <w:rsid w:val="009A6B5C"/>
    <w:rsid w:val="009A6EBC"/>
    <w:rsid w:val="009A703C"/>
    <w:rsid w:val="009A7083"/>
    <w:rsid w:val="009A7280"/>
    <w:rsid w:val="009A789F"/>
    <w:rsid w:val="009A7F89"/>
    <w:rsid w:val="009B03D5"/>
    <w:rsid w:val="009B0494"/>
    <w:rsid w:val="009B0733"/>
    <w:rsid w:val="009B0A54"/>
    <w:rsid w:val="009B0ABF"/>
    <w:rsid w:val="009B0AF7"/>
    <w:rsid w:val="009B0D16"/>
    <w:rsid w:val="009B1114"/>
    <w:rsid w:val="009B11C4"/>
    <w:rsid w:val="009B12A7"/>
    <w:rsid w:val="009B14AF"/>
    <w:rsid w:val="009B18CB"/>
    <w:rsid w:val="009B1920"/>
    <w:rsid w:val="009B1975"/>
    <w:rsid w:val="009B1D86"/>
    <w:rsid w:val="009B221B"/>
    <w:rsid w:val="009B2396"/>
    <w:rsid w:val="009B25B0"/>
    <w:rsid w:val="009B25DD"/>
    <w:rsid w:val="009B2656"/>
    <w:rsid w:val="009B2662"/>
    <w:rsid w:val="009B28B2"/>
    <w:rsid w:val="009B2A1D"/>
    <w:rsid w:val="009B2C4A"/>
    <w:rsid w:val="009B2C5D"/>
    <w:rsid w:val="009B2DEA"/>
    <w:rsid w:val="009B3146"/>
    <w:rsid w:val="009B322B"/>
    <w:rsid w:val="009B3354"/>
    <w:rsid w:val="009B33BC"/>
    <w:rsid w:val="009B3565"/>
    <w:rsid w:val="009B35DA"/>
    <w:rsid w:val="009B3888"/>
    <w:rsid w:val="009B3960"/>
    <w:rsid w:val="009B39AD"/>
    <w:rsid w:val="009B3A07"/>
    <w:rsid w:val="009B3B37"/>
    <w:rsid w:val="009B3C12"/>
    <w:rsid w:val="009B3D02"/>
    <w:rsid w:val="009B3DFA"/>
    <w:rsid w:val="009B41A6"/>
    <w:rsid w:val="009B427B"/>
    <w:rsid w:val="009B457A"/>
    <w:rsid w:val="009B4589"/>
    <w:rsid w:val="009B461F"/>
    <w:rsid w:val="009B4640"/>
    <w:rsid w:val="009B497F"/>
    <w:rsid w:val="009B49CB"/>
    <w:rsid w:val="009B4B6B"/>
    <w:rsid w:val="009B4CB6"/>
    <w:rsid w:val="009B4EFC"/>
    <w:rsid w:val="009B4F92"/>
    <w:rsid w:val="009B4FDB"/>
    <w:rsid w:val="009B500C"/>
    <w:rsid w:val="009B51C3"/>
    <w:rsid w:val="009B5369"/>
    <w:rsid w:val="009B5481"/>
    <w:rsid w:val="009B54A0"/>
    <w:rsid w:val="009B560A"/>
    <w:rsid w:val="009B56D6"/>
    <w:rsid w:val="009B573F"/>
    <w:rsid w:val="009B5804"/>
    <w:rsid w:val="009B58CF"/>
    <w:rsid w:val="009B591E"/>
    <w:rsid w:val="009B5BC3"/>
    <w:rsid w:val="009B5C7C"/>
    <w:rsid w:val="009B63BF"/>
    <w:rsid w:val="009B64C5"/>
    <w:rsid w:val="009B6718"/>
    <w:rsid w:val="009B6751"/>
    <w:rsid w:val="009B6820"/>
    <w:rsid w:val="009B69C4"/>
    <w:rsid w:val="009B7261"/>
    <w:rsid w:val="009B739C"/>
    <w:rsid w:val="009B73B6"/>
    <w:rsid w:val="009B747C"/>
    <w:rsid w:val="009B7541"/>
    <w:rsid w:val="009B75F9"/>
    <w:rsid w:val="009C01BF"/>
    <w:rsid w:val="009C02AE"/>
    <w:rsid w:val="009C03A5"/>
    <w:rsid w:val="009C0551"/>
    <w:rsid w:val="009C05F8"/>
    <w:rsid w:val="009C0651"/>
    <w:rsid w:val="009C08D1"/>
    <w:rsid w:val="009C0B59"/>
    <w:rsid w:val="009C102B"/>
    <w:rsid w:val="009C11CF"/>
    <w:rsid w:val="009C1C24"/>
    <w:rsid w:val="009C1DF6"/>
    <w:rsid w:val="009C222E"/>
    <w:rsid w:val="009C2387"/>
    <w:rsid w:val="009C2A7F"/>
    <w:rsid w:val="009C2E71"/>
    <w:rsid w:val="009C344E"/>
    <w:rsid w:val="009C34FC"/>
    <w:rsid w:val="009C36D0"/>
    <w:rsid w:val="009C37D6"/>
    <w:rsid w:val="009C3D5D"/>
    <w:rsid w:val="009C3FB6"/>
    <w:rsid w:val="009C4157"/>
    <w:rsid w:val="009C41CA"/>
    <w:rsid w:val="009C42A2"/>
    <w:rsid w:val="009C4434"/>
    <w:rsid w:val="009C4519"/>
    <w:rsid w:val="009C45E4"/>
    <w:rsid w:val="009C4661"/>
    <w:rsid w:val="009C46A3"/>
    <w:rsid w:val="009C4AC8"/>
    <w:rsid w:val="009C4BDC"/>
    <w:rsid w:val="009C4EF8"/>
    <w:rsid w:val="009C5232"/>
    <w:rsid w:val="009C54A6"/>
    <w:rsid w:val="009C5838"/>
    <w:rsid w:val="009C5A60"/>
    <w:rsid w:val="009C628C"/>
    <w:rsid w:val="009C634D"/>
    <w:rsid w:val="009C63A4"/>
    <w:rsid w:val="009C64AF"/>
    <w:rsid w:val="009C6C88"/>
    <w:rsid w:val="009C6D77"/>
    <w:rsid w:val="009C7407"/>
    <w:rsid w:val="009C7437"/>
    <w:rsid w:val="009C764C"/>
    <w:rsid w:val="009C7712"/>
    <w:rsid w:val="009C786A"/>
    <w:rsid w:val="009C786D"/>
    <w:rsid w:val="009C795B"/>
    <w:rsid w:val="009C7A05"/>
    <w:rsid w:val="009C7BD3"/>
    <w:rsid w:val="009C7C91"/>
    <w:rsid w:val="009C7CF7"/>
    <w:rsid w:val="009C7D75"/>
    <w:rsid w:val="009C7E3E"/>
    <w:rsid w:val="009D029B"/>
    <w:rsid w:val="009D02C2"/>
    <w:rsid w:val="009D03E9"/>
    <w:rsid w:val="009D051B"/>
    <w:rsid w:val="009D05D0"/>
    <w:rsid w:val="009D0692"/>
    <w:rsid w:val="009D0783"/>
    <w:rsid w:val="009D0813"/>
    <w:rsid w:val="009D085E"/>
    <w:rsid w:val="009D091D"/>
    <w:rsid w:val="009D0BC6"/>
    <w:rsid w:val="009D0C5F"/>
    <w:rsid w:val="009D0C62"/>
    <w:rsid w:val="009D0E15"/>
    <w:rsid w:val="009D13AE"/>
    <w:rsid w:val="009D14C1"/>
    <w:rsid w:val="009D16A9"/>
    <w:rsid w:val="009D1AB8"/>
    <w:rsid w:val="009D1F85"/>
    <w:rsid w:val="009D1FE9"/>
    <w:rsid w:val="009D21B4"/>
    <w:rsid w:val="009D23EF"/>
    <w:rsid w:val="009D2420"/>
    <w:rsid w:val="009D2422"/>
    <w:rsid w:val="009D245D"/>
    <w:rsid w:val="009D2653"/>
    <w:rsid w:val="009D2702"/>
    <w:rsid w:val="009D288E"/>
    <w:rsid w:val="009D2B89"/>
    <w:rsid w:val="009D2BD5"/>
    <w:rsid w:val="009D2BD9"/>
    <w:rsid w:val="009D2C96"/>
    <w:rsid w:val="009D2D41"/>
    <w:rsid w:val="009D2F5F"/>
    <w:rsid w:val="009D32C8"/>
    <w:rsid w:val="009D3455"/>
    <w:rsid w:val="009D357C"/>
    <w:rsid w:val="009D3654"/>
    <w:rsid w:val="009D3749"/>
    <w:rsid w:val="009D3D33"/>
    <w:rsid w:val="009D3EFF"/>
    <w:rsid w:val="009D3F2E"/>
    <w:rsid w:val="009D3F45"/>
    <w:rsid w:val="009D4161"/>
    <w:rsid w:val="009D4198"/>
    <w:rsid w:val="009D448D"/>
    <w:rsid w:val="009D4720"/>
    <w:rsid w:val="009D474C"/>
    <w:rsid w:val="009D4A8B"/>
    <w:rsid w:val="009D4E17"/>
    <w:rsid w:val="009D50D2"/>
    <w:rsid w:val="009D5158"/>
    <w:rsid w:val="009D5345"/>
    <w:rsid w:val="009D54D8"/>
    <w:rsid w:val="009D5759"/>
    <w:rsid w:val="009D58F6"/>
    <w:rsid w:val="009D5BBA"/>
    <w:rsid w:val="009D5C31"/>
    <w:rsid w:val="009D5DEE"/>
    <w:rsid w:val="009D5F99"/>
    <w:rsid w:val="009D615D"/>
    <w:rsid w:val="009D61EB"/>
    <w:rsid w:val="009D63BB"/>
    <w:rsid w:val="009D6460"/>
    <w:rsid w:val="009D65D7"/>
    <w:rsid w:val="009D6B7C"/>
    <w:rsid w:val="009D6E4D"/>
    <w:rsid w:val="009D702C"/>
    <w:rsid w:val="009D7182"/>
    <w:rsid w:val="009D737A"/>
    <w:rsid w:val="009D7604"/>
    <w:rsid w:val="009D76F4"/>
    <w:rsid w:val="009D7A69"/>
    <w:rsid w:val="009D7B24"/>
    <w:rsid w:val="009D7B30"/>
    <w:rsid w:val="009D7B87"/>
    <w:rsid w:val="009E0103"/>
    <w:rsid w:val="009E016A"/>
    <w:rsid w:val="009E01D6"/>
    <w:rsid w:val="009E05AE"/>
    <w:rsid w:val="009E05BA"/>
    <w:rsid w:val="009E083D"/>
    <w:rsid w:val="009E1261"/>
    <w:rsid w:val="009E17C7"/>
    <w:rsid w:val="009E17E9"/>
    <w:rsid w:val="009E1856"/>
    <w:rsid w:val="009E1896"/>
    <w:rsid w:val="009E1A83"/>
    <w:rsid w:val="009E1F18"/>
    <w:rsid w:val="009E232E"/>
    <w:rsid w:val="009E235E"/>
    <w:rsid w:val="009E243B"/>
    <w:rsid w:val="009E24B8"/>
    <w:rsid w:val="009E2B02"/>
    <w:rsid w:val="009E2B60"/>
    <w:rsid w:val="009E2B6F"/>
    <w:rsid w:val="009E2BE5"/>
    <w:rsid w:val="009E2CCA"/>
    <w:rsid w:val="009E2DAA"/>
    <w:rsid w:val="009E2F67"/>
    <w:rsid w:val="009E2FAC"/>
    <w:rsid w:val="009E3284"/>
    <w:rsid w:val="009E33AC"/>
    <w:rsid w:val="009E346A"/>
    <w:rsid w:val="009E35B2"/>
    <w:rsid w:val="009E38C4"/>
    <w:rsid w:val="009E3C5F"/>
    <w:rsid w:val="009E3EB7"/>
    <w:rsid w:val="009E428F"/>
    <w:rsid w:val="009E4300"/>
    <w:rsid w:val="009E47C4"/>
    <w:rsid w:val="009E4844"/>
    <w:rsid w:val="009E49A1"/>
    <w:rsid w:val="009E4A68"/>
    <w:rsid w:val="009E4CD6"/>
    <w:rsid w:val="009E4FC7"/>
    <w:rsid w:val="009E53D7"/>
    <w:rsid w:val="009E5565"/>
    <w:rsid w:val="009E5732"/>
    <w:rsid w:val="009E5994"/>
    <w:rsid w:val="009E5D12"/>
    <w:rsid w:val="009E5D57"/>
    <w:rsid w:val="009E5DE1"/>
    <w:rsid w:val="009E5EA9"/>
    <w:rsid w:val="009E6155"/>
    <w:rsid w:val="009E671F"/>
    <w:rsid w:val="009E6B3B"/>
    <w:rsid w:val="009E6D3F"/>
    <w:rsid w:val="009E6ED3"/>
    <w:rsid w:val="009E6F7B"/>
    <w:rsid w:val="009E70BE"/>
    <w:rsid w:val="009E74C2"/>
    <w:rsid w:val="009E74C5"/>
    <w:rsid w:val="009E752B"/>
    <w:rsid w:val="009E7765"/>
    <w:rsid w:val="009E7780"/>
    <w:rsid w:val="009E77F9"/>
    <w:rsid w:val="009E78E2"/>
    <w:rsid w:val="009E7BC1"/>
    <w:rsid w:val="009F045B"/>
    <w:rsid w:val="009F0B45"/>
    <w:rsid w:val="009F1288"/>
    <w:rsid w:val="009F1298"/>
    <w:rsid w:val="009F13B6"/>
    <w:rsid w:val="009F1453"/>
    <w:rsid w:val="009F19B8"/>
    <w:rsid w:val="009F1C64"/>
    <w:rsid w:val="009F1EF8"/>
    <w:rsid w:val="009F23CF"/>
    <w:rsid w:val="009F23FE"/>
    <w:rsid w:val="009F2490"/>
    <w:rsid w:val="009F25A8"/>
    <w:rsid w:val="009F2C6C"/>
    <w:rsid w:val="009F2E62"/>
    <w:rsid w:val="009F2FCA"/>
    <w:rsid w:val="009F319C"/>
    <w:rsid w:val="009F341B"/>
    <w:rsid w:val="009F36F5"/>
    <w:rsid w:val="009F3885"/>
    <w:rsid w:val="009F38B6"/>
    <w:rsid w:val="009F3D3E"/>
    <w:rsid w:val="009F3ECB"/>
    <w:rsid w:val="009F43B7"/>
    <w:rsid w:val="009F45CB"/>
    <w:rsid w:val="009F47DA"/>
    <w:rsid w:val="009F47F1"/>
    <w:rsid w:val="009F48E9"/>
    <w:rsid w:val="009F4B22"/>
    <w:rsid w:val="009F4B96"/>
    <w:rsid w:val="009F512E"/>
    <w:rsid w:val="009F5167"/>
    <w:rsid w:val="009F52A7"/>
    <w:rsid w:val="009F553B"/>
    <w:rsid w:val="009F560C"/>
    <w:rsid w:val="009F5741"/>
    <w:rsid w:val="009F5B32"/>
    <w:rsid w:val="009F5C37"/>
    <w:rsid w:val="009F5D37"/>
    <w:rsid w:val="009F5DBB"/>
    <w:rsid w:val="009F5F05"/>
    <w:rsid w:val="009F60D8"/>
    <w:rsid w:val="009F64A5"/>
    <w:rsid w:val="009F6796"/>
    <w:rsid w:val="009F68D8"/>
    <w:rsid w:val="009F6D26"/>
    <w:rsid w:val="009F6E01"/>
    <w:rsid w:val="009F6F8F"/>
    <w:rsid w:val="009F7068"/>
    <w:rsid w:val="009F7152"/>
    <w:rsid w:val="009F73C8"/>
    <w:rsid w:val="009F75F8"/>
    <w:rsid w:val="009F76D4"/>
    <w:rsid w:val="009F77E4"/>
    <w:rsid w:val="009F786A"/>
    <w:rsid w:val="009F787B"/>
    <w:rsid w:val="009F7928"/>
    <w:rsid w:val="009F7D29"/>
    <w:rsid w:val="009F7EE3"/>
    <w:rsid w:val="00A00063"/>
    <w:rsid w:val="00A0012A"/>
    <w:rsid w:val="00A001E7"/>
    <w:rsid w:val="00A00A55"/>
    <w:rsid w:val="00A00ACC"/>
    <w:rsid w:val="00A00EF7"/>
    <w:rsid w:val="00A01223"/>
    <w:rsid w:val="00A01685"/>
    <w:rsid w:val="00A016E7"/>
    <w:rsid w:val="00A01A3B"/>
    <w:rsid w:val="00A01B46"/>
    <w:rsid w:val="00A01BE9"/>
    <w:rsid w:val="00A02201"/>
    <w:rsid w:val="00A02270"/>
    <w:rsid w:val="00A02347"/>
    <w:rsid w:val="00A023C9"/>
    <w:rsid w:val="00A02509"/>
    <w:rsid w:val="00A026E9"/>
    <w:rsid w:val="00A029E2"/>
    <w:rsid w:val="00A02B51"/>
    <w:rsid w:val="00A02D63"/>
    <w:rsid w:val="00A02D9C"/>
    <w:rsid w:val="00A02DAD"/>
    <w:rsid w:val="00A02E42"/>
    <w:rsid w:val="00A02EA8"/>
    <w:rsid w:val="00A02F2A"/>
    <w:rsid w:val="00A03187"/>
    <w:rsid w:val="00A03412"/>
    <w:rsid w:val="00A0343E"/>
    <w:rsid w:val="00A0350B"/>
    <w:rsid w:val="00A03794"/>
    <w:rsid w:val="00A037DE"/>
    <w:rsid w:val="00A03819"/>
    <w:rsid w:val="00A0389A"/>
    <w:rsid w:val="00A03914"/>
    <w:rsid w:val="00A03BAA"/>
    <w:rsid w:val="00A03BC6"/>
    <w:rsid w:val="00A03C46"/>
    <w:rsid w:val="00A03D38"/>
    <w:rsid w:val="00A040E8"/>
    <w:rsid w:val="00A0412C"/>
    <w:rsid w:val="00A04495"/>
    <w:rsid w:val="00A044DC"/>
    <w:rsid w:val="00A04574"/>
    <w:rsid w:val="00A046E6"/>
    <w:rsid w:val="00A0498C"/>
    <w:rsid w:val="00A04B45"/>
    <w:rsid w:val="00A053BD"/>
    <w:rsid w:val="00A054EA"/>
    <w:rsid w:val="00A055EB"/>
    <w:rsid w:val="00A05950"/>
    <w:rsid w:val="00A0596A"/>
    <w:rsid w:val="00A05A92"/>
    <w:rsid w:val="00A05B03"/>
    <w:rsid w:val="00A05DD2"/>
    <w:rsid w:val="00A05EAC"/>
    <w:rsid w:val="00A06131"/>
    <w:rsid w:val="00A063AC"/>
    <w:rsid w:val="00A063E9"/>
    <w:rsid w:val="00A06819"/>
    <w:rsid w:val="00A06A17"/>
    <w:rsid w:val="00A06A62"/>
    <w:rsid w:val="00A06F85"/>
    <w:rsid w:val="00A06F95"/>
    <w:rsid w:val="00A0703B"/>
    <w:rsid w:val="00A07197"/>
    <w:rsid w:val="00A07261"/>
    <w:rsid w:val="00A07351"/>
    <w:rsid w:val="00A07481"/>
    <w:rsid w:val="00A0764B"/>
    <w:rsid w:val="00A076BE"/>
    <w:rsid w:val="00A07A71"/>
    <w:rsid w:val="00A07A8A"/>
    <w:rsid w:val="00A07C16"/>
    <w:rsid w:val="00A07D81"/>
    <w:rsid w:val="00A07EE1"/>
    <w:rsid w:val="00A101B1"/>
    <w:rsid w:val="00A101CA"/>
    <w:rsid w:val="00A10278"/>
    <w:rsid w:val="00A10478"/>
    <w:rsid w:val="00A1057F"/>
    <w:rsid w:val="00A10655"/>
    <w:rsid w:val="00A106B3"/>
    <w:rsid w:val="00A10788"/>
    <w:rsid w:val="00A109AA"/>
    <w:rsid w:val="00A11100"/>
    <w:rsid w:val="00A11397"/>
    <w:rsid w:val="00A11447"/>
    <w:rsid w:val="00A11560"/>
    <w:rsid w:val="00A11817"/>
    <w:rsid w:val="00A120C2"/>
    <w:rsid w:val="00A120E4"/>
    <w:rsid w:val="00A1217A"/>
    <w:rsid w:val="00A1217D"/>
    <w:rsid w:val="00A121BC"/>
    <w:rsid w:val="00A12251"/>
    <w:rsid w:val="00A122AF"/>
    <w:rsid w:val="00A1243B"/>
    <w:rsid w:val="00A1258F"/>
    <w:rsid w:val="00A1259B"/>
    <w:rsid w:val="00A12693"/>
    <w:rsid w:val="00A126B3"/>
    <w:rsid w:val="00A128B8"/>
    <w:rsid w:val="00A12A44"/>
    <w:rsid w:val="00A12AE2"/>
    <w:rsid w:val="00A12D84"/>
    <w:rsid w:val="00A12E0A"/>
    <w:rsid w:val="00A12F20"/>
    <w:rsid w:val="00A12F82"/>
    <w:rsid w:val="00A12F86"/>
    <w:rsid w:val="00A1315B"/>
    <w:rsid w:val="00A13538"/>
    <w:rsid w:val="00A1370E"/>
    <w:rsid w:val="00A13797"/>
    <w:rsid w:val="00A13A7B"/>
    <w:rsid w:val="00A14280"/>
    <w:rsid w:val="00A142BA"/>
    <w:rsid w:val="00A14444"/>
    <w:rsid w:val="00A145F7"/>
    <w:rsid w:val="00A14787"/>
    <w:rsid w:val="00A148A5"/>
    <w:rsid w:val="00A14A42"/>
    <w:rsid w:val="00A14B8A"/>
    <w:rsid w:val="00A14BFE"/>
    <w:rsid w:val="00A14E41"/>
    <w:rsid w:val="00A152FB"/>
    <w:rsid w:val="00A1536C"/>
    <w:rsid w:val="00A155F4"/>
    <w:rsid w:val="00A15741"/>
    <w:rsid w:val="00A157D2"/>
    <w:rsid w:val="00A15933"/>
    <w:rsid w:val="00A15B99"/>
    <w:rsid w:val="00A15F21"/>
    <w:rsid w:val="00A16028"/>
    <w:rsid w:val="00A160FB"/>
    <w:rsid w:val="00A1612A"/>
    <w:rsid w:val="00A165DB"/>
    <w:rsid w:val="00A16D7A"/>
    <w:rsid w:val="00A16FA4"/>
    <w:rsid w:val="00A17134"/>
    <w:rsid w:val="00A173BA"/>
    <w:rsid w:val="00A17695"/>
    <w:rsid w:val="00A17789"/>
    <w:rsid w:val="00A17C21"/>
    <w:rsid w:val="00A17F94"/>
    <w:rsid w:val="00A201E1"/>
    <w:rsid w:val="00A20584"/>
    <w:rsid w:val="00A209C8"/>
    <w:rsid w:val="00A20AE0"/>
    <w:rsid w:val="00A20B5B"/>
    <w:rsid w:val="00A20E61"/>
    <w:rsid w:val="00A20E8B"/>
    <w:rsid w:val="00A21197"/>
    <w:rsid w:val="00A21250"/>
    <w:rsid w:val="00A21295"/>
    <w:rsid w:val="00A21638"/>
    <w:rsid w:val="00A219AA"/>
    <w:rsid w:val="00A21BB8"/>
    <w:rsid w:val="00A21FDA"/>
    <w:rsid w:val="00A21FEB"/>
    <w:rsid w:val="00A2237D"/>
    <w:rsid w:val="00A223E4"/>
    <w:rsid w:val="00A2248D"/>
    <w:rsid w:val="00A227EA"/>
    <w:rsid w:val="00A22C57"/>
    <w:rsid w:val="00A22D02"/>
    <w:rsid w:val="00A22D40"/>
    <w:rsid w:val="00A22DE8"/>
    <w:rsid w:val="00A22F1F"/>
    <w:rsid w:val="00A23236"/>
    <w:rsid w:val="00A234D0"/>
    <w:rsid w:val="00A235D6"/>
    <w:rsid w:val="00A23662"/>
    <w:rsid w:val="00A236C4"/>
    <w:rsid w:val="00A238B4"/>
    <w:rsid w:val="00A23A2B"/>
    <w:rsid w:val="00A23B45"/>
    <w:rsid w:val="00A23BD9"/>
    <w:rsid w:val="00A23CC3"/>
    <w:rsid w:val="00A23DE0"/>
    <w:rsid w:val="00A23E7F"/>
    <w:rsid w:val="00A24243"/>
    <w:rsid w:val="00A242FB"/>
    <w:rsid w:val="00A2433D"/>
    <w:rsid w:val="00A24343"/>
    <w:rsid w:val="00A245EB"/>
    <w:rsid w:val="00A246EB"/>
    <w:rsid w:val="00A247AF"/>
    <w:rsid w:val="00A247CF"/>
    <w:rsid w:val="00A247F8"/>
    <w:rsid w:val="00A24A10"/>
    <w:rsid w:val="00A24D16"/>
    <w:rsid w:val="00A2541A"/>
    <w:rsid w:val="00A257E4"/>
    <w:rsid w:val="00A25955"/>
    <w:rsid w:val="00A25F6C"/>
    <w:rsid w:val="00A26085"/>
    <w:rsid w:val="00A260E6"/>
    <w:rsid w:val="00A26218"/>
    <w:rsid w:val="00A26291"/>
    <w:rsid w:val="00A263E3"/>
    <w:rsid w:val="00A2670A"/>
    <w:rsid w:val="00A26849"/>
    <w:rsid w:val="00A26AF6"/>
    <w:rsid w:val="00A26B06"/>
    <w:rsid w:val="00A26B07"/>
    <w:rsid w:val="00A26B64"/>
    <w:rsid w:val="00A26D95"/>
    <w:rsid w:val="00A26DEB"/>
    <w:rsid w:val="00A26FF0"/>
    <w:rsid w:val="00A2723C"/>
    <w:rsid w:val="00A2728E"/>
    <w:rsid w:val="00A2761B"/>
    <w:rsid w:val="00A276D2"/>
    <w:rsid w:val="00A277F5"/>
    <w:rsid w:val="00A27B09"/>
    <w:rsid w:val="00A27C44"/>
    <w:rsid w:val="00A27D29"/>
    <w:rsid w:val="00A30281"/>
    <w:rsid w:val="00A302FA"/>
    <w:rsid w:val="00A304F7"/>
    <w:rsid w:val="00A30528"/>
    <w:rsid w:val="00A30595"/>
    <w:rsid w:val="00A3060D"/>
    <w:rsid w:val="00A30926"/>
    <w:rsid w:val="00A30AC5"/>
    <w:rsid w:val="00A30C61"/>
    <w:rsid w:val="00A30F4E"/>
    <w:rsid w:val="00A31025"/>
    <w:rsid w:val="00A311D8"/>
    <w:rsid w:val="00A3139E"/>
    <w:rsid w:val="00A31508"/>
    <w:rsid w:val="00A31756"/>
    <w:rsid w:val="00A31781"/>
    <w:rsid w:val="00A3194E"/>
    <w:rsid w:val="00A31A5F"/>
    <w:rsid w:val="00A31BD2"/>
    <w:rsid w:val="00A31CE3"/>
    <w:rsid w:val="00A31FCC"/>
    <w:rsid w:val="00A321CC"/>
    <w:rsid w:val="00A321FB"/>
    <w:rsid w:val="00A3256B"/>
    <w:rsid w:val="00A3296C"/>
    <w:rsid w:val="00A32D30"/>
    <w:rsid w:val="00A32D3E"/>
    <w:rsid w:val="00A32DC5"/>
    <w:rsid w:val="00A32F00"/>
    <w:rsid w:val="00A336EA"/>
    <w:rsid w:val="00A33901"/>
    <w:rsid w:val="00A33A4E"/>
    <w:rsid w:val="00A33B7A"/>
    <w:rsid w:val="00A33D7F"/>
    <w:rsid w:val="00A33E39"/>
    <w:rsid w:val="00A34063"/>
    <w:rsid w:val="00A34309"/>
    <w:rsid w:val="00A343E5"/>
    <w:rsid w:val="00A34434"/>
    <w:rsid w:val="00A3445E"/>
    <w:rsid w:val="00A34553"/>
    <w:rsid w:val="00A345D1"/>
    <w:rsid w:val="00A3475F"/>
    <w:rsid w:val="00A347BE"/>
    <w:rsid w:val="00A34E5E"/>
    <w:rsid w:val="00A34F45"/>
    <w:rsid w:val="00A35065"/>
    <w:rsid w:val="00A35087"/>
    <w:rsid w:val="00A35232"/>
    <w:rsid w:val="00A352EA"/>
    <w:rsid w:val="00A35433"/>
    <w:rsid w:val="00A354BC"/>
    <w:rsid w:val="00A35512"/>
    <w:rsid w:val="00A35530"/>
    <w:rsid w:val="00A35807"/>
    <w:rsid w:val="00A35920"/>
    <w:rsid w:val="00A3596D"/>
    <w:rsid w:val="00A35EB5"/>
    <w:rsid w:val="00A360FE"/>
    <w:rsid w:val="00A361F2"/>
    <w:rsid w:val="00A363CA"/>
    <w:rsid w:val="00A36529"/>
    <w:rsid w:val="00A36692"/>
    <w:rsid w:val="00A36961"/>
    <w:rsid w:val="00A36A0B"/>
    <w:rsid w:val="00A36A37"/>
    <w:rsid w:val="00A36BB7"/>
    <w:rsid w:val="00A36C7B"/>
    <w:rsid w:val="00A36E0B"/>
    <w:rsid w:val="00A36E0F"/>
    <w:rsid w:val="00A37468"/>
    <w:rsid w:val="00A37577"/>
    <w:rsid w:val="00A379E5"/>
    <w:rsid w:val="00A379EA"/>
    <w:rsid w:val="00A37FFC"/>
    <w:rsid w:val="00A4011A"/>
    <w:rsid w:val="00A4021B"/>
    <w:rsid w:val="00A403DA"/>
    <w:rsid w:val="00A40668"/>
    <w:rsid w:val="00A408AB"/>
    <w:rsid w:val="00A408D1"/>
    <w:rsid w:val="00A4099C"/>
    <w:rsid w:val="00A40A41"/>
    <w:rsid w:val="00A40A60"/>
    <w:rsid w:val="00A40ADD"/>
    <w:rsid w:val="00A40BE6"/>
    <w:rsid w:val="00A40D4D"/>
    <w:rsid w:val="00A40F79"/>
    <w:rsid w:val="00A41127"/>
    <w:rsid w:val="00A41471"/>
    <w:rsid w:val="00A41525"/>
    <w:rsid w:val="00A4182D"/>
    <w:rsid w:val="00A4198C"/>
    <w:rsid w:val="00A41B91"/>
    <w:rsid w:val="00A41D06"/>
    <w:rsid w:val="00A41E57"/>
    <w:rsid w:val="00A421A7"/>
    <w:rsid w:val="00A422B0"/>
    <w:rsid w:val="00A422CA"/>
    <w:rsid w:val="00A4281B"/>
    <w:rsid w:val="00A42C46"/>
    <w:rsid w:val="00A42E04"/>
    <w:rsid w:val="00A42FAA"/>
    <w:rsid w:val="00A430BA"/>
    <w:rsid w:val="00A43181"/>
    <w:rsid w:val="00A432CF"/>
    <w:rsid w:val="00A432F2"/>
    <w:rsid w:val="00A434CC"/>
    <w:rsid w:val="00A438AC"/>
    <w:rsid w:val="00A43AA6"/>
    <w:rsid w:val="00A43DCE"/>
    <w:rsid w:val="00A43F01"/>
    <w:rsid w:val="00A445DB"/>
    <w:rsid w:val="00A447D6"/>
    <w:rsid w:val="00A449A6"/>
    <w:rsid w:val="00A44B23"/>
    <w:rsid w:val="00A44DD8"/>
    <w:rsid w:val="00A450BE"/>
    <w:rsid w:val="00A451DF"/>
    <w:rsid w:val="00A454B5"/>
    <w:rsid w:val="00A4561D"/>
    <w:rsid w:val="00A45678"/>
    <w:rsid w:val="00A456C4"/>
    <w:rsid w:val="00A45793"/>
    <w:rsid w:val="00A4586C"/>
    <w:rsid w:val="00A4594A"/>
    <w:rsid w:val="00A4596A"/>
    <w:rsid w:val="00A45B0D"/>
    <w:rsid w:val="00A45BBD"/>
    <w:rsid w:val="00A45CD0"/>
    <w:rsid w:val="00A45F2E"/>
    <w:rsid w:val="00A45FA7"/>
    <w:rsid w:val="00A4623C"/>
    <w:rsid w:val="00A4639E"/>
    <w:rsid w:val="00A466BE"/>
    <w:rsid w:val="00A4688B"/>
    <w:rsid w:val="00A46FA4"/>
    <w:rsid w:val="00A470DF"/>
    <w:rsid w:val="00A4738D"/>
    <w:rsid w:val="00A4763D"/>
    <w:rsid w:val="00A47956"/>
    <w:rsid w:val="00A47ACC"/>
    <w:rsid w:val="00A47AE0"/>
    <w:rsid w:val="00A47D80"/>
    <w:rsid w:val="00A47F95"/>
    <w:rsid w:val="00A47FA9"/>
    <w:rsid w:val="00A5005C"/>
    <w:rsid w:val="00A50169"/>
    <w:rsid w:val="00A50442"/>
    <w:rsid w:val="00A50488"/>
    <w:rsid w:val="00A504AB"/>
    <w:rsid w:val="00A50617"/>
    <w:rsid w:val="00A507A4"/>
    <w:rsid w:val="00A50BEE"/>
    <w:rsid w:val="00A50C4C"/>
    <w:rsid w:val="00A50C83"/>
    <w:rsid w:val="00A50FB1"/>
    <w:rsid w:val="00A5108C"/>
    <w:rsid w:val="00A5135C"/>
    <w:rsid w:val="00A5142E"/>
    <w:rsid w:val="00A5151F"/>
    <w:rsid w:val="00A516A4"/>
    <w:rsid w:val="00A517E1"/>
    <w:rsid w:val="00A519E7"/>
    <w:rsid w:val="00A51A84"/>
    <w:rsid w:val="00A51BB2"/>
    <w:rsid w:val="00A51E60"/>
    <w:rsid w:val="00A520D1"/>
    <w:rsid w:val="00A520FA"/>
    <w:rsid w:val="00A523E9"/>
    <w:rsid w:val="00A52479"/>
    <w:rsid w:val="00A5257D"/>
    <w:rsid w:val="00A52857"/>
    <w:rsid w:val="00A52864"/>
    <w:rsid w:val="00A5293A"/>
    <w:rsid w:val="00A52A1C"/>
    <w:rsid w:val="00A52C06"/>
    <w:rsid w:val="00A52C26"/>
    <w:rsid w:val="00A52D37"/>
    <w:rsid w:val="00A5315E"/>
    <w:rsid w:val="00A532C3"/>
    <w:rsid w:val="00A53335"/>
    <w:rsid w:val="00A533B8"/>
    <w:rsid w:val="00A53425"/>
    <w:rsid w:val="00A534E2"/>
    <w:rsid w:val="00A5391E"/>
    <w:rsid w:val="00A539D7"/>
    <w:rsid w:val="00A53ABE"/>
    <w:rsid w:val="00A53BC3"/>
    <w:rsid w:val="00A53E65"/>
    <w:rsid w:val="00A53F0A"/>
    <w:rsid w:val="00A53F23"/>
    <w:rsid w:val="00A54277"/>
    <w:rsid w:val="00A5431F"/>
    <w:rsid w:val="00A545BD"/>
    <w:rsid w:val="00A54777"/>
    <w:rsid w:val="00A548B2"/>
    <w:rsid w:val="00A54BE0"/>
    <w:rsid w:val="00A54D7C"/>
    <w:rsid w:val="00A54DF7"/>
    <w:rsid w:val="00A54E15"/>
    <w:rsid w:val="00A54F19"/>
    <w:rsid w:val="00A55262"/>
    <w:rsid w:val="00A55381"/>
    <w:rsid w:val="00A554FA"/>
    <w:rsid w:val="00A557EF"/>
    <w:rsid w:val="00A5593D"/>
    <w:rsid w:val="00A55B12"/>
    <w:rsid w:val="00A55DD6"/>
    <w:rsid w:val="00A56043"/>
    <w:rsid w:val="00A56118"/>
    <w:rsid w:val="00A561D4"/>
    <w:rsid w:val="00A562E5"/>
    <w:rsid w:val="00A564D4"/>
    <w:rsid w:val="00A56AA6"/>
    <w:rsid w:val="00A56D26"/>
    <w:rsid w:val="00A56DE6"/>
    <w:rsid w:val="00A5706E"/>
    <w:rsid w:val="00A57129"/>
    <w:rsid w:val="00A5727D"/>
    <w:rsid w:val="00A572FD"/>
    <w:rsid w:val="00A573E8"/>
    <w:rsid w:val="00A57558"/>
    <w:rsid w:val="00A57A82"/>
    <w:rsid w:val="00A57AA6"/>
    <w:rsid w:val="00A57BF4"/>
    <w:rsid w:val="00A57C7A"/>
    <w:rsid w:val="00A57F2A"/>
    <w:rsid w:val="00A57FA3"/>
    <w:rsid w:val="00A6009B"/>
    <w:rsid w:val="00A6011C"/>
    <w:rsid w:val="00A6016F"/>
    <w:rsid w:val="00A602BE"/>
    <w:rsid w:val="00A603AD"/>
    <w:rsid w:val="00A60455"/>
    <w:rsid w:val="00A60513"/>
    <w:rsid w:val="00A606E3"/>
    <w:rsid w:val="00A608B7"/>
    <w:rsid w:val="00A60AED"/>
    <w:rsid w:val="00A60BFF"/>
    <w:rsid w:val="00A60CA4"/>
    <w:rsid w:val="00A60FB7"/>
    <w:rsid w:val="00A6116C"/>
    <w:rsid w:val="00A61333"/>
    <w:rsid w:val="00A616A9"/>
    <w:rsid w:val="00A618C7"/>
    <w:rsid w:val="00A61AB7"/>
    <w:rsid w:val="00A61FBA"/>
    <w:rsid w:val="00A62041"/>
    <w:rsid w:val="00A620F9"/>
    <w:rsid w:val="00A62361"/>
    <w:rsid w:val="00A625C7"/>
    <w:rsid w:val="00A626E1"/>
    <w:rsid w:val="00A62A4F"/>
    <w:rsid w:val="00A62D3D"/>
    <w:rsid w:val="00A62DC0"/>
    <w:rsid w:val="00A6311E"/>
    <w:rsid w:val="00A6322E"/>
    <w:rsid w:val="00A63298"/>
    <w:rsid w:val="00A632D1"/>
    <w:rsid w:val="00A6374F"/>
    <w:rsid w:val="00A63960"/>
    <w:rsid w:val="00A63987"/>
    <w:rsid w:val="00A639BD"/>
    <w:rsid w:val="00A639E7"/>
    <w:rsid w:val="00A63D40"/>
    <w:rsid w:val="00A64612"/>
    <w:rsid w:val="00A64A3A"/>
    <w:rsid w:val="00A64D08"/>
    <w:rsid w:val="00A651E3"/>
    <w:rsid w:val="00A65224"/>
    <w:rsid w:val="00A6561D"/>
    <w:rsid w:val="00A65653"/>
    <w:rsid w:val="00A6584D"/>
    <w:rsid w:val="00A65EB3"/>
    <w:rsid w:val="00A65F9D"/>
    <w:rsid w:val="00A662C4"/>
    <w:rsid w:val="00A66819"/>
    <w:rsid w:val="00A66A28"/>
    <w:rsid w:val="00A66BE5"/>
    <w:rsid w:val="00A66D9F"/>
    <w:rsid w:val="00A66FD6"/>
    <w:rsid w:val="00A67007"/>
    <w:rsid w:val="00A670C3"/>
    <w:rsid w:val="00A67239"/>
    <w:rsid w:val="00A672E9"/>
    <w:rsid w:val="00A674B1"/>
    <w:rsid w:val="00A67609"/>
    <w:rsid w:val="00A67804"/>
    <w:rsid w:val="00A67FE3"/>
    <w:rsid w:val="00A70025"/>
    <w:rsid w:val="00A7056B"/>
    <w:rsid w:val="00A7063C"/>
    <w:rsid w:val="00A70B35"/>
    <w:rsid w:val="00A70BE9"/>
    <w:rsid w:val="00A70BEF"/>
    <w:rsid w:val="00A70CFC"/>
    <w:rsid w:val="00A70D53"/>
    <w:rsid w:val="00A70F8F"/>
    <w:rsid w:val="00A70FC1"/>
    <w:rsid w:val="00A712BD"/>
    <w:rsid w:val="00A71782"/>
    <w:rsid w:val="00A7190A"/>
    <w:rsid w:val="00A719A7"/>
    <w:rsid w:val="00A71A7C"/>
    <w:rsid w:val="00A71D1A"/>
    <w:rsid w:val="00A71E9A"/>
    <w:rsid w:val="00A72163"/>
    <w:rsid w:val="00A722AF"/>
    <w:rsid w:val="00A723F7"/>
    <w:rsid w:val="00A726C6"/>
    <w:rsid w:val="00A727C2"/>
    <w:rsid w:val="00A728ED"/>
    <w:rsid w:val="00A729BF"/>
    <w:rsid w:val="00A72AD9"/>
    <w:rsid w:val="00A72E52"/>
    <w:rsid w:val="00A731C0"/>
    <w:rsid w:val="00A731DC"/>
    <w:rsid w:val="00A733A4"/>
    <w:rsid w:val="00A733B2"/>
    <w:rsid w:val="00A73532"/>
    <w:rsid w:val="00A735B1"/>
    <w:rsid w:val="00A736B9"/>
    <w:rsid w:val="00A73BFA"/>
    <w:rsid w:val="00A73DA9"/>
    <w:rsid w:val="00A73F06"/>
    <w:rsid w:val="00A73F45"/>
    <w:rsid w:val="00A7456D"/>
    <w:rsid w:val="00A74BB8"/>
    <w:rsid w:val="00A74E5B"/>
    <w:rsid w:val="00A74F99"/>
    <w:rsid w:val="00A75007"/>
    <w:rsid w:val="00A750CD"/>
    <w:rsid w:val="00A7525D"/>
    <w:rsid w:val="00A75286"/>
    <w:rsid w:val="00A75425"/>
    <w:rsid w:val="00A75585"/>
    <w:rsid w:val="00A75637"/>
    <w:rsid w:val="00A75864"/>
    <w:rsid w:val="00A758B5"/>
    <w:rsid w:val="00A75CA4"/>
    <w:rsid w:val="00A75CD8"/>
    <w:rsid w:val="00A75E5C"/>
    <w:rsid w:val="00A75EC9"/>
    <w:rsid w:val="00A7600E"/>
    <w:rsid w:val="00A7615B"/>
    <w:rsid w:val="00A761F3"/>
    <w:rsid w:val="00A762E1"/>
    <w:rsid w:val="00A763D4"/>
    <w:rsid w:val="00A76550"/>
    <w:rsid w:val="00A765B4"/>
    <w:rsid w:val="00A76820"/>
    <w:rsid w:val="00A768FC"/>
    <w:rsid w:val="00A76B50"/>
    <w:rsid w:val="00A76F6E"/>
    <w:rsid w:val="00A77004"/>
    <w:rsid w:val="00A77030"/>
    <w:rsid w:val="00A770B5"/>
    <w:rsid w:val="00A7712B"/>
    <w:rsid w:val="00A771BC"/>
    <w:rsid w:val="00A771FF"/>
    <w:rsid w:val="00A772ED"/>
    <w:rsid w:val="00A7741A"/>
    <w:rsid w:val="00A77467"/>
    <w:rsid w:val="00A774D1"/>
    <w:rsid w:val="00A77808"/>
    <w:rsid w:val="00A77EA4"/>
    <w:rsid w:val="00A77F52"/>
    <w:rsid w:val="00A801AC"/>
    <w:rsid w:val="00A8021F"/>
    <w:rsid w:val="00A80470"/>
    <w:rsid w:val="00A8057D"/>
    <w:rsid w:val="00A80585"/>
    <w:rsid w:val="00A807AC"/>
    <w:rsid w:val="00A808D9"/>
    <w:rsid w:val="00A817D5"/>
    <w:rsid w:val="00A81A46"/>
    <w:rsid w:val="00A81B8A"/>
    <w:rsid w:val="00A81C19"/>
    <w:rsid w:val="00A81E9C"/>
    <w:rsid w:val="00A81F2D"/>
    <w:rsid w:val="00A8209F"/>
    <w:rsid w:val="00A820F1"/>
    <w:rsid w:val="00A8223B"/>
    <w:rsid w:val="00A82283"/>
    <w:rsid w:val="00A8229F"/>
    <w:rsid w:val="00A822E3"/>
    <w:rsid w:val="00A828CE"/>
    <w:rsid w:val="00A8343C"/>
    <w:rsid w:val="00A83603"/>
    <w:rsid w:val="00A83706"/>
    <w:rsid w:val="00A8394A"/>
    <w:rsid w:val="00A83D8A"/>
    <w:rsid w:val="00A8400F"/>
    <w:rsid w:val="00A84461"/>
    <w:rsid w:val="00A844D2"/>
    <w:rsid w:val="00A845AA"/>
    <w:rsid w:val="00A84844"/>
    <w:rsid w:val="00A848B7"/>
    <w:rsid w:val="00A84931"/>
    <w:rsid w:val="00A84971"/>
    <w:rsid w:val="00A84AFE"/>
    <w:rsid w:val="00A84B7C"/>
    <w:rsid w:val="00A84C70"/>
    <w:rsid w:val="00A84C75"/>
    <w:rsid w:val="00A84F55"/>
    <w:rsid w:val="00A8509D"/>
    <w:rsid w:val="00A857CF"/>
    <w:rsid w:val="00A8586F"/>
    <w:rsid w:val="00A85979"/>
    <w:rsid w:val="00A85B3D"/>
    <w:rsid w:val="00A86674"/>
    <w:rsid w:val="00A86899"/>
    <w:rsid w:val="00A86B2D"/>
    <w:rsid w:val="00A87203"/>
    <w:rsid w:val="00A87A77"/>
    <w:rsid w:val="00A87C7F"/>
    <w:rsid w:val="00A87CB6"/>
    <w:rsid w:val="00A87DF5"/>
    <w:rsid w:val="00A9062E"/>
    <w:rsid w:val="00A90675"/>
    <w:rsid w:val="00A906BC"/>
    <w:rsid w:val="00A906FD"/>
    <w:rsid w:val="00A90909"/>
    <w:rsid w:val="00A90B63"/>
    <w:rsid w:val="00A90D37"/>
    <w:rsid w:val="00A90DCE"/>
    <w:rsid w:val="00A91165"/>
    <w:rsid w:val="00A9130E"/>
    <w:rsid w:val="00A913BA"/>
    <w:rsid w:val="00A91CB3"/>
    <w:rsid w:val="00A91EE3"/>
    <w:rsid w:val="00A9204D"/>
    <w:rsid w:val="00A9215E"/>
    <w:rsid w:val="00A923C6"/>
    <w:rsid w:val="00A925B1"/>
    <w:rsid w:val="00A925C6"/>
    <w:rsid w:val="00A9260F"/>
    <w:rsid w:val="00A928A3"/>
    <w:rsid w:val="00A928E2"/>
    <w:rsid w:val="00A929D0"/>
    <w:rsid w:val="00A92A71"/>
    <w:rsid w:val="00A92EB3"/>
    <w:rsid w:val="00A93096"/>
    <w:rsid w:val="00A933AF"/>
    <w:rsid w:val="00A9366E"/>
    <w:rsid w:val="00A93B64"/>
    <w:rsid w:val="00A94014"/>
    <w:rsid w:val="00A9419D"/>
    <w:rsid w:val="00A941FC"/>
    <w:rsid w:val="00A945D9"/>
    <w:rsid w:val="00A9466F"/>
    <w:rsid w:val="00A946FE"/>
    <w:rsid w:val="00A94868"/>
    <w:rsid w:val="00A948E8"/>
    <w:rsid w:val="00A94C28"/>
    <w:rsid w:val="00A94D2A"/>
    <w:rsid w:val="00A951D4"/>
    <w:rsid w:val="00A952CE"/>
    <w:rsid w:val="00A95719"/>
    <w:rsid w:val="00A95795"/>
    <w:rsid w:val="00A95869"/>
    <w:rsid w:val="00A95879"/>
    <w:rsid w:val="00A95ABA"/>
    <w:rsid w:val="00A95AED"/>
    <w:rsid w:val="00A95C19"/>
    <w:rsid w:val="00A95C31"/>
    <w:rsid w:val="00A95F39"/>
    <w:rsid w:val="00A96101"/>
    <w:rsid w:val="00A96291"/>
    <w:rsid w:val="00A96491"/>
    <w:rsid w:val="00A966A0"/>
    <w:rsid w:val="00A966C6"/>
    <w:rsid w:val="00A96A45"/>
    <w:rsid w:val="00A96ACA"/>
    <w:rsid w:val="00A96BFA"/>
    <w:rsid w:val="00A96C02"/>
    <w:rsid w:val="00A96CEC"/>
    <w:rsid w:val="00A96F5C"/>
    <w:rsid w:val="00A9770E"/>
    <w:rsid w:val="00A977B9"/>
    <w:rsid w:val="00A97892"/>
    <w:rsid w:val="00A97BA3"/>
    <w:rsid w:val="00A97D92"/>
    <w:rsid w:val="00A97FC7"/>
    <w:rsid w:val="00A97FD0"/>
    <w:rsid w:val="00AA0067"/>
    <w:rsid w:val="00AA0131"/>
    <w:rsid w:val="00AA099C"/>
    <w:rsid w:val="00AA0A56"/>
    <w:rsid w:val="00AA0CE9"/>
    <w:rsid w:val="00AA0F81"/>
    <w:rsid w:val="00AA1061"/>
    <w:rsid w:val="00AA1192"/>
    <w:rsid w:val="00AA1499"/>
    <w:rsid w:val="00AA1897"/>
    <w:rsid w:val="00AA1A8C"/>
    <w:rsid w:val="00AA1AB7"/>
    <w:rsid w:val="00AA1B57"/>
    <w:rsid w:val="00AA1C14"/>
    <w:rsid w:val="00AA1C5A"/>
    <w:rsid w:val="00AA1DA0"/>
    <w:rsid w:val="00AA1ED6"/>
    <w:rsid w:val="00AA2011"/>
    <w:rsid w:val="00AA201A"/>
    <w:rsid w:val="00AA2125"/>
    <w:rsid w:val="00AA213B"/>
    <w:rsid w:val="00AA2533"/>
    <w:rsid w:val="00AA257F"/>
    <w:rsid w:val="00AA25BC"/>
    <w:rsid w:val="00AA2A5A"/>
    <w:rsid w:val="00AA2BCB"/>
    <w:rsid w:val="00AA2BE3"/>
    <w:rsid w:val="00AA2F18"/>
    <w:rsid w:val="00AA3294"/>
    <w:rsid w:val="00AA330C"/>
    <w:rsid w:val="00AA3504"/>
    <w:rsid w:val="00AA358C"/>
    <w:rsid w:val="00AA37AC"/>
    <w:rsid w:val="00AA3A6A"/>
    <w:rsid w:val="00AA3AD8"/>
    <w:rsid w:val="00AA3B08"/>
    <w:rsid w:val="00AA3E42"/>
    <w:rsid w:val="00AA3FEA"/>
    <w:rsid w:val="00AA44A8"/>
    <w:rsid w:val="00AA4534"/>
    <w:rsid w:val="00AA45B8"/>
    <w:rsid w:val="00AA45E4"/>
    <w:rsid w:val="00AA45EA"/>
    <w:rsid w:val="00AA4E2A"/>
    <w:rsid w:val="00AA4F92"/>
    <w:rsid w:val="00AA4FB0"/>
    <w:rsid w:val="00AA5005"/>
    <w:rsid w:val="00AA52B7"/>
    <w:rsid w:val="00AA572F"/>
    <w:rsid w:val="00AA5AB9"/>
    <w:rsid w:val="00AA5B45"/>
    <w:rsid w:val="00AA5BA2"/>
    <w:rsid w:val="00AA5CF7"/>
    <w:rsid w:val="00AA5DA2"/>
    <w:rsid w:val="00AA608C"/>
    <w:rsid w:val="00AA638E"/>
    <w:rsid w:val="00AA63BE"/>
    <w:rsid w:val="00AA642D"/>
    <w:rsid w:val="00AA6876"/>
    <w:rsid w:val="00AA68F5"/>
    <w:rsid w:val="00AA6B7B"/>
    <w:rsid w:val="00AA6C51"/>
    <w:rsid w:val="00AA6F11"/>
    <w:rsid w:val="00AA7089"/>
    <w:rsid w:val="00AA70E7"/>
    <w:rsid w:val="00AA71ED"/>
    <w:rsid w:val="00AA749C"/>
    <w:rsid w:val="00AA74AD"/>
    <w:rsid w:val="00AA7953"/>
    <w:rsid w:val="00AA79FF"/>
    <w:rsid w:val="00AA7D74"/>
    <w:rsid w:val="00AA7F96"/>
    <w:rsid w:val="00AB0064"/>
    <w:rsid w:val="00AB009F"/>
    <w:rsid w:val="00AB043F"/>
    <w:rsid w:val="00AB0454"/>
    <w:rsid w:val="00AB0649"/>
    <w:rsid w:val="00AB0667"/>
    <w:rsid w:val="00AB06EC"/>
    <w:rsid w:val="00AB0743"/>
    <w:rsid w:val="00AB0939"/>
    <w:rsid w:val="00AB0EE8"/>
    <w:rsid w:val="00AB1059"/>
    <w:rsid w:val="00AB12D2"/>
    <w:rsid w:val="00AB15E0"/>
    <w:rsid w:val="00AB1AB2"/>
    <w:rsid w:val="00AB1C4A"/>
    <w:rsid w:val="00AB1DDF"/>
    <w:rsid w:val="00AB1E89"/>
    <w:rsid w:val="00AB1EB3"/>
    <w:rsid w:val="00AB1EDC"/>
    <w:rsid w:val="00AB226C"/>
    <w:rsid w:val="00AB2536"/>
    <w:rsid w:val="00AB2592"/>
    <w:rsid w:val="00AB284D"/>
    <w:rsid w:val="00AB2AB4"/>
    <w:rsid w:val="00AB2ECB"/>
    <w:rsid w:val="00AB2F75"/>
    <w:rsid w:val="00AB3124"/>
    <w:rsid w:val="00AB34DD"/>
    <w:rsid w:val="00AB3638"/>
    <w:rsid w:val="00AB36E8"/>
    <w:rsid w:val="00AB3A8B"/>
    <w:rsid w:val="00AB4133"/>
    <w:rsid w:val="00AB43AE"/>
    <w:rsid w:val="00AB4547"/>
    <w:rsid w:val="00AB458A"/>
    <w:rsid w:val="00AB4855"/>
    <w:rsid w:val="00AB4A4A"/>
    <w:rsid w:val="00AB4C04"/>
    <w:rsid w:val="00AB4D64"/>
    <w:rsid w:val="00AB5131"/>
    <w:rsid w:val="00AB5248"/>
    <w:rsid w:val="00AB5681"/>
    <w:rsid w:val="00AB5E99"/>
    <w:rsid w:val="00AB5ECE"/>
    <w:rsid w:val="00AB624C"/>
    <w:rsid w:val="00AB6428"/>
    <w:rsid w:val="00AB651D"/>
    <w:rsid w:val="00AB66B9"/>
    <w:rsid w:val="00AB6922"/>
    <w:rsid w:val="00AB6B14"/>
    <w:rsid w:val="00AB6BEC"/>
    <w:rsid w:val="00AB705E"/>
    <w:rsid w:val="00AB70AD"/>
    <w:rsid w:val="00AB7277"/>
    <w:rsid w:val="00AB76D5"/>
    <w:rsid w:val="00AB7729"/>
    <w:rsid w:val="00AB7DDF"/>
    <w:rsid w:val="00AB7DEB"/>
    <w:rsid w:val="00AB7E73"/>
    <w:rsid w:val="00AC00A1"/>
    <w:rsid w:val="00AC0215"/>
    <w:rsid w:val="00AC038F"/>
    <w:rsid w:val="00AC0A73"/>
    <w:rsid w:val="00AC0C0D"/>
    <w:rsid w:val="00AC0C39"/>
    <w:rsid w:val="00AC0E54"/>
    <w:rsid w:val="00AC1468"/>
    <w:rsid w:val="00AC1746"/>
    <w:rsid w:val="00AC1761"/>
    <w:rsid w:val="00AC1775"/>
    <w:rsid w:val="00AC191E"/>
    <w:rsid w:val="00AC1B04"/>
    <w:rsid w:val="00AC1CD8"/>
    <w:rsid w:val="00AC1D07"/>
    <w:rsid w:val="00AC2074"/>
    <w:rsid w:val="00AC2156"/>
    <w:rsid w:val="00AC2243"/>
    <w:rsid w:val="00AC231A"/>
    <w:rsid w:val="00AC2323"/>
    <w:rsid w:val="00AC2547"/>
    <w:rsid w:val="00AC2648"/>
    <w:rsid w:val="00AC2733"/>
    <w:rsid w:val="00AC2878"/>
    <w:rsid w:val="00AC28BA"/>
    <w:rsid w:val="00AC2A73"/>
    <w:rsid w:val="00AC2B17"/>
    <w:rsid w:val="00AC2C6E"/>
    <w:rsid w:val="00AC3121"/>
    <w:rsid w:val="00AC3132"/>
    <w:rsid w:val="00AC3136"/>
    <w:rsid w:val="00AC3158"/>
    <w:rsid w:val="00AC3775"/>
    <w:rsid w:val="00AC38A4"/>
    <w:rsid w:val="00AC39F5"/>
    <w:rsid w:val="00AC3A2E"/>
    <w:rsid w:val="00AC3B0A"/>
    <w:rsid w:val="00AC3EEE"/>
    <w:rsid w:val="00AC41A4"/>
    <w:rsid w:val="00AC4331"/>
    <w:rsid w:val="00AC43F1"/>
    <w:rsid w:val="00AC4465"/>
    <w:rsid w:val="00AC49C4"/>
    <w:rsid w:val="00AC4DCF"/>
    <w:rsid w:val="00AC4FC5"/>
    <w:rsid w:val="00AC4FE7"/>
    <w:rsid w:val="00AC5262"/>
    <w:rsid w:val="00AC52F2"/>
    <w:rsid w:val="00AC5469"/>
    <w:rsid w:val="00AC54B7"/>
    <w:rsid w:val="00AC5936"/>
    <w:rsid w:val="00AC5C76"/>
    <w:rsid w:val="00AC5E4F"/>
    <w:rsid w:val="00AC640C"/>
    <w:rsid w:val="00AC6501"/>
    <w:rsid w:val="00AC678F"/>
    <w:rsid w:val="00AC690C"/>
    <w:rsid w:val="00AC6A73"/>
    <w:rsid w:val="00AC6B5A"/>
    <w:rsid w:val="00AC6D60"/>
    <w:rsid w:val="00AC6D91"/>
    <w:rsid w:val="00AC6EC7"/>
    <w:rsid w:val="00AC6EE6"/>
    <w:rsid w:val="00AC6F80"/>
    <w:rsid w:val="00AC70B2"/>
    <w:rsid w:val="00AC7169"/>
    <w:rsid w:val="00AC71D4"/>
    <w:rsid w:val="00AC761A"/>
    <w:rsid w:val="00AC7BB7"/>
    <w:rsid w:val="00AC7D3B"/>
    <w:rsid w:val="00AC7FC1"/>
    <w:rsid w:val="00AD0142"/>
    <w:rsid w:val="00AD02A4"/>
    <w:rsid w:val="00AD02CE"/>
    <w:rsid w:val="00AD09DD"/>
    <w:rsid w:val="00AD0A96"/>
    <w:rsid w:val="00AD0C13"/>
    <w:rsid w:val="00AD1089"/>
    <w:rsid w:val="00AD10D7"/>
    <w:rsid w:val="00AD136A"/>
    <w:rsid w:val="00AD14F3"/>
    <w:rsid w:val="00AD1CED"/>
    <w:rsid w:val="00AD1F32"/>
    <w:rsid w:val="00AD254D"/>
    <w:rsid w:val="00AD2869"/>
    <w:rsid w:val="00AD2FDE"/>
    <w:rsid w:val="00AD3539"/>
    <w:rsid w:val="00AD390A"/>
    <w:rsid w:val="00AD3A18"/>
    <w:rsid w:val="00AD3AC6"/>
    <w:rsid w:val="00AD3D38"/>
    <w:rsid w:val="00AD3D8A"/>
    <w:rsid w:val="00AD3E22"/>
    <w:rsid w:val="00AD3E7F"/>
    <w:rsid w:val="00AD3EC6"/>
    <w:rsid w:val="00AD401A"/>
    <w:rsid w:val="00AD4197"/>
    <w:rsid w:val="00AD4345"/>
    <w:rsid w:val="00AD45E3"/>
    <w:rsid w:val="00AD48EC"/>
    <w:rsid w:val="00AD4A7A"/>
    <w:rsid w:val="00AD4A82"/>
    <w:rsid w:val="00AD4C15"/>
    <w:rsid w:val="00AD5180"/>
    <w:rsid w:val="00AD51F9"/>
    <w:rsid w:val="00AD5359"/>
    <w:rsid w:val="00AD55AD"/>
    <w:rsid w:val="00AD55C2"/>
    <w:rsid w:val="00AD5A35"/>
    <w:rsid w:val="00AD5AAC"/>
    <w:rsid w:val="00AD5B48"/>
    <w:rsid w:val="00AD5B9B"/>
    <w:rsid w:val="00AD5CA3"/>
    <w:rsid w:val="00AD5DD3"/>
    <w:rsid w:val="00AD610D"/>
    <w:rsid w:val="00AD629B"/>
    <w:rsid w:val="00AD62C0"/>
    <w:rsid w:val="00AD62DD"/>
    <w:rsid w:val="00AD6361"/>
    <w:rsid w:val="00AD66CA"/>
    <w:rsid w:val="00AD6A01"/>
    <w:rsid w:val="00AD6D9C"/>
    <w:rsid w:val="00AD6DB5"/>
    <w:rsid w:val="00AD6E7A"/>
    <w:rsid w:val="00AD720A"/>
    <w:rsid w:val="00AD7238"/>
    <w:rsid w:val="00AD7492"/>
    <w:rsid w:val="00AD769E"/>
    <w:rsid w:val="00AD7782"/>
    <w:rsid w:val="00AD7855"/>
    <w:rsid w:val="00AD7A37"/>
    <w:rsid w:val="00AD7E4A"/>
    <w:rsid w:val="00AD7F4F"/>
    <w:rsid w:val="00AE000E"/>
    <w:rsid w:val="00AE00FF"/>
    <w:rsid w:val="00AE0341"/>
    <w:rsid w:val="00AE046D"/>
    <w:rsid w:val="00AE08C4"/>
    <w:rsid w:val="00AE0D8B"/>
    <w:rsid w:val="00AE0E6F"/>
    <w:rsid w:val="00AE0E81"/>
    <w:rsid w:val="00AE1BA9"/>
    <w:rsid w:val="00AE1C7E"/>
    <w:rsid w:val="00AE1F01"/>
    <w:rsid w:val="00AE2220"/>
    <w:rsid w:val="00AE2291"/>
    <w:rsid w:val="00AE22D1"/>
    <w:rsid w:val="00AE245A"/>
    <w:rsid w:val="00AE24FA"/>
    <w:rsid w:val="00AE2876"/>
    <w:rsid w:val="00AE289A"/>
    <w:rsid w:val="00AE2A63"/>
    <w:rsid w:val="00AE2B4E"/>
    <w:rsid w:val="00AE2BAD"/>
    <w:rsid w:val="00AE2C8A"/>
    <w:rsid w:val="00AE2C92"/>
    <w:rsid w:val="00AE2CDA"/>
    <w:rsid w:val="00AE2EF2"/>
    <w:rsid w:val="00AE3210"/>
    <w:rsid w:val="00AE3284"/>
    <w:rsid w:val="00AE349C"/>
    <w:rsid w:val="00AE374C"/>
    <w:rsid w:val="00AE399F"/>
    <w:rsid w:val="00AE3C2B"/>
    <w:rsid w:val="00AE3FB3"/>
    <w:rsid w:val="00AE4077"/>
    <w:rsid w:val="00AE40B3"/>
    <w:rsid w:val="00AE43FE"/>
    <w:rsid w:val="00AE456A"/>
    <w:rsid w:val="00AE47C9"/>
    <w:rsid w:val="00AE480C"/>
    <w:rsid w:val="00AE4953"/>
    <w:rsid w:val="00AE4CD2"/>
    <w:rsid w:val="00AE4D7F"/>
    <w:rsid w:val="00AE4EB8"/>
    <w:rsid w:val="00AE5346"/>
    <w:rsid w:val="00AE538E"/>
    <w:rsid w:val="00AE53F1"/>
    <w:rsid w:val="00AE5415"/>
    <w:rsid w:val="00AE5460"/>
    <w:rsid w:val="00AE5617"/>
    <w:rsid w:val="00AE5727"/>
    <w:rsid w:val="00AE587C"/>
    <w:rsid w:val="00AE5ABD"/>
    <w:rsid w:val="00AE5B2B"/>
    <w:rsid w:val="00AE5CCC"/>
    <w:rsid w:val="00AE5F4D"/>
    <w:rsid w:val="00AE64BE"/>
    <w:rsid w:val="00AE66AD"/>
    <w:rsid w:val="00AE66CE"/>
    <w:rsid w:val="00AE67AB"/>
    <w:rsid w:val="00AE67F3"/>
    <w:rsid w:val="00AE6AD2"/>
    <w:rsid w:val="00AE6DBE"/>
    <w:rsid w:val="00AE6E56"/>
    <w:rsid w:val="00AE73CB"/>
    <w:rsid w:val="00AE7535"/>
    <w:rsid w:val="00AE753B"/>
    <w:rsid w:val="00AE7AAF"/>
    <w:rsid w:val="00AE7F0D"/>
    <w:rsid w:val="00AF0359"/>
    <w:rsid w:val="00AF03B0"/>
    <w:rsid w:val="00AF07AD"/>
    <w:rsid w:val="00AF08E8"/>
    <w:rsid w:val="00AF0AB4"/>
    <w:rsid w:val="00AF0D79"/>
    <w:rsid w:val="00AF14C0"/>
    <w:rsid w:val="00AF1592"/>
    <w:rsid w:val="00AF179F"/>
    <w:rsid w:val="00AF1883"/>
    <w:rsid w:val="00AF1B3B"/>
    <w:rsid w:val="00AF1ED0"/>
    <w:rsid w:val="00AF1F41"/>
    <w:rsid w:val="00AF1F6B"/>
    <w:rsid w:val="00AF20C0"/>
    <w:rsid w:val="00AF2120"/>
    <w:rsid w:val="00AF2214"/>
    <w:rsid w:val="00AF223A"/>
    <w:rsid w:val="00AF2322"/>
    <w:rsid w:val="00AF2388"/>
    <w:rsid w:val="00AF26B5"/>
    <w:rsid w:val="00AF2983"/>
    <w:rsid w:val="00AF2A8B"/>
    <w:rsid w:val="00AF2AEF"/>
    <w:rsid w:val="00AF2B46"/>
    <w:rsid w:val="00AF2D1A"/>
    <w:rsid w:val="00AF31E1"/>
    <w:rsid w:val="00AF3334"/>
    <w:rsid w:val="00AF33D2"/>
    <w:rsid w:val="00AF3807"/>
    <w:rsid w:val="00AF386C"/>
    <w:rsid w:val="00AF3870"/>
    <w:rsid w:val="00AF3CD5"/>
    <w:rsid w:val="00AF3F6F"/>
    <w:rsid w:val="00AF419B"/>
    <w:rsid w:val="00AF43CF"/>
    <w:rsid w:val="00AF4802"/>
    <w:rsid w:val="00AF4864"/>
    <w:rsid w:val="00AF4943"/>
    <w:rsid w:val="00AF4C1C"/>
    <w:rsid w:val="00AF4D00"/>
    <w:rsid w:val="00AF4FB4"/>
    <w:rsid w:val="00AF525B"/>
    <w:rsid w:val="00AF5353"/>
    <w:rsid w:val="00AF559B"/>
    <w:rsid w:val="00AF5641"/>
    <w:rsid w:val="00AF57F5"/>
    <w:rsid w:val="00AF57F6"/>
    <w:rsid w:val="00AF5ABF"/>
    <w:rsid w:val="00AF5AF5"/>
    <w:rsid w:val="00AF61B9"/>
    <w:rsid w:val="00AF62E6"/>
    <w:rsid w:val="00AF6343"/>
    <w:rsid w:val="00AF6523"/>
    <w:rsid w:val="00AF6C2C"/>
    <w:rsid w:val="00AF6CE8"/>
    <w:rsid w:val="00AF6CEF"/>
    <w:rsid w:val="00AF6DA2"/>
    <w:rsid w:val="00AF6DC1"/>
    <w:rsid w:val="00AF7497"/>
    <w:rsid w:val="00AF7514"/>
    <w:rsid w:val="00AF75DE"/>
    <w:rsid w:val="00AF7689"/>
    <w:rsid w:val="00AF7694"/>
    <w:rsid w:val="00AF7B61"/>
    <w:rsid w:val="00AF7BCA"/>
    <w:rsid w:val="00AF7DBC"/>
    <w:rsid w:val="00AF7ED0"/>
    <w:rsid w:val="00B00138"/>
    <w:rsid w:val="00B00633"/>
    <w:rsid w:val="00B007CB"/>
    <w:rsid w:val="00B00819"/>
    <w:rsid w:val="00B008A3"/>
    <w:rsid w:val="00B00950"/>
    <w:rsid w:val="00B00A90"/>
    <w:rsid w:val="00B00C8A"/>
    <w:rsid w:val="00B00D55"/>
    <w:rsid w:val="00B01624"/>
    <w:rsid w:val="00B01764"/>
    <w:rsid w:val="00B018BA"/>
    <w:rsid w:val="00B01DAC"/>
    <w:rsid w:val="00B020C3"/>
    <w:rsid w:val="00B021C1"/>
    <w:rsid w:val="00B02255"/>
    <w:rsid w:val="00B02E1A"/>
    <w:rsid w:val="00B02E61"/>
    <w:rsid w:val="00B0359F"/>
    <w:rsid w:val="00B0364A"/>
    <w:rsid w:val="00B036CE"/>
    <w:rsid w:val="00B03BF8"/>
    <w:rsid w:val="00B03C7E"/>
    <w:rsid w:val="00B03F22"/>
    <w:rsid w:val="00B040B6"/>
    <w:rsid w:val="00B04140"/>
    <w:rsid w:val="00B044CD"/>
    <w:rsid w:val="00B04531"/>
    <w:rsid w:val="00B0469D"/>
    <w:rsid w:val="00B04803"/>
    <w:rsid w:val="00B04817"/>
    <w:rsid w:val="00B04970"/>
    <w:rsid w:val="00B04973"/>
    <w:rsid w:val="00B049FA"/>
    <w:rsid w:val="00B04DB1"/>
    <w:rsid w:val="00B04FB2"/>
    <w:rsid w:val="00B050AA"/>
    <w:rsid w:val="00B0512B"/>
    <w:rsid w:val="00B0515D"/>
    <w:rsid w:val="00B051A6"/>
    <w:rsid w:val="00B05359"/>
    <w:rsid w:val="00B053A6"/>
    <w:rsid w:val="00B0540B"/>
    <w:rsid w:val="00B0572C"/>
    <w:rsid w:val="00B058D4"/>
    <w:rsid w:val="00B0597B"/>
    <w:rsid w:val="00B05AE9"/>
    <w:rsid w:val="00B05ED4"/>
    <w:rsid w:val="00B0613A"/>
    <w:rsid w:val="00B06165"/>
    <w:rsid w:val="00B061FA"/>
    <w:rsid w:val="00B064E4"/>
    <w:rsid w:val="00B06FBB"/>
    <w:rsid w:val="00B07070"/>
    <w:rsid w:val="00B07176"/>
    <w:rsid w:val="00B07223"/>
    <w:rsid w:val="00B073FC"/>
    <w:rsid w:val="00B07418"/>
    <w:rsid w:val="00B07456"/>
    <w:rsid w:val="00B07746"/>
    <w:rsid w:val="00B077C6"/>
    <w:rsid w:val="00B07DD3"/>
    <w:rsid w:val="00B102B8"/>
    <w:rsid w:val="00B103DB"/>
    <w:rsid w:val="00B1061C"/>
    <w:rsid w:val="00B106AB"/>
    <w:rsid w:val="00B1075C"/>
    <w:rsid w:val="00B109C0"/>
    <w:rsid w:val="00B10C8B"/>
    <w:rsid w:val="00B10F30"/>
    <w:rsid w:val="00B11393"/>
    <w:rsid w:val="00B113CE"/>
    <w:rsid w:val="00B119DE"/>
    <w:rsid w:val="00B11A2A"/>
    <w:rsid w:val="00B11B10"/>
    <w:rsid w:val="00B11CC0"/>
    <w:rsid w:val="00B11E59"/>
    <w:rsid w:val="00B1205A"/>
    <w:rsid w:val="00B1212F"/>
    <w:rsid w:val="00B1214D"/>
    <w:rsid w:val="00B12246"/>
    <w:rsid w:val="00B12291"/>
    <w:rsid w:val="00B125F9"/>
    <w:rsid w:val="00B1270A"/>
    <w:rsid w:val="00B1274A"/>
    <w:rsid w:val="00B128E6"/>
    <w:rsid w:val="00B131EC"/>
    <w:rsid w:val="00B13431"/>
    <w:rsid w:val="00B13437"/>
    <w:rsid w:val="00B1364A"/>
    <w:rsid w:val="00B13890"/>
    <w:rsid w:val="00B13C09"/>
    <w:rsid w:val="00B13DB5"/>
    <w:rsid w:val="00B14252"/>
    <w:rsid w:val="00B143AC"/>
    <w:rsid w:val="00B144C2"/>
    <w:rsid w:val="00B14549"/>
    <w:rsid w:val="00B14824"/>
    <w:rsid w:val="00B14928"/>
    <w:rsid w:val="00B150DC"/>
    <w:rsid w:val="00B153AE"/>
    <w:rsid w:val="00B153E3"/>
    <w:rsid w:val="00B154FD"/>
    <w:rsid w:val="00B15763"/>
    <w:rsid w:val="00B15EBF"/>
    <w:rsid w:val="00B15F08"/>
    <w:rsid w:val="00B1613C"/>
    <w:rsid w:val="00B1614F"/>
    <w:rsid w:val="00B163A8"/>
    <w:rsid w:val="00B16448"/>
    <w:rsid w:val="00B1678D"/>
    <w:rsid w:val="00B16907"/>
    <w:rsid w:val="00B169E2"/>
    <w:rsid w:val="00B171FB"/>
    <w:rsid w:val="00B173B2"/>
    <w:rsid w:val="00B173E1"/>
    <w:rsid w:val="00B174DD"/>
    <w:rsid w:val="00B178ED"/>
    <w:rsid w:val="00B17C99"/>
    <w:rsid w:val="00B17D9B"/>
    <w:rsid w:val="00B201BC"/>
    <w:rsid w:val="00B20258"/>
    <w:rsid w:val="00B2032D"/>
    <w:rsid w:val="00B206D5"/>
    <w:rsid w:val="00B206DA"/>
    <w:rsid w:val="00B20896"/>
    <w:rsid w:val="00B20AC0"/>
    <w:rsid w:val="00B20B66"/>
    <w:rsid w:val="00B20C44"/>
    <w:rsid w:val="00B20D9A"/>
    <w:rsid w:val="00B20D9E"/>
    <w:rsid w:val="00B211E9"/>
    <w:rsid w:val="00B214F3"/>
    <w:rsid w:val="00B218AF"/>
    <w:rsid w:val="00B21A05"/>
    <w:rsid w:val="00B21A4E"/>
    <w:rsid w:val="00B21BED"/>
    <w:rsid w:val="00B21DB7"/>
    <w:rsid w:val="00B21FAC"/>
    <w:rsid w:val="00B21FAF"/>
    <w:rsid w:val="00B2206F"/>
    <w:rsid w:val="00B224FF"/>
    <w:rsid w:val="00B22622"/>
    <w:rsid w:val="00B227CC"/>
    <w:rsid w:val="00B2298B"/>
    <w:rsid w:val="00B22993"/>
    <w:rsid w:val="00B22D45"/>
    <w:rsid w:val="00B22E96"/>
    <w:rsid w:val="00B23007"/>
    <w:rsid w:val="00B23138"/>
    <w:rsid w:val="00B23171"/>
    <w:rsid w:val="00B233F8"/>
    <w:rsid w:val="00B23840"/>
    <w:rsid w:val="00B23B5A"/>
    <w:rsid w:val="00B23BDA"/>
    <w:rsid w:val="00B23D3F"/>
    <w:rsid w:val="00B23E66"/>
    <w:rsid w:val="00B23F8B"/>
    <w:rsid w:val="00B2419E"/>
    <w:rsid w:val="00B24216"/>
    <w:rsid w:val="00B242F0"/>
    <w:rsid w:val="00B243C2"/>
    <w:rsid w:val="00B245CB"/>
    <w:rsid w:val="00B248F1"/>
    <w:rsid w:val="00B24BD2"/>
    <w:rsid w:val="00B24CC6"/>
    <w:rsid w:val="00B24D07"/>
    <w:rsid w:val="00B24E82"/>
    <w:rsid w:val="00B24F01"/>
    <w:rsid w:val="00B257F2"/>
    <w:rsid w:val="00B25DCE"/>
    <w:rsid w:val="00B2615E"/>
    <w:rsid w:val="00B2619B"/>
    <w:rsid w:val="00B2647F"/>
    <w:rsid w:val="00B26609"/>
    <w:rsid w:val="00B26621"/>
    <w:rsid w:val="00B266D8"/>
    <w:rsid w:val="00B26ABD"/>
    <w:rsid w:val="00B26C01"/>
    <w:rsid w:val="00B26EFE"/>
    <w:rsid w:val="00B27122"/>
    <w:rsid w:val="00B271DC"/>
    <w:rsid w:val="00B27301"/>
    <w:rsid w:val="00B2752A"/>
    <w:rsid w:val="00B275C4"/>
    <w:rsid w:val="00B276B1"/>
    <w:rsid w:val="00B277BA"/>
    <w:rsid w:val="00B2781F"/>
    <w:rsid w:val="00B27E9B"/>
    <w:rsid w:val="00B27F68"/>
    <w:rsid w:val="00B300E5"/>
    <w:rsid w:val="00B301A9"/>
    <w:rsid w:val="00B301F7"/>
    <w:rsid w:val="00B30352"/>
    <w:rsid w:val="00B305C3"/>
    <w:rsid w:val="00B305C7"/>
    <w:rsid w:val="00B30636"/>
    <w:rsid w:val="00B31115"/>
    <w:rsid w:val="00B31152"/>
    <w:rsid w:val="00B31264"/>
    <w:rsid w:val="00B31343"/>
    <w:rsid w:val="00B3139C"/>
    <w:rsid w:val="00B3157E"/>
    <w:rsid w:val="00B3171F"/>
    <w:rsid w:val="00B31A6A"/>
    <w:rsid w:val="00B31EB2"/>
    <w:rsid w:val="00B31EE6"/>
    <w:rsid w:val="00B3203B"/>
    <w:rsid w:val="00B32287"/>
    <w:rsid w:val="00B322F2"/>
    <w:rsid w:val="00B323C4"/>
    <w:rsid w:val="00B32785"/>
    <w:rsid w:val="00B329D2"/>
    <w:rsid w:val="00B32C02"/>
    <w:rsid w:val="00B32EE5"/>
    <w:rsid w:val="00B32F8A"/>
    <w:rsid w:val="00B33183"/>
    <w:rsid w:val="00B3329B"/>
    <w:rsid w:val="00B33313"/>
    <w:rsid w:val="00B33E17"/>
    <w:rsid w:val="00B33FBD"/>
    <w:rsid w:val="00B3423B"/>
    <w:rsid w:val="00B343F5"/>
    <w:rsid w:val="00B349DA"/>
    <w:rsid w:val="00B34B70"/>
    <w:rsid w:val="00B34C57"/>
    <w:rsid w:val="00B34EEF"/>
    <w:rsid w:val="00B34F16"/>
    <w:rsid w:val="00B34F31"/>
    <w:rsid w:val="00B34FFA"/>
    <w:rsid w:val="00B35435"/>
    <w:rsid w:val="00B356AD"/>
    <w:rsid w:val="00B3572D"/>
    <w:rsid w:val="00B35982"/>
    <w:rsid w:val="00B35BBA"/>
    <w:rsid w:val="00B36140"/>
    <w:rsid w:val="00B36149"/>
    <w:rsid w:val="00B36792"/>
    <w:rsid w:val="00B36885"/>
    <w:rsid w:val="00B36ADB"/>
    <w:rsid w:val="00B36B06"/>
    <w:rsid w:val="00B36F34"/>
    <w:rsid w:val="00B36F53"/>
    <w:rsid w:val="00B37052"/>
    <w:rsid w:val="00B370CF"/>
    <w:rsid w:val="00B37108"/>
    <w:rsid w:val="00B377A8"/>
    <w:rsid w:val="00B3791A"/>
    <w:rsid w:val="00B37B81"/>
    <w:rsid w:val="00B37BC1"/>
    <w:rsid w:val="00B37BC4"/>
    <w:rsid w:val="00B37BF4"/>
    <w:rsid w:val="00B37D10"/>
    <w:rsid w:val="00B37F72"/>
    <w:rsid w:val="00B40050"/>
    <w:rsid w:val="00B402B5"/>
    <w:rsid w:val="00B40468"/>
    <w:rsid w:val="00B40519"/>
    <w:rsid w:val="00B409BF"/>
    <w:rsid w:val="00B4111D"/>
    <w:rsid w:val="00B41210"/>
    <w:rsid w:val="00B412C5"/>
    <w:rsid w:val="00B412EE"/>
    <w:rsid w:val="00B413E1"/>
    <w:rsid w:val="00B41531"/>
    <w:rsid w:val="00B415E0"/>
    <w:rsid w:val="00B41655"/>
    <w:rsid w:val="00B41CF7"/>
    <w:rsid w:val="00B41DB7"/>
    <w:rsid w:val="00B41E86"/>
    <w:rsid w:val="00B42251"/>
    <w:rsid w:val="00B4239A"/>
    <w:rsid w:val="00B424BF"/>
    <w:rsid w:val="00B4270E"/>
    <w:rsid w:val="00B42BC7"/>
    <w:rsid w:val="00B42D04"/>
    <w:rsid w:val="00B42D7C"/>
    <w:rsid w:val="00B4312F"/>
    <w:rsid w:val="00B431F9"/>
    <w:rsid w:val="00B435A9"/>
    <w:rsid w:val="00B435AD"/>
    <w:rsid w:val="00B43644"/>
    <w:rsid w:val="00B4397D"/>
    <w:rsid w:val="00B439D0"/>
    <w:rsid w:val="00B43CB6"/>
    <w:rsid w:val="00B43ED6"/>
    <w:rsid w:val="00B44461"/>
    <w:rsid w:val="00B445EE"/>
    <w:rsid w:val="00B445FE"/>
    <w:rsid w:val="00B44A72"/>
    <w:rsid w:val="00B44A75"/>
    <w:rsid w:val="00B44C7C"/>
    <w:rsid w:val="00B4507D"/>
    <w:rsid w:val="00B4516F"/>
    <w:rsid w:val="00B45301"/>
    <w:rsid w:val="00B4554E"/>
    <w:rsid w:val="00B4577B"/>
    <w:rsid w:val="00B45A8E"/>
    <w:rsid w:val="00B45C64"/>
    <w:rsid w:val="00B46056"/>
    <w:rsid w:val="00B4609E"/>
    <w:rsid w:val="00B460A3"/>
    <w:rsid w:val="00B469F2"/>
    <w:rsid w:val="00B469F5"/>
    <w:rsid w:val="00B46B57"/>
    <w:rsid w:val="00B46B65"/>
    <w:rsid w:val="00B46C32"/>
    <w:rsid w:val="00B46C83"/>
    <w:rsid w:val="00B46CBA"/>
    <w:rsid w:val="00B47135"/>
    <w:rsid w:val="00B4720E"/>
    <w:rsid w:val="00B47328"/>
    <w:rsid w:val="00B473E2"/>
    <w:rsid w:val="00B4745D"/>
    <w:rsid w:val="00B4747C"/>
    <w:rsid w:val="00B478C5"/>
    <w:rsid w:val="00B47B81"/>
    <w:rsid w:val="00B47CD6"/>
    <w:rsid w:val="00B47EB3"/>
    <w:rsid w:val="00B47F6D"/>
    <w:rsid w:val="00B4B77B"/>
    <w:rsid w:val="00B50586"/>
    <w:rsid w:val="00B5059D"/>
    <w:rsid w:val="00B50AFC"/>
    <w:rsid w:val="00B50B0E"/>
    <w:rsid w:val="00B50C1E"/>
    <w:rsid w:val="00B511CD"/>
    <w:rsid w:val="00B511D9"/>
    <w:rsid w:val="00B512BF"/>
    <w:rsid w:val="00B51665"/>
    <w:rsid w:val="00B51BE1"/>
    <w:rsid w:val="00B51F0F"/>
    <w:rsid w:val="00B5202D"/>
    <w:rsid w:val="00B52067"/>
    <w:rsid w:val="00B523F9"/>
    <w:rsid w:val="00B52482"/>
    <w:rsid w:val="00B52A29"/>
    <w:rsid w:val="00B52BF3"/>
    <w:rsid w:val="00B52CBC"/>
    <w:rsid w:val="00B52D36"/>
    <w:rsid w:val="00B53099"/>
    <w:rsid w:val="00B53199"/>
    <w:rsid w:val="00B532BB"/>
    <w:rsid w:val="00B533DC"/>
    <w:rsid w:val="00B53762"/>
    <w:rsid w:val="00B53AEB"/>
    <w:rsid w:val="00B53C8D"/>
    <w:rsid w:val="00B53D50"/>
    <w:rsid w:val="00B54085"/>
    <w:rsid w:val="00B5454A"/>
    <w:rsid w:val="00B545E4"/>
    <w:rsid w:val="00B54961"/>
    <w:rsid w:val="00B54DA1"/>
    <w:rsid w:val="00B54EC6"/>
    <w:rsid w:val="00B55071"/>
    <w:rsid w:val="00B552C6"/>
    <w:rsid w:val="00B5533E"/>
    <w:rsid w:val="00B55364"/>
    <w:rsid w:val="00B558A0"/>
    <w:rsid w:val="00B55C7E"/>
    <w:rsid w:val="00B55D60"/>
    <w:rsid w:val="00B55D6C"/>
    <w:rsid w:val="00B56111"/>
    <w:rsid w:val="00B56B31"/>
    <w:rsid w:val="00B56CB1"/>
    <w:rsid w:val="00B56E69"/>
    <w:rsid w:val="00B56E9F"/>
    <w:rsid w:val="00B56F9F"/>
    <w:rsid w:val="00B5711E"/>
    <w:rsid w:val="00B57417"/>
    <w:rsid w:val="00B57433"/>
    <w:rsid w:val="00B575CB"/>
    <w:rsid w:val="00B576DE"/>
    <w:rsid w:val="00B57817"/>
    <w:rsid w:val="00B57884"/>
    <w:rsid w:val="00B57956"/>
    <w:rsid w:val="00B57BD6"/>
    <w:rsid w:val="00B57DC8"/>
    <w:rsid w:val="00B57FE3"/>
    <w:rsid w:val="00B57FF0"/>
    <w:rsid w:val="00B60105"/>
    <w:rsid w:val="00B60262"/>
    <w:rsid w:val="00B60497"/>
    <w:rsid w:val="00B604E5"/>
    <w:rsid w:val="00B60502"/>
    <w:rsid w:val="00B60642"/>
    <w:rsid w:val="00B606AB"/>
    <w:rsid w:val="00B608AB"/>
    <w:rsid w:val="00B609A1"/>
    <w:rsid w:val="00B60B01"/>
    <w:rsid w:val="00B60E10"/>
    <w:rsid w:val="00B60FD6"/>
    <w:rsid w:val="00B61222"/>
    <w:rsid w:val="00B6137F"/>
    <w:rsid w:val="00B61E60"/>
    <w:rsid w:val="00B61FF0"/>
    <w:rsid w:val="00B62055"/>
    <w:rsid w:val="00B62337"/>
    <w:rsid w:val="00B6266E"/>
    <w:rsid w:val="00B62843"/>
    <w:rsid w:val="00B62A23"/>
    <w:rsid w:val="00B62A79"/>
    <w:rsid w:val="00B62BA3"/>
    <w:rsid w:val="00B62D53"/>
    <w:rsid w:val="00B62E7C"/>
    <w:rsid w:val="00B632B7"/>
    <w:rsid w:val="00B63388"/>
    <w:rsid w:val="00B634DA"/>
    <w:rsid w:val="00B638D1"/>
    <w:rsid w:val="00B6393F"/>
    <w:rsid w:val="00B63C82"/>
    <w:rsid w:val="00B63D7B"/>
    <w:rsid w:val="00B63F62"/>
    <w:rsid w:val="00B64174"/>
    <w:rsid w:val="00B64469"/>
    <w:rsid w:val="00B64492"/>
    <w:rsid w:val="00B647DB"/>
    <w:rsid w:val="00B64A2B"/>
    <w:rsid w:val="00B64BAB"/>
    <w:rsid w:val="00B64C08"/>
    <w:rsid w:val="00B64CDD"/>
    <w:rsid w:val="00B64DE9"/>
    <w:rsid w:val="00B64E26"/>
    <w:rsid w:val="00B64EFD"/>
    <w:rsid w:val="00B64FAB"/>
    <w:rsid w:val="00B65100"/>
    <w:rsid w:val="00B653D3"/>
    <w:rsid w:val="00B658C7"/>
    <w:rsid w:val="00B65CE3"/>
    <w:rsid w:val="00B6636F"/>
    <w:rsid w:val="00B66B47"/>
    <w:rsid w:val="00B66EEB"/>
    <w:rsid w:val="00B670D0"/>
    <w:rsid w:val="00B6716B"/>
    <w:rsid w:val="00B6758C"/>
    <w:rsid w:val="00B67774"/>
    <w:rsid w:val="00B67FD2"/>
    <w:rsid w:val="00B70083"/>
    <w:rsid w:val="00B70198"/>
    <w:rsid w:val="00B7021F"/>
    <w:rsid w:val="00B702DB"/>
    <w:rsid w:val="00B70361"/>
    <w:rsid w:val="00B703DD"/>
    <w:rsid w:val="00B704BD"/>
    <w:rsid w:val="00B7057F"/>
    <w:rsid w:val="00B70E17"/>
    <w:rsid w:val="00B70E1B"/>
    <w:rsid w:val="00B70E3C"/>
    <w:rsid w:val="00B71202"/>
    <w:rsid w:val="00B7121D"/>
    <w:rsid w:val="00B71287"/>
    <w:rsid w:val="00B71431"/>
    <w:rsid w:val="00B714B1"/>
    <w:rsid w:val="00B7150B"/>
    <w:rsid w:val="00B7158C"/>
    <w:rsid w:val="00B716B2"/>
    <w:rsid w:val="00B71941"/>
    <w:rsid w:val="00B71E73"/>
    <w:rsid w:val="00B720EA"/>
    <w:rsid w:val="00B7212A"/>
    <w:rsid w:val="00B7234B"/>
    <w:rsid w:val="00B723E3"/>
    <w:rsid w:val="00B7257E"/>
    <w:rsid w:val="00B729AB"/>
    <w:rsid w:val="00B72C81"/>
    <w:rsid w:val="00B72D3E"/>
    <w:rsid w:val="00B72FE3"/>
    <w:rsid w:val="00B7330A"/>
    <w:rsid w:val="00B7330C"/>
    <w:rsid w:val="00B7334D"/>
    <w:rsid w:val="00B7363C"/>
    <w:rsid w:val="00B73761"/>
    <w:rsid w:val="00B738A1"/>
    <w:rsid w:val="00B73982"/>
    <w:rsid w:val="00B73B43"/>
    <w:rsid w:val="00B73BFA"/>
    <w:rsid w:val="00B73CF0"/>
    <w:rsid w:val="00B73E47"/>
    <w:rsid w:val="00B73E59"/>
    <w:rsid w:val="00B73F37"/>
    <w:rsid w:val="00B73F4E"/>
    <w:rsid w:val="00B73F9C"/>
    <w:rsid w:val="00B74051"/>
    <w:rsid w:val="00B741C2"/>
    <w:rsid w:val="00B74C48"/>
    <w:rsid w:val="00B74EB2"/>
    <w:rsid w:val="00B74FE1"/>
    <w:rsid w:val="00B75119"/>
    <w:rsid w:val="00B75181"/>
    <w:rsid w:val="00B751BE"/>
    <w:rsid w:val="00B754CC"/>
    <w:rsid w:val="00B75593"/>
    <w:rsid w:val="00B755D5"/>
    <w:rsid w:val="00B757B7"/>
    <w:rsid w:val="00B7595D"/>
    <w:rsid w:val="00B75F15"/>
    <w:rsid w:val="00B760AB"/>
    <w:rsid w:val="00B7626E"/>
    <w:rsid w:val="00B763E2"/>
    <w:rsid w:val="00B76453"/>
    <w:rsid w:val="00B7646A"/>
    <w:rsid w:val="00B764C6"/>
    <w:rsid w:val="00B76A52"/>
    <w:rsid w:val="00B771AE"/>
    <w:rsid w:val="00B7741A"/>
    <w:rsid w:val="00B775AE"/>
    <w:rsid w:val="00B779E0"/>
    <w:rsid w:val="00B77B90"/>
    <w:rsid w:val="00B77D43"/>
    <w:rsid w:val="00B77FE4"/>
    <w:rsid w:val="00B80135"/>
    <w:rsid w:val="00B80209"/>
    <w:rsid w:val="00B80961"/>
    <w:rsid w:val="00B80E19"/>
    <w:rsid w:val="00B80EA8"/>
    <w:rsid w:val="00B812A5"/>
    <w:rsid w:val="00B81324"/>
    <w:rsid w:val="00B8153F"/>
    <w:rsid w:val="00B81603"/>
    <w:rsid w:val="00B81712"/>
    <w:rsid w:val="00B81B23"/>
    <w:rsid w:val="00B81F9B"/>
    <w:rsid w:val="00B820C6"/>
    <w:rsid w:val="00B8210F"/>
    <w:rsid w:val="00B826E3"/>
    <w:rsid w:val="00B826E7"/>
    <w:rsid w:val="00B8278D"/>
    <w:rsid w:val="00B82835"/>
    <w:rsid w:val="00B82997"/>
    <w:rsid w:val="00B82DAA"/>
    <w:rsid w:val="00B82EC8"/>
    <w:rsid w:val="00B83120"/>
    <w:rsid w:val="00B8328C"/>
    <w:rsid w:val="00B83378"/>
    <w:rsid w:val="00B833DF"/>
    <w:rsid w:val="00B8348E"/>
    <w:rsid w:val="00B834CA"/>
    <w:rsid w:val="00B83898"/>
    <w:rsid w:val="00B83927"/>
    <w:rsid w:val="00B839FB"/>
    <w:rsid w:val="00B83C4B"/>
    <w:rsid w:val="00B83D78"/>
    <w:rsid w:val="00B83D85"/>
    <w:rsid w:val="00B83F6F"/>
    <w:rsid w:val="00B840C0"/>
    <w:rsid w:val="00B840DB"/>
    <w:rsid w:val="00B84290"/>
    <w:rsid w:val="00B846C2"/>
    <w:rsid w:val="00B8494A"/>
    <w:rsid w:val="00B84AEF"/>
    <w:rsid w:val="00B84BBC"/>
    <w:rsid w:val="00B84C6E"/>
    <w:rsid w:val="00B84D64"/>
    <w:rsid w:val="00B84E66"/>
    <w:rsid w:val="00B84EC7"/>
    <w:rsid w:val="00B84F1D"/>
    <w:rsid w:val="00B84FF0"/>
    <w:rsid w:val="00B85341"/>
    <w:rsid w:val="00B8563B"/>
    <w:rsid w:val="00B858B6"/>
    <w:rsid w:val="00B858BF"/>
    <w:rsid w:val="00B858CF"/>
    <w:rsid w:val="00B8592B"/>
    <w:rsid w:val="00B85B4F"/>
    <w:rsid w:val="00B85B9C"/>
    <w:rsid w:val="00B85DDC"/>
    <w:rsid w:val="00B85E51"/>
    <w:rsid w:val="00B85EE5"/>
    <w:rsid w:val="00B85F8B"/>
    <w:rsid w:val="00B86195"/>
    <w:rsid w:val="00B862EC"/>
    <w:rsid w:val="00B86432"/>
    <w:rsid w:val="00B8663A"/>
    <w:rsid w:val="00B86668"/>
    <w:rsid w:val="00B86705"/>
    <w:rsid w:val="00B86A90"/>
    <w:rsid w:val="00B86C9E"/>
    <w:rsid w:val="00B86D44"/>
    <w:rsid w:val="00B871AB"/>
    <w:rsid w:val="00B873EE"/>
    <w:rsid w:val="00B87423"/>
    <w:rsid w:val="00B8775F"/>
    <w:rsid w:val="00B87F2A"/>
    <w:rsid w:val="00B87F67"/>
    <w:rsid w:val="00B902D1"/>
    <w:rsid w:val="00B90513"/>
    <w:rsid w:val="00B90855"/>
    <w:rsid w:val="00B908F5"/>
    <w:rsid w:val="00B9135C"/>
    <w:rsid w:val="00B914C6"/>
    <w:rsid w:val="00B914DB"/>
    <w:rsid w:val="00B915E3"/>
    <w:rsid w:val="00B916A6"/>
    <w:rsid w:val="00B917F7"/>
    <w:rsid w:val="00B91960"/>
    <w:rsid w:val="00B9199E"/>
    <w:rsid w:val="00B91C4A"/>
    <w:rsid w:val="00B91E22"/>
    <w:rsid w:val="00B9212B"/>
    <w:rsid w:val="00B92145"/>
    <w:rsid w:val="00B9216C"/>
    <w:rsid w:val="00B92260"/>
    <w:rsid w:val="00B92386"/>
    <w:rsid w:val="00B92761"/>
    <w:rsid w:val="00B92967"/>
    <w:rsid w:val="00B92DDE"/>
    <w:rsid w:val="00B92E71"/>
    <w:rsid w:val="00B9302E"/>
    <w:rsid w:val="00B93198"/>
    <w:rsid w:val="00B9320A"/>
    <w:rsid w:val="00B9328C"/>
    <w:rsid w:val="00B93590"/>
    <w:rsid w:val="00B93C98"/>
    <w:rsid w:val="00B93D0C"/>
    <w:rsid w:val="00B93DDB"/>
    <w:rsid w:val="00B93EDE"/>
    <w:rsid w:val="00B9410B"/>
    <w:rsid w:val="00B94339"/>
    <w:rsid w:val="00B94374"/>
    <w:rsid w:val="00B9441E"/>
    <w:rsid w:val="00B94611"/>
    <w:rsid w:val="00B94881"/>
    <w:rsid w:val="00B94AEF"/>
    <w:rsid w:val="00B94B92"/>
    <w:rsid w:val="00B94F05"/>
    <w:rsid w:val="00B950CF"/>
    <w:rsid w:val="00B9513B"/>
    <w:rsid w:val="00B951ED"/>
    <w:rsid w:val="00B955CA"/>
    <w:rsid w:val="00B95BBC"/>
    <w:rsid w:val="00B95E05"/>
    <w:rsid w:val="00B95EA4"/>
    <w:rsid w:val="00B95F5D"/>
    <w:rsid w:val="00B9600D"/>
    <w:rsid w:val="00B96941"/>
    <w:rsid w:val="00B96A53"/>
    <w:rsid w:val="00B96A61"/>
    <w:rsid w:val="00B96BB0"/>
    <w:rsid w:val="00B96BCF"/>
    <w:rsid w:val="00B96E8D"/>
    <w:rsid w:val="00B96F4A"/>
    <w:rsid w:val="00B96FFD"/>
    <w:rsid w:val="00B97006"/>
    <w:rsid w:val="00B971DA"/>
    <w:rsid w:val="00B971F6"/>
    <w:rsid w:val="00B97215"/>
    <w:rsid w:val="00B97242"/>
    <w:rsid w:val="00B97248"/>
    <w:rsid w:val="00B97253"/>
    <w:rsid w:val="00B975A7"/>
    <w:rsid w:val="00B975F5"/>
    <w:rsid w:val="00B979B1"/>
    <w:rsid w:val="00B97C70"/>
    <w:rsid w:val="00B97F12"/>
    <w:rsid w:val="00BA005A"/>
    <w:rsid w:val="00BA035C"/>
    <w:rsid w:val="00BA04D7"/>
    <w:rsid w:val="00BA0967"/>
    <w:rsid w:val="00BA0B38"/>
    <w:rsid w:val="00BA0BAB"/>
    <w:rsid w:val="00BA0CE2"/>
    <w:rsid w:val="00BA0D78"/>
    <w:rsid w:val="00BA0FE0"/>
    <w:rsid w:val="00BA11BA"/>
    <w:rsid w:val="00BA1438"/>
    <w:rsid w:val="00BA150C"/>
    <w:rsid w:val="00BA1684"/>
    <w:rsid w:val="00BA16B1"/>
    <w:rsid w:val="00BA171C"/>
    <w:rsid w:val="00BA174D"/>
    <w:rsid w:val="00BA1A2D"/>
    <w:rsid w:val="00BA1A57"/>
    <w:rsid w:val="00BA1D11"/>
    <w:rsid w:val="00BA1DB1"/>
    <w:rsid w:val="00BA1F07"/>
    <w:rsid w:val="00BA202F"/>
    <w:rsid w:val="00BA21DC"/>
    <w:rsid w:val="00BA2516"/>
    <w:rsid w:val="00BA26D2"/>
    <w:rsid w:val="00BA2B8A"/>
    <w:rsid w:val="00BA2C15"/>
    <w:rsid w:val="00BA2C98"/>
    <w:rsid w:val="00BA2E39"/>
    <w:rsid w:val="00BA3242"/>
    <w:rsid w:val="00BA331A"/>
    <w:rsid w:val="00BA3671"/>
    <w:rsid w:val="00BA3846"/>
    <w:rsid w:val="00BA3A00"/>
    <w:rsid w:val="00BA3AB0"/>
    <w:rsid w:val="00BA466A"/>
    <w:rsid w:val="00BA46B2"/>
    <w:rsid w:val="00BA48EF"/>
    <w:rsid w:val="00BA49AB"/>
    <w:rsid w:val="00BA49C8"/>
    <w:rsid w:val="00BA49F1"/>
    <w:rsid w:val="00BA4BBD"/>
    <w:rsid w:val="00BA4C63"/>
    <w:rsid w:val="00BA4CE6"/>
    <w:rsid w:val="00BA5A85"/>
    <w:rsid w:val="00BA5C84"/>
    <w:rsid w:val="00BA5D14"/>
    <w:rsid w:val="00BA5EB5"/>
    <w:rsid w:val="00BA5FFE"/>
    <w:rsid w:val="00BA6170"/>
    <w:rsid w:val="00BA61AB"/>
    <w:rsid w:val="00BA665F"/>
    <w:rsid w:val="00BA66A8"/>
    <w:rsid w:val="00BA6701"/>
    <w:rsid w:val="00BA688F"/>
    <w:rsid w:val="00BA6A82"/>
    <w:rsid w:val="00BA6FAF"/>
    <w:rsid w:val="00BA701B"/>
    <w:rsid w:val="00BA7038"/>
    <w:rsid w:val="00BA7267"/>
    <w:rsid w:val="00BA7CF7"/>
    <w:rsid w:val="00BA7DCA"/>
    <w:rsid w:val="00BA7DE5"/>
    <w:rsid w:val="00BB0126"/>
    <w:rsid w:val="00BB07A3"/>
    <w:rsid w:val="00BB0884"/>
    <w:rsid w:val="00BB0C51"/>
    <w:rsid w:val="00BB1204"/>
    <w:rsid w:val="00BB147F"/>
    <w:rsid w:val="00BB1539"/>
    <w:rsid w:val="00BB169A"/>
    <w:rsid w:val="00BB169C"/>
    <w:rsid w:val="00BB16AF"/>
    <w:rsid w:val="00BB17D2"/>
    <w:rsid w:val="00BB18A3"/>
    <w:rsid w:val="00BB1BBE"/>
    <w:rsid w:val="00BB1BF9"/>
    <w:rsid w:val="00BB1CB4"/>
    <w:rsid w:val="00BB1F14"/>
    <w:rsid w:val="00BB2109"/>
    <w:rsid w:val="00BB240B"/>
    <w:rsid w:val="00BB2632"/>
    <w:rsid w:val="00BB267D"/>
    <w:rsid w:val="00BB2D72"/>
    <w:rsid w:val="00BB3025"/>
    <w:rsid w:val="00BB3093"/>
    <w:rsid w:val="00BB30A8"/>
    <w:rsid w:val="00BB312E"/>
    <w:rsid w:val="00BB344C"/>
    <w:rsid w:val="00BB34CE"/>
    <w:rsid w:val="00BB3709"/>
    <w:rsid w:val="00BB37B5"/>
    <w:rsid w:val="00BB3915"/>
    <w:rsid w:val="00BB3A9A"/>
    <w:rsid w:val="00BB3AD6"/>
    <w:rsid w:val="00BB3C8D"/>
    <w:rsid w:val="00BB3F46"/>
    <w:rsid w:val="00BB42E8"/>
    <w:rsid w:val="00BB43EE"/>
    <w:rsid w:val="00BB4551"/>
    <w:rsid w:val="00BB4587"/>
    <w:rsid w:val="00BB4857"/>
    <w:rsid w:val="00BB48FF"/>
    <w:rsid w:val="00BB4AA3"/>
    <w:rsid w:val="00BB4D59"/>
    <w:rsid w:val="00BB4E44"/>
    <w:rsid w:val="00BB4FFC"/>
    <w:rsid w:val="00BB548C"/>
    <w:rsid w:val="00BB5893"/>
    <w:rsid w:val="00BB58C5"/>
    <w:rsid w:val="00BB5A4A"/>
    <w:rsid w:val="00BB5BF6"/>
    <w:rsid w:val="00BB5C61"/>
    <w:rsid w:val="00BB5F22"/>
    <w:rsid w:val="00BB5F52"/>
    <w:rsid w:val="00BB62C6"/>
    <w:rsid w:val="00BB64AF"/>
    <w:rsid w:val="00BB6C10"/>
    <w:rsid w:val="00BB6CD9"/>
    <w:rsid w:val="00BB71D3"/>
    <w:rsid w:val="00BB781C"/>
    <w:rsid w:val="00BB78A6"/>
    <w:rsid w:val="00BB795C"/>
    <w:rsid w:val="00BB7A6A"/>
    <w:rsid w:val="00BB7B48"/>
    <w:rsid w:val="00BB7D21"/>
    <w:rsid w:val="00BB7D74"/>
    <w:rsid w:val="00BB7DE9"/>
    <w:rsid w:val="00BB7E95"/>
    <w:rsid w:val="00BC04B7"/>
    <w:rsid w:val="00BC06DE"/>
    <w:rsid w:val="00BC0754"/>
    <w:rsid w:val="00BC092B"/>
    <w:rsid w:val="00BC09A6"/>
    <w:rsid w:val="00BC0A49"/>
    <w:rsid w:val="00BC0BDE"/>
    <w:rsid w:val="00BC0C6A"/>
    <w:rsid w:val="00BC0DD2"/>
    <w:rsid w:val="00BC0F57"/>
    <w:rsid w:val="00BC10A8"/>
    <w:rsid w:val="00BC10FE"/>
    <w:rsid w:val="00BC13C7"/>
    <w:rsid w:val="00BC1517"/>
    <w:rsid w:val="00BC1986"/>
    <w:rsid w:val="00BC1B20"/>
    <w:rsid w:val="00BC1B85"/>
    <w:rsid w:val="00BC1BD0"/>
    <w:rsid w:val="00BC1BD3"/>
    <w:rsid w:val="00BC1EF9"/>
    <w:rsid w:val="00BC204D"/>
    <w:rsid w:val="00BC2486"/>
    <w:rsid w:val="00BC2863"/>
    <w:rsid w:val="00BC29D7"/>
    <w:rsid w:val="00BC29DF"/>
    <w:rsid w:val="00BC2AA4"/>
    <w:rsid w:val="00BC2D7C"/>
    <w:rsid w:val="00BC2FC3"/>
    <w:rsid w:val="00BC3388"/>
    <w:rsid w:val="00BC3480"/>
    <w:rsid w:val="00BC34E8"/>
    <w:rsid w:val="00BC37FF"/>
    <w:rsid w:val="00BC3843"/>
    <w:rsid w:val="00BC38F3"/>
    <w:rsid w:val="00BC399C"/>
    <w:rsid w:val="00BC3A3A"/>
    <w:rsid w:val="00BC3B7A"/>
    <w:rsid w:val="00BC3C06"/>
    <w:rsid w:val="00BC3DEC"/>
    <w:rsid w:val="00BC4124"/>
    <w:rsid w:val="00BC48A5"/>
    <w:rsid w:val="00BC4AD8"/>
    <w:rsid w:val="00BC4E67"/>
    <w:rsid w:val="00BC4ED2"/>
    <w:rsid w:val="00BC4EE4"/>
    <w:rsid w:val="00BC507F"/>
    <w:rsid w:val="00BC51CE"/>
    <w:rsid w:val="00BC529D"/>
    <w:rsid w:val="00BC52CE"/>
    <w:rsid w:val="00BC52E3"/>
    <w:rsid w:val="00BC5611"/>
    <w:rsid w:val="00BC57E4"/>
    <w:rsid w:val="00BC5BFF"/>
    <w:rsid w:val="00BC5E60"/>
    <w:rsid w:val="00BC613C"/>
    <w:rsid w:val="00BC681B"/>
    <w:rsid w:val="00BC6833"/>
    <w:rsid w:val="00BC69F6"/>
    <w:rsid w:val="00BC725B"/>
    <w:rsid w:val="00BC7261"/>
    <w:rsid w:val="00BC7515"/>
    <w:rsid w:val="00BC77BB"/>
    <w:rsid w:val="00BC7BF8"/>
    <w:rsid w:val="00BD0086"/>
    <w:rsid w:val="00BD0255"/>
    <w:rsid w:val="00BD0303"/>
    <w:rsid w:val="00BD0375"/>
    <w:rsid w:val="00BD04EE"/>
    <w:rsid w:val="00BD0526"/>
    <w:rsid w:val="00BD0649"/>
    <w:rsid w:val="00BD06E8"/>
    <w:rsid w:val="00BD0776"/>
    <w:rsid w:val="00BD0B03"/>
    <w:rsid w:val="00BD0C53"/>
    <w:rsid w:val="00BD0D3A"/>
    <w:rsid w:val="00BD0E65"/>
    <w:rsid w:val="00BD0F05"/>
    <w:rsid w:val="00BD15E7"/>
    <w:rsid w:val="00BD17B2"/>
    <w:rsid w:val="00BD19C8"/>
    <w:rsid w:val="00BD1AA1"/>
    <w:rsid w:val="00BD1AEC"/>
    <w:rsid w:val="00BD1B63"/>
    <w:rsid w:val="00BD1D28"/>
    <w:rsid w:val="00BD1E8F"/>
    <w:rsid w:val="00BD1F7B"/>
    <w:rsid w:val="00BD243C"/>
    <w:rsid w:val="00BD28E8"/>
    <w:rsid w:val="00BD2D6E"/>
    <w:rsid w:val="00BD2F6F"/>
    <w:rsid w:val="00BD331B"/>
    <w:rsid w:val="00BD33F5"/>
    <w:rsid w:val="00BD34D1"/>
    <w:rsid w:val="00BD3E7D"/>
    <w:rsid w:val="00BD3FD0"/>
    <w:rsid w:val="00BD4250"/>
    <w:rsid w:val="00BD4327"/>
    <w:rsid w:val="00BD4408"/>
    <w:rsid w:val="00BD448D"/>
    <w:rsid w:val="00BD45C8"/>
    <w:rsid w:val="00BD4736"/>
    <w:rsid w:val="00BD480E"/>
    <w:rsid w:val="00BD4F05"/>
    <w:rsid w:val="00BD523D"/>
    <w:rsid w:val="00BD54CD"/>
    <w:rsid w:val="00BD5734"/>
    <w:rsid w:val="00BD5801"/>
    <w:rsid w:val="00BD59FC"/>
    <w:rsid w:val="00BD5A14"/>
    <w:rsid w:val="00BD5A99"/>
    <w:rsid w:val="00BD5F28"/>
    <w:rsid w:val="00BD62A1"/>
    <w:rsid w:val="00BD64F4"/>
    <w:rsid w:val="00BD66FB"/>
    <w:rsid w:val="00BD67B0"/>
    <w:rsid w:val="00BD6AA1"/>
    <w:rsid w:val="00BD6DFA"/>
    <w:rsid w:val="00BD6E14"/>
    <w:rsid w:val="00BD6F56"/>
    <w:rsid w:val="00BD704B"/>
    <w:rsid w:val="00BD7227"/>
    <w:rsid w:val="00BD73BC"/>
    <w:rsid w:val="00BD742F"/>
    <w:rsid w:val="00BD7499"/>
    <w:rsid w:val="00BD75F2"/>
    <w:rsid w:val="00BD78F5"/>
    <w:rsid w:val="00BD7C4F"/>
    <w:rsid w:val="00BD7DB5"/>
    <w:rsid w:val="00BD7EA0"/>
    <w:rsid w:val="00BD7EF7"/>
    <w:rsid w:val="00BE04D0"/>
    <w:rsid w:val="00BE0765"/>
    <w:rsid w:val="00BE08D6"/>
    <w:rsid w:val="00BE0953"/>
    <w:rsid w:val="00BE0C09"/>
    <w:rsid w:val="00BE0D57"/>
    <w:rsid w:val="00BE0D80"/>
    <w:rsid w:val="00BE10FF"/>
    <w:rsid w:val="00BE14CF"/>
    <w:rsid w:val="00BE1511"/>
    <w:rsid w:val="00BE15B3"/>
    <w:rsid w:val="00BE164E"/>
    <w:rsid w:val="00BE1907"/>
    <w:rsid w:val="00BE1BCF"/>
    <w:rsid w:val="00BE2040"/>
    <w:rsid w:val="00BE22ED"/>
    <w:rsid w:val="00BE24A4"/>
    <w:rsid w:val="00BE2589"/>
    <w:rsid w:val="00BE2787"/>
    <w:rsid w:val="00BE2E30"/>
    <w:rsid w:val="00BE2EB1"/>
    <w:rsid w:val="00BE308B"/>
    <w:rsid w:val="00BE33CF"/>
    <w:rsid w:val="00BE34D0"/>
    <w:rsid w:val="00BE3536"/>
    <w:rsid w:val="00BE364C"/>
    <w:rsid w:val="00BE3805"/>
    <w:rsid w:val="00BE3A99"/>
    <w:rsid w:val="00BE3B7A"/>
    <w:rsid w:val="00BE3F4B"/>
    <w:rsid w:val="00BE4305"/>
    <w:rsid w:val="00BE433F"/>
    <w:rsid w:val="00BE43D1"/>
    <w:rsid w:val="00BE46C0"/>
    <w:rsid w:val="00BE48E1"/>
    <w:rsid w:val="00BE4D5E"/>
    <w:rsid w:val="00BE4FC7"/>
    <w:rsid w:val="00BE5109"/>
    <w:rsid w:val="00BE59E8"/>
    <w:rsid w:val="00BE5BC9"/>
    <w:rsid w:val="00BE5DD3"/>
    <w:rsid w:val="00BE5F28"/>
    <w:rsid w:val="00BE5FF8"/>
    <w:rsid w:val="00BE6068"/>
    <w:rsid w:val="00BE60A9"/>
    <w:rsid w:val="00BE6419"/>
    <w:rsid w:val="00BE6721"/>
    <w:rsid w:val="00BE67FC"/>
    <w:rsid w:val="00BE69A4"/>
    <w:rsid w:val="00BE6AA1"/>
    <w:rsid w:val="00BE6C76"/>
    <w:rsid w:val="00BE6CE3"/>
    <w:rsid w:val="00BE6FFD"/>
    <w:rsid w:val="00BE707B"/>
    <w:rsid w:val="00BE71DD"/>
    <w:rsid w:val="00BE7236"/>
    <w:rsid w:val="00BE7483"/>
    <w:rsid w:val="00BE76F2"/>
    <w:rsid w:val="00BE778B"/>
    <w:rsid w:val="00BE78BF"/>
    <w:rsid w:val="00BE7D27"/>
    <w:rsid w:val="00BE7DE8"/>
    <w:rsid w:val="00BF010E"/>
    <w:rsid w:val="00BF0193"/>
    <w:rsid w:val="00BF01A9"/>
    <w:rsid w:val="00BF026E"/>
    <w:rsid w:val="00BF02CD"/>
    <w:rsid w:val="00BF036E"/>
    <w:rsid w:val="00BF0436"/>
    <w:rsid w:val="00BF0549"/>
    <w:rsid w:val="00BF0566"/>
    <w:rsid w:val="00BF058A"/>
    <w:rsid w:val="00BF0680"/>
    <w:rsid w:val="00BF0855"/>
    <w:rsid w:val="00BF0A59"/>
    <w:rsid w:val="00BF0B0A"/>
    <w:rsid w:val="00BF0C22"/>
    <w:rsid w:val="00BF0C91"/>
    <w:rsid w:val="00BF0D57"/>
    <w:rsid w:val="00BF1056"/>
    <w:rsid w:val="00BF12DE"/>
    <w:rsid w:val="00BF134F"/>
    <w:rsid w:val="00BF143A"/>
    <w:rsid w:val="00BF1744"/>
    <w:rsid w:val="00BF17A9"/>
    <w:rsid w:val="00BF1904"/>
    <w:rsid w:val="00BF1ABD"/>
    <w:rsid w:val="00BF1AF0"/>
    <w:rsid w:val="00BF1C85"/>
    <w:rsid w:val="00BF1EDD"/>
    <w:rsid w:val="00BF1FB1"/>
    <w:rsid w:val="00BF215F"/>
    <w:rsid w:val="00BF225F"/>
    <w:rsid w:val="00BF22FC"/>
    <w:rsid w:val="00BF2334"/>
    <w:rsid w:val="00BF2389"/>
    <w:rsid w:val="00BF2610"/>
    <w:rsid w:val="00BF2BB7"/>
    <w:rsid w:val="00BF2DB2"/>
    <w:rsid w:val="00BF311A"/>
    <w:rsid w:val="00BF3168"/>
    <w:rsid w:val="00BF322C"/>
    <w:rsid w:val="00BF35D0"/>
    <w:rsid w:val="00BF3700"/>
    <w:rsid w:val="00BF371C"/>
    <w:rsid w:val="00BF371E"/>
    <w:rsid w:val="00BF37C1"/>
    <w:rsid w:val="00BF38DA"/>
    <w:rsid w:val="00BF3961"/>
    <w:rsid w:val="00BF3A66"/>
    <w:rsid w:val="00BF3B0D"/>
    <w:rsid w:val="00BF3B90"/>
    <w:rsid w:val="00BF3E0D"/>
    <w:rsid w:val="00BF3E25"/>
    <w:rsid w:val="00BF3FE4"/>
    <w:rsid w:val="00BF417F"/>
    <w:rsid w:val="00BF422F"/>
    <w:rsid w:val="00BF48F8"/>
    <w:rsid w:val="00BF4F9F"/>
    <w:rsid w:val="00BF5032"/>
    <w:rsid w:val="00BF53AE"/>
    <w:rsid w:val="00BF53EE"/>
    <w:rsid w:val="00BF54C5"/>
    <w:rsid w:val="00BF5939"/>
    <w:rsid w:val="00BF5C92"/>
    <w:rsid w:val="00BF60EE"/>
    <w:rsid w:val="00BF619C"/>
    <w:rsid w:val="00BF62A2"/>
    <w:rsid w:val="00BF6413"/>
    <w:rsid w:val="00BF6971"/>
    <w:rsid w:val="00BF698A"/>
    <w:rsid w:val="00BF6996"/>
    <w:rsid w:val="00BF6BB8"/>
    <w:rsid w:val="00BF6DD1"/>
    <w:rsid w:val="00BF723B"/>
    <w:rsid w:val="00BF72B9"/>
    <w:rsid w:val="00BF738A"/>
    <w:rsid w:val="00BF76AA"/>
    <w:rsid w:val="00BF780D"/>
    <w:rsid w:val="00BF784F"/>
    <w:rsid w:val="00BF79DE"/>
    <w:rsid w:val="00BF7A22"/>
    <w:rsid w:val="00BF7AAE"/>
    <w:rsid w:val="00BF7EB4"/>
    <w:rsid w:val="00C000C3"/>
    <w:rsid w:val="00C001AB"/>
    <w:rsid w:val="00C001F5"/>
    <w:rsid w:val="00C00381"/>
    <w:rsid w:val="00C004C1"/>
    <w:rsid w:val="00C0084E"/>
    <w:rsid w:val="00C009C6"/>
    <w:rsid w:val="00C00B54"/>
    <w:rsid w:val="00C00D6C"/>
    <w:rsid w:val="00C00D96"/>
    <w:rsid w:val="00C0105D"/>
    <w:rsid w:val="00C01065"/>
    <w:rsid w:val="00C01070"/>
    <w:rsid w:val="00C01254"/>
    <w:rsid w:val="00C013E2"/>
    <w:rsid w:val="00C01CA2"/>
    <w:rsid w:val="00C01D41"/>
    <w:rsid w:val="00C01F45"/>
    <w:rsid w:val="00C01FBF"/>
    <w:rsid w:val="00C023B0"/>
    <w:rsid w:val="00C024C2"/>
    <w:rsid w:val="00C02953"/>
    <w:rsid w:val="00C02CAC"/>
    <w:rsid w:val="00C02E9E"/>
    <w:rsid w:val="00C03662"/>
    <w:rsid w:val="00C03679"/>
    <w:rsid w:val="00C038F8"/>
    <w:rsid w:val="00C03DCA"/>
    <w:rsid w:val="00C03E5E"/>
    <w:rsid w:val="00C04071"/>
    <w:rsid w:val="00C04082"/>
    <w:rsid w:val="00C043C1"/>
    <w:rsid w:val="00C04423"/>
    <w:rsid w:val="00C048B1"/>
    <w:rsid w:val="00C04B17"/>
    <w:rsid w:val="00C04C59"/>
    <w:rsid w:val="00C04C69"/>
    <w:rsid w:val="00C04DAC"/>
    <w:rsid w:val="00C04DB7"/>
    <w:rsid w:val="00C04EF8"/>
    <w:rsid w:val="00C05070"/>
    <w:rsid w:val="00C052BB"/>
    <w:rsid w:val="00C054D7"/>
    <w:rsid w:val="00C05C50"/>
    <w:rsid w:val="00C06365"/>
    <w:rsid w:val="00C06461"/>
    <w:rsid w:val="00C065AB"/>
    <w:rsid w:val="00C066F7"/>
    <w:rsid w:val="00C067A5"/>
    <w:rsid w:val="00C06C51"/>
    <w:rsid w:val="00C06DBF"/>
    <w:rsid w:val="00C0709C"/>
    <w:rsid w:val="00C07167"/>
    <w:rsid w:val="00C07555"/>
    <w:rsid w:val="00C07895"/>
    <w:rsid w:val="00C07CB7"/>
    <w:rsid w:val="00C07E0F"/>
    <w:rsid w:val="00C10384"/>
    <w:rsid w:val="00C10760"/>
    <w:rsid w:val="00C1086A"/>
    <w:rsid w:val="00C10963"/>
    <w:rsid w:val="00C10C12"/>
    <w:rsid w:val="00C1137F"/>
    <w:rsid w:val="00C11521"/>
    <w:rsid w:val="00C118A4"/>
    <w:rsid w:val="00C11A2D"/>
    <w:rsid w:val="00C11B44"/>
    <w:rsid w:val="00C11B95"/>
    <w:rsid w:val="00C11D6E"/>
    <w:rsid w:val="00C120F0"/>
    <w:rsid w:val="00C126E8"/>
    <w:rsid w:val="00C1284B"/>
    <w:rsid w:val="00C12A06"/>
    <w:rsid w:val="00C12B17"/>
    <w:rsid w:val="00C12BD3"/>
    <w:rsid w:val="00C12D43"/>
    <w:rsid w:val="00C1308C"/>
    <w:rsid w:val="00C13448"/>
    <w:rsid w:val="00C1365C"/>
    <w:rsid w:val="00C137A1"/>
    <w:rsid w:val="00C137ED"/>
    <w:rsid w:val="00C13A7F"/>
    <w:rsid w:val="00C13A95"/>
    <w:rsid w:val="00C13AE2"/>
    <w:rsid w:val="00C13C88"/>
    <w:rsid w:val="00C13D69"/>
    <w:rsid w:val="00C13FE2"/>
    <w:rsid w:val="00C14119"/>
    <w:rsid w:val="00C141B8"/>
    <w:rsid w:val="00C141BA"/>
    <w:rsid w:val="00C141E8"/>
    <w:rsid w:val="00C14213"/>
    <w:rsid w:val="00C14277"/>
    <w:rsid w:val="00C145F8"/>
    <w:rsid w:val="00C14861"/>
    <w:rsid w:val="00C14A37"/>
    <w:rsid w:val="00C14C66"/>
    <w:rsid w:val="00C14D2A"/>
    <w:rsid w:val="00C14D9F"/>
    <w:rsid w:val="00C14F78"/>
    <w:rsid w:val="00C14F83"/>
    <w:rsid w:val="00C14FE8"/>
    <w:rsid w:val="00C150AF"/>
    <w:rsid w:val="00C1528D"/>
    <w:rsid w:val="00C15517"/>
    <w:rsid w:val="00C15595"/>
    <w:rsid w:val="00C156D1"/>
    <w:rsid w:val="00C1581B"/>
    <w:rsid w:val="00C15A7F"/>
    <w:rsid w:val="00C15E27"/>
    <w:rsid w:val="00C15F6C"/>
    <w:rsid w:val="00C1608C"/>
    <w:rsid w:val="00C16287"/>
    <w:rsid w:val="00C162B4"/>
    <w:rsid w:val="00C1673F"/>
    <w:rsid w:val="00C16A62"/>
    <w:rsid w:val="00C16B60"/>
    <w:rsid w:val="00C16C22"/>
    <w:rsid w:val="00C16CB9"/>
    <w:rsid w:val="00C16E2C"/>
    <w:rsid w:val="00C1782E"/>
    <w:rsid w:val="00C1785D"/>
    <w:rsid w:val="00C179CC"/>
    <w:rsid w:val="00C17B2E"/>
    <w:rsid w:val="00C17D03"/>
    <w:rsid w:val="00C17FCB"/>
    <w:rsid w:val="00C20125"/>
    <w:rsid w:val="00C20384"/>
    <w:rsid w:val="00C203CC"/>
    <w:rsid w:val="00C204F8"/>
    <w:rsid w:val="00C20548"/>
    <w:rsid w:val="00C2074E"/>
    <w:rsid w:val="00C2077B"/>
    <w:rsid w:val="00C209AF"/>
    <w:rsid w:val="00C20E27"/>
    <w:rsid w:val="00C20F58"/>
    <w:rsid w:val="00C2110A"/>
    <w:rsid w:val="00C212ED"/>
    <w:rsid w:val="00C213B7"/>
    <w:rsid w:val="00C215C5"/>
    <w:rsid w:val="00C21644"/>
    <w:rsid w:val="00C2179F"/>
    <w:rsid w:val="00C2189B"/>
    <w:rsid w:val="00C218A6"/>
    <w:rsid w:val="00C21A33"/>
    <w:rsid w:val="00C21BB4"/>
    <w:rsid w:val="00C222EF"/>
    <w:rsid w:val="00C2232B"/>
    <w:rsid w:val="00C224F1"/>
    <w:rsid w:val="00C226AC"/>
    <w:rsid w:val="00C22D10"/>
    <w:rsid w:val="00C22F0B"/>
    <w:rsid w:val="00C22F64"/>
    <w:rsid w:val="00C2305E"/>
    <w:rsid w:val="00C2308F"/>
    <w:rsid w:val="00C230CE"/>
    <w:rsid w:val="00C232F1"/>
    <w:rsid w:val="00C23342"/>
    <w:rsid w:val="00C234A7"/>
    <w:rsid w:val="00C23824"/>
    <w:rsid w:val="00C23865"/>
    <w:rsid w:val="00C23B49"/>
    <w:rsid w:val="00C23DDF"/>
    <w:rsid w:val="00C2406E"/>
    <w:rsid w:val="00C24119"/>
    <w:rsid w:val="00C24509"/>
    <w:rsid w:val="00C246CF"/>
    <w:rsid w:val="00C2498D"/>
    <w:rsid w:val="00C24B91"/>
    <w:rsid w:val="00C25003"/>
    <w:rsid w:val="00C25257"/>
    <w:rsid w:val="00C2546A"/>
    <w:rsid w:val="00C255E2"/>
    <w:rsid w:val="00C257A1"/>
    <w:rsid w:val="00C259CE"/>
    <w:rsid w:val="00C25AB3"/>
    <w:rsid w:val="00C25B5C"/>
    <w:rsid w:val="00C25E47"/>
    <w:rsid w:val="00C26190"/>
    <w:rsid w:val="00C2626F"/>
    <w:rsid w:val="00C262FA"/>
    <w:rsid w:val="00C264E0"/>
    <w:rsid w:val="00C265BE"/>
    <w:rsid w:val="00C2668B"/>
    <w:rsid w:val="00C26699"/>
    <w:rsid w:val="00C26728"/>
    <w:rsid w:val="00C26763"/>
    <w:rsid w:val="00C26834"/>
    <w:rsid w:val="00C268BE"/>
    <w:rsid w:val="00C26964"/>
    <w:rsid w:val="00C26BDF"/>
    <w:rsid w:val="00C26E51"/>
    <w:rsid w:val="00C26F02"/>
    <w:rsid w:val="00C26F12"/>
    <w:rsid w:val="00C26FE2"/>
    <w:rsid w:val="00C2727F"/>
    <w:rsid w:val="00C272CE"/>
    <w:rsid w:val="00C272F9"/>
    <w:rsid w:val="00C273D7"/>
    <w:rsid w:val="00C275EB"/>
    <w:rsid w:val="00C2777F"/>
    <w:rsid w:val="00C277F1"/>
    <w:rsid w:val="00C27834"/>
    <w:rsid w:val="00C27A73"/>
    <w:rsid w:val="00C27AF1"/>
    <w:rsid w:val="00C27B29"/>
    <w:rsid w:val="00C27E67"/>
    <w:rsid w:val="00C3021F"/>
    <w:rsid w:val="00C302CF"/>
    <w:rsid w:val="00C304ED"/>
    <w:rsid w:val="00C30716"/>
    <w:rsid w:val="00C3071C"/>
    <w:rsid w:val="00C31267"/>
    <w:rsid w:val="00C313FE"/>
    <w:rsid w:val="00C319E6"/>
    <w:rsid w:val="00C31D2C"/>
    <w:rsid w:val="00C31F97"/>
    <w:rsid w:val="00C3204F"/>
    <w:rsid w:val="00C322DF"/>
    <w:rsid w:val="00C32371"/>
    <w:rsid w:val="00C32661"/>
    <w:rsid w:val="00C32764"/>
    <w:rsid w:val="00C3280C"/>
    <w:rsid w:val="00C328B7"/>
    <w:rsid w:val="00C32AB3"/>
    <w:rsid w:val="00C32B14"/>
    <w:rsid w:val="00C32BDB"/>
    <w:rsid w:val="00C32C37"/>
    <w:rsid w:val="00C331A2"/>
    <w:rsid w:val="00C332FC"/>
    <w:rsid w:val="00C337F8"/>
    <w:rsid w:val="00C33DDB"/>
    <w:rsid w:val="00C33EC7"/>
    <w:rsid w:val="00C33EF4"/>
    <w:rsid w:val="00C34006"/>
    <w:rsid w:val="00C3400A"/>
    <w:rsid w:val="00C342DD"/>
    <w:rsid w:val="00C3446D"/>
    <w:rsid w:val="00C345C5"/>
    <w:rsid w:val="00C347AA"/>
    <w:rsid w:val="00C34834"/>
    <w:rsid w:val="00C34882"/>
    <w:rsid w:val="00C34AB7"/>
    <w:rsid w:val="00C34AC5"/>
    <w:rsid w:val="00C34B2B"/>
    <w:rsid w:val="00C34E16"/>
    <w:rsid w:val="00C34FF8"/>
    <w:rsid w:val="00C3523E"/>
    <w:rsid w:val="00C352ED"/>
    <w:rsid w:val="00C3540E"/>
    <w:rsid w:val="00C354D7"/>
    <w:rsid w:val="00C355C1"/>
    <w:rsid w:val="00C35877"/>
    <w:rsid w:val="00C35B0D"/>
    <w:rsid w:val="00C35B80"/>
    <w:rsid w:val="00C35C2A"/>
    <w:rsid w:val="00C35D8A"/>
    <w:rsid w:val="00C36087"/>
    <w:rsid w:val="00C3618B"/>
    <w:rsid w:val="00C36813"/>
    <w:rsid w:val="00C36A7A"/>
    <w:rsid w:val="00C36D01"/>
    <w:rsid w:val="00C36F2D"/>
    <w:rsid w:val="00C3737A"/>
    <w:rsid w:val="00C37795"/>
    <w:rsid w:val="00C37E28"/>
    <w:rsid w:val="00C40037"/>
    <w:rsid w:val="00C4012B"/>
    <w:rsid w:val="00C40B51"/>
    <w:rsid w:val="00C4100B"/>
    <w:rsid w:val="00C41027"/>
    <w:rsid w:val="00C410C4"/>
    <w:rsid w:val="00C411F1"/>
    <w:rsid w:val="00C412D8"/>
    <w:rsid w:val="00C41486"/>
    <w:rsid w:val="00C414AE"/>
    <w:rsid w:val="00C4174E"/>
    <w:rsid w:val="00C417E3"/>
    <w:rsid w:val="00C41968"/>
    <w:rsid w:val="00C41FDA"/>
    <w:rsid w:val="00C42114"/>
    <w:rsid w:val="00C4246A"/>
    <w:rsid w:val="00C42618"/>
    <w:rsid w:val="00C42A59"/>
    <w:rsid w:val="00C42C75"/>
    <w:rsid w:val="00C42C8E"/>
    <w:rsid w:val="00C42E2E"/>
    <w:rsid w:val="00C4306B"/>
    <w:rsid w:val="00C430E2"/>
    <w:rsid w:val="00C4314B"/>
    <w:rsid w:val="00C437EE"/>
    <w:rsid w:val="00C43870"/>
    <w:rsid w:val="00C43A78"/>
    <w:rsid w:val="00C43B1A"/>
    <w:rsid w:val="00C43B49"/>
    <w:rsid w:val="00C43DAC"/>
    <w:rsid w:val="00C43E44"/>
    <w:rsid w:val="00C43F8E"/>
    <w:rsid w:val="00C44031"/>
    <w:rsid w:val="00C44093"/>
    <w:rsid w:val="00C441A3"/>
    <w:rsid w:val="00C442BE"/>
    <w:rsid w:val="00C44409"/>
    <w:rsid w:val="00C444DD"/>
    <w:rsid w:val="00C445F6"/>
    <w:rsid w:val="00C44C91"/>
    <w:rsid w:val="00C44D66"/>
    <w:rsid w:val="00C44DE8"/>
    <w:rsid w:val="00C44F8C"/>
    <w:rsid w:val="00C450A8"/>
    <w:rsid w:val="00C451D2"/>
    <w:rsid w:val="00C45221"/>
    <w:rsid w:val="00C45225"/>
    <w:rsid w:val="00C45685"/>
    <w:rsid w:val="00C45770"/>
    <w:rsid w:val="00C45DAB"/>
    <w:rsid w:val="00C46247"/>
    <w:rsid w:val="00C462BC"/>
    <w:rsid w:val="00C46504"/>
    <w:rsid w:val="00C46609"/>
    <w:rsid w:val="00C46897"/>
    <w:rsid w:val="00C46CB3"/>
    <w:rsid w:val="00C46E4F"/>
    <w:rsid w:val="00C46EBC"/>
    <w:rsid w:val="00C46FEE"/>
    <w:rsid w:val="00C471E5"/>
    <w:rsid w:val="00C47828"/>
    <w:rsid w:val="00C47915"/>
    <w:rsid w:val="00C47E8C"/>
    <w:rsid w:val="00C50144"/>
    <w:rsid w:val="00C5024A"/>
    <w:rsid w:val="00C50404"/>
    <w:rsid w:val="00C507CB"/>
    <w:rsid w:val="00C507EA"/>
    <w:rsid w:val="00C50A27"/>
    <w:rsid w:val="00C50A60"/>
    <w:rsid w:val="00C50BE3"/>
    <w:rsid w:val="00C50C6E"/>
    <w:rsid w:val="00C50E31"/>
    <w:rsid w:val="00C50E53"/>
    <w:rsid w:val="00C510A9"/>
    <w:rsid w:val="00C5126E"/>
    <w:rsid w:val="00C514ED"/>
    <w:rsid w:val="00C519DD"/>
    <w:rsid w:val="00C51C66"/>
    <w:rsid w:val="00C52255"/>
    <w:rsid w:val="00C52320"/>
    <w:rsid w:val="00C5232C"/>
    <w:rsid w:val="00C52439"/>
    <w:rsid w:val="00C52795"/>
    <w:rsid w:val="00C52821"/>
    <w:rsid w:val="00C528BE"/>
    <w:rsid w:val="00C52930"/>
    <w:rsid w:val="00C529D0"/>
    <w:rsid w:val="00C52AFD"/>
    <w:rsid w:val="00C52C90"/>
    <w:rsid w:val="00C53360"/>
    <w:rsid w:val="00C53371"/>
    <w:rsid w:val="00C5353E"/>
    <w:rsid w:val="00C5364B"/>
    <w:rsid w:val="00C53873"/>
    <w:rsid w:val="00C5391D"/>
    <w:rsid w:val="00C53AB1"/>
    <w:rsid w:val="00C53B69"/>
    <w:rsid w:val="00C53D95"/>
    <w:rsid w:val="00C540F2"/>
    <w:rsid w:val="00C5433C"/>
    <w:rsid w:val="00C543DB"/>
    <w:rsid w:val="00C54416"/>
    <w:rsid w:val="00C546BE"/>
    <w:rsid w:val="00C54A8C"/>
    <w:rsid w:val="00C54B54"/>
    <w:rsid w:val="00C54DDE"/>
    <w:rsid w:val="00C54F5C"/>
    <w:rsid w:val="00C55112"/>
    <w:rsid w:val="00C551D3"/>
    <w:rsid w:val="00C557E6"/>
    <w:rsid w:val="00C55AF6"/>
    <w:rsid w:val="00C55C48"/>
    <w:rsid w:val="00C55DF3"/>
    <w:rsid w:val="00C55F4C"/>
    <w:rsid w:val="00C562F4"/>
    <w:rsid w:val="00C56433"/>
    <w:rsid w:val="00C5690C"/>
    <w:rsid w:val="00C56C4D"/>
    <w:rsid w:val="00C56DB0"/>
    <w:rsid w:val="00C56E77"/>
    <w:rsid w:val="00C56EEB"/>
    <w:rsid w:val="00C56F76"/>
    <w:rsid w:val="00C571CB"/>
    <w:rsid w:val="00C57414"/>
    <w:rsid w:val="00C57573"/>
    <w:rsid w:val="00C57BE6"/>
    <w:rsid w:val="00C57F1B"/>
    <w:rsid w:val="00C57FCE"/>
    <w:rsid w:val="00C58D05"/>
    <w:rsid w:val="00C5DCA5"/>
    <w:rsid w:val="00C60149"/>
    <w:rsid w:val="00C60417"/>
    <w:rsid w:val="00C605D8"/>
    <w:rsid w:val="00C60927"/>
    <w:rsid w:val="00C60E74"/>
    <w:rsid w:val="00C60E84"/>
    <w:rsid w:val="00C610BC"/>
    <w:rsid w:val="00C6121B"/>
    <w:rsid w:val="00C613AF"/>
    <w:rsid w:val="00C615C9"/>
    <w:rsid w:val="00C61644"/>
    <w:rsid w:val="00C616F0"/>
    <w:rsid w:val="00C61712"/>
    <w:rsid w:val="00C61780"/>
    <w:rsid w:val="00C617D5"/>
    <w:rsid w:val="00C6195B"/>
    <w:rsid w:val="00C61ACE"/>
    <w:rsid w:val="00C61E1E"/>
    <w:rsid w:val="00C620EE"/>
    <w:rsid w:val="00C6214E"/>
    <w:rsid w:val="00C62405"/>
    <w:rsid w:val="00C62499"/>
    <w:rsid w:val="00C62839"/>
    <w:rsid w:val="00C6294C"/>
    <w:rsid w:val="00C62A25"/>
    <w:rsid w:val="00C62E0F"/>
    <w:rsid w:val="00C62E4A"/>
    <w:rsid w:val="00C62F38"/>
    <w:rsid w:val="00C631E3"/>
    <w:rsid w:val="00C632B8"/>
    <w:rsid w:val="00C6331A"/>
    <w:rsid w:val="00C6336B"/>
    <w:rsid w:val="00C636A1"/>
    <w:rsid w:val="00C636ED"/>
    <w:rsid w:val="00C63A4B"/>
    <w:rsid w:val="00C63D66"/>
    <w:rsid w:val="00C6408B"/>
    <w:rsid w:val="00C640B6"/>
    <w:rsid w:val="00C64223"/>
    <w:rsid w:val="00C645B7"/>
    <w:rsid w:val="00C64781"/>
    <w:rsid w:val="00C64798"/>
    <w:rsid w:val="00C647AC"/>
    <w:rsid w:val="00C648FB"/>
    <w:rsid w:val="00C64907"/>
    <w:rsid w:val="00C64926"/>
    <w:rsid w:val="00C64EB1"/>
    <w:rsid w:val="00C652D5"/>
    <w:rsid w:val="00C6542D"/>
    <w:rsid w:val="00C65450"/>
    <w:rsid w:val="00C655F6"/>
    <w:rsid w:val="00C65A59"/>
    <w:rsid w:val="00C65C01"/>
    <w:rsid w:val="00C6641C"/>
    <w:rsid w:val="00C6642E"/>
    <w:rsid w:val="00C666FB"/>
    <w:rsid w:val="00C667CB"/>
    <w:rsid w:val="00C6683A"/>
    <w:rsid w:val="00C66841"/>
    <w:rsid w:val="00C668E7"/>
    <w:rsid w:val="00C66B23"/>
    <w:rsid w:val="00C66E42"/>
    <w:rsid w:val="00C66FAD"/>
    <w:rsid w:val="00C672E6"/>
    <w:rsid w:val="00C674FE"/>
    <w:rsid w:val="00C6776F"/>
    <w:rsid w:val="00C67887"/>
    <w:rsid w:val="00C678AB"/>
    <w:rsid w:val="00C67E9A"/>
    <w:rsid w:val="00C67EA4"/>
    <w:rsid w:val="00C67F0B"/>
    <w:rsid w:val="00C67F54"/>
    <w:rsid w:val="00C700C3"/>
    <w:rsid w:val="00C701C5"/>
    <w:rsid w:val="00C704A3"/>
    <w:rsid w:val="00C70A88"/>
    <w:rsid w:val="00C70AEA"/>
    <w:rsid w:val="00C70E2A"/>
    <w:rsid w:val="00C71003"/>
    <w:rsid w:val="00C71235"/>
    <w:rsid w:val="00C714FE"/>
    <w:rsid w:val="00C715D8"/>
    <w:rsid w:val="00C71B11"/>
    <w:rsid w:val="00C71B1F"/>
    <w:rsid w:val="00C71DAF"/>
    <w:rsid w:val="00C72A0D"/>
    <w:rsid w:val="00C72A72"/>
    <w:rsid w:val="00C72B17"/>
    <w:rsid w:val="00C73386"/>
    <w:rsid w:val="00C734D9"/>
    <w:rsid w:val="00C73516"/>
    <w:rsid w:val="00C73544"/>
    <w:rsid w:val="00C736CC"/>
    <w:rsid w:val="00C736FA"/>
    <w:rsid w:val="00C73B8D"/>
    <w:rsid w:val="00C73BE7"/>
    <w:rsid w:val="00C74202"/>
    <w:rsid w:val="00C746D6"/>
    <w:rsid w:val="00C747D5"/>
    <w:rsid w:val="00C747F0"/>
    <w:rsid w:val="00C7485D"/>
    <w:rsid w:val="00C74AC5"/>
    <w:rsid w:val="00C74B92"/>
    <w:rsid w:val="00C74C0B"/>
    <w:rsid w:val="00C74C1A"/>
    <w:rsid w:val="00C753E6"/>
    <w:rsid w:val="00C753F4"/>
    <w:rsid w:val="00C75538"/>
    <w:rsid w:val="00C75852"/>
    <w:rsid w:val="00C75938"/>
    <w:rsid w:val="00C75A7B"/>
    <w:rsid w:val="00C75CE9"/>
    <w:rsid w:val="00C75DB2"/>
    <w:rsid w:val="00C75EBE"/>
    <w:rsid w:val="00C764A3"/>
    <w:rsid w:val="00C768EC"/>
    <w:rsid w:val="00C76962"/>
    <w:rsid w:val="00C76AA3"/>
    <w:rsid w:val="00C76C86"/>
    <w:rsid w:val="00C76D1C"/>
    <w:rsid w:val="00C7735E"/>
    <w:rsid w:val="00C773C6"/>
    <w:rsid w:val="00C7746D"/>
    <w:rsid w:val="00C774C4"/>
    <w:rsid w:val="00C774F7"/>
    <w:rsid w:val="00C77634"/>
    <w:rsid w:val="00C77735"/>
    <w:rsid w:val="00C77E95"/>
    <w:rsid w:val="00C8032B"/>
    <w:rsid w:val="00C80456"/>
    <w:rsid w:val="00C80644"/>
    <w:rsid w:val="00C808F4"/>
    <w:rsid w:val="00C80967"/>
    <w:rsid w:val="00C80BF5"/>
    <w:rsid w:val="00C80D2E"/>
    <w:rsid w:val="00C80E05"/>
    <w:rsid w:val="00C80F08"/>
    <w:rsid w:val="00C813CA"/>
    <w:rsid w:val="00C8149E"/>
    <w:rsid w:val="00C817DB"/>
    <w:rsid w:val="00C8190B"/>
    <w:rsid w:val="00C8193A"/>
    <w:rsid w:val="00C81B74"/>
    <w:rsid w:val="00C821F8"/>
    <w:rsid w:val="00C82238"/>
    <w:rsid w:val="00C8252D"/>
    <w:rsid w:val="00C82533"/>
    <w:rsid w:val="00C82562"/>
    <w:rsid w:val="00C82668"/>
    <w:rsid w:val="00C82715"/>
    <w:rsid w:val="00C8284D"/>
    <w:rsid w:val="00C82B13"/>
    <w:rsid w:val="00C8319D"/>
    <w:rsid w:val="00C8325F"/>
    <w:rsid w:val="00C83318"/>
    <w:rsid w:val="00C834D8"/>
    <w:rsid w:val="00C83555"/>
    <w:rsid w:val="00C838C6"/>
    <w:rsid w:val="00C83A0B"/>
    <w:rsid w:val="00C83B74"/>
    <w:rsid w:val="00C842B3"/>
    <w:rsid w:val="00C84664"/>
    <w:rsid w:val="00C8478B"/>
    <w:rsid w:val="00C8483B"/>
    <w:rsid w:val="00C84892"/>
    <w:rsid w:val="00C84F50"/>
    <w:rsid w:val="00C84F7E"/>
    <w:rsid w:val="00C854A6"/>
    <w:rsid w:val="00C85982"/>
    <w:rsid w:val="00C85D4D"/>
    <w:rsid w:val="00C85DA9"/>
    <w:rsid w:val="00C85E5E"/>
    <w:rsid w:val="00C85FA6"/>
    <w:rsid w:val="00C861DE"/>
    <w:rsid w:val="00C86394"/>
    <w:rsid w:val="00C86437"/>
    <w:rsid w:val="00C86852"/>
    <w:rsid w:val="00C86A2C"/>
    <w:rsid w:val="00C86B38"/>
    <w:rsid w:val="00C86B61"/>
    <w:rsid w:val="00C86CE2"/>
    <w:rsid w:val="00C86F97"/>
    <w:rsid w:val="00C87409"/>
    <w:rsid w:val="00C87546"/>
    <w:rsid w:val="00C876B4"/>
    <w:rsid w:val="00C87895"/>
    <w:rsid w:val="00C87ABB"/>
    <w:rsid w:val="00C900A5"/>
    <w:rsid w:val="00C90162"/>
    <w:rsid w:val="00C9040F"/>
    <w:rsid w:val="00C90418"/>
    <w:rsid w:val="00C90731"/>
    <w:rsid w:val="00C90889"/>
    <w:rsid w:val="00C90E5B"/>
    <w:rsid w:val="00C90F7E"/>
    <w:rsid w:val="00C917ED"/>
    <w:rsid w:val="00C91942"/>
    <w:rsid w:val="00C91956"/>
    <w:rsid w:val="00C91A05"/>
    <w:rsid w:val="00C91A6D"/>
    <w:rsid w:val="00C91A9B"/>
    <w:rsid w:val="00C91BDA"/>
    <w:rsid w:val="00C91CB2"/>
    <w:rsid w:val="00C921F4"/>
    <w:rsid w:val="00C9231D"/>
    <w:rsid w:val="00C925C9"/>
    <w:rsid w:val="00C9263D"/>
    <w:rsid w:val="00C928C5"/>
    <w:rsid w:val="00C92AFE"/>
    <w:rsid w:val="00C92DD4"/>
    <w:rsid w:val="00C92F4B"/>
    <w:rsid w:val="00C930F2"/>
    <w:rsid w:val="00C93279"/>
    <w:rsid w:val="00C93427"/>
    <w:rsid w:val="00C938F3"/>
    <w:rsid w:val="00C938F7"/>
    <w:rsid w:val="00C93D66"/>
    <w:rsid w:val="00C93DFE"/>
    <w:rsid w:val="00C93E19"/>
    <w:rsid w:val="00C94132"/>
    <w:rsid w:val="00C94208"/>
    <w:rsid w:val="00C9420C"/>
    <w:rsid w:val="00C94298"/>
    <w:rsid w:val="00C943C7"/>
    <w:rsid w:val="00C9449A"/>
    <w:rsid w:val="00C95192"/>
    <w:rsid w:val="00C955FA"/>
    <w:rsid w:val="00C95C15"/>
    <w:rsid w:val="00C95CC8"/>
    <w:rsid w:val="00C95CC9"/>
    <w:rsid w:val="00C95FE2"/>
    <w:rsid w:val="00C9613A"/>
    <w:rsid w:val="00C961C5"/>
    <w:rsid w:val="00C9621E"/>
    <w:rsid w:val="00C96392"/>
    <w:rsid w:val="00C9675F"/>
    <w:rsid w:val="00C96851"/>
    <w:rsid w:val="00C968EF"/>
    <w:rsid w:val="00C96A55"/>
    <w:rsid w:val="00C96ACF"/>
    <w:rsid w:val="00C96C43"/>
    <w:rsid w:val="00C97301"/>
    <w:rsid w:val="00C97469"/>
    <w:rsid w:val="00C979E1"/>
    <w:rsid w:val="00C97A87"/>
    <w:rsid w:val="00C97CE7"/>
    <w:rsid w:val="00C97D52"/>
    <w:rsid w:val="00C97FA4"/>
    <w:rsid w:val="00C97FFB"/>
    <w:rsid w:val="00CA0441"/>
    <w:rsid w:val="00CA04DA"/>
    <w:rsid w:val="00CA0584"/>
    <w:rsid w:val="00CA067F"/>
    <w:rsid w:val="00CA0D32"/>
    <w:rsid w:val="00CA0EFF"/>
    <w:rsid w:val="00CA0FCA"/>
    <w:rsid w:val="00CA109B"/>
    <w:rsid w:val="00CA118E"/>
    <w:rsid w:val="00CA12AB"/>
    <w:rsid w:val="00CA13DF"/>
    <w:rsid w:val="00CA142A"/>
    <w:rsid w:val="00CA1631"/>
    <w:rsid w:val="00CA193D"/>
    <w:rsid w:val="00CA1BA3"/>
    <w:rsid w:val="00CA1C70"/>
    <w:rsid w:val="00CA1D8D"/>
    <w:rsid w:val="00CA1DFA"/>
    <w:rsid w:val="00CA1FAA"/>
    <w:rsid w:val="00CA1FF8"/>
    <w:rsid w:val="00CA21BC"/>
    <w:rsid w:val="00CA2290"/>
    <w:rsid w:val="00CA281D"/>
    <w:rsid w:val="00CA2F0D"/>
    <w:rsid w:val="00CA30E9"/>
    <w:rsid w:val="00CA31CE"/>
    <w:rsid w:val="00CA3651"/>
    <w:rsid w:val="00CA36FC"/>
    <w:rsid w:val="00CA3769"/>
    <w:rsid w:val="00CA3856"/>
    <w:rsid w:val="00CA3893"/>
    <w:rsid w:val="00CA39CF"/>
    <w:rsid w:val="00CA3A05"/>
    <w:rsid w:val="00CA3BB0"/>
    <w:rsid w:val="00CA3F9D"/>
    <w:rsid w:val="00CA448A"/>
    <w:rsid w:val="00CA4B45"/>
    <w:rsid w:val="00CA4DD8"/>
    <w:rsid w:val="00CA56E8"/>
    <w:rsid w:val="00CA5A75"/>
    <w:rsid w:val="00CA5BBB"/>
    <w:rsid w:val="00CA5BD0"/>
    <w:rsid w:val="00CA5C05"/>
    <w:rsid w:val="00CA5CA1"/>
    <w:rsid w:val="00CA5E47"/>
    <w:rsid w:val="00CA5E82"/>
    <w:rsid w:val="00CA5EC7"/>
    <w:rsid w:val="00CA5FD5"/>
    <w:rsid w:val="00CA6381"/>
    <w:rsid w:val="00CA6730"/>
    <w:rsid w:val="00CA681B"/>
    <w:rsid w:val="00CA6880"/>
    <w:rsid w:val="00CA6CD1"/>
    <w:rsid w:val="00CA6CE0"/>
    <w:rsid w:val="00CA6D08"/>
    <w:rsid w:val="00CA6DBE"/>
    <w:rsid w:val="00CA6E5A"/>
    <w:rsid w:val="00CA6EC2"/>
    <w:rsid w:val="00CA705E"/>
    <w:rsid w:val="00CA71CA"/>
    <w:rsid w:val="00CA724F"/>
    <w:rsid w:val="00CA74A9"/>
    <w:rsid w:val="00CA7679"/>
    <w:rsid w:val="00CA7817"/>
    <w:rsid w:val="00CA79FF"/>
    <w:rsid w:val="00CA7B35"/>
    <w:rsid w:val="00CA7C41"/>
    <w:rsid w:val="00CA7CB5"/>
    <w:rsid w:val="00CA7CCF"/>
    <w:rsid w:val="00CA7F7A"/>
    <w:rsid w:val="00CA7FDD"/>
    <w:rsid w:val="00CB0339"/>
    <w:rsid w:val="00CB03DE"/>
    <w:rsid w:val="00CB04B7"/>
    <w:rsid w:val="00CB0782"/>
    <w:rsid w:val="00CB07B7"/>
    <w:rsid w:val="00CB08A0"/>
    <w:rsid w:val="00CB0A52"/>
    <w:rsid w:val="00CB0E96"/>
    <w:rsid w:val="00CB0F3D"/>
    <w:rsid w:val="00CB10FA"/>
    <w:rsid w:val="00CB11C3"/>
    <w:rsid w:val="00CB121B"/>
    <w:rsid w:val="00CB1329"/>
    <w:rsid w:val="00CB169B"/>
    <w:rsid w:val="00CB1780"/>
    <w:rsid w:val="00CB1C95"/>
    <w:rsid w:val="00CB1EE5"/>
    <w:rsid w:val="00CB20FE"/>
    <w:rsid w:val="00CB2979"/>
    <w:rsid w:val="00CB2DB5"/>
    <w:rsid w:val="00CB3017"/>
    <w:rsid w:val="00CB3256"/>
    <w:rsid w:val="00CB3262"/>
    <w:rsid w:val="00CB3275"/>
    <w:rsid w:val="00CB358E"/>
    <w:rsid w:val="00CB3A50"/>
    <w:rsid w:val="00CB3C0A"/>
    <w:rsid w:val="00CB3FFA"/>
    <w:rsid w:val="00CB41E6"/>
    <w:rsid w:val="00CB4472"/>
    <w:rsid w:val="00CB447C"/>
    <w:rsid w:val="00CB45E3"/>
    <w:rsid w:val="00CB49C4"/>
    <w:rsid w:val="00CB4D71"/>
    <w:rsid w:val="00CB4DC5"/>
    <w:rsid w:val="00CB4F2C"/>
    <w:rsid w:val="00CB4F42"/>
    <w:rsid w:val="00CB4FE5"/>
    <w:rsid w:val="00CB5693"/>
    <w:rsid w:val="00CB56B8"/>
    <w:rsid w:val="00CB572E"/>
    <w:rsid w:val="00CB5809"/>
    <w:rsid w:val="00CB6192"/>
    <w:rsid w:val="00CB61FE"/>
    <w:rsid w:val="00CB6422"/>
    <w:rsid w:val="00CB6693"/>
    <w:rsid w:val="00CB66D5"/>
    <w:rsid w:val="00CB67FD"/>
    <w:rsid w:val="00CB688C"/>
    <w:rsid w:val="00CB6AF7"/>
    <w:rsid w:val="00CB6B17"/>
    <w:rsid w:val="00CB6BCC"/>
    <w:rsid w:val="00CB6DDF"/>
    <w:rsid w:val="00CB7265"/>
    <w:rsid w:val="00CB737A"/>
    <w:rsid w:val="00CB73E2"/>
    <w:rsid w:val="00CB7724"/>
    <w:rsid w:val="00CB7BF0"/>
    <w:rsid w:val="00CB7E57"/>
    <w:rsid w:val="00CB7E6B"/>
    <w:rsid w:val="00CC004B"/>
    <w:rsid w:val="00CC0357"/>
    <w:rsid w:val="00CC0614"/>
    <w:rsid w:val="00CC082E"/>
    <w:rsid w:val="00CC0B0D"/>
    <w:rsid w:val="00CC0B78"/>
    <w:rsid w:val="00CC101E"/>
    <w:rsid w:val="00CC105C"/>
    <w:rsid w:val="00CC123E"/>
    <w:rsid w:val="00CC1276"/>
    <w:rsid w:val="00CC139E"/>
    <w:rsid w:val="00CC1422"/>
    <w:rsid w:val="00CC1452"/>
    <w:rsid w:val="00CC165D"/>
    <w:rsid w:val="00CC169D"/>
    <w:rsid w:val="00CC16A7"/>
    <w:rsid w:val="00CC176A"/>
    <w:rsid w:val="00CC1A47"/>
    <w:rsid w:val="00CC1D03"/>
    <w:rsid w:val="00CC1F40"/>
    <w:rsid w:val="00CC1FAA"/>
    <w:rsid w:val="00CC22B7"/>
    <w:rsid w:val="00CC2823"/>
    <w:rsid w:val="00CC2991"/>
    <w:rsid w:val="00CC2B81"/>
    <w:rsid w:val="00CC2C2A"/>
    <w:rsid w:val="00CC2C37"/>
    <w:rsid w:val="00CC2D69"/>
    <w:rsid w:val="00CC2F72"/>
    <w:rsid w:val="00CC302C"/>
    <w:rsid w:val="00CC30B1"/>
    <w:rsid w:val="00CC316E"/>
    <w:rsid w:val="00CC3233"/>
    <w:rsid w:val="00CC343E"/>
    <w:rsid w:val="00CC3488"/>
    <w:rsid w:val="00CC3772"/>
    <w:rsid w:val="00CC3AD1"/>
    <w:rsid w:val="00CC3AE1"/>
    <w:rsid w:val="00CC3BDC"/>
    <w:rsid w:val="00CC3C7E"/>
    <w:rsid w:val="00CC3CFC"/>
    <w:rsid w:val="00CC3F2A"/>
    <w:rsid w:val="00CC3F43"/>
    <w:rsid w:val="00CC42BA"/>
    <w:rsid w:val="00CC4425"/>
    <w:rsid w:val="00CC458D"/>
    <w:rsid w:val="00CC4B5E"/>
    <w:rsid w:val="00CC4E3B"/>
    <w:rsid w:val="00CC4E89"/>
    <w:rsid w:val="00CC4F6E"/>
    <w:rsid w:val="00CC50D3"/>
    <w:rsid w:val="00CC5231"/>
    <w:rsid w:val="00CC5611"/>
    <w:rsid w:val="00CC5854"/>
    <w:rsid w:val="00CC5B42"/>
    <w:rsid w:val="00CC63A7"/>
    <w:rsid w:val="00CC65E4"/>
    <w:rsid w:val="00CC6829"/>
    <w:rsid w:val="00CC696A"/>
    <w:rsid w:val="00CC6DF0"/>
    <w:rsid w:val="00CC6E8C"/>
    <w:rsid w:val="00CC6F01"/>
    <w:rsid w:val="00CC7059"/>
    <w:rsid w:val="00CC7084"/>
    <w:rsid w:val="00CC70D1"/>
    <w:rsid w:val="00CC7152"/>
    <w:rsid w:val="00CC73AC"/>
    <w:rsid w:val="00CC73BD"/>
    <w:rsid w:val="00CC76AB"/>
    <w:rsid w:val="00CC7B05"/>
    <w:rsid w:val="00CD0051"/>
    <w:rsid w:val="00CD0099"/>
    <w:rsid w:val="00CD014C"/>
    <w:rsid w:val="00CD018A"/>
    <w:rsid w:val="00CD02B9"/>
    <w:rsid w:val="00CD02E8"/>
    <w:rsid w:val="00CD0592"/>
    <w:rsid w:val="00CD0813"/>
    <w:rsid w:val="00CD0C25"/>
    <w:rsid w:val="00CD0DDD"/>
    <w:rsid w:val="00CD139E"/>
    <w:rsid w:val="00CD14D2"/>
    <w:rsid w:val="00CD16DD"/>
    <w:rsid w:val="00CD1798"/>
    <w:rsid w:val="00CD1C97"/>
    <w:rsid w:val="00CD1D53"/>
    <w:rsid w:val="00CD1D6C"/>
    <w:rsid w:val="00CD1D85"/>
    <w:rsid w:val="00CD1FD9"/>
    <w:rsid w:val="00CD20AD"/>
    <w:rsid w:val="00CD20CF"/>
    <w:rsid w:val="00CD2326"/>
    <w:rsid w:val="00CD240B"/>
    <w:rsid w:val="00CD26F6"/>
    <w:rsid w:val="00CD2A81"/>
    <w:rsid w:val="00CD2F69"/>
    <w:rsid w:val="00CD37EA"/>
    <w:rsid w:val="00CD39AE"/>
    <w:rsid w:val="00CD3A82"/>
    <w:rsid w:val="00CD3E99"/>
    <w:rsid w:val="00CD3E9E"/>
    <w:rsid w:val="00CD3FE6"/>
    <w:rsid w:val="00CD41C6"/>
    <w:rsid w:val="00CD454C"/>
    <w:rsid w:val="00CD4980"/>
    <w:rsid w:val="00CD4C74"/>
    <w:rsid w:val="00CD507F"/>
    <w:rsid w:val="00CD565E"/>
    <w:rsid w:val="00CD5932"/>
    <w:rsid w:val="00CD5D48"/>
    <w:rsid w:val="00CD5DE4"/>
    <w:rsid w:val="00CD5EAB"/>
    <w:rsid w:val="00CD5F58"/>
    <w:rsid w:val="00CD62B5"/>
    <w:rsid w:val="00CD6365"/>
    <w:rsid w:val="00CD64DD"/>
    <w:rsid w:val="00CD65E3"/>
    <w:rsid w:val="00CD6918"/>
    <w:rsid w:val="00CD6957"/>
    <w:rsid w:val="00CD698A"/>
    <w:rsid w:val="00CD69A8"/>
    <w:rsid w:val="00CD6AD5"/>
    <w:rsid w:val="00CD6B39"/>
    <w:rsid w:val="00CD6B4D"/>
    <w:rsid w:val="00CD7105"/>
    <w:rsid w:val="00CD734D"/>
    <w:rsid w:val="00CD7408"/>
    <w:rsid w:val="00CD74CF"/>
    <w:rsid w:val="00CD76CF"/>
    <w:rsid w:val="00CD76E6"/>
    <w:rsid w:val="00CD7A21"/>
    <w:rsid w:val="00CD7CFB"/>
    <w:rsid w:val="00CD7DD0"/>
    <w:rsid w:val="00CD7DE8"/>
    <w:rsid w:val="00CE0220"/>
    <w:rsid w:val="00CE0393"/>
    <w:rsid w:val="00CE0B01"/>
    <w:rsid w:val="00CE0E3E"/>
    <w:rsid w:val="00CE0E79"/>
    <w:rsid w:val="00CE1030"/>
    <w:rsid w:val="00CE12F1"/>
    <w:rsid w:val="00CE162F"/>
    <w:rsid w:val="00CE18E4"/>
    <w:rsid w:val="00CE18E5"/>
    <w:rsid w:val="00CE19B6"/>
    <w:rsid w:val="00CE1BBC"/>
    <w:rsid w:val="00CE1DBC"/>
    <w:rsid w:val="00CE2199"/>
    <w:rsid w:val="00CE234E"/>
    <w:rsid w:val="00CE23AC"/>
    <w:rsid w:val="00CE2F9E"/>
    <w:rsid w:val="00CE3086"/>
    <w:rsid w:val="00CE357A"/>
    <w:rsid w:val="00CE36D6"/>
    <w:rsid w:val="00CE3899"/>
    <w:rsid w:val="00CE3E17"/>
    <w:rsid w:val="00CE3F5A"/>
    <w:rsid w:val="00CE478A"/>
    <w:rsid w:val="00CE482E"/>
    <w:rsid w:val="00CE4966"/>
    <w:rsid w:val="00CE4A0B"/>
    <w:rsid w:val="00CE4BE7"/>
    <w:rsid w:val="00CE4D1B"/>
    <w:rsid w:val="00CE4D92"/>
    <w:rsid w:val="00CE4E92"/>
    <w:rsid w:val="00CE4EBA"/>
    <w:rsid w:val="00CE4EDC"/>
    <w:rsid w:val="00CE5045"/>
    <w:rsid w:val="00CE51AC"/>
    <w:rsid w:val="00CE52E1"/>
    <w:rsid w:val="00CE5429"/>
    <w:rsid w:val="00CE5431"/>
    <w:rsid w:val="00CE5CE8"/>
    <w:rsid w:val="00CE5E24"/>
    <w:rsid w:val="00CE5E53"/>
    <w:rsid w:val="00CE616C"/>
    <w:rsid w:val="00CE62B0"/>
    <w:rsid w:val="00CE6341"/>
    <w:rsid w:val="00CE65B8"/>
    <w:rsid w:val="00CE6630"/>
    <w:rsid w:val="00CE689D"/>
    <w:rsid w:val="00CE6A74"/>
    <w:rsid w:val="00CE6F89"/>
    <w:rsid w:val="00CE7068"/>
    <w:rsid w:val="00CE7083"/>
    <w:rsid w:val="00CE7514"/>
    <w:rsid w:val="00CE7632"/>
    <w:rsid w:val="00CE778E"/>
    <w:rsid w:val="00CE779C"/>
    <w:rsid w:val="00CE78B2"/>
    <w:rsid w:val="00CE7903"/>
    <w:rsid w:val="00CE794F"/>
    <w:rsid w:val="00CE7A35"/>
    <w:rsid w:val="00CE7AAC"/>
    <w:rsid w:val="00CE7CA7"/>
    <w:rsid w:val="00CF0387"/>
    <w:rsid w:val="00CF0603"/>
    <w:rsid w:val="00CF097C"/>
    <w:rsid w:val="00CF0E79"/>
    <w:rsid w:val="00CF1147"/>
    <w:rsid w:val="00CF12F7"/>
    <w:rsid w:val="00CF13FF"/>
    <w:rsid w:val="00CF17E4"/>
    <w:rsid w:val="00CF1BDD"/>
    <w:rsid w:val="00CF1D92"/>
    <w:rsid w:val="00CF1F44"/>
    <w:rsid w:val="00CF1F4E"/>
    <w:rsid w:val="00CF229D"/>
    <w:rsid w:val="00CF236D"/>
    <w:rsid w:val="00CF2749"/>
    <w:rsid w:val="00CF2A1F"/>
    <w:rsid w:val="00CF2AA5"/>
    <w:rsid w:val="00CF2B79"/>
    <w:rsid w:val="00CF2C50"/>
    <w:rsid w:val="00CF3088"/>
    <w:rsid w:val="00CF3221"/>
    <w:rsid w:val="00CF3796"/>
    <w:rsid w:val="00CF388E"/>
    <w:rsid w:val="00CF38A1"/>
    <w:rsid w:val="00CF3956"/>
    <w:rsid w:val="00CF3BD4"/>
    <w:rsid w:val="00CF3CF2"/>
    <w:rsid w:val="00CF3FC4"/>
    <w:rsid w:val="00CF4062"/>
    <w:rsid w:val="00CF4103"/>
    <w:rsid w:val="00CF4137"/>
    <w:rsid w:val="00CF44C9"/>
    <w:rsid w:val="00CF45CF"/>
    <w:rsid w:val="00CF4870"/>
    <w:rsid w:val="00CF48EE"/>
    <w:rsid w:val="00CF51DF"/>
    <w:rsid w:val="00CF5BEA"/>
    <w:rsid w:val="00CF5D42"/>
    <w:rsid w:val="00CF5D8F"/>
    <w:rsid w:val="00CF5E32"/>
    <w:rsid w:val="00CF5F6A"/>
    <w:rsid w:val="00CF5F8B"/>
    <w:rsid w:val="00CF5FB4"/>
    <w:rsid w:val="00CF63DB"/>
    <w:rsid w:val="00CF6421"/>
    <w:rsid w:val="00CF65AB"/>
    <w:rsid w:val="00CF6C31"/>
    <w:rsid w:val="00CF6EEB"/>
    <w:rsid w:val="00CF7029"/>
    <w:rsid w:val="00CF7042"/>
    <w:rsid w:val="00CF70FF"/>
    <w:rsid w:val="00CF73EB"/>
    <w:rsid w:val="00CF767B"/>
    <w:rsid w:val="00CF7828"/>
    <w:rsid w:val="00CF7949"/>
    <w:rsid w:val="00CF7AAD"/>
    <w:rsid w:val="00CF7CE7"/>
    <w:rsid w:val="00CF7DB0"/>
    <w:rsid w:val="00CF7DE6"/>
    <w:rsid w:val="00CF7F39"/>
    <w:rsid w:val="00D00012"/>
    <w:rsid w:val="00D0011E"/>
    <w:rsid w:val="00D00202"/>
    <w:rsid w:val="00D009B2"/>
    <w:rsid w:val="00D00A80"/>
    <w:rsid w:val="00D00AAE"/>
    <w:rsid w:val="00D00AE6"/>
    <w:rsid w:val="00D00BC4"/>
    <w:rsid w:val="00D00F28"/>
    <w:rsid w:val="00D010C6"/>
    <w:rsid w:val="00D012DB"/>
    <w:rsid w:val="00D0138B"/>
    <w:rsid w:val="00D019DF"/>
    <w:rsid w:val="00D01C11"/>
    <w:rsid w:val="00D01C8B"/>
    <w:rsid w:val="00D01F6B"/>
    <w:rsid w:val="00D02494"/>
    <w:rsid w:val="00D02551"/>
    <w:rsid w:val="00D025CE"/>
    <w:rsid w:val="00D025E1"/>
    <w:rsid w:val="00D0264E"/>
    <w:rsid w:val="00D02652"/>
    <w:rsid w:val="00D02762"/>
    <w:rsid w:val="00D027CB"/>
    <w:rsid w:val="00D02B70"/>
    <w:rsid w:val="00D030A7"/>
    <w:rsid w:val="00D03139"/>
    <w:rsid w:val="00D033B8"/>
    <w:rsid w:val="00D036DF"/>
    <w:rsid w:val="00D038DB"/>
    <w:rsid w:val="00D039F7"/>
    <w:rsid w:val="00D03D5F"/>
    <w:rsid w:val="00D03E8D"/>
    <w:rsid w:val="00D03F24"/>
    <w:rsid w:val="00D040A8"/>
    <w:rsid w:val="00D04305"/>
    <w:rsid w:val="00D04455"/>
    <w:rsid w:val="00D04526"/>
    <w:rsid w:val="00D047A0"/>
    <w:rsid w:val="00D049F1"/>
    <w:rsid w:val="00D04C92"/>
    <w:rsid w:val="00D04D0D"/>
    <w:rsid w:val="00D04D7F"/>
    <w:rsid w:val="00D04E76"/>
    <w:rsid w:val="00D05301"/>
    <w:rsid w:val="00D05372"/>
    <w:rsid w:val="00D05531"/>
    <w:rsid w:val="00D0584E"/>
    <w:rsid w:val="00D05933"/>
    <w:rsid w:val="00D05A76"/>
    <w:rsid w:val="00D05EA3"/>
    <w:rsid w:val="00D06117"/>
    <w:rsid w:val="00D063F1"/>
    <w:rsid w:val="00D068DE"/>
    <w:rsid w:val="00D06F35"/>
    <w:rsid w:val="00D078B3"/>
    <w:rsid w:val="00D078FB"/>
    <w:rsid w:val="00D079F7"/>
    <w:rsid w:val="00D07A27"/>
    <w:rsid w:val="00D07A92"/>
    <w:rsid w:val="00D07B78"/>
    <w:rsid w:val="00D07B9B"/>
    <w:rsid w:val="00D07EF1"/>
    <w:rsid w:val="00D07FC6"/>
    <w:rsid w:val="00D1008A"/>
    <w:rsid w:val="00D10126"/>
    <w:rsid w:val="00D10149"/>
    <w:rsid w:val="00D103E8"/>
    <w:rsid w:val="00D10765"/>
    <w:rsid w:val="00D10A8C"/>
    <w:rsid w:val="00D10F7C"/>
    <w:rsid w:val="00D10FC9"/>
    <w:rsid w:val="00D111E8"/>
    <w:rsid w:val="00D111EB"/>
    <w:rsid w:val="00D1123A"/>
    <w:rsid w:val="00D115BB"/>
    <w:rsid w:val="00D117CF"/>
    <w:rsid w:val="00D11924"/>
    <w:rsid w:val="00D11B9A"/>
    <w:rsid w:val="00D11DEC"/>
    <w:rsid w:val="00D11F58"/>
    <w:rsid w:val="00D12781"/>
    <w:rsid w:val="00D12902"/>
    <w:rsid w:val="00D1291B"/>
    <w:rsid w:val="00D129BB"/>
    <w:rsid w:val="00D12ACE"/>
    <w:rsid w:val="00D12D03"/>
    <w:rsid w:val="00D12D09"/>
    <w:rsid w:val="00D12D2D"/>
    <w:rsid w:val="00D12DB0"/>
    <w:rsid w:val="00D13080"/>
    <w:rsid w:val="00D130E5"/>
    <w:rsid w:val="00D13431"/>
    <w:rsid w:val="00D13477"/>
    <w:rsid w:val="00D13613"/>
    <w:rsid w:val="00D13625"/>
    <w:rsid w:val="00D13A38"/>
    <w:rsid w:val="00D13B28"/>
    <w:rsid w:val="00D1422A"/>
    <w:rsid w:val="00D14335"/>
    <w:rsid w:val="00D145BB"/>
    <w:rsid w:val="00D146C2"/>
    <w:rsid w:val="00D14845"/>
    <w:rsid w:val="00D1489F"/>
    <w:rsid w:val="00D14F64"/>
    <w:rsid w:val="00D152BB"/>
    <w:rsid w:val="00D15540"/>
    <w:rsid w:val="00D15AE2"/>
    <w:rsid w:val="00D15D03"/>
    <w:rsid w:val="00D15FF1"/>
    <w:rsid w:val="00D162AD"/>
    <w:rsid w:val="00D16366"/>
    <w:rsid w:val="00D16386"/>
    <w:rsid w:val="00D16398"/>
    <w:rsid w:val="00D164DA"/>
    <w:rsid w:val="00D166B2"/>
    <w:rsid w:val="00D16826"/>
    <w:rsid w:val="00D16A7B"/>
    <w:rsid w:val="00D16E2A"/>
    <w:rsid w:val="00D17172"/>
    <w:rsid w:val="00D174BD"/>
    <w:rsid w:val="00D176D8"/>
    <w:rsid w:val="00D177A8"/>
    <w:rsid w:val="00D177DB"/>
    <w:rsid w:val="00D17E59"/>
    <w:rsid w:val="00D203B1"/>
    <w:rsid w:val="00D203E3"/>
    <w:rsid w:val="00D20509"/>
    <w:rsid w:val="00D2064A"/>
    <w:rsid w:val="00D209D4"/>
    <w:rsid w:val="00D209E5"/>
    <w:rsid w:val="00D20C4A"/>
    <w:rsid w:val="00D20C6B"/>
    <w:rsid w:val="00D2161E"/>
    <w:rsid w:val="00D21813"/>
    <w:rsid w:val="00D21955"/>
    <w:rsid w:val="00D21A26"/>
    <w:rsid w:val="00D21B6C"/>
    <w:rsid w:val="00D21C7A"/>
    <w:rsid w:val="00D21DD1"/>
    <w:rsid w:val="00D21E8F"/>
    <w:rsid w:val="00D2269F"/>
    <w:rsid w:val="00D226DD"/>
    <w:rsid w:val="00D2281F"/>
    <w:rsid w:val="00D22C89"/>
    <w:rsid w:val="00D23257"/>
    <w:rsid w:val="00D232FB"/>
    <w:rsid w:val="00D236A8"/>
    <w:rsid w:val="00D236FC"/>
    <w:rsid w:val="00D23902"/>
    <w:rsid w:val="00D23B3E"/>
    <w:rsid w:val="00D23B53"/>
    <w:rsid w:val="00D23F1D"/>
    <w:rsid w:val="00D24085"/>
    <w:rsid w:val="00D2420C"/>
    <w:rsid w:val="00D244A9"/>
    <w:rsid w:val="00D24702"/>
    <w:rsid w:val="00D24A7F"/>
    <w:rsid w:val="00D24E67"/>
    <w:rsid w:val="00D24EB7"/>
    <w:rsid w:val="00D2506B"/>
    <w:rsid w:val="00D2555A"/>
    <w:rsid w:val="00D25A92"/>
    <w:rsid w:val="00D25D27"/>
    <w:rsid w:val="00D25D5A"/>
    <w:rsid w:val="00D25FD0"/>
    <w:rsid w:val="00D260E4"/>
    <w:rsid w:val="00D263A1"/>
    <w:rsid w:val="00D26450"/>
    <w:rsid w:val="00D26725"/>
    <w:rsid w:val="00D2681F"/>
    <w:rsid w:val="00D2683E"/>
    <w:rsid w:val="00D2686B"/>
    <w:rsid w:val="00D26E07"/>
    <w:rsid w:val="00D2711E"/>
    <w:rsid w:val="00D273DF"/>
    <w:rsid w:val="00D27477"/>
    <w:rsid w:val="00D27707"/>
    <w:rsid w:val="00D2787A"/>
    <w:rsid w:val="00D27BC5"/>
    <w:rsid w:val="00D27BCF"/>
    <w:rsid w:val="00D3012D"/>
    <w:rsid w:val="00D302C7"/>
    <w:rsid w:val="00D30405"/>
    <w:rsid w:val="00D307E1"/>
    <w:rsid w:val="00D30876"/>
    <w:rsid w:val="00D30A3C"/>
    <w:rsid w:val="00D30B56"/>
    <w:rsid w:val="00D30B97"/>
    <w:rsid w:val="00D30CF0"/>
    <w:rsid w:val="00D31657"/>
    <w:rsid w:val="00D31918"/>
    <w:rsid w:val="00D31B3E"/>
    <w:rsid w:val="00D31CA3"/>
    <w:rsid w:val="00D31F59"/>
    <w:rsid w:val="00D320C3"/>
    <w:rsid w:val="00D3220D"/>
    <w:rsid w:val="00D3244D"/>
    <w:rsid w:val="00D32474"/>
    <w:rsid w:val="00D3262B"/>
    <w:rsid w:val="00D326FE"/>
    <w:rsid w:val="00D32E75"/>
    <w:rsid w:val="00D330AE"/>
    <w:rsid w:val="00D33289"/>
    <w:rsid w:val="00D3337D"/>
    <w:rsid w:val="00D33394"/>
    <w:rsid w:val="00D3355A"/>
    <w:rsid w:val="00D335E4"/>
    <w:rsid w:val="00D342D7"/>
    <w:rsid w:val="00D34565"/>
    <w:rsid w:val="00D34589"/>
    <w:rsid w:val="00D34938"/>
    <w:rsid w:val="00D34A3C"/>
    <w:rsid w:val="00D34C9A"/>
    <w:rsid w:val="00D34FE5"/>
    <w:rsid w:val="00D35212"/>
    <w:rsid w:val="00D3552C"/>
    <w:rsid w:val="00D357E0"/>
    <w:rsid w:val="00D357FA"/>
    <w:rsid w:val="00D35846"/>
    <w:rsid w:val="00D35AC3"/>
    <w:rsid w:val="00D35D9C"/>
    <w:rsid w:val="00D35F58"/>
    <w:rsid w:val="00D35FE0"/>
    <w:rsid w:val="00D36012"/>
    <w:rsid w:val="00D365FF"/>
    <w:rsid w:val="00D36665"/>
    <w:rsid w:val="00D36742"/>
    <w:rsid w:val="00D36A7A"/>
    <w:rsid w:val="00D36AD7"/>
    <w:rsid w:val="00D36E49"/>
    <w:rsid w:val="00D36ED3"/>
    <w:rsid w:val="00D36FB9"/>
    <w:rsid w:val="00D36FE5"/>
    <w:rsid w:val="00D370FD"/>
    <w:rsid w:val="00D3792F"/>
    <w:rsid w:val="00D37B6F"/>
    <w:rsid w:val="00D37BB2"/>
    <w:rsid w:val="00D37FA9"/>
    <w:rsid w:val="00D4002B"/>
    <w:rsid w:val="00D40069"/>
    <w:rsid w:val="00D401E6"/>
    <w:rsid w:val="00D4024D"/>
    <w:rsid w:val="00D402EC"/>
    <w:rsid w:val="00D40431"/>
    <w:rsid w:val="00D4053A"/>
    <w:rsid w:val="00D409A4"/>
    <w:rsid w:val="00D40BAD"/>
    <w:rsid w:val="00D40EF4"/>
    <w:rsid w:val="00D40FC6"/>
    <w:rsid w:val="00D40FDB"/>
    <w:rsid w:val="00D41398"/>
    <w:rsid w:val="00D4143B"/>
    <w:rsid w:val="00D416F7"/>
    <w:rsid w:val="00D41953"/>
    <w:rsid w:val="00D41BB9"/>
    <w:rsid w:val="00D41C38"/>
    <w:rsid w:val="00D421DD"/>
    <w:rsid w:val="00D4236F"/>
    <w:rsid w:val="00D423DB"/>
    <w:rsid w:val="00D4249A"/>
    <w:rsid w:val="00D42567"/>
    <w:rsid w:val="00D42A6B"/>
    <w:rsid w:val="00D430E7"/>
    <w:rsid w:val="00D433E8"/>
    <w:rsid w:val="00D43456"/>
    <w:rsid w:val="00D434BF"/>
    <w:rsid w:val="00D43568"/>
    <w:rsid w:val="00D436A1"/>
    <w:rsid w:val="00D43796"/>
    <w:rsid w:val="00D438CE"/>
    <w:rsid w:val="00D43AE9"/>
    <w:rsid w:val="00D43CAC"/>
    <w:rsid w:val="00D43EEC"/>
    <w:rsid w:val="00D4403A"/>
    <w:rsid w:val="00D44133"/>
    <w:rsid w:val="00D441C9"/>
    <w:rsid w:val="00D44352"/>
    <w:rsid w:val="00D44370"/>
    <w:rsid w:val="00D44549"/>
    <w:rsid w:val="00D44C4E"/>
    <w:rsid w:val="00D44C80"/>
    <w:rsid w:val="00D44CE1"/>
    <w:rsid w:val="00D44D8E"/>
    <w:rsid w:val="00D44F65"/>
    <w:rsid w:val="00D44F89"/>
    <w:rsid w:val="00D45311"/>
    <w:rsid w:val="00D4544F"/>
    <w:rsid w:val="00D4548B"/>
    <w:rsid w:val="00D45680"/>
    <w:rsid w:val="00D45771"/>
    <w:rsid w:val="00D459E4"/>
    <w:rsid w:val="00D45CC1"/>
    <w:rsid w:val="00D45E00"/>
    <w:rsid w:val="00D45ED2"/>
    <w:rsid w:val="00D4605A"/>
    <w:rsid w:val="00D460F7"/>
    <w:rsid w:val="00D461DD"/>
    <w:rsid w:val="00D46333"/>
    <w:rsid w:val="00D46411"/>
    <w:rsid w:val="00D46445"/>
    <w:rsid w:val="00D466C1"/>
    <w:rsid w:val="00D466C5"/>
    <w:rsid w:val="00D46BF8"/>
    <w:rsid w:val="00D46E58"/>
    <w:rsid w:val="00D46FAB"/>
    <w:rsid w:val="00D46FC0"/>
    <w:rsid w:val="00D47118"/>
    <w:rsid w:val="00D471F4"/>
    <w:rsid w:val="00D4724F"/>
    <w:rsid w:val="00D47A02"/>
    <w:rsid w:val="00D47AFC"/>
    <w:rsid w:val="00D50374"/>
    <w:rsid w:val="00D5039D"/>
    <w:rsid w:val="00D503C2"/>
    <w:rsid w:val="00D50C93"/>
    <w:rsid w:val="00D50E23"/>
    <w:rsid w:val="00D50E97"/>
    <w:rsid w:val="00D51362"/>
    <w:rsid w:val="00D51B98"/>
    <w:rsid w:val="00D51D1E"/>
    <w:rsid w:val="00D51E8E"/>
    <w:rsid w:val="00D51F2C"/>
    <w:rsid w:val="00D52235"/>
    <w:rsid w:val="00D5256C"/>
    <w:rsid w:val="00D52784"/>
    <w:rsid w:val="00D527FC"/>
    <w:rsid w:val="00D52925"/>
    <w:rsid w:val="00D52A2B"/>
    <w:rsid w:val="00D52B61"/>
    <w:rsid w:val="00D52CA3"/>
    <w:rsid w:val="00D52DAA"/>
    <w:rsid w:val="00D52E5E"/>
    <w:rsid w:val="00D53366"/>
    <w:rsid w:val="00D534E9"/>
    <w:rsid w:val="00D535EF"/>
    <w:rsid w:val="00D53725"/>
    <w:rsid w:val="00D5389B"/>
    <w:rsid w:val="00D53EB7"/>
    <w:rsid w:val="00D54218"/>
    <w:rsid w:val="00D54270"/>
    <w:rsid w:val="00D5438C"/>
    <w:rsid w:val="00D54495"/>
    <w:rsid w:val="00D54664"/>
    <w:rsid w:val="00D54868"/>
    <w:rsid w:val="00D5495B"/>
    <w:rsid w:val="00D549C2"/>
    <w:rsid w:val="00D54B77"/>
    <w:rsid w:val="00D550A3"/>
    <w:rsid w:val="00D5520C"/>
    <w:rsid w:val="00D5524A"/>
    <w:rsid w:val="00D55305"/>
    <w:rsid w:val="00D554D6"/>
    <w:rsid w:val="00D5552F"/>
    <w:rsid w:val="00D55578"/>
    <w:rsid w:val="00D557A9"/>
    <w:rsid w:val="00D55832"/>
    <w:rsid w:val="00D55840"/>
    <w:rsid w:val="00D55F5D"/>
    <w:rsid w:val="00D56030"/>
    <w:rsid w:val="00D5628A"/>
    <w:rsid w:val="00D56463"/>
    <w:rsid w:val="00D56496"/>
    <w:rsid w:val="00D564C4"/>
    <w:rsid w:val="00D565AE"/>
    <w:rsid w:val="00D568C5"/>
    <w:rsid w:val="00D56BF4"/>
    <w:rsid w:val="00D56C4C"/>
    <w:rsid w:val="00D56D34"/>
    <w:rsid w:val="00D56DDF"/>
    <w:rsid w:val="00D56ED1"/>
    <w:rsid w:val="00D570C6"/>
    <w:rsid w:val="00D5752E"/>
    <w:rsid w:val="00D57724"/>
    <w:rsid w:val="00D577DC"/>
    <w:rsid w:val="00D57C01"/>
    <w:rsid w:val="00D57F0B"/>
    <w:rsid w:val="00D60072"/>
    <w:rsid w:val="00D601A2"/>
    <w:rsid w:val="00D60312"/>
    <w:rsid w:val="00D6046A"/>
    <w:rsid w:val="00D60889"/>
    <w:rsid w:val="00D609FF"/>
    <w:rsid w:val="00D60D49"/>
    <w:rsid w:val="00D60F3B"/>
    <w:rsid w:val="00D610F9"/>
    <w:rsid w:val="00D612B4"/>
    <w:rsid w:val="00D61373"/>
    <w:rsid w:val="00D6143C"/>
    <w:rsid w:val="00D61786"/>
    <w:rsid w:val="00D617B0"/>
    <w:rsid w:val="00D61A27"/>
    <w:rsid w:val="00D61AE7"/>
    <w:rsid w:val="00D61B98"/>
    <w:rsid w:val="00D61C1E"/>
    <w:rsid w:val="00D61F83"/>
    <w:rsid w:val="00D622B4"/>
    <w:rsid w:val="00D6232A"/>
    <w:rsid w:val="00D625C7"/>
    <w:rsid w:val="00D628DC"/>
    <w:rsid w:val="00D62AC7"/>
    <w:rsid w:val="00D62CC9"/>
    <w:rsid w:val="00D635BA"/>
    <w:rsid w:val="00D6362A"/>
    <w:rsid w:val="00D636FC"/>
    <w:rsid w:val="00D6391B"/>
    <w:rsid w:val="00D63960"/>
    <w:rsid w:val="00D639CB"/>
    <w:rsid w:val="00D6407E"/>
    <w:rsid w:val="00D640AC"/>
    <w:rsid w:val="00D643B9"/>
    <w:rsid w:val="00D6441D"/>
    <w:rsid w:val="00D6443C"/>
    <w:rsid w:val="00D64528"/>
    <w:rsid w:val="00D646A1"/>
    <w:rsid w:val="00D6471F"/>
    <w:rsid w:val="00D64750"/>
    <w:rsid w:val="00D6498E"/>
    <w:rsid w:val="00D64AAB"/>
    <w:rsid w:val="00D64D3E"/>
    <w:rsid w:val="00D6508F"/>
    <w:rsid w:val="00D654C6"/>
    <w:rsid w:val="00D65745"/>
    <w:rsid w:val="00D6580C"/>
    <w:rsid w:val="00D65B93"/>
    <w:rsid w:val="00D65C71"/>
    <w:rsid w:val="00D65F24"/>
    <w:rsid w:val="00D662DE"/>
    <w:rsid w:val="00D66839"/>
    <w:rsid w:val="00D66A4A"/>
    <w:rsid w:val="00D66A64"/>
    <w:rsid w:val="00D66D3A"/>
    <w:rsid w:val="00D6716A"/>
    <w:rsid w:val="00D67255"/>
    <w:rsid w:val="00D67326"/>
    <w:rsid w:val="00D678B1"/>
    <w:rsid w:val="00D67B96"/>
    <w:rsid w:val="00D67BC5"/>
    <w:rsid w:val="00D67F26"/>
    <w:rsid w:val="00D68CDB"/>
    <w:rsid w:val="00D68D6F"/>
    <w:rsid w:val="00D70124"/>
    <w:rsid w:val="00D701D0"/>
    <w:rsid w:val="00D70444"/>
    <w:rsid w:val="00D70567"/>
    <w:rsid w:val="00D70774"/>
    <w:rsid w:val="00D70A65"/>
    <w:rsid w:val="00D70BEC"/>
    <w:rsid w:val="00D70E4C"/>
    <w:rsid w:val="00D71006"/>
    <w:rsid w:val="00D71046"/>
    <w:rsid w:val="00D71821"/>
    <w:rsid w:val="00D71906"/>
    <w:rsid w:val="00D71CCF"/>
    <w:rsid w:val="00D71EC2"/>
    <w:rsid w:val="00D720A5"/>
    <w:rsid w:val="00D721E2"/>
    <w:rsid w:val="00D72475"/>
    <w:rsid w:val="00D725C8"/>
    <w:rsid w:val="00D726C6"/>
    <w:rsid w:val="00D72C0B"/>
    <w:rsid w:val="00D72C63"/>
    <w:rsid w:val="00D72CE5"/>
    <w:rsid w:val="00D72DA5"/>
    <w:rsid w:val="00D72FF2"/>
    <w:rsid w:val="00D7300A"/>
    <w:rsid w:val="00D7326D"/>
    <w:rsid w:val="00D73308"/>
    <w:rsid w:val="00D73333"/>
    <w:rsid w:val="00D736DC"/>
    <w:rsid w:val="00D73800"/>
    <w:rsid w:val="00D7399A"/>
    <w:rsid w:val="00D73B5D"/>
    <w:rsid w:val="00D73DB0"/>
    <w:rsid w:val="00D73F5F"/>
    <w:rsid w:val="00D74021"/>
    <w:rsid w:val="00D745D4"/>
    <w:rsid w:val="00D7474F"/>
    <w:rsid w:val="00D7484C"/>
    <w:rsid w:val="00D74E17"/>
    <w:rsid w:val="00D751ED"/>
    <w:rsid w:val="00D75250"/>
    <w:rsid w:val="00D75295"/>
    <w:rsid w:val="00D75394"/>
    <w:rsid w:val="00D753F9"/>
    <w:rsid w:val="00D754F1"/>
    <w:rsid w:val="00D75A41"/>
    <w:rsid w:val="00D75A51"/>
    <w:rsid w:val="00D75B1A"/>
    <w:rsid w:val="00D7627A"/>
    <w:rsid w:val="00D762E7"/>
    <w:rsid w:val="00D7637A"/>
    <w:rsid w:val="00D763C6"/>
    <w:rsid w:val="00D76450"/>
    <w:rsid w:val="00D76495"/>
    <w:rsid w:val="00D764D0"/>
    <w:rsid w:val="00D765F9"/>
    <w:rsid w:val="00D7676C"/>
    <w:rsid w:val="00D76A02"/>
    <w:rsid w:val="00D76AF9"/>
    <w:rsid w:val="00D7714E"/>
    <w:rsid w:val="00D7786A"/>
    <w:rsid w:val="00D77A8E"/>
    <w:rsid w:val="00D77CCB"/>
    <w:rsid w:val="00D77D4D"/>
    <w:rsid w:val="00D77FE8"/>
    <w:rsid w:val="00D80157"/>
    <w:rsid w:val="00D801CC"/>
    <w:rsid w:val="00D801D9"/>
    <w:rsid w:val="00D80442"/>
    <w:rsid w:val="00D80616"/>
    <w:rsid w:val="00D80729"/>
    <w:rsid w:val="00D807E3"/>
    <w:rsid w:val="00D80BB2"/>
    <w:rsid w:val="00D80C30"/>
    <w:rsid w:val="00D80EFF"/>
    <w:rsid w:val="00D80F1F"/>
    <w:rsid w:val="00D81222"/>
    <w:rsid w:val="00D81392"/>
    <w:rsid w:val="00D813AA"/>
    <w:rsid w:val="00D81722"/>
    <w:rsid w:val="00D8188D"/>
    <w:rsid w:val="00D822DA"/>
    <w:rsid w:val="00D82338"/>
    <w:rsid w:val="00D8242F"/>
    <w:rsid w:val="00D825E8"/>
    <w:rsid w:val="00D829CC"/>
    <w:rsid w:val="00D82C6F"/>
    <w:rsid w:val="00D8310A"/>
    <w:rsid w:val="00D83183"/>
    <w:rsid w:val="00D832DA"/>
    <w:rsid w:val="00D8387F"/>
    <w:rsid w:val="00D839FA"/>
    <w:rsid w:val="00D83ABD"/>
    <w:rsid w:val="00D83BC2"/>
    <w:rsid w:val="00D842AF"/>
    <w:rsid w:val="00D84513"/>
    <w:rsid w:val="00D84536"/>
    <w:rsid w:val="00D846CA"/>
    <w:rsid w:val="00D84749"/>
    <w:rsid w:val="00D8494C"/>
    <w:rsid w:val="00D84B4D"/>
    <w:rsid w:val="00D8512C"/>
    <w:rsid w:val="00D858AC"/>
    <w:rsid w:val="00D858E8"/>
    <w:rsid w:val="00D859A1"/>
    <w:rsid w:val="00D85A71"/>
    <w:rsid w:val="00D85D9C"/>
    <w:rsid w:val="00D85E85"/>
    <w:rsid w:val="00D86075"/>
    <w:rsid w:val="00D8622D"/>
    <w:rsid w:val="00D863B9"/>
    <w:rsid w:val="00D86406"/>
    <w:rsid w:val="00D865C3"/>
    <w:rsid w:val="00D866D7"/>
    <w:rsid w:val="00D86E9F"/>
    <w:rsid w:val="00D86EE9"/>
    <w:rsid w:val="00D87161"/>
    <w:rsid w:val="00D872E0"/>
    <w:rsid w:val="00D872F5"/>
    <w:rsid w:val="00D873BA"/>
    <w:rsid w:val="00D8777B"/>
    <w:rsid w:val="00D8777D"/>
    <w:rsid w:val="00D90036"/>
    <w:rsid w:val="00D90043"/>
    <w:rsid w:val="00D90196"/>
    <w:rsid w:val="00D90226"/>
    <w:rsid w:val="00D90740"/>
    <w:rsid w:val="00D910DF"/>
    <w:rsid w:val="00D9135E"/>
    <w:rsid w:val="00D91510"/>
    <w:rsid w:val="00D91776"/>
    <w:rsid w:val="00D91A8B"/>
    <w:rsid w:val="00D91C91"/>
    <w:rsid w:val="00D91D54"/>
    <w:rsid w:val="00D91D67"/>
    <w:rsid w:val="00D91E4A"/>
    <w:rsid w:val="00D91E53"/>
    <w:rsid w:val="00D91EC3"/>
    <w:rsid w:val="00D9234B"/>
    <w:rsid w:val="00D924CA"/>
    <w:rsid w:val="00D92AB9"/>
    <w:rsid w:val="00D92B2F"/>
    <w:rsid w:val="00D92CDD"/>
    <w:rsid w:val="00D92D3C"/>
    <w:rsid w:val="00D92F92"/>
    <w:rsid w:val="00D9302D"/>
    <w:rsid w:val="00D93097"/>
    <w:rsid w:val="00D93518"/>
    <w:rsid w:val="00D935D4"/>
    <w:rsid w:val="00D9363E"/>
    <w:rsid w:val="00D937FA"/>
    <w:rsid w:val="00D938E6"/>
    <w:rsid w:val="00D93A3A"/>
    <w:rsid w:val="00D93BF9"/>
    <w:rsid w:val="00D93D60"/>
    <w:rsid w:val="00D940A2"/>
    <w:rsid w:val="00D940F2"/>
    <w:rsid w:val="00D943B5"/>
    <w:rsid w:val="00D9465B"/>
    <w:rsid w:val="00D94AA0"/>
    <w:rsid w:val="00D94BAB"/>
    <w:rsid w:val="00D94D07"/>
    <w:rsid w:val="00D94E09"/>
    <w:rsid w:val="00D94FE9"/>
    <w:rsid w:val="00D951FF"/>
    <w:rsid w:val="00D95369"/>
    <w:rsid w:val="00D95391"/>
    <w:rsid w:val="00D953C2"/>
    <w:rsid w:val="00D9545C"/>
    <w:rsid w:val="00D9585E"/>
    <w:rsid w:val="00D959FD"/>
    <w:rsid w:val="00D95D80"/>
    <w:rsid w:val="00D95E1B"/>
    <w:rsid w:val="00D95E4D"/>
    <w:rsid w:val="00D96422"/>
    <w:rsid w:val="00D96552"/>
    <w:rsid w:val="00D965D1"/>
    <w:rsid w:val="00D96809"/>
    <w:rsid w:val="00D96CAE"/>
    <w:rsid w:val="00D96D24"/>
    <w:rsid w:val="00D96D95"/>
    <w:rsid w:val="00D971DB"/>
    <w:rsid w:val="00D972A9"/>
    <w:rsid w:val="00D97328"/>
    <w:rsid w:val="00D97619"/>
    <w:rsid w:val="00D97AD5"/>
    <w:rsid w:val="00D97BED"/>
    <w:rsid w:val="00D97E1C"/>
    <w:rsid w:val="00D97EF9"/>
    <w:rsid w:val="00D9891A"/>
    <w:rsid w:val="00DA027E"/>
    <w:rsid w:val="00DA0509"/>
    <w:rsid w:val="00DA0695"/>
    <w:rsid w:val="00DA076D"/>
    <w:rsid w:val="00DA0803"/>
    <w:rsid w:val="00DA0901"/>
    <w:rsid w:val="00DA09FA"/>
    <w:rsid w:val="00DA0B73"/>
    <w:rsid w:val="00DA0C22"/>
    <w:rsid w:val="00DA0CC9"/>
    <w:rsid w:val="00DA0CF3"/>
    <w:rsid w:val="00DA0D14"/>
    <w:rsid w:val="00DA0DE3"/>
    <w:rsid w:val="00DA0EFB"/>
    <w:rsid w:val="00DA12EA"/>
    <w:rsid w:val="00DA154B"/>
    <w:rsid w:val="00DA1914"/>
    <w:rsid w:val="00DA19C6"/>
    <w:rsid w:val="00DA1C6E"/>
    <w:rsid w:val="00DA1E08"/>
    <w:rsid w:val="00DA1E11"/>
    <w:rsid w:val="00DA1E97"/>
    <w:rsid w:val="00DA1EC3"/>
    <w:rsid w:val="00DA2026"/>
    <w:rsid w:val="00DA2028"/>
    <w:rsid w:val="00DA2039"/>
    <w:rsid w:val="00DA212D"/>
    <w:rsid w:val="00DA2463"/>
    <w:rsid w:val="00DA264F"/>
    <w:rsid w:val="00DA2735"/>
    <w:rsid w:val="00DA28D0"/>
    <w:rsid w:val="00DA2950"/>
    <w:rsid w:val="00DA298F"/>
    <w:rsid w:val="00DA2A88"/>
    <w:rsid w:val="00DA2BA1"/>
    <w:rsid w:val="00DA2CC9"/>
    <w:rsid w:val="00DA2DA9"/>
    <w:rsid w:val="00DA2FA5"/>
    <w:rsid w:val="00DA33C2"/>
    <w:rsid w:val="00DA3D89"/>
    <w:rsid w:val="00DA3E17"/>
    <w:rsid w:val="00DA3EDB"/>
    <w:rsid w:val="00DA40D2"/>
    <w:rsid w:val="00DA429E"/>
    <w:rsid w:val="00DA498D"/>
    <w:rsid w:val="00DA4B04"/>
    <w:rsid w:val="00DA4B0A"/>
    <w:rsid w:val="00DA4D48"/>
    <w:rsid w:val="00DA4F39"/>
    <w:rsid w:val="00DA4F40"/>
    <w:rsid w:val="00DA4FB5"/>
    <w:rsid w:val="00DA56EF"/>
    <w:rsid w:val="00DA570E"/>
    <w:rsid w:val="00DA58A8"/>
    <w:rsid w:val="00DA60C2"/>
    <w:rsid w:val="00DA60FD"/>
    <w:rsid w:val="00DA6213"/>
    <w:rsid w:val="00DA6AFD"/>
    <w:rsid w:val="00DA6D75"/>
    <w:rsid w:val="00DA70CE"/>
    <w:rsid w:val="00DA71BE"/>
    <w:rsid w:val="00DA733B"/>
    <w:rsid w:val="00DA762F"/>
    <w:rsid w:val="00DA7655"/>
    <w:rsid w:val="00DA7815"/>
    <w:rsid w:val="00DA7C61"/>
    <w:rsid w:val="00DA7C7C"/>
    <w:rsid w:val="00DB0157"/>
    <w:rsid w:val="00DB0302"/>
    <w:rsid w:val="00DB03BB"/>
    <w:rsid w:val="00DB075E"/>
    <w:rsid w:val="00DB07A4"/>
    <w:rsid w:val="00DB0812"/>
    <w:rsid w:val="00DB08DD"/>
    <w:rsid w:val="00DB0954"/>
    <w:rsid w:val="00DB0E9E"/>
    <w:rsid w:val="00DB1060"/>
    <w:rsid w:val="00DB10AB"/>
    <w:rsid w:val="00DB10D5"/>
    <w:rsid w:val="00DB132B"/>
    <w:rsid w:val="00DB18F7"/>
    <w:rsid w:val="00DB19E5"/>
    <w:rsid w:val="00DB1B50"/>
    <w:rsid w:val="00DB20D1"/>
    <w:rsid w:val="00DB213F"/>
    <w:rsid w:val="00DB25ED"/>
    <w:rsid w:val="00DB291B"/>
    <w:rsid w:val="00DB29A7"/>
    <w:rsid w:val="00DB2F9D"/>
    <w:rsid w:val="00DB331E"/>
    <w:rsid w:val="00DB33B0"/>
    <w:rsid w:val="00DB362A"/>
    <w:rsid w:val="00DB371D"/>
    <w:rsid w:val="00DB3995"/>
    <w:rsid w:val="00DB3D25"/>
    <w:rsid w:val="00DB3E8A"/>
    <w:rsid w:val="00DB42E9"/>
    <w:rsid w:val="00DB4313"/>
    <w:rsid w:val="00DB432E"/>
    <w:rsid w:val="00DB448F"/>
    <w:rsid w:val="00DB476E"/>
    <w:rsid w:val="00DB47E1"/>
    <w:rsid w:val="00DB5055"/>
    <w:rsid w:val="00DB517D"/>
    <w:rsid w:val="00DB5681"/>
    <w:rsid w:val="00DB5798"/>
    <w:rsid w:val="00DB57DF"/>
    <w:rsid w:val="00DB5E80"/>
    <w:rsid w:val="00DB5FD1"/>
    <w:rsid w:val="00DB6047"/>
    <w:rsid w:val="00DB6293"/>
    <w:rsid w:val="00DB62B8"/>
    <w:rsid w:val="00DB69BA"/>
    <w:rsid w:val="00DB6AAD"/>
    <w:rsid w:val="00DB6B7B"/>
    <w:rsid w:val="00DB6B84"/>
    <w:rsid w:val="00DB6C19"/>
    <w:rsid w:val="00DB6D69"/>
    <w:rsid w:val="00DB6EE9"/>
    <w:rsid w:val="00DB6F93"/>
    <w:rsid w:val="00DB6FA4"/>
    <w:rsid w:val="00DB70DD"/>
    <w:rsid w:val="00DB7576"/>
    <w:rsid w:val="00DB774D"/>
    <w:rsid w:val="00DB7BD2"/>
    <w:rsid w:val="00DB7C5A"/>
    <w:rsid w:val="00DB7CC4"/>
    <w:rsid w:val="00DB7CF1"/>
    <w:rsid w:val="00DB7D27"/>
    <w:rsid w:val="00DB7D88"/>
    <w:rsid w:val="00DB7F78"/>
    <w:rsid w:val="00DC0202"/>
    <w:rsid w:val="00DC08ED"/>
    <w:rsid w:val="00DC0D09"/>
    <w:rsid w:val="00DC0D1C"/>
    <w:rsid w:val="00DC0E01"/>
    <w:rsid w:val="00DC0FE2"/>
    <w:rsid w:val="00DC10F3"/>
    <w:rsid w:val="00DC118A"/>
    <w:rsid w:val="00DC11EA"/>
    <w:rsid w:val="00DC1235"/>
    <w:rsid w:val="00DC12B7"/>
    <w:rsid w:val="00DC1686"/>
    <w:rsid w:val="00DC16AB"/>
    <w:rsid w:val="00DC1A50"/>
    <w:rsid w:val="00DC1C9F"/>
    <w:rsid w:val="00DC1EE4"/>
    <w:rsid w:val="00DC1EE7"/>
    <w:rsid w:val="00DC2031"/>
    <w:rsid w:val="00DC2282"/>
    <w:rsid w:val="00DC2368"/>
    <w:rsid w:val="00DC2465"/>
    <w:rsid w:val="00DC257F"/>
    <w:rsid w:val="00DC268C"/>
    <w:rsid w:val="00DC286A"/>
    <w:rsid w:val="00DC2B2E"/>
    <w:rsid w:val="00DC2D46"/>
    <w:rsid w:val="00DC2E03"/>
    <w:rsid w:val="00DC2F2B"/>
    <w:rsid w:val="00DC37A3"/>
    <w:rsid w:val="00DC3DD2"/>
    <w:rsid w:val="00DC42DD"/>
    <w:rsid w:val="00DC48F4"/>
    <w:rsid w:val="00DC4C29"/>
    <w:rsid w:val="00DC4C8C"/>
    <w:rsid w:val="00DC4E1B"/>
    <w:rsid w:val="00DC4ED1"/>
    <w:rsid w:val="00DC4FD6"/>
    <w:rsid w:val="00DC515B"/>
    <w:rsid w:val="00DC5276"/>
    <w:rsid w:val="00DC561B"/>
    <w:rsid w:val="00DC56C3"/>
    <w:rsid w:val="00DC5754"/>
    <w:rsid w:val="00DC5807"/>
    <w:rsid w:val="00DC58BD"/>
    <w:rsid w:val="00DC59C2"/>
    <w:rsid w:val="00DC5D8A"/>
    <w:rsid w:val="00DC5DD9"/>
    <w:rsid w:val="00DC60E8"/>
    <w:rsid w:val="00DC632C"/>
    <w:rsid w:val="00DC664B"/>
    <w:rsid w:val="00DC66C6"/>
    <w:rsid w:val="00DC68BD"/>
    <w:rsid w:val="00DC6BC5"/>
    <w:rsid w:val="00DC6BF0"/>
    <w:rsid w:val="00DC6D93"/>
    <w:rsid w:val="00DC709D"/>
    <w:rsid w:val="00DC72A5"/>
    <w:rsid w:val="00DC73E8"/>
    <w:rsid w:val="00DC7452"/>
    <w:rsid w:val="00DC75C8"/>
    <w:rsid w:val="00DC7986"/>
    <w:rsid w:val="00DC7B49"/>
    <w:rsid w:val="00DC7D8A"/>
    <w:rsid w:val="00DC7EE1"/>
    <w:rsid w:val="00DC7F77"/>
    <w:rsid w:val="00DC7FD9"/>
    <w:rsid w:val="00DD0126"/>
    <w:rsid w:val="00DD012C"/>
    <w:rsid w:val="00DD0453"/>
    <w:rsid w:val="00DD06BB"/>
    <w:rsid w:val="00DD0731"/>
    <w:rsid w:val="00DD07B4"/>
    <w:rsid w:val="00DD0EF8"/>
    <w:rsid w:val="00DD0F86"/>
    <w:rsid w:val="00DD1027"/>
    <w:rsid w:val="00DD116C"/>
    <w:rsid w:val="00DD128B"/>
    <w:rsid w:val="00DD12A2"/>
    <w:rsid w:val="00DD15CA"/>
    <w:rsid w:val="00DD1804"/>
    <w:rsid w:val="00DD1820"/>
    <w:rsid w:val="00DD1975"/>
    <w:rsid w:val="00DD19B7"/>
    <w:rsid w:val="00DD1BD4"/>
    <w:rsid w:val="00DD1F81"/>
    <w:rsid w:val="00DD2477"/>
    <w:rsid w:val="00DD2D4D"/>
    <w:rsid w:val="00DD2DEF"/>
    <w:rsid w:val="00DD2FB8"/>
    <w:rsid w:val="00DD3463"/>
    <w:rsid w:val="00DD3571"/>
    <w:rsid w:val="00DD370E"/>
    <w:rsid w:val="00DD39D2"/>
    <w:rsid w:val="00DD3A47"/>
    <w:rsid w:val="00DD3E70"/>
    <w:rsid w:val="00DD4008"/>
    <w:rsid w:val="00DD41F4"/>
    <w:rsid w:val="00DD42F3"/>
    <w:rsid w:val="00DD43B3"/>
    <w:rsid w:val="00DD453E"/>
    <w:rsid w:val="00DD461E"/>
    <w:rsid w:val="00DD46B1"/>
    <w:rsid w:val="00DD4B05"/>
    <w:rsid w:val="00DD4DC2"/>
    <w:rsid w:val="00DD514B"/>
    <w:rsid w:val="00DD5215"/>
    <w:rsid w:val="00DD5284"/>
    <w:rsid w:val="00DD529A"/>
    <w:rsid w:val="00DD550E"/>
    <w:rsid w:val="00DD5736"/>
    <w:rsid w:val="00DD59F3"/>
    <w:rsid w:val="00DD5DB1"/>
    <w:rsid w:val="00DD62FB"/>
    <w:rsid w:val="00DD65A1"/>
    <w:rsid w:val="00DD65D7"/>
    <w:rsid w:val="00DD6DF8"/>
    <w:rsid w:val="00DD6E20"/>
    <w:rsid w:val="00DD6EEE"/>
    <w:rsid w:val="00DD6F2B"/>
    <w:rsid w:val="00DD6FCE"/>
    <w:rsid w:val="00DD6FEF"/>
    <w:rsid w:val="00DD70E9"/>
    <w:rsid w:val="00DD73BD"/>
    <w:rsid w:val="00DD7448"/>
    <w:rsid w:val="00DD778F"/>
    <w:rsid w:val="00DD787F"/>
    <w:rsid w:val="00DD7E3E"/>
    <w:rsid w:val="00DD7F7F"/>
    <w:rsid w:val="00DE010B"/>
    <w:rsid w:val="00DE033F"/>
    <w:rsid w:val="00DE04D0"/>
    <w:rsid w:val="00DE0616"/>
    <w:rsid w:val="00DE0B7F"/>
    <w:rsid w:val="00DE0F32"/>
    <w:rsid w:val="00DE125B"/>
    <w:rsid w:val="00DE143A"/>
    <w:rsid w:val="00DE1596"/>
    <w:rsid w:val="00DE16BF"/>
    <w:rsid w:val="00DE18E9"/>
    <w:rsid w:val="00DE1AC0"/>
    <w:rsid w:val="00DE1B41"/>
    <w:rsid w:val="00DE1B7E"/>
    <w:rsid w:val="00DE1B97"/>
    <w:rsid w:val="00DE1C1A"/>
    <w:rsid w:val="00DE1CB7"/>
    <w:rsid w:val="00DE1DBC"/>
    <w:rsid w:val="00DE1E2F"/>
    <w:rsid w:val="00DE1FBE"/>
    <w:rsid w:val="00DE2045"/>
    <w:rsid w:val="00DE216B"/>
    <w:rsid w:val="00DE21E7"/>
    <w:rsid w:val="00DE223B"/>
    <w:rsid w:val="00DE2342"/>
    <w:rsid w:val="00DE23BC"/>
    <w:rsid w:val="00DE2487"/>
    <w:rsid w:val="00DE26A9"/>
    <w:rsid w:val="00DE2751"/>
    <w:rsid w:val="00DE2C5A"/>
    <w:rsid w:val="00DE2D44"/>
    <w:rsid w:val="00DE2F47"/>
    <w:rsid w:val="00DE312D"/>
    <w:rsid w:val="00DE3131"/>
    <w:rsid w:val="00DE3167"/>
    <w:rsid w:val="00DE354F"/>
    <w:rsid w:val="00DE36C7"/>
    <w:rsid w:val="00DE376C"/>
    <w:rsid w:val="00DE3B37"/>
    <w:rsid w:val="00DE3CCF"/>
    <w:rsid w:val="00DE3E13"/>
    <w:rsid w:val="00DE41CC"/>
    <w:rsid w:val="00DE4436"/>
    <w:rsid w:val="00DE4B4D"/>
    <w:rsid w:val="00DE4F10"/>
    <w:rsid w:val="00DE5012"/>
    <w:rsid w:val="00DE5181"/>
    <w:rsid w:val="00DE545F"/>
    <w:rsid w:val="00DE5597"/>
    <w:rsid w:val="00DE568A"/>
    <w:rsid w:val="00DE5AAB"/>
    <w:rsid w:val="00DE61F2"/>
    <w:rsid w:val="00DE63B6"/>
    <w:rsid w:val="00DE6595"/>
    <w:rsid w:val="00DE6984"/>
    <w:rsid w:val="00DE6B40"/>
    <w:rsid w:val="00DE6BF1"/>
    <w:rsid w:val="00DE6D0D"/>
    <w:rsid w:val="00DE6DE9"/>
    <w:rsid w:val="00DE6F2F"/>
    <w:rsid w:val="00DE71FE"/>
    <w:rsid w:val="00DE758A"/>
    <w:rsid w:val="00DE7643"/>
    <w:rsid w:val="00DE7646"/>
    <w:rsid w:val="00DE7681"/>
    <w:rsid w:val="00DE778D"/>
    <w:rsid w:val="00DE781C"/>
    <w:rsid w:val="00DE7980"/>
    <w:rsid w:val="00DE7E01"/>
    <w:rsid w:val="00DE7E30"/>
    <w:rsid w:val="00DF0100"/>
    <w:rsid w:val="00DF03AF"/>
    <w:rsid w:val="00DF04BD"/>
    <w:rsid w:val="00DF0673"/>
    <w:rsid w:val="00DF0787"/>
    <w:rsid w:val="00DF081A"/>
    <w:rsid w:val="00DF09D2"/>
    <w:rsid w:val="00DF0B45"/>
    <w:rsid w:val="00DF0C4F"/>
    <w:rsid w:val="00DF0CA6"/>
    <w:rsid w:val="00DF0D12"/>
    <w:rsid w:val="00DF0D30"/>
    <w:rsid w:val="00DF0DA8"/>
    <w:rsid w:val="00DF10DD"/>
    <w:rsid w:val="00DF10FD"/>
    <w:rsid w:val="00DF1466"/>
    <w:rsid w:val="00DF1593"/>
    <w:rsid w:val="00DF199F"/>
    <w:rsid w:val="00DF1AE7"/>
    <w:rsid w:val="00DF1C9E"/>
    <w:rsid w:val="00DF1E59"/>
    <w:rsid w:val="00DF2036"/>
    <w:rsid w:val="00DF226C"/>
    <w:rsid w:val="00DF2282"/>
    <w:rsid w:val="00DF230C"/>
    <w:rsid w:val="00DF248C"/>
    <w:rsid w:val="00DF26F0"/>
    <w:rsid w:val="00DF28B5"/>
    <w:rsid w:val="00DF28DC"/>
    <w:rsid w:val="00DF2B14"/>
    <w:rsid w:val="00DF2C1E"/>
    <w:rsid w:val="00DF2DA1"/>
    <w:rsid w:val="00DF2DD5"/>
    <w:rsid w:val="00DF2F47"/>
    <w:rsid w:val="00DF3820"/>
    <w:rsid w:val="00DF3AB3"/>
    <w:rsid w:val="00DF3BFF"/>
    <w:rsid w:val="00DF3D18"/>
    <w:rsid w:val="00DF4127"/>
    <w:rsid w:val="00DF4233"/>
    <w:rsid w:val="00DF43FE"/>
    <w:rsid w:val="00DF4421"/>
    <w:rsid w:val="00DF490C"/>
    <w:rsid w:val="00DF4ACD"/>
    <w:rsid w:val="00DF4AE3"/>
    <w:rsid w:val="00DF5195"/>
    <w:rsid w:val="00DF53DC"/>
    <w:rsid w:val="00DF55D7"/>
    <w:rsid w:val="00DF55FA"/>
    <w:rsid w:val="00DF5632"/>
    <w:rsid w:val="00DF5720"/>
    <w:rsid w:val="00DF577B"/>
    <w:rsid w:val="00DF58C1"/>
    <w:rsid w:val="00DF5A31"/>
    <w:rsid w:val="00DF5E60"/>
    <w:rsid w:val="00DF5F8B"/>
    <w:rsid w:val="00DF6044"/>
    <w:rsid w:val="00DF630F"/>
    <w:rsid w:val="00DF634A"/>
    <w:rsid w:val="00DF653F"/>
    <w:rsid w:val="00DF691B"/>
    <w:rsid w:val="00DF692B"/>
    <w:rsid w:val="00DF6966"/>
    <w:rsid w:val="00DF6ADB"/>
    <w:rsid w:val="00DF6B40"/>
    <w:rsid w:val="00DF6C35"/>
    <w:rsid w:val="00DF6C84"/>
    <w:rsid w:val="00DF6EF3"/>
    <w:rsid w:val="00DF6FB7"/>
    <w:rsid w:val="00DF6FD4"/>
    <w:rsid w:val="00DF71C8"/>
    <w:rsid w:val="00DF7405"/>
    <w:rsid w:val="00DF756C"/>
    <w:rsid w:val="00DF7741"/>
    <w:rsid w:val="00DF791B"/>
    <w:rsid w:val="00DF7985"/>
    <w:rsid w:val="00DF7D0A"/>
    <w:rsid w:val="00DF7D6D"/>
    <w:rsid w:val="00E0015C"/>
    <w:rsid w:val="00E002A4"/>
    <w:rsid w:val="00E0030D"/>
    <w:rsid w:val="00E00420"/>
    <w:rsid w:val="00E00668"/>
    <w:rsid w:val="00E007BA"/>
    <w:rsid w:val="00E00BC2"/>
    <w:rsid w:val="00E00C18"/>
    <w:rsid w:val="00E00D58"/>
    <w:rsid w:val="00E00DDB"/>
    <w:rsid w:val="00E00E1C"/>
    <w:rsid w:val="00E01227"/>
    <w:rsid w:val="00E01245"/>
    <w:rsid w:val="00E0154B"/>
    <w:rsid w:val="00E019B7"/>
    <w:rsid w:val="00E01A9F"/>
    <w:rsid w:val="00E01B96"/>
    <w:rsid w:val="00E01CC1"/>
    <w:rsid w:val="00E01CFE"/>
    <w:rsid w:val="00E01E54"/>
    <w:rsid w:val="00E01F90"/>
    <w:rsid w:val="00E020D6"/>
    <w:rsid w:val="00E0250A"/>
    <w:rsid w:val="00E027E5"/>
    <w:rsid w:val="00E02860"/>
    <w:rsid w:val="00E02B53"/>
    <w:rsid w:val="00E02BBD"/>
    <w:rsid w:val="00E02CF9"/>
    <w:rsid w:val="00E0311E"/>
    <w:rsid w:val="00E036CB"/>
    <w:rsid w:val="00E038EF"/>
    <w:rsid w:val="00E0439A"/>
    <w:rsid w:val="00E044AB"/>
    <w:rsid w:val="00E0468D"/>
    <w:rsid w:val="00E049E2"/>
    <w:rsid w:val="00E04A53"/>
    <w:rsid w:val="00E04DC1"/>
    <w:rsid w:val="00E04E4A"/>
    <w:rsid w:val="00E04E62"/>
    <w:rsid w:val="00E0521A"/>
    <w:rsid w:val="00E052B2"/>
    <w:rsid w:val="00E05470"/>
    <w:rsid w:val="00E0549D"/>
    <w:rsid w:val="00E056AE"/>
    <w:rsid w:val="00E056D9"/>
    <w:rsid w:val="00E05974"/>
    <w:rsid w:val="00E059CE"/>
    <w:rsid w:val="00E059EB"/>
    <w:rsid w:val="00E05B4D"/>
    <w:rsid w:val="00E05BB3"/>
    <w:rsid w:val="00E05C4F"/>
    <w:rsid w:val="00E05DC5"/>
    <w:rsid w:val="00E05E23"/>
    <w:rsid w:val="00E06074"/>
    <w:rsid w:val="00E06642"/>
    <w:rsid w:val="00E06C1D"/>
    <w:rsid w:val="00E06C25"/>
    <w:rsid w:val="00E06C8A"/>
    <w:rsid w:val="00E06CB2"/>
    <w:rsid w:val="00E072F9"/>
    <w:rsid w:val="00E073C4"/>
    <w:rsid w:val="00E078D3"/>
    <w:rsid w:val="00E07DBD"/>
    <w:rsid w:val="00E07EAB"/>
    <w:rsid w:val="00E07F40"/>
    <w:rsid w:val="00E100B7"/>
    <w:rsid w:val="00E1054B"/>
    <w:rsid w:val="00E109C3"/>
    <w:rsid w:val="00E10C19"/>
    <w:rsid w:val="00E10C61"/>
    <w:rsid w:val="00E10D69"/>
    <w:rsid w:val="00E10D8D"/>
    <w:rsid w:val="00E10F30"/>
    <w:rsid w:val="00E10FB1"/>
    <w:rsid w:val="00E112CA"/>
    <w:rsid w:val="00E113AE"/>
    <w:rsid w:val="00E114AB"/>
    <w:rsid w:val="00E117CF"/>
    <w:rsid w:val="00E118F5"/>
    <w:rsid w:val="00E11CDF"/>
    <w:rsid w:val="00E12010"/>
    <w:rsid w:val="00E1213C"/>
    <w:rsid w:val="00E12167"/>
    <w:rsid w:val="00E12268"/>
    <w:rsid w:val="00E12274"/>
    <w:rsid w:val="00E123F3"/>
    <w:rsid w:val="00E12472"/>
    <w:rsid w:val="00E1250E"/>
    <w:rsid w:val="00E1260C"/>
    <w:rsid w:val="00E126FC"/>
    <w:rsid w:val="00E12791"/>
    <w:rsid w:val="00E12977"/>
    <w:rsid w:val="00E12B63"/>
    <w:rsid w:val="00E12BA6"/>
    <w:rsid w:val="00E12CDF"/>
    <w:rsid w:val="00E12DCB"/>
    <w:rsid w:val="00E12ED8"/>
    <w:rsid w:val="00E1313C"/>
    <w:rsid w:val="00E1334B"/>
    <w:rsid w:val="00E1334D"/>
    <w:rsid w:val="00E13450"/>
    <w:rsid w:val="00E1348D"/>
    <w:rsid w:val="00E13727"/>
    <w:rsid w:val="00E137BF"/>
    <w:rsid w:val="00E1383B"/>
    <w:rsid w:val="00E13954"/>
    <w:rsid w:val="00E13A1A"/>
    <w:rsid w:val="00E13B21"/>
    <w:rsid w:val="00E13BA9"/>
    <w:rsid w:val="00E13D47"/>
    <w:rsid w:val="00E13E70"/>
    <w:rsid w:val="00E13EF8"/>
    <w:rsid w:val="00E1400A"/>
    <w:rsid w:val="00E142CD"/>
    <w:rsid w:val="00E14413"/>
    <w:rsid w:val="00E14648"/>
    <w:rsid w:val="00E14855"/>
    <w:rsid w:val="00E14947"/>
    <w:rsid w:val="00E1496B"/>
    <w:rsid w:val="00E14C7C"/>
    <w:rsid w:val="00E14D4F"/>
    <w:rsid w:val="00E14DE5"/>
    <w:rsid w:val="00E14E41"/>
    <w:rsid w:val="00E153B2"/>
    <w:rsid w:val="00E1543F"/>
    <w:rsid w:val="00E15584"/>
    <w:rsid w:val="00E15750"/>
    <w:rsid w:val="00E158C0"/>
    <w:rsid w:val="00E1594B"/>
    <w:rsid w:val="00E1596F"/>
    <w:rsid w:val="00E159CC"/>
    <w:rsid w:val="00E15CB8"/>
    <w:rsid w:val="00E15F68"/>
    <w:rsid w:val="00E15FA0"/>
    <w:rsid w:val="00E1607F"/>
    <w:rsid w:val="00E1623F"/>
    <w:rsid w:val="00E16254"/>
    <w:rsid w:val="00E162BE"/>
    <w:rsid w:val="00E16481"/>
    <w:rsid w:val="00E16CCC"/>
    <w:rsid w:val="00E16EBB"/>
    <w:rsid w:val="00E16F55"/>
    <w:rsid w:val="00E17097"/>
    <w:rsid w:val="00E1713F"/>
    <w:rsid w:val="00E172A6"/>
    <w:rsid w:val="00E172C5"/>
    <w:rsid w:val="00E1744E"/>
    <w:rsid w:val="00E1750D"/>
    <w:rsid w:val="00E177B2"/>
    <w:rsid w:val="00E17806"/>
    <w:rsid w:val="00E17A11"/>
    <w:rsid w:val="00E17B7F"/>
    <w:rsid w:val="00E17D28"/>
    <w:rsid w:val="00E200F6"/>
    <w:rsid w:val="00E2021B"/>
    <w:rsid w:val="00E20300"/>
    <w:rsid w:val="00E20397"/>
    <w:rsid w:val="00E2066C"/>
    <w:rsid w:val="00E20686"/>
    <w:rsid w:val="00E20853"/>
    <w:rsid w:val="00E20B64"/>
    <w:rsid w:val="00E20DA8"/>
    <w:rsid w:val="00E20DE3"/>
    <w:rsid w:val="00E20F2B"/>
    <w:rsid w:val="00E20FCC"/>
    <w:rsid w:val="00E211C1"/>
    <w:rsid w:val="00E2129E"/>
    <w:rsid w:val="00E21605"/>
    <w:rsid w:val="00E21804"/>
    <w:rsid w:val="00E218DC"/>
    <w:rsid w:val="00E21D6C"/>
    <w:rsid w:val="00E2215C"/>
    <w:rsid w:val="00E224D0"/>
    <w:rsid w:val="00E22602"/>
    <w:rsid w:val="00E22AA5"/>
    <w:rsid w:val="00E22C15"/>
    <w:rsid w:val="00E22C24"/>
    <w:rsid w:val="00E23061"/>
    <w:rsid w:val="00E23084"/>
    <w:rsid w:val="00E231D7"/>
    <w:rsid w:val="00E23645"/>
    <w:rsid w:val="00E23733"/>
    <w:rsid w:val="00E23742"/>
    <w:rsid w:val="00E238AD"/>
    <w:rsid w:val="00E23990"/>
    <w:rsid w:val="00E23C5C"/>
    <w:rsid w:val="00E23CF0"/>
    <w:rsid w:val="00E23D86"/>
    <w:rsid w:val="00E23E09"/>
    <w:rsid w:val="00E23F36"/>
    <w:rsid w:val="00E2416B"/>
    <w:rsid w:val="00E24208"/>
    <w:rsid w:val="00E242A0"/>
    <w:rsid w:val="00E24510"/>
    <w:rsid w:val="00E24800"/>
    <w:rsid w:val="00E2489B"/>
    <w:rsid w:val="00E24A3C"/>
    <w:rsid w:val="00E24DFC"/>
    <w:rsid w:val="00E24E06"/>
    <w:rsid w:val="00E24F6A"/>
    <w:rsid w:val="00E25126"/>
    <w:rsid w:val="00E25162"/>
    <w:rsid w:val="00E251E6"/>
    <w:rsid w:val="00E2551A"/>
    <w:rsid w:val="00E2586E"/>
    <w:rsid w:val="00E25ADD"/>
    <w:rsid w:val="00E25B9F"/>
    <w:rsid w:val="00E25BBB"/>
    <w:rsid w:val="00E25C36"/>
    <w:rsid w:val="00E25D98"/>
    <w:rsid w:val="00E261A8"/>
    <w:rsid w:val="00E26204"/>
    <w:rsid w:val="00E26480"/>
    <w:rsid w:val="00E265CF"/>
    <w:rsid w:val="00E26804"/>
    <w:rsid w:val="00E268AA"/>
    <w:rsid w:val="00E26A4A"/>
    <w:rsid w:val="00E26DC5"/>
    <w:rsid w:val="00E270C8"/>
    <w:rsid w:val="00E2774C"/>
    <w:rsid w:val="00E2784B"/>
    <w:rsid w:val="00E27C82"/>
    <w:rsid w:val="00E27E6F"/>
    <w:rsid w:val="00E3010F"/>
    <w:rsid w:val="00E3085A"/>
    <w:rsid w:val="00E30BBD"/>
    <w:rsid w:val="00E30D3A"/>
    <w:rsid w:val="00E30DD5"/>
    <w:rsid w:val="00E30E76"/>
    <w:rsid w:val="00E30FA9"/>
    <w:rsid w:val="00E31191"/>
    <w:rsid w:val="00E313A0"/>
    <w:rsid w:val="00E314E6"/>
    <w:rsid w:val="00E316D3"/>
    <w:rsid w:val="00E3184C"/>
    <w:rsid w:val="00E318BA"/>
    <w:rsid w:val="00E3195A"/>
    <w:rsid w:val="00E31BF1"/>
    <w:rsid w:val="00E321AF"/>
    <w:rsid w:val="00E32346"/>
    <w:rsid w:val="00E32489"/>
    <w:rsid w:val="00E326A4"/>
    <w:rsid w:val="00E3279B"/>
    <w:rsid w:val="00E328DC"/>
    <w:rsid w:val="00E32CCC"/>
    <w:rsid w:val="00E32E3D"/>
    <w:rsid w:val="00E330BC"/>
    <w:rsid w:val="00E331EB"/>
    <w:rsid w:val="00E33371"/>
    <w:rsid w:val="00E337D7"/>
    <w:rsid w:val="00E339E2"/>
    <w:rsid w:val="00E33B55"/>
    <w:rsid w:val="00E33DCF"/>
    <w:rsid w:val="00E33EFE"/>
    <w:rsid w:val="00E33FA3"/>
    <w:rsid w:val="00E3418E"/>
    <w:rsid w:val="00E341B4"/>
    <w:rsid w:val="00E342FF"/>
    <w:rsid w:val="00E34459"/>
    <w:rsid w:val="00E34468"/>
    <w:rsid w:val="00E344D1"/>
    <w:rsid w:val="00E346E2"/>
    <w:rsid w:val="00E348BF"/>
    <w:rsid w:val="00E34AE4"/>
    <w:rsid w:val="00E34C52"/>
    <w:rsid w:val="00E34D7D"/>
    <w:rsid w:val="00E34E08"/>
    <w:rsid w:val="00E3513B"/>
    <w:rsid w:val="00E35B03"/>
    <w:rsid w:val="00E35CE3"/>
    <w:rsid w:val="00E35E14"/>
    <w:rsid w:val="00E35FB1"/>
    <w:rsid w:val="00E36114"/>
    <w:rsid w:val="00E361F5"/>
    <w:rsid w:val="00E361FC"/>
    <w:rsid w:val="00E36368"/>
    <w:rsid w:val="00E36591"/>
    <w:rsid w:val="00E3661E"/>
    <w:rsid w:val="00E36DD1"/>
    <w:rsid w:val="00E36FD2"/>
    <w:rsid w:val="00E37468"/>
    <w:rsid w:val="00E37757"/>
    <w:rsid w:val="00E37B00"/>
    <w:rsid w:val="00E37CE8"/>
    <w:rsid w:val="00E37F99"/>
    <w:rsid w:val="00E402CD"/>
    <w:rsid w:val="00E40367"/>
    <w:rsid w:val="00E4037A"/>
    <w:rsid w:val="00E403C0"/>
    <w:rsid w:val="00E409CF"/>
    <w:rsid w:val="00E40BE2"/>
    <w:rsid w:val="00E40C7E"/>
    <w:rsid w:val="00E40F2F"/>
    <w:rsid w:val="00E413CD"/>
    <w:rsid w:val="00E418CC"/>
    <w:rsid w:val="00E41B14"/>
    <w:rsid w:val="00E41CED"/>
    <w:rsid w:val="00E41E78"/>
    <w:rsid w:val="00E42196"/>
    <w:rsid w:val="00E42336"/>
    <w:rsid w:val="00E424E7"/>
    <w:rsid w:val="00E425FA"/>
    <w:rsid w:val="00E42603"/>
    <w:rsid w:val="00E4271D"/>
    <w:rsid w:val="00E42775"/>
    <w:rsid w:val="00E4282E"/>
    <w:rsid w:val="00E4295C"/>
    <w:rsid w:val="00E42BF9"/>
    <w:rsid w:val="00E42E45"/>
    <w:rsid w:val="00E4308F"/>
    <w:rsid w:val="00E43214"/>
    <w:rsid w:val="00E432C7"/>
    <w:rsid w:val="00E43379"/>
    <w:rsid w:val="00E43490"/>
    <w:rsid w:val="00E434E1"/>
    <w:rsid w:val="00E4351F"/>
    <w:rsid w:val="00E43AF7"/>
    <w:rsid w:val="00E43B41"/>
    <w:rsid w:val="00E43CB5"/>
    <w:rsid w:val="00E43CE9"/>
    <w:rsid w:val="00E43CEF"/>
    <w:rsid w:val="00E43D82"/>
    <w:rsid w:val="00E43FCB"/>
    <w:rsid w:val="00E44184"/>
    <w:rsid w:val="00E441E0"/>
    <w:rsid w:val="00E443E0"/>
    <w:rsid w:val="00E443F6"/>
    <w:rsid w:val="00E44431"/>
    <w:rsid w:val="00E44564"/>
    <w:rsid w:val="00E44605"/>
    <w:rsid w:val="00E44689"/>
    <w:rsid w:val="00E446DB"/>
    <w:rsid w:val="00E446E0"/>
    <w:rsid w:val="00E44A0D"/>
    <w:rsid w:val="00E44D6E"/>
    <w:rsid w:val="00E4510B"/>
    <w:rsid w:val="00E45531"/>
    <w:rsid w:val="00E4554D"/>
    <w:rsid w:val="00E457A3"/>
    <w:rsid w:val="00E45965"/>
    <w:rsid w:val="00E45BE2"/>
    <w:rsid w:val="00E462EE"/>
    <w:rsid w:val="00E4654A"/>
    <w:rsid w:val="00E46932"/>
    <w:rsid w:val="00E46A06"/>
    <w:rsid w:val="00E46B39"/>
    <w:rsid w:val="00E46BAD"/>
    <w:rsid w:val="00E46F7B"/>
    <w:rsid w:val="00E47138"/>
    <w:rsid w:val="00E471E9"/>
    <w:rsid w:val="00E474E8"/>
    <w:rsid w:val="00E4762F"/>
    <w:rsid w:val="00E47D41"/>
    <w:rsid w:val="00E5015B"/>
    <w:rsid w:val="00E50294"/>
    <w:rsid w:val="00E505D0"/>
    <w:rsid w:val="00E50852"/>
    <w:rsid w:val="00E50AFE"/>
    <w:rsid w:val="00E50CEC"/>
    <w:rsid w:val="00E50D08"/>
    <w:rsid w:val="00E50D23"/>
    <w:rsid w:val="00E50DE0"/>
    <w:rsid w:val="00E50EF1"/>
    <w:rsid w:val="00E510BD"/>
    <w:rsid w:val="00E5116D"/>
    <w:rsid w:val="00E51248"/>
    <w:rsid w:val="00E5172C"/>
    <w:rsid w:val="00E5176C"/>
    <w:rsid w:val="00E51F05"/>
    <w:rsid w:val="00E5215B"/>
    <w:rsid w:val="00E5248D"/>
    <w:rsid w:val="00E525BC"/>
    <w:rsid w:val="00E52886"/>
    <w:rsid w:val="00E5358A"/>
    <w:rsid w:val="00E535FC"/>
    <w:rsid w:val="00E537A1"/>
    <w:rsid w:val="00E5382E"/>
    <w:rsid w:val="00E539B1"/>
    <w:rsid w:val="00E53A5B"/>
    <w:rsid w:val="00E53AF6"/>
    <w:rsid w:val="00E53B65"/>
    <w:rsid w:val="00E53BBF"/>
    <w:rsid w:val="00E53C59"/>
    <w:rsid w:val="00E53D96"/>
    <w:rsid w:val="00E5401D"/>
    <w:rsid w:val="00E54213"/>
    <w:rsid w:val="00E546E6"/>
    <w:rsid w:val="00E5477C"/>
    <w:rsid w:val="00E547F0"/>
    <w:rsid w:val="00E54851"/>
    <w:rsid w:val="00E548D4"/>
    <w:rsid w:val="00E5490C"/>
    <w:rsid w:val="00E54C39"/>
    <w:rsid w:val="00E54C8E"/>
    <w:rsid w:val="00E54CE2"/>
    <w:rsid w:val="00E54D7F"/>
    <w:rsid w:val="00E54F5C"/>
    <w:rsid w:val="00E54FB3"/>
    <w:rsid w:val="00E551B7"/>
    <w:rsid w:val="00E55262"/>
    <w:rsid w:val="00E554C5"/>
    <w:rsid w:val="00E5553A"/>
    <w:rsid w:val="00E55805"/>
    <w:rsid w:val="00E5594B"/>
    <w:rsid w:val="00E55AEF"/>
    <w:rsid w:val="00E56057"/>
    <w:rsid w:val="00E56109"/>
    <w:rsid w:val="00E56321"/>
    <w:rsid w:val="00E5638E"/>
    <w:rsid w:val="00E564FE"/>
    <w:rsid w:val="00E5671D"/>
    <w:rsid w:val="00E56EAD"/>
    <w:rsid w:val="00E56EE1"/>
    <w:rsid w:val="00E56EEC"/>
    <w:rsid w:val="00E56FF1"/>
    <w:rsid w:val="00E57343"/>
    <w:rsid w:val="00E57C55"/>
    <w:rsid w:val="00E57DDE"/>
    <w:rsid w:val="00E57E71"/>
    <w:rsid w:val="00E602CA"/>
    <w:rsid w:val="00E60512"/>
    <w:rsid w:val="00E60648"/>
    <w:rsid w:val="00E60788"/>
    <w:rsid w:val="00E60838"/>
    <w:rsid w:val="00E60928"/>
    <w:rsid w:val="00E60AF3"/>
    <w:rsid w:val="00E60DB6"/>
    <w:rsid w:val="00E60F09"/>
    <w:rsid w:val="00E60F2D"/>
    <w:rsid w:val="00E60F48"/>
    <w:rsid w:val="00E61042"/>
    <w:rsid w:val="00E61155"/>
    <w:rsid w:val="00E611A5"/>
    <w:rsid w:val="00E6125A"/>
    <w:rsid w:val="00E6130D"/>
    <w:rsid w:val="00E61310"/>
    <w:rsid w:val="00E61634"/>
    <w:rsid w:val="00E61705"/>
    <w:rsid w:val="00E61881"/>
    <w:rsid w:val="00E61A0D"/>
    <w:rsid w:val="00E6240D"/>
    <w:rsid w:val="00E624B1"/>
    <w:rsid w:val="00E62B2A"/>
    <w:rsid w:val="00E62B65"/>
    <w:rsid w:val="00E62E43"/>
    <w:rsid w:val="00E63128"/>
    <w:rsid w:val="00E6324B"/>
    <w:rsid w:val="00E63370"/>
    <w:rsid w:val="00E6341D"/>
    <w:rsid w:val="00E634C8"/>
    <w:rsid w:val="00E63519"/>
    <w:rsid w:val="00E6351C"/>
    <w:rsid w:val="00E63A74"/>
    <w:rsid w:val="00E63BBA"/>
    <w:rsid w:val="00E63D2D"/>
    <w:rsid w:val="00E63D95"/>
    <w:rsid w:val="00E63F4B"/>
    <w:rsid w:val="00E6410A"/>
    <w:rsid w:val="00E64291"/>
    <w:rsid w:val="00E64339"/>
    <w:rsid w:val="00E64534"/>
    <w:rsid w:val="00E6487F"/>
    <w:rsid w:val="00E648B6"/>
    <w:rsid w:val="00E64945"/>
    <w:rsid w:val="00E64EDC"/>
    <w:rsid w:val="00E653E1"/>
    <w:rsid w:val="00E655A0"/>
    <w:rsid w:val="00E655E1"/>
    <w:rsid w:val="00E65ACB"/>
    <w:rsid w:val="00E65DF1"/>
    <w:rsid w:val="00E65F03"/>
    <w:rsid w:val="00E662A4"/>
    <w:rsid w:val="00E663A0"/>
    <w:rsid w:val="00E6640D"/>
    <w:rsid w:val="00E6666C"/>
    <w:rsid w:val="00E6666F"/>
    <w:rsid w:val="00E666E8"/>
    <w:rsid w:val="00E66721"/>
    <w:rsid w:val="00E669AC"/>
    <w:rsid w:val="00E670F5"/>
    <w:rsid w:val="00E671C9"/>
    <w:rsid w:val="00E67295"/>
    <w:rsid w:val="00E672C3"/>
    <w:rsid w:val="00E672CC"/>
    <w:rsid w:val="00E67745"/>
    <w:rsid w:val="00E677C5"/>
    <w:rsid w:val="00E6786D"/>
    <w:rsid w:val="00E67BD0"/>
    <w:rsid w:val="00E67DD7"/>
    <w:rsid w:val="00E67E2F"/>
    <w:rsid w:val="00E70344"/>
    <w:rsid w:val="00E70424"/>
    <w:rsid w:val="00E70530"/>
    <w:rsid w:val="00E7082D"/>
    <w:rsid w:val="00E70904"/>
    <w:rsid w:val="00E70A9D"/>
    <w:rsid w:val="00E70CC4"/>
    <w:rsid w:val="00E70EDB"/>
    <w:rsid w:val="00E71493"/>
    <w:rsid w:val="00E715A9"/>
    <w:rsid w:val="00E716AB"/>
    <w:rsid w:val="00E717D9"/>
    <w:rsid w:val="00E71846"/>
    <w:rsid w:val="00E719DB"/>
    <w:rsid w:val="00E71A54"/>
    <w:rsid w:val="00E71B6F"/>
    <w:rsid w:val="00E71E09"/>
    <w:rsid w:val="00E71FD8"/>
    <w:rsid w:val="00E72135"/>
    <w:rsid w:val="00E72277"/>
    <w:rsid w:val="00E72489"/>
    <w:rsid w:val="00E725B9"/>
    <w:rsid w:val="00E72759"/>
    <w:rsid w:val="00E72803"/>
    <w:rsid w:val="00E729F8"/>
    <w:rsid w:val="00E72C29"/>
    <w:rsid w:val="00E72F54"/>
    <w:rsid w:val="00E731C9"/>
    <w:rsid w:val="00E7329A"/>
    <w:rsid w:val="00E73BD5"/>
    <w:rsid w:val="00E73BE8"/>
    <w:rsid w:val="00E73D92"/>
    <w:rsid w:val="00E73F1E"/>
    <w:rsid w:val="00E74092"/>
    <w:rsid w:val="00E7443E"/>
    <w:rsid w:val="00E74856"/>
    <w:rsid w:val="00E7485D"/>
    <w:rsid w:val="00E752A8"/>
    <w:rsid w:val="00E753C5"/>
    <w:rsid w:val="00E753F8"/>
    <w:rsid w:val="00E754B4"/>
    <w:rsid w:val="00E755BA"/>
    <w:rsid w:val="00E756DD"/>
    <w:rsid w:val="00E75C98"/>
    <w:rsid w:val="00E75DE2"/>
    <w:rsid w:val="00E75E18"/>
    <w:rsid w:val="00E7616D"/>
    <w:rsid w:val="00E76182"/>
    <w:rsid w:val="00E76191"/>
    <w:rsid w:val="00E76291"/>
    <w:rsid w:val="00E76355"/>
    <w:rsid w:val="00E76439"/>
    <w:rsid w:val="00E768AE"/>
    <w:rsid w:val="00E768E0"/>
    <w:rsid w:val="00E76A78"/>
    <w:rsid w:val="00E76B19"/>
    <w:rsid w:val="00E76FD1"/>
    <w:rsid w:val="00E774B7"/>
    <w:rsid w:val="00E774F4"/>
    <w:rsid w:val="00E775BF"/>
    <w:rsid w:val="00E77890"/>
    <w:rsid w:val="00E7A67D"/>
    <w:rsid w:val="00E800CA"/>
    <w:rsid w:val="00E80142"/>
    <w:rsid w:val="00E80446"/>
    <w:rsid w:val="00E8049B"/>
    <w:rsid w:val="00E807CD"/>
    <w:rsid w:val="00E80CA3"/>
    <w:rsid w:val="00E80CF0"/>
    <w:rsid w:val="00E80DEA"/>
    <w:rsid w:val="00E80F00"/>
    <w:rsid w:val="00E81088"/>
    <w:rsid w:val="00E81214"/>
    <w:rsid w:val="00E81283"/>
    <w:rsid w:val="00E81341"/>
    <w:rsid w:val="00E8153A"/>
    <w:rsid w:val="00E81BAE"/>
    <w:rsid w:val="00E81DF2"/>
    <w:rsid w:val="00E81F14"/>
    <w:rsid w:val="00E823D7"/>
    <w:rsid w:val="00E8278C"/>
    <w:rsid w:val="00E828A6"/>
    <w:rsid w:val="00E82BAE"/>
    <w:rsid w:val="00E83D2B"/>
    <w:rsid w:val="00E83EA6"/>
    <w:rsid w:val="00E841F4"/>
    <w:rsid w:val="00E84216"/>
    <w:rsid w:val="00E84374"/>
    <w:rsid w:val="00E8451E"/>
    <w:rsid w:val="00E8462E"/>
    <w:rsid w:val="00E8471B"/>
    <w:rsid w:val="00E847A4"/>
    <w:rsid w:val="00E847E0"/>
    <w:rsid w:val="00E849DC"/>
    <w:rsid w:val="00E84A38"/>
    <w:rsid w:val="00E84C19"/>
    <w:rsid w:val="00E8528A"/>
    <w:rsid w:val="00E85315"/>
    <w:rsid w:val="00E85479"/>
    <w:rsid w:val="00E85639"/>
    <w:rsid w:val="00E85653"/>
    <w:rsid w:val="00E858E2"/>
    <w:rsid w:val="00E85B63"/>
    <w:rsid w:val="00E8607D"/>
    <w:rsid w:val="00E8620B"/>
    <w:rsid w:val="00E864F0"/>
    <w:rsid w:val="00E865F2"/>
    <w:rsid w:val="00E866FA"/>
    <w:rsid w:val="00E86850"/>
    <w:rsid w:val="00E86AF5"/>
    <w:rsid w:val="00E86DDA"/>
    <w:rsid w:val="00E86E41"/>
    <w:rsid w:val="00E87275"/>
    <w:rsid w:val="00E872D5"/>
    <w:rsid w:val="00E873FC"/>
    <w:rsid w:val="00E87424"/>
    <w:rsid w:val="00E877BF"/>
    <w:rsid w:val="00E877D0"/>
    <w:rsid w:val="00E87910"/>
    <w:rsid w:val="00E87A47"/>
    <w:rsid w:val="00E87BE3"/>
    <w:rsid w:val="00E901F9"/>
    <w:rsid w:val="00E90225"/>
    <w:rsid w:val="00E9029B"/>
    <w:rsid w:val="00E90444"/>
    <w:rsid w:val="00E904BF"/>
    <w:rsid w:val="00E90904"/>
    <w:rsid w:val="00E909BE"/>
    <w:rsid w:val="00E90A0F"/>
    <w:rsid w:val="00E90ECF"/>
    <w:rsid w:val="00E90FCE"/>
    <w:rsid w:val="00E91130"/>
    <w:rsid w:val="00E911F8"/>
    <w:rsid w:val="00E912F7"/>
    <w:rsid w:val="00E9148A"/>
    <w:rsid w:val="00E914B4"/>
    <w:rsid w:val="00E915D7"/>
    <w:rsid w:val="00E915FF"/>
    <w:rsid w:val="00E91897"/>
    <w:rsid w:val="00E91B00"/>
    <w:rsid w:val="00E91B41"/>
    <w:rsid w:val="00E91D28"/>
    <w:rsid w:val="00E91E92"/>
    <w:rsid w:val="00E921A2"/>
    <w:rsid w:val="00E9254A"/>
    <w:rsid w:val="00E9259E"/>
    <w:rsid w:val="00E9277C"/>
    <w:rsid w:val="00E927CC"/>
    <w:rsid w:val="00E92C13"/>
    <w:rsid w:val="00E92D84"/>
    <w:rsid w:val="00E92F2F"/>
    <w:rsid w:val="00E92F37"/>
    <w:rsid w:val="00E92F49"/>
    <w:rsid w:val="00E930A4"/>
    <w:rsid w:val="00E930DC"/>
    <w:rsid w:val="00E936CF"/>
    <w:rsid w:val="00E9386C"/>
    <w:rsid w:val="00E93BD0"/>
    <w:rsid w:val="00E94121"/>
    <w:rsid w:val="00E941B4"/>
    <w:rsid w:val="00E9423D"/>
    <w:rsid w:val="00E942E3"/>
    <w:rsid w:val="00E9436A"/>
    <w:rsid w:val="00E94409"/>
    <w:rsid w:val="00E94873"/>
    <w:rsid w:val="00E94B59"/>
    <w:rsid w:val="00E94C3E"/>
    <w:rsid w:val="00E952F5"/>
    <w:rsid w:val="00E955B7"/>
    <w:rsid w:val="00E95996"/>
    <w:rsid w:val="00E959A2"/>
    <w:rsid w:val="00E95A44"/>
    <w:rsid w:val="00E95BEC"/>
    <w:rsid w:val="00E95C30"/>
    <w:rsid w:val="00E95CF4"/>
    <w:rsid w:val="00E95E7E"/>
    <w:rsid w:val="00E960F4"/>
    <w:rsid w:val="00E962CC"/>
    <w:rsid w:val="00E964B0"/>
    <w:rsid w:val="00E967E7"/>
    <w:rsid w:val="00E967E8"/>
    <w:rsid w:val="00E96B40"/>
    <w:rsid w:val="00E96C79"/>
    <w:rsid w:val="00E96CD5"/>
    <w:rsid w:val="00E96E15"/>
    <w:rsid w:val="00E96F38"/>
    <w:rsid w:val="00E9700E"/>
    <w:rsid w:val="00E97070"/>
    <w:rsid w:val="00E970B1"/>
    <w:rsid w:val="00E97161"/>
    <w:rsid w:val="00E9729A"/>
    <w:rsid w:val="00E97327"/>
    <w:rsid w:val="00E973A6"/>
    <w:rsid w:val="00E97582"/>
    <w:rsid w:val="00E9760A"/>
    <w:rsid w:val="00E97864"/>
    <w:rsid w:val="00E978C7"/>
    <w:rsid w:val="00E97A27"/>
    <w:rsid w:val="00E97B8D"/>
    <w:rsid w:val="00E97C08"/>
    <w:rsid w:val="00E97D85"/>
    <w:rsid w:val="00E97FA0"/>
    <w:rsid w:val="00EA01BD"/>
    <w:rsid w:val="00EA05B9"/>
    <w:rsid w:val="00EA0693"/>
    <w:rsid w:val="00EA0FD4"/>
    <w:rsid w:val="00EA11A3"/>
    <w:rsid w:val="00EA120B"/>
    <w:rsid w:val="00EA1430"/>
    <w:rsid w:val="00EA16FA"/>
    <w:rsid w:val="00EA1776"/>
    <w:rsid w:val="00EA17C7"/>
    <w:rsid w:val="00EA1A97"/>
    <w:rsid w:val="00EA1AEF"/>
    <w:rsid w:val="00EA1BEF"/>
    <w:rsid w:val="00EA229E"/>
    <w:rsid w:val="00EA22A0"/>
    <w:rsid w:val="00EA2529"/>
    <w:rsid w:val="00EA26BE"/>
    <w:rsid w:val="00EA2BD8"/>
    <w:rsid w:val="00EA352D"/>
    <w:rsid w:val="00EA3622"/>
    <w:rsid w:val="00EA3886"/>
    <w:rsid w:val="00EA394E"/>
    <w:rsid w:val="00EA3970"/>
    <w:rsid w:val="00EA3A13"/>
    <w:rsid w:val="00EA3A9E"/>
    <w:rsid w:val="00EA3C7A"/>
    <w:rsid w:val="00EA3CE0"/>
    <w:rsid w:val="00EA3D74"/>
    <w:rsid w:val="00EA3E07"/>
    <w:rsid w:val="00EA40B1"/>
    <w:rsid w:val="00EA4318"/>
    <w:rsid w:val="00EA448E"/>
    <w:rsid w:val="00EA44EA"/>
    <w:rsid w:val="00EA45E5"/>
    <w:rsid w:val="00EA460D"/>
    <w:rsid w:val="00EA48B5"/>
    <w:rsid w:val="00EA4A40"/>
    <w:rsid w:val="00EA4AB0"/>
    <w:rsid w:val="00EA4B5C"/>
    <w:rsid w:val="00EA4BDF"/>
    <w:rsid w:val="00EA4C9C"/>
    <w:rsid w:val="00EA4D7D"/>
    <w:rsid w:val="00EA4D84"/>
    <w:rsid w:val="00EA4DE2"/>
    <w:rsid w:val="00EA500B"/>
    <w:rsid w:val="00EA5190"/>
    <w:rsid w:val="00EA51A9"/>
    <w:rsid w:val="00EA51FD"/>
    <w:rsid w:val="00EA52BE"/>
    <w:rsid w:val="00EA5460"/>
    <w:rsid w:val="00EA54AB"/>
    <w:rsid w:val="00EA5645"/>
    <w:rsid w:val="00EA568E"/>
    <w:rsid w:val="00EA58C2"/>
    <w:rsid w:val="00EA5CB4"/>
    <w:rsid w:val="00EA627D"/>
    <w:rsid w:val="00EA62B0"/>
    <w:rsid w:val="00EA6689"/>
    <w:rsid w:val="00EA6A69"/>
    <w:rsid w:val="00EA6CAD"/>
    <w:rsid w:val="00EA6E7B"/>
    <w:rsid w:val="00EA6F03"/>
    <w:rsid w:val="00EA7118"/>
    <w:rsid w:val="00EA75FE"/>
    <w:rsid w:val="00EA76DD"/>
    <w:rsid w:val="00EA76E3"/>
    <w:rsid w:val="00EA78F8"/>
    <w:rsid w:val="00EA7BC3"/>
    <w:rsid w:val="00EB0031"/>
    <w:rsid w:val="00EB049C"/>
    <w:rsid w:val="00EB05D9"/>
    <w:rsid w:val="00EB06A2"/>
    <w:rsid w:val="00EB076E"/>
    <w:rsid w:val="00EB07E3"/>
    <w:rsid w:val="00EB0954"/>
    <w:rsid w:val="00EB0A86"/>
    <w:rsid w:val="00EB0AC6"/>
    <w:rsid w:val="00EB0CEE"/>
    <w:rsid w:val="00EB0F52"/>
    <w:rsid w:val="00EB0FF8"/>
    <w:rsid w:val="00EB11B9"/>
    <w:rsid w:val="00EB1259"/>
    <w:rsid w:val="00EB135B"/>
    <w:rsid w:val="00EB1397"/>
    <w:rsid w:val="00EB1414"/>
    <w:rsid w:val="00EB185F"/>
    <w:rsid w:val="00EB18D4"/>
    <w:rsid w:val="00EB19F6"/>
    <w:rsid w:val="00EB1C39"/>
    <w:rsid w:val="00EB212C"/>
    <w:rsid w:val="00EB2199"/>
    <w:rsid w:val="00EB228F"/>
    <w:rsid w:val="00EB23EA"/>
    <w:rsid w:val="00EB2505"/>
    <w:rsid w:val="00EB25FC"/>
    <w:rsid w:val="00EB2AC4"/>
    <w:rsid w:val="00EB2B42"/>
    <w:rsid w:val="00EB2BCB"/>
    <w:rsid w:val="00EB32DA"/>
    <w:rsid w:val="00EB35F3"/>
    <w:rsid w:val="00EB37F2"/>
    <w:rsid w:val="00EB3C73"/>
    <w:rsid w:val="00EB3CE1"/>
    <w:rsid w:val="00EB3ED3"/>
    <w:rsid w:val="00EB3EDC"/>
    <w:rsid w:val="00EB4066"/>
    <w:rsid w:val="00EB455E"/>
    <w:rsid w:val="00EB473C"/>
    <w:rsid w:val="00EB48F4"/>
    <w:rsid w:val="00EB49AE"/>
    <w:rsid w:val="00EB49F7"/>
    <w:rsid w:val="00EB4AFD"/>
    <w:rsid w:val="00EB4B05"/>
    <w:rsid w:val="00EB4D10"/>
    <w:rsid w:val="00EB4ED8"/>
    <w:rsid w:val="00EB4F41"/>
    <w:rsid w:val="00EB50E3"/>
    <w:rsid w:val="00EB540D"/>
    <w:rsid w:val="00EB5A46"/>
    <w:rsid w:val="00EB5B12"/>
    <w:rsid w:val="00EB5B4D"/>
    <w:rsid w:val="00EB5BED"/>
    <w:rsid w:val="00EB5F68"/>
    <w:rsid w:val="00EB5FB6"/>
    <w:rsid w:val="00EB634E"/>
    <w:rsid w:val="00EB636C"/>
    <w:rsid w:val="00EB6389"/>
    <w:rsid w:val="00EB65A2"/>
    <w:rsid w:val="00EB6800"/>
    <w:rsid w:val="00EB68DF"/>
    <w:rsid w:val="00EB6AEF"/>
    <w:rsid w:val="00EB6C17"/>
    <w:rsid w:val="00EB6C3E"/>
    <w:rsid w:val="00EB6D82"/>
    <w:rsid w:val="00EB6E2D"/>
    <w:rsid w:val="00EB7071"/>
    <w:rsid w:val="00EB7259"/>
    <w:rsid w:val="00EB7579"/>
    <w:rsid w:val="00EB77D0"/>
    <w:rsid w:val="00EB7C68"/>
    <w:rsid w:val="00EC014C"/>
    <w:rsid w:val="00EC0223"/>
    <w:rsid w:val="00EC02ED"/>
    <w:rsid w:val="00EC076E"/>
    <w:rsid w:val="00EC0816"/>
    <w:rsid w:val="00EC0AAD"/>
    <w:rsid w:val="00EC0AD0"/>
    <w:rsid w:val="00EC0BA9"/>
    <w:rsid w:val="00EC0ED1"/>
    <w:rsid w:val="00EC1423"/>
    <w:rsid w:val="00EC14D8"/>
    <w:rsid w:val="00EC1B47"/>
    <w:rsid w:val="00EC1E2F"/>
    <w:rsid w:val="00EC1E5A"/>
    <w:rsid w:val="00EC1EFA"/>
    <w:rsid w:val="00EC206B"/>
    <w:rsid w:val="00EC2103"/>
    <w:rsid w:val="00EC258B"/>
    <w:rsid w:val="00EC2778"/>
    <w:rsid w:val="00EC280B"/>
    <w:rsid w:val="00EC295F"/>
    <w:rsid w:val="00EC298D"/>
    <w:rsid w:val="00EC2ABC"/>
    <w:rsid w:val="00EC2C21"/>
    <w:rsid w:val="00EC2F4B"/>
    <w:rsid w:val="00EC314D"/>
    <w:rsid w:val="00EC31D2"/>
    <w:rsid w:val="00EC3335"/>
    <w:rsid w:val="00EC3478"/>
    <w:rsid w:val="00EC3566"/>
    <w:rsid w:val="00EC3747"/>
    <w:rsid w:val="00EC376A"/>
    <w:rsid w:val="00EC38F3"/>
    <w:rsid w:val="00EC3940"/>
    <w:rsid w:val="00EC3957"/>
    <w:rsid w:val="00EC3DB3"/>
    <w:rsid w:val="00EC3F7B"/>
    <w:rsid w:val="00EC42A3"/>
    <w:rsid w:val="00EC4381"/>
    <w:rsid w:val="00EC4433"/>
    <w:rsid w:val="00EC47FE"/>
    <w:rsid w:val="00EC49AC"/>
    <w:rsid w:val="00EC4A0B"/>
    <w:rsid w:val="00EC4B8C"/>
    <w:rsid w:val="00EC4C7F"/>
    <w:rsid w:val="00EC4D86"/>
    <w:rsid w:val="00EC4FF9"/>
    <w:rsid w:val="00EC5165"/>
    <w:rsid w:val="00EC520B"/>
    <w:rsid w:val="00EC5258"/>
    <w:rsid w:val="00EC5595"/>
    <w:rsid w:val="00EC5844"/>
    <w:rsid w:val="00EC5D45"/>
    <w:rsid w:val="00EC5E56"/>
    <w:rsid w:val="00EC5E6C"/>
    <w:rsid w:val="00EC602D"/>
    <w:rsid w:val="00EC614D"/>
    <w:rsid w:val="00EC626D"/>
    <w:rsid w:val="00EC6669"/>
    <w:rsid w:val="00EC68AC"/>
    <w:rsid w:val="00EC6959"/>
    <w:rsid w:val="00EC6A11"/>
    <w:rsid w:val="00EC7013"/>
    <w:rsid w:val="00EC765E"/>
    <w:rsid w:val="00EC7707"/>
    <w:rsid w:val="00EC7B8A"/>
    <w:rsid w:val="00EC7D0B"/>
    <w:rsid w:val="00EC7E59"/>
    <w:rsid w:val="00EC7EDE"/>
    <w:rsid w:val="00EC7F8A"/>
    <w:rsid w:val="00ECE4A4"/>
    <w:rsid w:val="00ED0156"/>
    <w:rsid w:val="00ED03EA"/>
    <w:rsid w:val="00ED07B9"/>
    <w:rsid w:val="00ED0985"/>
    <w:rsid w:val="00ED0CE0"/>
    <w:rsid w:val="00ED1106"/>
    <w:rsid w:val="00ED1126"/>
    <w:rsid w:val="00ED1321"/>
    <w:rsid w:val="00ED141A"/>
    <w:rsid w:val="00ED143B"/>
    <w:rsid w:val="00ED143D"/>
    <w:rsid w:val="00ED182B"/>
    <w:rsid w:val="00ED19BF"/>
    <w:rsid w:val="00ED1BA0"/>
    <w:rsid w:val="00ED1C50"/>
    <w:rsid w:val="00ED1E7A"/>
    <w:rsid w:val="00ED20FE"/>
    <w:rsid w:val="00ED2311"/>
    <w:rsid w:val="00ED24A9"/>
    <w:rsid w:val="00ED264F"/>
    <w:rsid w:val="00ED271D"/>
    <w:rsid w:val="00ED292F"/>
    <w:rsid w:val="00ED29C5"/>
    <w:rsid w:val="00ED2A94"/>
    <w:rsid w:val="00ED2C53"/>
    <w:rsid w:val="00ED2D0E"/>
    <w:rsid w:val="00ED2E77"/>
    <w:rsid w:val="00ED2EC2"/>
    <w:rsid w:val="00ED2F4D"/>
    <w:rsid w:val="00ED310F"/>
    <w:rsid w:val="00ED32C9"/>
    <w:rsid w:val="00ED34E3"/>
    <w:rsid w:val="00ED362C"/>
    <w:rsid w:val="00ED36F2"/>
    <w:rsid w:val="00ED3D72"/>
    <w:rsid w:val="00ED3D96"/>
    <w:rsid w:val="00ED3DD1"/>
    <w:rsid w:val="00ED3DD7"/>
    <w:rsid w:val="00ED3EB7"/>
    <w:rsid w:val="00ED404E"/>
    <w:rsid w:val="00ED405C"/>
    <w:rsid w:val="00ED42FC"/>
    <w:rsid w:val="00ED44A4"/>
    <w:rsid w:val="00ED44D1"/>
    <w:rsid w:val="00ED46DA"/>
    <w:rsid w:val="00ED4938"/>
    <w:rsid w:val="00ED4952"/>
    <w:rsid w:val="00ED4E5F"/>
    <w:rsid w:val="00ED4EAF"/>
    <w:rsid w:val="00ED5018"/>
    <w:rsid w:val="00ED56F8"/>
    <w:rsid w:val="00ED5AC8"/>
    <w:rsid w:val="00ED5B36"/>
    <w:rsid w:val="00ED5BFD"/>
    <w:rsid w:val="00ED617B"/>
    <w:rsid w:val="00ED636A"/>
    <w:rsid w:val="00ED6551"/>
    <w:rsid w:val="00ED68ED"/>
    <w:rsid w:val="00ED6B3F"/>
    <w:rsid w:val="00ED6CEA"/>
    <w:rsid w:val="00ED6DA0"/>
    <w:rsid w:val="00ED7100"/>
    <w:rsid w:val="00ED74DB"/>
    <w:rsid w:val="00ED7684"/>
    <w:rsid w:val="00ED7B91"/>
    <w:rsid w:val="00ED7E0E"/>
    <w:rsid w:val="00EE0049"/>
    <w:rsid w:val="00EE0391"/>
    <w:rsid w:val="00EE072C"/>
    <w:rsid w:val="00EE0A4F"/>
    <w:rsid w:val="00EE0DAA"/>
    <w:rsid w:val="00EE0EF1"/>
    <w:rsid w:val="00EE1084"/>
    <w:rsid w:val="00EE1616"/>
    <w:rsid w:val="00EE16FD"/>
    <w:rsid w:val="00EE170E"/>
    <w:rsid w:val="00EE17DA"/>
    <w:rsid w:val="00EE19C6"/>
    <w:rsid w:val="00EE1C14"/>
    <w:rsid w:val="00EE1DD0"/>
    <w:rsid w:val="00EE2C48"/>
    <w:rsid w:val="00EE2C52"/>
    <w:rsid w:val="00EE3008"/>
    <w:rsid w:val="00EE343E"/>
    <w:rsid w:val="00EE3519"/>
    <w:rsid w:val="00EE35AF"/>
    <w:rsid w:val="00EE361E"/>
    <w:rsid w:val="00EE3644"/>
    <w:rsid w:val="00EE3711"/>
    <w:rsid w:val="00EE3749"/>
    <w:rsid w:val="00EE39F7"/>
    <w:rsid w:val="00EE41D1"/>
    <w:rsid w:val="00EE42EC"/>
    <w:rsid w:val="00EE4583"/>
    <w:rsid w:val="00EE45BA"/>
    <w:rsid w:val="00EE47CA"/>
    <w:rsid w:val="00EE49A8"/>
    <w:rsid w:val="00EE49EA"/>
    <w:rsid w:val="00EE4DC2"/>
    <w:rsid w:val="00EE4EB3"/>
    <w:rsid w:val="00EE5025"/>
    <w:rsid w:val="00EE527E"/>
    <w:rsid w:val="00EE52B6"/>
    <w:rsid w:val="00EE55B2"/>
    <w:rsid w:val="00EE5672"/>
    <w:rsid w:val="00EE5854"/>
    <w:rsid w:val="00EE5918"/>
    <w:rsid w:val="00EE5E9D"/>
    <w:rsid w:val="00EE6267"/>
    <w:rsid w:val="00EE6577"/>
    <w:rsid w:val="00EE65B8"/>
    <w:rsid w:val="00EE694A"/>
    <w:rsid w:val="00EE6952"/>
    <w:rsid w:val="00EE6B9F"/>
    <w:rsid w:val="00EE7081"/>
    <w:rsid w:val="00EE73CE"/>
    <w:rsid w:val="00EE73FB"/>
    <w:rsid w:val="00EE7583"/>
    <w:rsid w:val="00EE7621"/>
    <w:rsid w:val="00EE779A"/>
    <w:rsid w:val="00EE77FB"/>
    <w:rsid w:val="00EE77FD"/>
    <w:rsid w:val="00EE7A35"/>
    <w:rsid w:val="00EE7AB2"/>
    <w:rsid w:val="00EE7B97"/>
    <w:rsid w:val="00EE7BAE"/>
    <w:rsid w:val="00EE7C7C"/>
    <w:rsid w:val="00EE7DB2"/>
    <w:rsid w:val="00EE7FD2"/>
    <w:rsid w:val="00EF004C"/>
    <w:rsid w:val="00EF021B"/>
    <w:rsid w:val="00EF06A2"/>
    <w:rsid w:val="00EF07BF"/>
    <w:rsid w:val="00EF08DC"/>
    <w:rsid w:val="00EF0A2E"/>
    <w:rsid w:val="00EF0BB5"/>
    <w:rsid w:val="00EF0BD9"/>
    <w:rsid w:val="00EF0E2E"/>
    <w:rsid w:val="00EF0E3F"/>
    <w:rsid w:val="00EF0E51"/>
    <w:rsid w:val="00EF11C0"/>
    <w:rsid w:val="00EF167F"/>
    <w:rsid w:val="00EF1811"/>
    <w:rsid w:val="00EF1836"/>
    <w:rsid w:val="00EF18E0"/>
    <w:rsid w:val="00EF191E"/>
    <w:rsid w:val="00EF1991"/>
    <w:rsid w:val="00EF19CC"/>
    <w:rsid w:val="00EF1A3C"/>
    <w:rsid w:val="00EF1C7E"/>
    <w:rsid w:val="00EF1D88"/>
    <w:rsid w:val="00EF255C"/>
    <w:rsid w:val="00EF26AA"/>
    <w:rsid w:val="00EF2738"/>
    <w:rsid w:val="00EF2854"/>
    <w:rsid w:val="00EF2A50"/>
    <w:rsid w:val="00EF2D6F"/>
    <w:rsid w:val="00EF2E5B"/>
    <w:rsid w:val="00EF2E65"/>
    <w:rsid w:val="00EF3210"/>
    <w:rsid w:val="00EF321B"/>
    <w:rsid w:val="00EF32A3"/>
    <w:rsid w:val="00EF3399"/>
    <w:rsid w:val="00EF3500"/>
    <w:rsid w:val="00EF3564"/>
    <w:rsid w:val="00EF35B4"/>
    <w:rsid w:val="00EF392D"/>
    <w:rsid w:val="00EF3A98"/>
    <w:rsid w:val="00EF3BD7"/>
    <w:rsid w:val="00EF3C08"/>
    <w:rsid w:val="00EF3CCD"/>
    <w:rsid w:val="00EF3D6B"/>
    <w:rsid w:val="00EF3F31"/>
    <w:rsid w:val="00EF4359"/>
    <w:rsid w:val="00EF4408"/>
    <w:rsid w:val="00EF474C"/>
    <w:rsid w:val="00EF4A28"/>
    <w:rsid w:val="00EF4CB7"/>
    <w:rsid w:val="00EF4E2E"/>
    <w:rsid w:val="00EF4F59"/>
    <w:rsid w:val="00EF528B"/>
    <w:rsid w:val="00EF5353"/>
    <w:rsid w:val="00EF54C7"/>
    <w:rsid w:val="00EF573F"/>
    <w:rsid w:val="00EF5A52"/>
    <w:rsid w:val="00EF5AFC"/>
    <w:rsid w:val="00EF5B63"/>
    <w:rsid w:val="00EF5BE1"/>
    <w:rsid w:val="00EF5C4F"/>
    <w:rsid w:val="00EF60C2"/>
    <w:rsid w:val="00EF656A"/>
    <w:rsid w:val="00EF6635"/>
    <w:rsid w:val="00EF664B"/>
    <w:rsid w:val="00EF6957"/>
    <w:rsid w:val="00EF6F7F"/>
    <w:rsid w:val="00EF716C"/>
    <w:rsid w:val="00EF7551"/>
    <w:rsid w:val="00EF764C"/>
    <w:rsid w:val="00EF76A8"/>
    <w:rsid w:val="00EF7736"/>
    <w:rsid w:val="00EF794B"/>
    <w:rsid w:val="00EF7A6F"/>
    <w:rsid w:val="00EF7B42"/>
    <w:rsid w:val="00EF7BD8"/>
    <w:rsid w:val="00EF7C3E"/>
    <w:rsid w:val="00EF7CA3"/>
    <w:rsid w:val="00EF7CCB"/>
    <w:rsid w:val="00EF7FC8"/>
    <w:rsid w:val="00F0008C"/>
    <w:rsid w:val="00F001B5"/>
    <w:rsid w:val="00F0027E"/>
    <w:rsid w:val="00F00381"/>
    <w:rsid w:val="00F00A62"/>
    <w:rsid w:val="00F00B2F"/>
    <w:rsid w:val="00F00BDE"/>
    <w:rsid w:val="00F00C78"/>
    <w:rsid w:val="00F00DD7"/>
    <w:rsid w:val="00F00E00"/>
    <w:rsid w:val="00F00EB0"/>
    <w:rsid w:val="00F00EB1"/>
    <w:rsid w:val="00F010DE"/>
    <w:rsid w:val="00F01141"/>
    <w:rsid w:val="00F0139F"/>
    <w:rsid w:val="00F014BE"/>
    <w:rsid w:val="00F01551"/>
    <w:rsid w:val="00F01758"/>
    <w:rsid w:val="00F01923"/>
    <w:rsid w:val="00F0192A"/>
    <w:rsid w:val="00F0193B"/>
    <w:rsid w:val="00F01DEA"/>
    <w:rsid w:val="00F02692"/>
    <w:rsid w:val="00F02A22"/>
    <w:rsid w:val="00F02AE3"/>
    <w:rsid w:val="00F0312C"/>
    <w:rsid w:val="00F031C1"/>
    <w:rsid w:val="00F03233"/>
    <w:rsid w:val="00F0370C"/>
    <w:rsid w:val="00F03A25"/>
    <w:rsid w:val="00F03D0B"/>
    <w:rsid w:val="00F04188"/>
    <w:rsid w:val="00F044B8"/>
    <w:rsid w:val="00F04532"/>
    <w:rsid w:val="00F04636"/>
    <w:rsid w:val="00F04A6C"/>
    <w:rsid w:val="00F04BCE"/>
    <w:rsid w:val="00F04C68"/>
    <w:rsid w:val="00F04D87"/>
    <w:rsid w:val="00F04EB6"/>
    <w:rsid w:val="00F04F82"/>
    <w:rsid w:val="00F05462"/>
    <w:rsid w:val="00F05551"/>
    <w:rsid w:val="00F055B2"/>
    <w:rsid w:val="00F05664"/>
    <w:rsid w:val="00F056E2"/>
    <w:rsid w:val="00F059A6"/>
    <w:rsid w:val="00F06081"/>
    <w:rsid w:val="00F060C7"/>
    <w:rsid w:val="00F06308"/>
    <w:rsid w:val="00F06740"/>
    <w:rsid w:val="00F06A79"/>
    <w:rsid w:val="00F06B09"/>
    <w:rsid w:val="00F06CBC"/>
    <w:rsid w:val="00F06CEE"/>
    <w:rsid w:val="00F06F23"/>
    <w:rsid w:val="00F07463"/>
    <w:rsid w:val="00F0752F"/>
    <w:rsid w:val="00F07592"/>
    <w:rsid w:val="00F07DDA"/>
    <w:rsid w:val="00F07F3A"/>
    <w:rsid w:val="00F07FBB"/>
    <w:rsid w:val="00F1070B"/>
    <w:rsid w:val="00F10B98"/>
    <w:rsid w:val="00F10F70"/>
    <w:rsid w:val="00F110BF"/>
    <w:rsid w:val="00F110EA"/>
    <w:rsid w:val="00F112FA"/>
    <w:rsid w:val="00F114ED"/>
    <w:rsid w:val="00F1197C"/>
    <w:rsid w:val="00F11B66"/>
    <w:rsid w:val="00F11C68"/>
    <w:rsid w:val="00F11D77"/>
    <w:rsid w:val="00F11DDC"/>
    <w:rsid w:val="00F12167"/>
    <w:rsid w:val="00F125C5"/>
    <w:rsid w:val="00F126DF"/>
    <w:rsid w:val="00F12AC6"/>
    <w:rsid w:val="00F12E4E"/>
    <w:rsid w:val="00F12E85"/>
    <w:rsid w:val="00F13162"/>
    <w:rsid w:val="00F13617"/>
    <w:rsid w:val="00F13685"/>
    <w:rsid w:val="00F137D1"/>
    <w:rsid w:val="00F137D5"/>
    <w:rsid w:val="00F1394F"/>
    <w:rsid w:val="00F13955"/>
    <w:rsid w:val="00F13A0C"/>
    <w:rsid w:val="00F13B65"/>
    <w:rsid w:val="00F14081"/>
    <w:rsid w:val="00F143EB"/>
    <w:rsid w:val="00F144F5"/>
    <w:rsid w:val="00F14585"/>
    <w:rsid w:val="00F146E8"/>
    <w:rsid w:val="00F147FA"/>
    <w:rsid w:val="00F148D4"/>
    <w:rsid w:val="00F148E0"/>
    <w:rsid w:val="00F14944"/>
    <w:rsid w:val="00F14A99"/>
    <w:rsid w:val="00F14AEF"/>
    <w:rsid w:val="00F14F0A"/>
    <w:rsid w:val="00F14F64"/>
    <w:rsid w:val="00F15136"/>
    <w:rsid w:val="00F15251"/>
    <w:rsid w:val="00F155A6"/>
    <w:rsid w:val="00F15B46"/>
    <w:rsid w:val="00F15C3B"/>
    <w:rsid w:val="00F162F0"/>
    <w:rsid w:val="00F16435"/>
    <w:rsid w:val="00F165C5"/>
    <w:rsid w:val="00F1672A"/>
    <w:rsid w:val="00F167AC"/>
    <w:rsid w:val="00F168BC"/>
    <w:rsid w:val="00F1727B"/>
    <w:rsid w:val="00F17502"/>
    <w:rsid w:val="00F1771C"/>
    <w:rsid w:val="00F17825"/>
    <w:rsid w:val="00F1784E"/>
    <w:rsid w:val="00F1791D"/>
    <w:rsid w:val="00F17A1E"/>
    <w:rsid w:val="00F17AFF"/>
    <w:rsid w:val="00F20142"/>
    <w:rsid w:val="00F203C2"/>
    <w:rsid w:val="00F20726"/>
    <w:rsid w:val="00F208C9"/>
    <w:rsid w:val="00F20C67"/>
    <w:rsid w:val="00F20D02"/>
    <w:rsid w:val="00F20D7D"/>
    <w:rsid w:val="00F20E41"/>
    <w:rsid w:val="00F20F40"/>
    <w:rsid w:val="00F21215"/>
    <w:rsid w:val="00F2169E"/>
    <w:rsid w:val="00F216DA"/>
    <w:rsid w:val="00F21BC0"/>
    <w:rsid w:val="00F21E00"/>
    <w:rsid w:val="00F21E8C"/>
    <w:rsid w:val="00F21F5E"/>
    <w:rsid w:val="00F2224A"/>
    <w:rsid w:val="00F22571"/>
    <w:rsid w:val="00F225EB"/>
    <w:rsid w:val="00F22BC5"/>
    <w:rsid w:val="00F22D9E"/>
    <w:rsid w:val="00F22E89"/>
    <w:rsid w:val="00F22F1D"/>
    <w:rsid w:val="00F23035"/>
    <w:rsid w:val="00F233AE"/>
    <w:rsid w:val="00F23548"/>
    <w:rsid w:val="00F235C1"/>
    <w:rsid w:val="00F23659"/>
    <w:rsid w:val="00F2384B"/>
    <w:rsid w:val="00F238F9"/>
    <w:rsid w:val="00F23A58"/>
    <w:rsid w:val="00F23BD1"/>
    <w:rsid w:val="00F23D93"/>
    <w:rsid w:val="00F23DDB"/>
    <w:rsid w:val="00F23E64"/>
    <w:rsid w:val="00F24017"/>
    <w:rsid w:val="00F24709"/>
    <w:rsid w:val="00F24A39"/>
    <w:rsid w:val="00F24F65"/>
    <w:rsid w:val="00F25537"/>
    <w:rsid w:val="00F25567"/>
    <w:rsid w:val="00F25713"/>
    <w:rsid w:val="00F25820"/>
    <w:rsid w:val="00F2586B"/>
    <w:rsid w:val="00F25ADF"/>
    <w:rsid w:val="00F25EA4"/>
    <w:rsid w:val="00F2606D"/>
    <w:rsid w:val="00F260E1"/>
    <w:rsid w:val="00F26272"/>
    <w:rsid w:val="00F263EE"/>
    <w:rsid w:val="00F26783"/>
    <w:rsid w:val="00F2684C"/>
    <w:rsid w:val="00F268C0"/>
    <w:rsid w:val="00F26D4E"/>
    <w:rsid w:val="00F26D64"/>
    <w:rsid w:val="00F26F70"/>
    <w:rsid w:val="00F274FC"/>
    <w:rsid w:val="00F27F6F"/>
    <w:rsid w:val="00F3010E"/>
    <w:rsid w:val="00F30129"/>
    <w:rsid w:val="00F301D8"/>
    <w:rsid w:val="00F304A7"/>
    <w:rsid w:val="00F3085D"/>
    <w:rsid w:val="00F3095B"/>
    <w:rsid w:val="00F309C6"/>
    <w:rsid w:val="00F30AB9"/>
    <w:rsid w:val="00F30C21"/>
    <w:rsid w:val="00F30CF5"/>
    <w:rsid w:val="00F30D88"/>
    <w:rsid w:val="00F30E7B"/>
    <w:rsid w:val="00F30EB1"/>
    <w:rsid w:val="00F314AA"/>
    <w:rsid w:val="00F3157E"/>
    <w:rsid w:val="00F315EE"/>
    <w:rsid w:val="00F31640"/>
    <w:rsid w:val="00F31710"/>
    <w:rsid w:val="00F31846"/>
    <w:rsid w:val="00F318B8"/>
    <w:rsid w:val="00F31F7E"/>
    <w:rsid w:val="00F32949"/>
    <w:rsid w:val="00F32A47"/>
    <w:rsid w:val="00F32D35"/>
    <w:rsid w:val="00F32D87"/>
    <w:rsid w:val="00F32E75"/>
    <w:rsid w:val="00F32F9F"/>
    <w:rsid w:val="00F33137"/>
    <w:rsid w:val="00F33592"/>
    <w:rsid w:val="00F3365E"/>
    <w:rsid w:val="00F336C6"/>
    <w:rsid w:val="00F336E3"/>
    <w:rsid w:val="00F33AC2"/>
    <w:rsid w:val="00F34076"/>
    <w:rsid w:val="00F34144"/>
    <w:rsid w:val="00F341F3"/>
    <w:rsid w:val="00F3465D"/>
    <w:rsid w:val="00F34846"/>
    <w:rsid w:val="00F34B4C"/>
    <w:rsid w:val="00F34C23"/>
    <w:rsid w:val="00F34F80"/>
    <w:rsid w:val="00F35078"/>
    <w:rsid w:val="00F35310"/>
    <w:rsid w:val="00F3539D"/>
    <w:rsid w:val="00F35638"/>
    <w:rsid w:val="00F35973"/>
    <w:rsid w:val="00F35AE0"/>
    <w:rsid w:val="00F35D63"/>
    <w:rsid w:val="00F35D99"/>
    <w:rsid w:val="00F35E2B"/>
    <w:rsid w:val="00F361B6"/>
    <w:rsid w:val="00F36396"/>
    <w:rsid w:val="00F363CF"/>
    <w:rsid w:val="00F36527"/>
    <w:rsid w:val="00F3663E"/>
    <w:rsid w:val="00F36649"/>
    <w:rsid w:val="00F36778"/>
    <w:rsid w:val="00F3699A"/>
    <w:rsid w:val="00F369F4"/>
    <w:rsid w:val="00F36A17"/>
    <w:rsid w:val="00F36C94"/>
    <w:rsid w:val="00F36D2A"/>
    <w:rsid w:val="00F36F5D"/>
    <w:rsid w:val="00F37040"/>
    <w:rsid w:val="00F3742F"/>
    <w:rsid w:val="00F37562"/>
    <w:rsid w:val="00F376C3"/>
    <w:rsid w:val="00F3780E"/>
    <w:rsid w:val="00F378B0"/>
    <w:rsid w:val="00F37AC0"/>
    <w:rsid w:val="00F37DD9"/>
    <w:rsid w:val="00F400ED"/>
    <w:rsid w:val="00F40251"/>
    <w:rsid w:val="00F403C2"/>
    <w:rsid w:val="00F403CD"/>
    <w:rsid w:val="00F404DA"/>
    <w:rsid w:val="00F405C5"/>
    <w:rsid w:val="00F405D2"/>
    <w:rsid w:val="00F405F7"/>
    <w:rsid w:val="00F40C0E"/>
    <w:rsid w:val="00F40C13"/>
    <w:rsid w:val="00F40EF4"/>
    <w:rsid w:val="00F40F0D"/>
    <w:rsid w:val="00F4108A"/>
    <w:rsid w:val="00F410E0"/>
    <w:rsid w:val="00F411A1"/>
    <w:rsid w:val="00F412D8"/>
    <w:rsid w:val="00F4178A"/>
    <w:rsid w:val="00F41C65"/>
    <w:rsid w:val="00F42382"/>
    <w:rsid w:val="00F423A7"/>
    <w:rsid w:val="00F423CD"/>
    <w:rsid w:val="00F424BE"/>
    <w:rsid w:val="00F425A4"/>
    <w:rsid w:val="00F427E7"/>
    <w:rsid w:val="00F4292C"/>
    <w:rsid w:val="00F42B5D"/>
    <w:rsid w:val="00F42DD2"/>
    <w:rsid w:val="00F435AB"/>
    <w:rsid w:val="00F436DC"/>
    <w:rsid w:val="00F436ED"/>
    <w:rsid w:val="00F43747"/>
    <w:rsid w:val="00F438E3"/>
    <w:rsid w:val="00F43C02"/>
    <w:rsid w:val="00F43E98"/>
    <w:rsid w:val="00F43F5F"/>
    <w:rsid w:val="00F43F78"/>
    <w:rsid w:val="00F441F1"/>
    <w:rsid w:val="00F44462"/>
    <w:rsid w:val="00F44970"/>
    <w:rsid w:val="00F44A1A"/>
    <w:rsid w:val="00F44A24"/>
    <w:rsid w:val="00F44D9F"/>
    <w:rsid w:val="00F44DF3"/>
    <w:rsid w:val="00F4501B"/>
    <w:rsid w:val="00F45192"/>
    <w:rsid w:val="00F45274"/>
    <w:rsid w:val="00F453CA"/>
    <w:rsid w:val="00F4541B"/>
    <w:rsid w:val="00F45529"/>
    <w:rsid w:val="00F455F6"/>
    <w:rsid w:val="00F4583C"/>
    <w:rsid w:val="00F45A06"/>
    <w:rsid w:val="00F45AE9"/>
    <w:rsid w:val="00F45C1F"/>
    <w:rsid w:val="00F45CBC"/>
    <w:rsid w:val="00F45CC8"/>
    <w:rsid w:val="00F4616F"/>
    <w:rsid w:val="00F4630E"/>
    <w:rsid w:val="00F46353"/>
    <w:rsid w:val="00F468A7"/>
    <w:rsid w:val="00F46CC2"/>
    <w:rsid w:val="00F46FA9"/>
    <w:rsid w:val="00F47227"/>
    <w:rsid w:val="00F47251"/>
    <w:rsid w:val="00F476A6"/>
    <w:rsid w:val="00F476B0"/>
    <w:rsid w:val="00F479AE"/>
    <w:rsid w:val="00F47B4C"/>
    <w:rsid w:val="00F47FE9"/>
    <w:rsid w:val="00F4E436"/>
    <w:rsid w:val="00F500DF"/>
    <w:rsid w:val="00F50368"/>
    <w:rsid w:val="00F50479"/>
    <w:rsid w:val="00F506E4"/>
    <w:rsid w:val="00F5072E"/>
    <w:rsid w:val="00F507F7"/>
    <w:rsid w:val="00F50BB2"/>
    <w:rsid w:val="00F50D44"/>
    <w:rsid w:val="00F50E2E"/>
    <w:rsid w:val="00F50EB0"/>
    <w:rsid w:val="00F510E0"/>
    <w:rsid w:val="00F5116E"/>
    <w:rsid w:val="00F512C0"/>
    <w:rsid w:val="00F51574"/>
    <w:rsid w:val="00F517B4"/>
    <w:rsid w:val="00F51A30"/>
    <w:rsid w:val="00F51DDF"/>
    <w:rsid w:val="00F52371"/>
    <w:rsid w:val="00F5269E"/>
    <w:rsid w:val="00F527B3"/>
    <w:rsid w:val="00F529EC"/>
    <w:rsid w:val="00F52CD5"/>
    <w:rsid w:val="00F52EA0"/>
    <w:rsid w:val="00F53070"/>
    <w:rsid w:val="00F5320D"/>
    <w:rsid w:val="00F53395"/>
    <w:rsid w:val="00F534A5"/>
    <w:rsid w:val="00F53718"/>
    <w:rsid w:val="00F5389B"/>
    <w:rsid w:val="00F53C02"/>
    <w:rsid w:val="00F53C8E"/>
    <w:rsid w:val="00F54317"/>
    <w:rsid w:val="00F54554"/>
    <w:rsid w:val="00F5483E"/>
    <w:rsid w:val="00F54AE3"/>
    <w:rsid w:val="00F54B0E"/>
    <w:rsid w:val="00F54B72"/>
    <w:rsid w:val="00F54C55"/>
    <w:rsid w:val="00F54D6E"/>
    <w:rsid w:val="00F54E6E"/>
    <w:rsid w:val="00F54FA5"/>
    <w:rsid w:val="00F54FF9"/>
    <w:rsid w:val="00F5543E"/>
    <w:rsid w:val="00F555F8"/>
    <w:rsid w:val="00F55689"/>
    <w:rsid w:val="00F55731"/>
    <w:rsid w:val="00F5593E"/>
    <w:rsid w:val="00F55B50"/>
    <w:rsid w:val="00F55C46"/>
    <w:rsid w:val="00F55DFC"/>
    <w:rsid w:val="00F55ECD"/>
    <w:rsid w:val="00F55F4B"/>
    <w:rsid w:val="00F560D9"/>
    <w:rsid w:val="00F56260"/>
    <w:rsid w:val="00F5628B"/>
    <w:rsid w:val="00F56371"/>
    <w:rsid w:val="00F5682C"/>
    <w:rsid w:val="00F568DE"/>
    <w:rsid w:val="00F5694D"/>
    <w:rsid w:val="00F56953"/>
    <w:rsid w:val="00F56A25"/>
    <w:rsid w:val="00F56EFD"/>
    <w:rsid w:val="00F57140"/>
    <w:rsid w:val="00F5716B"/>
    <w:rsid w:val="00F571B4"/>
    <w:rsid w:val="00F5746A"/>
    <w:rsid w:val="00F57598"/>
    <w:rsid w:val="00F57607"/>
    <w:rsid w:val="00F57678"/>
    <w:rsid w:val="00F57880"/>
    <w:rsid w:val="00F57A1A"/>
    <w:rsid w:val="00F57F89"/>
    <w:rsid w:val="00F601C8"/>
    <w:rsid w:val="00F60981"/>
    <w:rsid w:val="00F609E4"/>
    <w:rsid w:val="00F60A3C"/>
    <w:rsid w:val="00F60B8D"/>
    <w:rsid w:val="00F60CCD"/>
    <w:rsid w:val="00F60EAD"/>
    <w:rsid w:val="00F60EF8"/>
    <w:rsid w:val="00F60FE3"/>
    <w:rsid w:val="00F611DF"/>
    <w:rsid w:val="00F615CD"/>
    <w:rsid w:val="00F618BE"/>
    <w:rsid w:val="00F61AB0"/>
    <w:rsid w:val="00F61AF5"/>
    <w:rsid w:val="00F61BFE"/>
    <w:rsid w:val="00F61C69"/>
    <w:rsid w:val="00F61DB0"/>
    <w:rsid w:val="00F61DCD"/>
    <w:rsid w:val="00F61DD9"/>
    <w:rsid w:val="00F61E7A"/>
    <w:rsid w:val="00F620E1"/>
    <w:rsid w:val="00F622AE"/>
    <w:rsid w:val="00F62307"/>
    <w:rsid w:val="00F623E7"/>
    <w:rsid w:val="00F6243B"/>
    <w:rsid w:val="00F625B0"/>
    <w:rsid w:val="00F62755"/>
    <w:rsid w:val="00F62DA1"/>
    <w:rsid w:val="00F62EEA"/>
    <w:rsid w:val="00F62F17"/>
    <w:rsid w:val="00F63119"/>
    <w:rsid w:val="00F634EC"/>
    <w:rsid w:val="00F63887"/>
    <w:rsid w:val="00F63982"/>
    <w:rsid w:val="00F63B5F"/>
    <w:rsid w:val="00F63B61"/>
    <w:rsid w:val="00F63D52"/>
    <w:rsid w:val="00F63D72"/>
    <w:rsid w:val="00F63DED"/>
    <w:rsid w:val="00F63E13"/>
    <w:rsid w:val="00F63F5F"/>
    <w:rsid w:val="00F643C7"/>
    <w:rsid w:val="00F643CE"/>
    <w:rsid w:val="00F64729"/>
    <w:rsid w:val="00F648AB"/>
    <w:rsid w:val="00F64A2F"/>
    <w:rsid w:val="00F64BC3"/>
    <w:rsid w:val="00F64CFA"/>
    <w:rsid w:val="00F64E46"/>
    <w:rsid w:val="00F64E4C"/>
    <w:rsid w:val="00F65367"/>
    <w:rsid w:val="00F65470"/>
    <w:rsid w:val="00F655AC"/>
    <w:rsid w:val="00F655F0"/>
    <w:rsid w:val="00F6575C"/>
    <w:rsid w:val="00F65785"/>
    <w:rsid w:val="00F657D9"/>
    <w:rsid w:val="00F65E80"/>
    <w:rsid w:val="00F65E93"/>
    <w:rsid w:val="00F66653"/>
    <w:rsid w:val="00F667F6"/>
    <w:rsid w:val="00F668A7"/>
    <w:rsid w:val="00F6692E"/>
    <w:rsid w:val="00F66C0B"/>
    <w:rsid w:val="00F66EBD"/>
    <w:rsid w:val="00F670DE"/>
    <w:rsid w:val="00F672CC"/>
    <w:rsid w:val="00F67312"/>
    <w:rsid w:val="00F6747B"/>
    <w:rsid w:val="00F6766B"/>
    <w:rsid w:val="00F67C09"/>
    <w:rsid w:val="00F67CB0"/>
    <w:rsid w:val="00F67D88"/>
    <w:rsid w:val="00F67DC3"/>
    <w:rsid w:val="00F67E4D"/>
    <w:rsid w:val="00F7002A"/>
    <w:rsid w:val="00F70496"/>
    <w:rsid w:val="00F707FF"/>
    <w:rsid w:val="00F708BB"/>
    <w:rsid w:val="00F70959"/>
    <w:rsid w:val="00F70A77"/>
    <w:rsid w:val="00F70A9C"/>
    <w:rsid w:val="00F70C4E"/>
    <w:rsid w:val="00F71295"/>
    <w:rsid w:val="00F713B0"/>
    <w:rsid w:val="00F714E8"/>
    <w:rsid w:val="00F71556"/>
    <w:rsid w:val="00F717D4"/>
    <w:rsid w:val="00F71B60"/>
    <w:rsid w:val="00F71C32"/>
    <w:rsid w:val="00F71D2A"/>
    <w:rsid w:val="00F72275"/>
    <w:rsid w:val="00F724A2"/>
    <w:rsid w:val="00F727CA"/>
    <w:rsid w:val="00F72CBA"/>
    <w:rsid w:val="00F72CF8"/>
    <w:rsid w:val="00F72E3A"/>
    <w:rsid w:val="00F73509"/>
    <w:rsid w:val="00F7366C"/>
    <w:rsid w:val="00F73ACA"/>
    <w:rsid w:val="00F73B0B"/>
    <w:rsid w:val="00F73B76"/>
    <w:rsid w:val="00F73E54"/>
    <w:rsid w:val="00F74361"/>
    <w:rsid w:val="00F7440D"/>
    <w:rsid w:val="00F745CB"/>
    <w:rsid w:val="00F747D4"/>
    <w:rsid w:val="00F74BED"/>
    <w:rsid w:val="00F74BEF"/>
    <w:rsid w:val="00F74D5F"/>
    <w:rsid w:val="00F75037"/>
    <w:rsid w:val="00F7505B"/>
    <w:rsid w:val="00F75556"/>
    <w:rsid w:val="00F75647"/>
    <w:rsid w:val="00F75737"/>
    <w:rsid w:val="00F75D74"/>
    <w:rsid w:val="00F75F1E"/>
    <w:rsid w:val="00F75F31"/>
    <w:rsid w:val="00F764C1"/>
    <w:rsid w:val="00F76597"/>
    <w:rsid w:val="00F7664D"/>
    <w:rsid w:val="00F7665D"/>
    <w:rsid w:val="00F76725"/>
    <w:rsid w:val="00F7682C"/>
    <w:rsid w:val="00F76B1B"/>
    <w:rsid w:val="00F76C3F"/>
    <w:rsid w:val="00F76CD0"/>
    <w:rsid w:val="00F772A0"/>
    <w:rsid w:val="00F775E7"/>
    <w:rsid w:val="00F775FA"/>
    <w:rsid w:val="00F7793F"/>
    <w:rsid w:val="00F77BD0"/>
    <w:rsid w:val="00F77D65"/>
    <w:rsid w:val="00F77DE2"/>
    <w:rsid w:val="00F77DF9"/>
    <w:rsid w:val="00F77FBD"/>
    <w:rsid w:val="00F8017A"/>
    <w:rsid w:val="00F801E5"/>
    <w:rsid w:val="00F80B49"/>
    <w:rsid w:val="00F80BC9"/>
    <w:rsid w:val="00F812B1"/>
    <w:rsid w:val="00F81352"/>
    <w:rsid w:val="00F817A0"/>
    <w:rsid w:val="00F81A47"/>
    <w:rsid w:val="00F81B1A"/>
    <w:rsid w:val="00F81BAD"/>
    <w:rsid w:val="00F8205D"/>
    <w:rsid w:val="00F82144"/>
    <w:rsid w:val="00F824ED"/>
    <w:rsid w:val="00F8257B"/>
    <w:rsid w:val="00F8257E"/>
    <w:rsid w:val="00F82B8B"/>
    <w:rsid w:val="00F831A7"/>
    <w:rsid w:val="00F836E1"/>
    <w:rsid w:val="00F837F4"/>
    <w:rsid w:val="00F83A7A"/>
    <w:rsid w:val="00F83B23"/>
    <w:rsid w:val="00F83C22"/>
    <w:rsid w:val="00F83D28"/>
    <w:rsid w:val="00F841E8"/>
    <w:rsid w:val="00F844D0"/>
    <w:rsid w:val="00F8455B"/>
    <w:rsid w:val="00F8465E"/>
    <w:rsid w:val="00F84728"/>
    <w:rsid w:val="00F84892"/>
    <w:rsid w:val="00F84E54"/>
    <w:rsid w:val="00F84F15"/>
    <w:rsid w:val="00F84F6F"/>
    <w:rsid w:val="00F85023"/>
    <w:rsid w:val="00F85900"/>
    <w:rsid w:val="00F85903"/>
    <w:rsid w:val="00F85EC2"/>
    <w:rsid w:val="00F861F3"/>
    <w:rsid w:val="00F86536"/>
    <w:rsid w:val="00F86756"/>
    <w:rsid w:val="00F868F0"/>
    <w:rsid w:val="00F86AC2"/>
    <w:rsid w:val="00F86B41"/>
    <w:rsid w:val="00F86C4C"/>
    <w:rsid w:val="00F86ED4"/>
    <w:rsid w:val="00F86F47"/>
    <w:rsid w:val="00F87084"/>
    <w:rsid w:val="00F8711F"/>
    <w:rsid w:val="00F87425"/>
    <w:rsid w:val="00F8780E"/>
    <w:rsid w:val="00F8798C"/>
    <w:rsid w:val="00F87B4B"/>
    <w:rsid w:val="00F87C7D"/>
    <w:rsid w:val="00F87E6F"/>
    <w:rsid w:val="00F90033"/>
    <w:rsid w:val="00F905F3"/>
    <w:rsid w:val="00F9075C"/>
    <w:rsid w:val="00F909E7"/>
    <w:rsid w:val="00F91114"/>
    <w:rsid w:val="00F91524"/>
    <w:rsid w:val="00F918BB"/>
    <w:rsid w:val="00F91B21"/>
    <w:rsid w:val="00F91F4F"/>
    <w:rsid w:val="00F92110"/>
    <w:rsid w:val="00F9212F"/>
    <w:rsid w:val="00F92155"/>
    <w:rsid w:val="00F92528"/>
    <w:rsid w:val="00F9258B"/>
    <w:rsid w:val="00F9288A"/>
    <w:rsid w:val="00F92A07"/>
    <w:rsid w:val="00F92A8E"/>
    <w:rsid w:val="00F92C33"/>
    <w:rsid w:val="00F92C7F"/>
    <w:rsid w:val="00F92CBF"/>
    <w:rsid w:val="00F92F42"/>
    <w:rsid w:val="00F92F4D"/>
    <w:rsid w:val="00F92FF7"/>
    <w:rsid w:val="00F931D5"/>
    <w:rsid w:val="00F9355E"/>
    <w:rsid w:val="00F93591"/>
    <w:rsid w:val="00F936D8"/>
    <w:rsid w:val="00F937B8"/>
    <w:rsid w:val="00F93906"/>
    <w:rsid w:val="00F93D2A"/>
    <w:rsid w:val="00F93F0D"/>
    <w:rsid w:val="00F93F70"/>
    <w:rsid w:val="00F94567"/>
    <w:rsid w:val="00F94717"/>
    <w:rsid w:val="00F947AC"/>
    <w:rsid w:val="00F948B1"/>
    <w:rsid w:val="00F94B42"/>
    <w:rsid w:val="00F94BC8"/>
    <w:rsid w:val="00F94E7B"/>
    <w:rsid w:val="00F94F87"/>
    <w:rsid w:val="00F950A4"/>
    <w:rsid w:val="00F95208"/>
    <w:rsid w:val="00F95266"/>
    <w:rsid w:val="00F9540A"/>
    <w:rsid w:val="00F955E4"/>
    <w:rsid w:val="00F9575E"/>
    <w:rsid w:val="00F95AE3"/>
    <w:rsid w:val="00F95B27"/>
    <w:rsid w:val="00F95E01"/>
    <w:rsid w:val="00F95ED7"/>
    <w:rsid w:val="00F95F69"/>
    <w:rsid w:val="00F95F96"/>
    <w:rsid w:val="00F960C6"/>
    <w:rsid w:val="00F96298"/>
    <w:rsid w:val="00F96391"/>
    <w:rsid w:val="00F96686"/>
    <w:rsid w:val="00F969C9"/>
    <w:rsid w:val="00F96B43"/>
    <w:rsid w:val="00F96CD7"/>
    <w:rsid w:val="00F96F45"/>
    <w:rsid w:val="00F97094"/>
    <w:rsid w:val="00F971DA"/>
    <w:rsid w:val="00F9724E"/>
    <w:rsid w:val="00F97400"/>
    <w:rsid w:val="00F979AF"/>
    <w:rsid w:val="00F97BC4"/>
    <w:rsid w:val="00F97F29"/>
    <w:rsid w:val="00F97F72"/>
    <w:rsid w:val="00FA001F"/>
    <w:rsid w:val="00FA026D"/>
    <w:rsid w:val="00FA03A7"/>
    <w:rsid w:val="00FA04A7"/>
    <w:rsid w:val="00FA0A6C"/>
    <w:rsid w:val="00FA0A73"/>
    <w:rsid w:val="00FA0B7D"/>
    <w:rsid w:val="00FA0CE7"/>
    <w:rsid w:val="00FA0D7C"/>
    <w:rsid w:val="00FA0E77"/>
    <w:rsid w:val="00FA113B"/>
    <w:rsid w:val="00FA1161"/>
    <w:rsid w:val="00FA1171"/>
    <w:rsid w:val="00FA1F88"/>
    <w:rsid w:val="00FA1FE0"/>
    <w:rsid w:val="00FA28A5"/>
    <w:rsid w:val="00FA2AF9"/>
    <w:rsid w:val="00FA2B51"/>
    <w:rsid w:val="00FA2E36"/>
    <w:rsid w:val="00FA3323"/>
    <w:rsid w:val="00FA3489"/>
    <w:rsid w:val="00FA3602"/>
    <w:rsid w:val="00FA3EBE"/>
    <w:rsid w:val="00FA3F2F"/>
    <w:rsid w:val="00FA4019"/>
    <w:rsid w:val="00FA417A"/>
    <w:rsid w:val="00FA43FF"/>
    <w:rsid w:val="00FA4696"/>
    <w:rsid w:val="00FA4709"/>
    <w:rsid w:val="00FA4A4C"/>
    <w:rsid w:val="00FA4BB2"/>
    <w:rsid w:val="00FA4F42"/>
    <w:rsid w:val="00FA50E7"/>
    <w:rsid w:val="00FA510E"/>
    <w:rsid w:val="00FA527E"/>
    <w:rsid w:val="00FA56D0"/>
    <w:rsid w:val="00FA581E"/>
    <w:rsid w:val="00FA58AD"/>
    <w:rsid w:val="00FA590B"/>
    <w:rsid w:val="00FA5F08"/>
    <w:rsid w:val="00FA6A20"/>
    <w:rsid w:val="00FA6BC7"/>
    <w:rsid w:val="00FA6CF2"/>
    <w:rsid w:val="00FA6D2E"/>
    <w:rsid w:val="00FA7071"/>
    <w:rsid w:val="00FA740C"/>
    <w:rsid w:val="00FA764B"/>
    <w:rsid w:val="00FA7754"/>
    <w:rsid w:val="00FA779E"/>
    <w:rsid w:val="00FA7822"/>
    <w:rsid w:val="00FA7E1F"/>
    <w:rsid w:val="00FA7F35"/>
    <w:rsid w:val="00FB009E"/>
    <w:rsid w:val="00FB00D6"/>
    <w:rsid w:val="00FB041A"/>
    <w:rsid w:val="00FB075B"/>
    <w:rsid w:val="00FB081B"/>
    <w:rsid w:val="00FB08EC"/>
    <w:rsid w:val="00FB0B87"/>
    <w:rsid w:val="00FB0C0B"/>
    <w:rsid w:val="00FB0C27"/>
    <w:rsid w:val="00FB0CF2"/>
    <w:rsid w:val="00FB0F9D"/>
    <w:rsid w:val="00FB0FC1"/>
    <w:rsid w:val="00FB101A"/>
    <w:rsid w:val="00FB104C"/>
    <w:rsid w:val="00FB126A"/>
    <w:rsid w:val="00FB136D"/>
    <w:rsid w:val="00FB1594"/>
    <w:rsid w:val="00FB178B"/>
    <w:rsid w:val="00FB17E2"/>
    <w:rsid w:val="00FB1895"/>
    <w:rsid w:val="00FB19B4"/>
    <w:rsid w:val="00FB219C"/>
    <w:rsid w:val="00FB23FA"/>
    <w:rsid w:val="00FB2429"/>
    <w:rsid w:val="00FB2455"/>
    <w:rsid w:val="00FB2531"/>
    <w:rsid w:val="00FB25ED"/>
    <w:rsid w:val="00FB285B"/>
    <w:rsid w:val="00FB2869"/>
    <w:rsid w:val="00FB2914"/>
    <w:rsid w:val="00FB293D"/>
    <w:rsid w:val="00FB2A07"/>
    <w:rsid w:val="00FB2A39"/>
    <w:rsid w:val="00FB2BF3"/>
    <w:rsid w:val="00FB2EFD"/>
    <w:rsid w:val="00FB36F7"/>
    <w:rsid w:val="00FB3805"/>
    <w:rsid w:val="00FB3C91"/>
    <w:rsid w:val="00FB4548"/>
    <w:rsid w:val="00FB4615"/>
    <w:rsid w:val="00FB466A"/>
    <w:rsid w:val="00FB4696"/>
    <w:rsid w:val="00FB4787"/>
    <w:rsid w:val="00FB482C"/>
    <w:rsid w:val="00FB4872"/>
    <w:rsid w:val="00FB48CD"/>
    <w:rsid w:val="00FB4A4D"/>
    <w:rsid w:val="00FB4A6E"/>
    <w:rsid w:val="00FB4C52"/>
    <w:rsid w:val="00FB4E5C"/>
    <w:rsid w:val="00FB4ED1"/>
    <w:rsid w:val="00FB505F"/>
    <w:rsid w:val="00FB5302"/>
    <w:rsid w:val="00FB5581"/>
    <w:rsid w:val="00FB577A"/>
    <w:rsid w:val="00FB590C"/>
    <w:rsid w:val="00FB5C4B"/>
    <w:rsid w:val="00FB5E3A"/>
    <w:rsid w:val="00FB625C"/>
    <w:rsid w:val="00FB63EC"/>
    <w:rsid w:val="00FB64DB"/>
    <w:rsid w:val="00FB64DE"/>
    <w:rsid w:val="00FB6513"/>
    <w:rsid w:val="00FB6DB7"/>
    <w:rsid w:val="00FB7099"/>
    <w:rsid w:val="00FB71ED"/>
    <w:rsid w:val="00FB76A3"/>
    <w:rsid w:val="00FB784D"/>
    <w:rsid w:val="00FB7AD1"/>
    <w:rsid w:val="00FB7B12"/>
    <w:rsid w:val="00FB7BA5"/>
    <w:rsid w:val="00FB7C24"/>
    <w:rsid w:val="00FB7C2E"/>
    <w:rsid w:val="00FB7C5E"/>
    <w:rsid w:val="00FB7F7A"/>
    <w:rsid w:val="00FC01AC"/>
    <w:rsid w:val="00FC04ED"/>
    <w:rsid w:val="00FC0503"/>
    <w:rsid w:val="00FC077D"/>
    <w:rsid w:val="00FC0965"/>
    <w:rsid w:val="00FC0A5D"/>
    <w:rsid w:val="00FC0AD6"/>
    <w:rsid w:val="00FC0B1B"/>
    <w:rsid w:val="00FC0DCE"/>
    <w:rsid w:val="00FC0F23"/>
    <w:rsid w:val="00FC0F64"/>
    <w:rsid w:val="00FC1095"/>
    <w:rsid w:val="00FC1211"/>
    <w:rsid w:val="00FC13A6"/>
    <w:rsid w:val="00FC13BE"/>
    <w:rsid w:val="00FC148C"/>
    <w:rsid w:val="00FC16D9"/>
    <w:rsid w:val="00FC1B9B"/>
    <w:rsid w:val="00FC1C02"/>
    <w:rsid w:val="00FC1E72"/>
    <w:rsid w:val="00FC2001"/>
    <w:rsid w:val="00FC230F"/>
    <w:rsid w:val="00FC2586"/>
    <w:rsid w:val="00FC2787"/>
    <w:rsid w:val="00FC2870"/>
    <w:rsid w:val="00FC292C"/>
    <w:rsid w:val="00FC2A02"/>
    <w:rsid w:val="00FC2AF4"/>
    <w:rsid w:val="00FC2C77"/>
    <w:rsid w:val="00FC2DC2"/>
    <w:rsid w:val="00FC2F7D"/>
    <w:rsid w:val="00FC33BC"/>
    <w:rsid w:val="00FC34F1"/>
    <w:rsid w:val="00FC35CD"/>
    <w:rsid w:val="00FC3710"/>
    <w:rsid w:val="00FC3A28"/>
    <w:rsid w:val="00FC3A9D"/>
    <w:rsid w:val="00FC3DF3"/>
    <w:rsid w:val="00FC40C0"/>
    <w:rsid w:val="00FC42C6"/>
    <w:rsid w:val="00FC4C8C"/>
    <w:rsid w:val="00FC4D13"/>
    <w:rsid w:val="00FC500E"/>
    <w:rsid w:val="00FC5118"/>
    <w:rsid w:val="00FC53DC"/>
    <w:rsid w:val="00FC5563"/>
    <w:rsid w:val="00FC573F"/>
    <w:rsid w:val="00FC5750"/>
    <w:rsid w:val="00FC599C"/>
    <w:rsid w:val="00FC5CFE"/>
    <w:rsid w:val="00FC65EC"/>
    <w:rsid w:val="00FC6669"/>
    <w:rsid w:val="00FC66B6"/>
    <w:rsid w:val="00FC681E"/>
    <w:rsid w:val="00FC6D2E"/>
    <w:rsid w:val="00FC6DE2"/>
    <w:rsid w:val="00FC6F00"/>
    <w:rsid w:val="00FC6F78"/>
    <w:rsid w:val="00FC74A1"/>
    <w:rsid w:val="00FC74B7"/>
    <w:rsid w:val="00FC7555"/>
    <w:rsid w:val="00FC77A4"/>
    <w:rsid w:val="00FC7A6D"/>
    <w:rsid w:val="00FD011B"/>
    <w:rsid w:val="00FD01E2"/>
    <w:rsid w:val="00FD01FB"/>
    <w:rsid w:val="00FD0228"/>
    <w:rsid w:val="00FD0322"/>
    <w:rsid w:val="00FD03F0"/>
    <w:rsid w:val="00FD0443"/>
    <w:rsid w:val="00FD0572"/>
    <w:rsid w:val="00FD07CC"/>
    <w:rsid w:val="00FD0966"/>
    <w:rsid w:val="00FD0BF6"/>
    <w:rsid w:val="00FD1291"/>
    <w:rsid w:val="00FD1301"/>
    <w:rsid w:val="00FD184F"/>
    <w:rsid w:val="00FD2090"/>
    <w:rsid w:val="00FD22FC"/>
    <w:rsid w:val="00FD24AB"/>
    <w:rsid w:val="00FD257C"/>
    <w:rsid w:val="00FD25EA"/>
    <w:rsid w:val="00FD2842"/>
    <w:rsid w:val="00FD2BFD"/>
    <w:rsid w:val="00FD2E68"/>
    <w:rsid w:val="00FD2F28"/>
    <w:rsid w:val="00FD3048"/>
    <w:rsid w:val="00FD31B8"/>
    <w:rsid w:val="00FD3213"/>
    <w:rsid w:val="00FD38FA"/>
    <w:rsid w:val="00FD3BB8"/>
    <w:rsid w:val="00FD3FAD"/>
    <w:rsid w:val="00FD409F"/>
    <w:rsid w:val="00FD40AC"/>
    <w:rsid w:val="00FD437E"/>
    <w:rsid w:val="00FD4417"/>
    <w:rsid w:val="00FD4538"/>
    <w:rsid w:val="00FD4A75"/>
    <w:rsid w:val="00FD4B9A"/>
    <w:rsid w:val="00FD4BCA"/>
    <w:rsid w:val="00FD4C90"/>
    <w:rsid w:val="00FD4DED"/>
    <w:rsid w:val="00FD4F60"/>
    <w:rsid w:val="00FD5127"/>
    <w:rsid w:val="00FD5428"/>
    <w:rsid w:val="00FD54C0"/>
    <w:rsid w:val="00FD550A"/>
    <w:rsid w:val="00FD5644"/>
    <w:rsid w:val="00FD57C0"/>
    <w:rsid w:val="00FD581E"/>
    <w:rsid w:val="00FD5AAD"/>
    <w:rsid w:val="00FD5B6C"/>
    <w:rsid w:val="00FD5BB4"/>
    <w:rsid w:val="00FD5D96"/>
    <w:rsid w:val="00FD5FDA"/>
    <w:rsid w:val="00FD63B0"/>
    <w:rsid w:val="00FD674C"/>
    <w:rsid w:val="00FD67FB"/>
    <w:rsid w:val="00FD6CEA"/>
    <w:rsid w:val="00FD6D19"/>
    <w:rsid w:val="00FD716E"/>
    <w:rsid w:val="00FD738E"/>
    <w:rsid w:val="00FD73D6"/>
    <w:rsid w:val="00FD754F"/>
    <w:rsid w:val="00FD7650"/>
    <w:rsid w:val="00FD7977"/>
    <w:rsid w:val="00FD797B"/>
    <w:rsid w:val="00FD7B40"/>
    <w:rsid w:val="00FD7D2E"/>
    <w:rsid w:val="00FD7D62"/>
    <w:rsid w:val="00FE02B8"/>
    <w:rsid w:val="00FE03AE"/>
    <w:rsid w:val="00FE04EE"/>
    <w:rsid w:val="00FE050F"/>
    <w:rsid w:val="00FE0672"/>
    <w:rsid w:val="00FE0726"/>
    <w:rsid w:val="00FE0B30"/>
    <w:rsid w:val="00FE1145"/>
    <w:rsid w:val="00FE1238"/>
    <w:rsid w:val="00FE1276"/>
    <w:rsid w:val="00FE12A1"/>
    <w:rsid w:val="00FE13C3"/>
    <w:rsid w:val="00FE13D6"/>
    <w:rsid w:val="00FE160C"/>
    <w:rsid w:val="00FE1611"/>
    <w:rsid w:val="00FE1630"/>
    <w:rsid w:val="00FE17CF"/>
    <w:rsid w:val="00FE1BE8"/>
    <w:rsid w:val="00FE2177"/>
    <w:rsid w:val="00FE22CD"/>
    <w:rsid w:val="00FE22E4"/>
    <w:rsid w:val="00FE22E6"/>
    <w:rsid w:val="00FE237E"/>
    <w:rsid w:val="00FE26A1"/>
    <w:rsid w:val="00FE271F"/>
    <w:rsid w:val="00FE2A42"/>
    <w:rsid w:val="00FE2B6C"/>
    <w:rsid w:val="00FE2C9E"/>
    <w:rsid w:val="00FE2D88"/>
    <w:rsid w:val="00FE30DB"/>
    <w:rsid w:val="00FE31F6"/>
    <w:rsid w:val="00FE322A"/>
    <w:rsid w:val="00FE357D"/>
    <w:rsid w:val="00FE3C52"/>
    <w:rsid w:val="00FE3D92"/>
    <w:rsid w:val="00FE3ED7"/>
    <w:rsid w:val="00FE3FE2"/>
    <w:rsid w:val="00FE4449"/>
    <w:rsid w:val="00FE459B"/>
    <w:rsid w:val="00FE507B"/>
    <w:rsid w:val="00FE5883"/>
    <w:rsid w:val="00FE5897"/>
    <w:rsid w:val="00FE5F9A"/>
    <w:rsid w:val="00FE6096"/>
    <w:rsid w:val="00FE65FD"/>
    <w:rsid w:val="00FE66B1"/>
    <w:rsid w:val="00FE674E"/>
    <w:rsid w:val="00FE697C"/>
    <w:rsid w:val="00FE6C15"/>
    <w:rsid w:val="00FE76E4"/>
    <w:rsid w:val="00FE76E5"/>
    <w:rsid w:val="00FE7793"/>
    <w:rsid w:val="00FE781B"/>
    <w:rsid w:val="00FE7BFD"/>
    <w:rsid w:val="00FE7C46"/>
    <w:rsid w:val="00FE7D38"/>
    <w:rsid w:val="00FE7E20"/>
    <w:rsid w:val="00FF0255"/>
    <w:rsid w:val="00FF05B6"/>
    <w:rsid w:val="00FF076A"/>
    <w:rsid w:val="00FF0A62"/>
    <w:rsid w:val="00FF0B47"/>
    <w:rsid w:val="00FF0C72"/>
    <w:rsid w:val="00FF0D5C"/>
    <w:rsid w:val="00FF1259"/>
    <w:rsid w:val="00FF1930"/>
    <w:rsid w:val="00FF1EBC"/>
    <w:rsid w:val="00FF206C"/>
    <w:rsid w:val="00FF2B56"/>
    <w:rsid w:val="00FF2B62"/>
    <w:rsid w:val="00FF2C81"/>
    <w:rsid w:val="00FF2D63"/>
    <w:rsid w:val="00FF2E1E"/>
    <w:rsid w:val="00FF3209"/>
    <w:rsid w:val="00FF324E"/>
    <w:rsid w:val="00FF328B"/>
    <w:rsid w:val="00FF361E"/>
    <w:rsid w:val="00FF3961"/>
    <w:rsid w:val="00FF3AF2"/>
    <w:rsid w:val="00FF4021"/>
    <w:rsid w:val="00FF40AD"/>
    <w:rsid w:val="00FF42F6"/>
    <w:rsid w:val="00FF4438"/>
    <w:rsid w:val="00FF491F"/>
    <w:rsid w:val="00FF4A02"/>
    <w:rsid w:val="00FF4D07"/>
    <w:rsid w:val="00FF4FBA"/>
    <w:rsid w:val="00FF50E7"/>
    <w:rsid w:val="00FF51EC"/>
    <w:rsid w:val="00FF51F9"/>
    <w:rsid w:val="00FF53AE"/>
    <w:rsid w:val="00FF566B"/>
    <w:rsid w:val="00FF5682"/>
    <w:rsid w:val="00FF586F"/>
    <w:rsid w:val="00FF589F"/>
    <w:rsid w:val="00FF5B87"/>
    <w:rsid w:val="00FF5B9C"/>
    <w:rsid w:val="00FF5F54"/>
    <w:rsid w:val="00FF60EE"/>
    <w:rsid w:val="00FF6158"/>
    <w:rsid w:val="00FF6225"/>
    <w:rsid w:val="00FF62B9"/>
    <w:rsid w:val="00FF63C8"/>
    <w:rsid w:val="00FF654F"/>
    <w:rsid w:val="00FF67B0"/>
    <w:rsid w:val="00FF67CA"/>
    <w:rsid w:val="00FF67DB"/>
    <w:rsid w:val="00FF6A66"/>
    <w:rsid w:val="00FF6C39"/>
    <w:rsid w:val="00FF6E0B"/>
    <w:rsid w:val="00FF6E5F"/>
    <w:rsid w:val="00FF6FBC"/>
    <w:rsid w:val="00FF71DF"/>
    <w:rsid w:val="00FF75D2"/>
    <w:rsid w:val="00FF7A9A"/>
    <w:rsid w:val="00FF7A9C"/>
    <w:rsid w:val="00FF7E54"/>
    <w:rsid w:val="00FF7E70"/>
    <w:rsid w:val="01020E28"/>
    <w:rsid w:val="010904D9"/>
    <w:rsid w:val="010C3741"/>
    <w:rsid w:val="010DF61E"/>
    <w:rsid w:val="010F8679"/>
    <w:rsid w:val="01119EAF"/>
    <w:rsid w:val="011C002D"/>
    <w:rsid w:val="011EFBA0"/>
    <w:rsid w:val="012AD171"/>
    <w:rsid w:val="012D7040"/>
    <w:rsid w:val="012DF7F4"/>
    <w:rsid w:val="012FD920"/>
    <w:rsid w:val="01346565"/>
    <w:rsid w:val="0145D2CD"/>
    <w:rsid w:val="0148668C"/>
    <w:rsid w:val="014B0A7F"/>
    <w:rsid w:val="0151C1B8"/>
    <w:rsid w:val="0156F7DF"/>
    <w:rsid w:val="017811EA"/>
    <w:rsid w:val="0187557B"/>
    <w:rsid w:val="0195F89C"/>
    <w:rsid w:val="01ABCDA2"/>
    <w:rsid w:val="01AF6869"/>
    <w:rsid w:val="01B5008C"/>
    <w:rsid w:val="01C0021B"/>
    <w:rsid w:val="01C4E2B1"/>
    <w:rsid w:val="01C6AF9B"/>
    <w:rsid w:val="01CB0227"/>
    <w:rsid w:val="01D8240E"/>
    <w:rsid w:val="01DAEB98"/>
    <w:rsid w:val="01DB24AB"/>
    <w:rsid w:val="01DCE697"/>
    <w:rsid w:val="01E0C653"/>
    <w:rsid w:val="01E44EA3"/>
    <w:rsid w:val="01E938D0"/>
    <w:rsid w:val="01F81E0C"/>
    <w:rsid w:val="01FCAAFC"/>
    <w:rsid w:val="02036B0D"/>
    <w:rsid w:val="021A5477"/>
    <w:rsid w:val="021CA964"/>
    <w:rsid w:val="022264A4"/>
    <w:rsid w:val="022B85CF"/>
    <w:rsid w:val="022BC03D"/>
    <w:rsid w:val="022F2282"/>
    <w:rsid w:val="0230FEFC"/>
    <w:rsid w:val="023355B3"/>
    <w:rsid w:val="023F2024"/>
    <w:rsid w:val="0249DB1D"/>
    <w:rsid w:val="025B38F6"/>
    <w:rsid w:val="0268062E"/>
    <w:rsid w:val="026B0F65"/>
    <w:rsid w:val="026B6F86"/>
    <w:rsid w:val="026D480A"/>
    <w:rsid w:val="02738FCE"/>
    <w:rsid w:val="02763280"/>
    <w:rsid w:val="0278DA05"/>
    <w:rsid w:val="027ECC33"/>
    <w:rsid w:val="028D4233"/>
    <w:rsid w:val="028ED6CC"/>
    <w:rsid w:val="0290B5A0"/>
    <w:rsid w:val="029C15D0"/>
    <w:rsid w:val="02A39DCD"/>
    <w:rsid w:val="02B59AA4"/>
    <w:rsid w:val="02BD5EDE"/>
    <w:rsid w:val="02BEA56E"/>
    <w:rsid w:val="02CAEA3D"/>
    <w:rsid w:val="02CC292B"/>
    <w:rsid w:val="02EBCBAC"/>
    <w:rsid w:val="02EBDB77"/>
    <w:rsid w:val="02F35978"/>
    <w:rsid w:val="02F752E7"/>
    <w:rsid w:val="02F88F4E"/>
    <w:rsid w:val="02F9B9BD"/>
    <w:rsid w:val="02FFCE56"/>
    <w:rsid w:val="031119C8"/>
    <w:rsid w:val="031FFB18"/>
    <w:rsid w:val="0329D114"/>
    <w:rsid w:val="032D3636"/>
    <w:rsid w:val="0333F433"/>
    <w:rsid w:val="03402E72"/>
    <w:rsid w:val="034874F9"/>
    <w:rsid w:val="034D3FFB"/>
    <w:rsid w:val="034E955F"/>
    <w:rsid w:val="034F4FFA"/>
    <w:rsid w:val="0353E97E"/>
    <w:rsid w:val="03552C5A"/>
    <w:rsid w:val="035EB935"/>
    <w:rsid w:val="035ED9B0"/>
    <w:rsid w:val="03699000"/>
    <w:rsid w:val="0373165E"/>
    <w:rsid w:val="03784919"/>
    <w:rsid w:val="0382DC2D"/>
    <w:rsid w:val="0384D4F6"/>
    <w:rsid w:val="038BC288"/>
    <w:rsid w:val="0391D484"/>
    <w:rsid w:val="03923BEF"/>
    <w:rsid w:val="0395F8BB"/>
    <w:rsid w:val="039A8A92"/>
    <w:rsid w:val="03A2448F"/>
    <w:rsid w:val="03B71781"/>
    <w:rsid w:val="03BA20B9"/>
    <w:rsid w:val="03BB4E6E"/>
    <w:rsid w:val="03C1E7D8"/>
    <w:rsid w:val="03C2705C"/>
    <w:rsid w:val="03CEEAFF"/>
    <w:rsid w:val="03D23BCF"/>
    <w:rsid w:val="03D2FE9E"/>
    <w:rsid w:val="040161F9"/>
    <w:rsid w:val="0404A0E7"/>
    <w:rsid w:val="04051B1A"/>
    <w:rsid w:val="0419498A"/>
    <w:rsid w:val="0422E4A8"/>
    <w:rsid w:val="0427EA8E"/>
    <w:rsid w:val="04403F3A"/>
    <w:rsid w:val="045A633F"/>
    <w:rsid w:val="045D4592"/>
    <w:rsid w:val="0460C599"/>
    <w:rsid w:val="0473706F"/>
    <w:rsid w:val="04828486"/>
    <w:rsid w:val="0482D24F"/>
    <w:rsid w:val="0485FCDD"/>
    <w:rsid w:val="048E82AF"/>
    <w:rsid w:val="048F3BBD"/>
    <w:rsid w:val="049E8A7D"/>
    <w:rsid w:val="049F06F4"/>
    <w:rsid w:val="04A01FD8"/>
    <w:rsid w:val="04A331C7"/>
    <w:rsid w:val="04ACBB44"/>
    <w:rsid w:val="04B2964B"/>
    <w:rsid w:val="04B42787"/>
    <w:rsid w:val="04CEE769"/>
    <w:rsid w:val="04D664F9"/>
    <w:rsid w:val="04E0A442"/>
    <w:rsid w:val="04F2542F"/>
    <w:rsid w:val="04F5CAAC"/>
    <w:rsid w:val="04F99FAA"/>
    <w:rsid w:val="04FBA35F"/>
    <w:rsid w:val="05168679"/>
    <w:rsid w:val="053449A9"/>
    <w:rsid w:val="05380FD3"/>
    <w:rsid w:val="0545ABF1"/>
    <w:rsid w:val="0546A72A"/>
    <w:rsid w:val="0547A743"/>
    <w:rsid w:val="0555423E"/>
    <w:rsid w:val="055707DB"/>
    <w:rsid w:val="0560D39A"/>
    <w:rsid w:val="056EA292"/>
    <w:rsid w:val="057CF18F"/>
    <w:rsid w:val="057ED267"/>
    <w:rsid w:val="05823049"/>
    <w:rsid w:val="058C6CFE"/>
    <w:rsid w:val="059259A8"/>
    <w:rsid w:val="0593A28B"/>
    <w:rsid w:val="05AB10AD"/>
    <w:rsid w:val="05AB1A51"/>
    <w:rsid w:val="05B2D5D0"/>
    <w:rsid w:val="05B560F7"/>
    <w:rsid w:val="05BA75B5"/>
    <w:rsid w:val="05CCD03B"/>
    <w:rsid w:val="05D11A8B"/>
    <w:rsid w:val="05DA21AD"/>
    <w:rsid w:val="05DCF3DF"/>
    <w:rsid w:val="05E190E1"/>
    <w:rsid w:val="05EC82A2"/>
    <w:rsid w:val="05F3E169"/>
    <w:rsid w:val="06091135"/>
    <w:rsid w:val="0610C9A7"/>
    <w:rsid w:val="0613CA21"/>
    <w:rsid w:val="06161E0E"/>
    <w:rsid w:val="0619071D"/>
    <w:rsid w:val="061EF110"/>
    <w:rsid w:val="062C51A0"/>
    <w:rsid w:val="062E9575"/>
    <w:rsid w:val="06381891"/>
    <w:rsid w:val="0638A6EA"/>
    <w:rsid w:val="064156E8"/>
    <w:rsid w:val="06462F96"/>
    <w:rsid w:val="064F52A7"/>
    <w:rsid w:val="065D4AAD"/>
    <w:rsid w:val="065E0D00"/>
    <w:rsid w:val="065E250D"/>
    <w:rsid w:val="0672CE8A"/>
    <w:rsid w:val="067357A7"/>
    <w:rsid w:val="0675204A"/>
    <w:rsid w:val="067D7DB5"/>
    <w:rsid w:val="067F0459"/>
    <w:rsid w:val="068130A6"/>
    <w:rsid w:val="06946A36"/>
    <w:rsid w:val="0696B41C"/>
    <w:rsid w:val="069D0FAC"/>
    <w:rsid w:val="069E7BAC"/>
    <w:rsid w:val="06A42ED2"/>
    <w:rsid w:val="06A52C0E"/>
    <w:rsid w:val="06B4C106"/>
    <w:rsid w:val="06B7E095"/>
    <w:rsid w:val="06C26BD8"/>
    <w:rsid w:val="06C9A5B9"/>
    <w:rsid w:val="06D80DD6"/>
    <w:rsid w:val="06DA86BA"/>
    <w:rsid w:val="06E95F42"/>
    <w:rsid w:val="070358D3"/>
    <w:rsid w:val="070CB810"/>
    <w:rsid w:val="071C4236"/>
    <w:rsid w:val="071D7C6D"/>
    <w:rsid w:val="0721BD29"/>
    <w:rsid w:val="072AE06C"/>
    <w:rsid w:val="072D4642"/>
    <w:rsid w:val="07581B26"/>
    <w:rsid w:val="075CAF75"/>
    <w:rsid w:val="075EF265"/>
    <w:rsid w:val="0769D30F"/>
    <w:rsid w:val="076B7ED0"/>
    <w:rsid w:val="0779D7F2"/>
    <w:rsid w:val="078A433A"/>
    <w:rsid w:val="0796410D"/>
    <w:rsid w:val="079A4273"/>
    <w:rsid w:val="07AE660A"/>
    <w:rsid w:val="07B781C8"/>
    <w:rsid w:val="07BB7201"/>
    <w:rsid w:val="07BD60E5"/>
    <w:rsid w:val="07C34109"/>
    <w:rsid w:val="07D9C2DE"/>
    <w:rsid w:val="07E1249B"/>
    <w:rsid w:val="07E9A8F4"/>
    <w:rsid w:val="07F605CF"/>
    <w:rsid w:val="07FBCE3B"/>
    <w:rsid w:val="08012ACB"/>
    <w:rsid w:val="0804B8BA"/>
    <w:rsid w:val="08167C35"/>
    <w:rsid w:val="081A5200"/>
    <w:rsid w:val="082B3588"/>
    <w:rsid w:val="082BA5EB"/>
    <w:rsid w:val="08381244"/>
    <w:rsid w:val="084A005C"/>
    <w:rsid w:val="084B8DFE"/>
    <w:rsid w:val="08527A9B"/>
    <w:rsid w:val="0853AADD"/>
    <w:rsid w:val="08549EC5"/>
    <w:rsid w:val="085BA698"/>
    <w:rsid w:val="086CBD53"/>
    <w:rsid w:val="086D1FFD"/>
    <w:rsid w:val="0874A1A9"/>
    <w:rsid w:val="087764E3"/>
    <w:rsid w:val="08925A7A"/>
    <w:rsid w:val="0892762A"/>
    <w:rsid w:val="089F5D41"/>
    <w:rsid w:val="08AF543B"/>
    <w:rsid w:val="08B03CF2"/>
    <w:rsid w:val="08C15A50"/>
    <w:rsid w:val="09031F2B"/>
    <w:rsid w:val="0903339B"/>
    <w:rsid w:val="0937DBFA"/>
    <w:rsid w:val="093A7F3A"/>
    <w:rsid w:val="093C623F"/>
    <w:rsid w:val="094BF7F5"/>
    <w:rsid w:val="094C26C9"/>
    <w:rsid w:val="0960B1CD"/>
    <w:rsid w:val="0965BE0F"/>
    <w:rsid w:val="0968EA41"/>
    <w:rsid w:val="0969587E"/>
    <w:rsid w:val="0978C0ED"/>
    <w:rsid w:val="098B597F"/>
    <w:rsid w:val="098FD883"/>
    <w:rsid w:val="099788FA"/>
    <w:rsid w:val="0999921E"/>
    <w:rsid w:val="099C10C1"/>
    <w:rsid w:val="09A40F02"/>
    <w:rsid w:val="09A4509A"/>
    <w:rsid w:val="09A82A3B"/>
    <w:rsid w:val="09B2137B"/>
    <w:rsid w:val="09B57A36"/>
    <w:rsid w:val="09BA1A3F"/>
    <w:rsid w:val="09BCEFA6"/>
    <w:rsid w:val="09BDD6E0"/>
    <w:rsid w:val="09C2F10D"/>
    <w:rsid w:val="09C82330"/>
    <w:rsid w:val="09D607D8"/>
    <w:rsid w:val="09E37732"/>
    <w:rsid w:val="09E86ECE"/>
    <w:rsid w:val="09E9E149"/>
    <w:rsid w:val="09ECB7C7"/>
    <w:rsid w:val="0A04A3E2"/>
    <w:rsid w:val="0A04E33C"/>
    <w:rsid w:val="0A0D7703"/>
    <w:rsid w:val="0A138284"/>
    <w:rsid w:val="0A276421"/>
    <w:rsid w:val="0A38EBD3"/>
    <w:rsid w:val="0A4AE277"/>
    <w:rsid w:val="0A4DD299"/>
    <w:rsid w:val="0A585AAD"/>
    <w:rsid w:val="0A5BCD3D"/>
    <w:rsid w:val="0A6F6BAA"/>
    <w:rsid w:val="0A7067C6"/>
    <w:rsid w:val="0A7EE05B"/>
    <w:rsid w:val="0A812E88"/>
    <w:rsid w:val="0A8E05C0"/>
    <w:rsid w:val="0A90FDDB"/>
    <w:rsid w:val="0A91F02A"/>
    <w:rsid w:val="0AA14100"/>
    <w:rsid w:val="0AA7B87A"/>
    <w:rsid w:val="0AA8BE59"/>
    <w:rsid w:val="0AAAFFDA"/>
    <w:rsid w:val="0ABCDC6D"/>
    <w:rsid w:val="0ABF6ACB"/>
    <w:rsid w:val="0AC891B0"/>
    <w:rsid w:val="0AD70E2B"/>
    <w:rsid w:val="0AD8D9FC"/>
    <w:rsid w:val="0ADDD9EC"/>
    <w:rsid w:val="0AE03CAE"/>
    <w:rsid w:val="0AE46771"/>
    <w:rsid w:val="0AE5116B"/>
    <w:rsid w:val="0AE583FE"/>
    <w:rsid w:val="0AF8D73C"/>
    <w:rsid w:val="0B04A3CC"/>
    <w:rsid w:val="0B0572E8"/>
    <w:rsid w:val="0B0CB342"/>
    <w:rsid w:val="0B155DDC"/>
    <w:rsid w:val="0B18C233"/>
    <w:rsid w:val="0B1DDD36"/>
    <w:rsid w:val="0B1EBA73"/>
    <w:rsid w:val="0B2C9BF1"/>
    <w:rsid w:val="0B3E7E86"/>
    <w:rsid w:val="0B402892"/>
    <w:rsid w:val="0B65F843"/>
    <w:rsid w:val="0B6B269B"/>
    <w:rsid w:val="0B6DC2EE"/>
    <w:rsid w:val="0B6DE249"/>
    <w:rsid w:val="0B76BB8E"/>
    <w:rsid w:val="0B7885E3"/>
    <w:rsid w:val="0B7BF601"/>
    <w:rsid w:val="0B83842D"/>
    <w:rsid w:val="0B8C5D06"/>
    <w:rsid w:val="0B95F1DD"/>
    <w:rsid w:val="0B9F8587"/>
    <w:rsid w:val="0BA607FD"/>
    <w:rsid w:val="0BA82139"/>
    <w:rsid w:val="0BAA8593"/>
    <w:rsid w:val="0BAD77EF"/>
    <w:rsid w:val="0BC87CDA"/>
    <w:rsid w:val="0BE21CFD"/>
    <w:rsid w:val="0BF80447"/>
    <w:rsid w:val="0BF8F91E"/>
    <w:rsid w:val="0BFC6540"/>
    <w:rsid w:val="0C051704"/>
    <w:rsid w:val="0C0D6EFC"/>
    <w:rsid w:val="0C175DF7"/>
    <w:rsid w:val="0C1AB0E3"/>
    <w:rsid w:val="0C3AB584"/>
    <w:rsid w:val="0C509C3F"/>
    <w:rsid w:val="0C539D93"/>
    <w:rsid w:val="0C5A1A6B"/>
    <w:rsid w:val="0C5E88CB"/>
    <w:rsid w:val="0C726DEF"/>
    <w:rsid w:val="0C7962D1"/>
    <w:rsid w:val="0C8FD798"/>
    <w:rsid w:val="0C9196DB"/>
    <w:rsid w:val="0C92893C"/>
    <w:rsid w:val="0C97E1F6"/>
    <w:rsid w:val="0C9FDCDB"/>
    <w:rsid w:val="0CA5723F"/>
    <w:rsid w:val="0CA5A458"/>
    <w:rsid w:val="0CAAB29B"/>
    <w:rsid w:val="0CAFB91C"/>
    <w:rsid w:val="0CB2D45E"/>
    <w:rsid w:val="0CB50639"/>
    <w:rsid w:val="0CB750FB"/>
    <w:rsid w:val="0CC6DE11"/>
    <w:rsid w:val="0CD09809"/>
    <w:rsid w:val="0CE4FE67"/>
    <w:rsid w:val="0CF81714"/>
    <w:rsid w:val="0CF8DF29"/>
    <w:rsid w:val="0CFAEDB4"/>
    <w:rsid w:val="0CFBCDCB"/>
    <w:rsid w:val="0CFEB43E"/>
    <w:rsid w:val="0D1342EE"/>
    <w:rsid w:val="0D167D79"/>
    <w:rsid w:val="0D17FFB5"/>
    <w:rsid w:val="0D2A7602"/>
    <w:rsid w:val="0D2AE55A"/>
    <w:rsid w:val="0D34D21F"/>
    <w:rsid w:val="0D3B3203"/>
    <w:rsid w:val="0D3CBE27"/>
    <w:rsid w:val="0D3FA1F4"/>
    <w:rsid w:val="0D5AD116"/>
    <w:rsid w:val="0D5E041E"/>
    <w:rsid w:val="0D614538"/>
    <w:rsid w:val="0D66BAB8"/>
    <w:rsid w:val="0D7912D0"/>
    <w:rsid w:val="0D88039F"/>
    <w:rsid w:val="0D95513F"/>
    <w:rsid w:val="0D95D6A4"/>
    <w:rsid w:val="0D962579"/>
    <w:rsid w:val="0D96924F"/>
    <w:rsid w:val="0DBBC1DC"/>
    <w:rsid w:val="0DE3E85B"/>
    <w:rsid w:val="0DEA79FA"/>
    <w:rsid w:val="0DF34346"/>
    <w:rsid w:val="0E0140F3"/>
    <w:rsid w:val="0E0590B2"/>
    <w:rsid w:val="0E184921"/>
    <w:rsid w:val="0E2C6C98"/>
    <w:rsid w:val="0E2EB2D1"/>
    <w:rsid w:val="0E37DDF4"/>
    <w:rsid w:val="0E424EAD"/>
    <w:rsid w:val="0E4C251D"/>
    <w:rsid w:val="0E4E053E"/>
    <w:rsid w:val="0E54FB17"/>
    <w:rsid w:val="0E6146B7"/>
    <w:rsid w:val="0E6659B1"/>
    <w:rsid w:val="0E68517D"/>
    <w:rsid w:val="0E6C4B92"/>
    <w:rsid w:val="0E7E7DC8"/>
    <w:rsid w:val="0E8184A6"/>
    <w:rsid w:val="0E98C033"/>
    <w:rsid w:val="0E9E9898"/>
    <w:rsid w:val="0EA1C90A"/>
    <w:rsid w:val="0EA5C0A8"/>
    <w:rsid w:val="0EB3CB43"/>
    <w:rsid w:val="0EC5DBF7"/>
    <w:rsid w:val="0EE97E90"/>
    <w:rsid w:val="0EEE297A"/>
    <w:rsid w:val="0EF71CD6"/>
    <w:rsid w:val="0F025F7A"/>
    <w:rsid w:val="0F0372B6"/>
    <w:rsid w:val="0F13B6E7"/>
    <w:rsid w:val="0F18178F"/>
    <w:rsid w:val="0F181C7A"/>
    <w:rsid w:val="0F346FBA"/>
    <w:rsid w:val="0F34AA46"/>
    <w:rsid w:val="0F3BB431"/>
    <w:rsid w:val="0F3BF6DC"/>
    <w:rsid w:val="0F3F94E9"/>
    <w:rsid w:val="0F4E10A6"/>
    <w:rsid w:val="0F5E664F"/>
    <w:rsid w:val="0F606C2A"/>
    <w:rsid w:val="0F60D141"/>
    <w:rsid w:val="0F6B244C"/>
    <w:rsid w:val="0F6F3137"/>
    <w:rsid w:val="0F70610E"/>
    <w:rsid w:val="0F71AD4A"/>
    <w:rsid w:val="0F951DCB"/>
    <w:rsid w:val="0F95DC81"/>
    <w:rsid w:val="0F97C08C"/>
    <w:rsid w:val="0FA3A09C"/>
    <w:rsid w:val="0FA3B723"/>
    <w:rsid w:val="0FA4A3DB"/>
    <w:rsid w:val="0FAFC7DD"/>
    <w:rsid w:val="0FB2098F"/>
    <w:rsid w:val="0FB4E1FB"/>
    <w:rsid w:val="0FB7A631"/>
    <w:rsid w:val="0FD54033"/>
    <w:rsid w:val="0FD73D2D"/>
    <w:rsid w:val="0FE31485"/>
    <w:rsid w:val="0FF656F3"/>
    <w:rsid w:val="10162F99"/>
    <w:rsid w:val="10166FEA"/>
    <w:rsid w:val="10174F5F"/>
    <w:rsid w:val="10181783"/>
    <w:rsid w:val="1027A888"/>
    <w:rsid w:val="10315B3B"/>
    <w:rsid w:val="1051C987"/>
    <w:rsid w:val="105D280F"/>
    <w:rsid w:val="1060C6A7"/>
    <w:rsid w:val="1060EF22"/>
    <w:rsid w:val="106264DE"/>
    <w:rsid w:val="10737F7A"/>
    <w:rsid w:val="107A14D7"/>
    <w:rsid w:val="107AE3F0"/>
    <w:rsid w:val="10933276"/>
    <w:rsid w:val="109A7ECC"/>
    <w:rsid w:val="10AAD4D9"/>
    <w:rsid w:val="10B61D11"/>
    <w:rsid w:val="10CF9BEC"/>
    <w:rsid w:val="10E08A40"/>
    <w:rsid w:val="10E9EA78"/>
    <w:rsid w:val="10F429F6"/>
    <w:rsid w:val="110EBD4F"/>
    <w:rsid w:val="1112FC8B"/>
    <w:rsid w:val="111DDFBA"/>
    <w:rsid w:val="1137C613"/>
    <w:rsid w:val="1139AA88"/>
    <w:rsid w:val="114534B3"/>
    <w:rsid w:val="1145B706"/>
    <w:rsid w:val="11650E45"/>
    <w:rsid w:val="116CAFB5"/>
    <w:rsid w:val="11944A3E"/>
    <w:rsid w:val="11B3086E"/>
    <w:rsid w:val="11C73D8E"/>
    <w:rsid w:val="11CF9550"/>
    <w:rsid w:val="11CFE035"/>
    <w:rsid w:val="11D15E86"/>
    <w:rsid w:val="11D95255"/>
    <w:rsid w:val="11E6B702"/>
    <w:rsid w:val="11EA11A4"/>
    <w:rsid w:val="11EB942A"/>
    <w:rsid w:val="11FE837C"/>
    <w:rsid w:val="1217F78F"/>
    <w:rsid w:val="121CA905"/>
    <w:rsid w:val="122192DD"/>
    <w:rsid w:val="123606B8"/>
    <w:rsid w:val="12388E27"/>
    <w:rsid w:val="124E62A0"/>
    <w:rsid w:val="1255FF0D"/>
    <w:rsid w:val="125B88D2"/>
    <w:rsid w:val="126E2F79"/>
    <w:rsid w:val="1272FB0C"/>
    <w:rsid w:val="127E2868"/>
    <w:rsid w:val="1280DE5F"/>
    <w:rsid w:val="1295C792"/>
    <w:rsid w:val="129C1EC5"/>
    <w:rsid w:val="12A4F956"/>
    <w:rsid w:val="12A95FA8"/>
    <w:rsid w:val="12A9AB2F"/>
    <w:rsid w:val="12AB0C25"/>
    <w:rsid w:val="12AD1D42"/>
    <w:rsid w:val="12B9312C"/>
    <w:rsid w:val="12C8B2B7"/>
    <w:rsid w:val="12CDACE8"/>
    <w:rsid w:val="12D33156"/>
    <w:rsid w:val="12D55E60"/>
    <w:rsid w:val="12E3B948"/>
    <w:rsid w:val="12E9BBCE"/>
    <w:rsid w:val="12EC4C3A"/>
    <w:rsid w:val="12F1A093"/>
    <w:rsid w:val="12F62185"/>
    <w:rsid w:val="12FE8A0C"/>
    <w:rsid w:val="1304B18F"/>
    <w:rsid w:val="1306DA52"/>
    <w:rsid w:val="130BC82D"/>
    <w:rsid w:val="1315E980"/>
    <w:rsid w:val="131E170B"/>
    <w:rsid w:val="133457E8"/>
    <w:rsid w:val="1336EA4B"/>
    <w:rsid w:val="133B837F"/>
    <w:rsid w:val="133D13BD"/>
    <w:rsid w:val="133D65BC"/>
    <w:rsid w:val="13400797"/>
    <w:rsid w:val="13401B3F"/>
    <w:rsid w:val="13413DA4"/>
    <w:rsid w:val="13429293"/>
    <w:rsid w:val="13447DD2"/>
    <w:rsid w:val="1358F936"/>
    <w:rsid w:val="1359C2EF"/>
    <w:rsid w:val="135AEACF"/>
    <w:rsid w:val="135C8548"/>
    <w:rsid w:val="1379C61B"/>
    <w:rsid w:val="137A511F"/>
    <w:rsid w:val="13808E52"/>
    <w:rsid w:val="13813D75"/>
    <w:rsid w:val="1381DFBA"/>
    <w:rsid w:val="13879214"/>
    <w:rsid w:val="13903E20"/>
    <w:rsid w:val="13991C7E"/>
    <w:rsid w:val="139DA600"/>
    <w:rsid w:val="13A18A5D"/>
    <w:rsid w:val="13A3CB7F"/>
    <w:rsid w:val="13B4A148"/>
    <w:rsid w:val="13BB4A97"/>
    <w:rsid w:val="13D1E33C"/>
    <w:rsid w:val="13E17400"/>
    <w:rsid w:val="13E60901"/>
    <w:rsid w:val="140BD80A"/>
    <w:rsid w:val="14101939"/>
    <w:rsid w:val="1414A497"/>
    <w:rsid w:val="14254F69"/>
    <w:rsid w:val="1426FFBD"/>
    <w:rsid w:val="14430B4B"/>
    <w:rsid w:val="14437994"/>
    <w:rsid w:val="1456B911"/>
    <w:rsid w:val="1456E8D6"/>
    <w:rsid w:val="145FD8C2"/>
    <w:rsid w:val="14671DFA"/>
    <w:rsid w:val="146E7385"/>
    <w:rsid w:val="14872DEA"/>
    <w:rsid w:val="148DAB43"/>
    <w:rsid w:val="149229F1"/>
    <w:rsid w:val="14946009"/>
    <w:rsid w:val="149C07B3"/>
    <w:rsid w:val="14A7070E"/>
    <w:rsid w:val="14A95A2B"/>
    <w:rsid w:val="14AD4CE7"/>
    <w:rsid w:val="14ADEA9A"/>
    <w:rsid w:val="14AEA262"/>
    <w:rsid w:val="14BDB574"/>
    <w:rsid w:val="14BF992C"/>
    <w:rsid w:val="14CD0C61"/>
    <w:rsid w:val="14D0F247"/>
    <w:rsid w:val="14D29AEB"/>
    <w:rsid w:val="14DEAD3A"/>
    <w:rsid w:val="14EEB307"/>
    <w:rsid w:val="14FD80CB"/>
    <w:rsid w:val="1505A8F6"/>
    <w:rsid w:val="1505F94D"/>
    <w:rsid w:val="150AC7AC"/>
    <w:rsid w:val="150C064A"/>
    <w:rsid w:val="15185E6A"/>
    <w:rsid w:val="151FC27B"/>
    <w:rsid w:val="15280CC1"/>
    <w:rsid w:val="1536A201"/>
    <w:rsid w:val="1540B4E3"/>
    <w:rsid w:val="1546C05A"/>
    <w:rsid w:val="154C25F5"/>
    <w:rsid w:val="154DE800"/>
    <w:rsid w:val="1558BB60"/>
    <w:rsid w:val="1562864B"/>
    <w:rsid w:val="156BF36F"/>
    <w:rsid w:val="157638F4"/>
    <w:rsid w:val="159656B6"/>
    <w:rsid w:val="1596C6B3"/>
    <w:rsid w:val="1599B18E"/>
    <w:rsid w:val="159D25FB"/>
    <w:rsid w:val="159D5CC2"/>
    <w:rsid w:val="15A0CE4E"/>
    <w:rsid w:val="15A47654"/>
    <w:rsid w:val="15A72175"/>
    <w:rsid w:val="15A7C55D"/>
    <w:rsid w:val="15A87AD8"/>
    <w:rsid w:val="15AF0DFD"/>
    <w:rsid w:val="15B03A76"/>
    <w:rsid w:val="15D8BD22"/>
    <w:rsid w:val="15DF3B95"/>
    <w:rsid w:val="15EC75C5"/>
    <w:rsid w:val="15EF8278"/>
    <w:rsid w:val="15F63BA7"/>
    <w:rsid w:val="15F72B91"/>
    <w:rsid w:val="15FDA42E"/>
    <w:rsid w:val="1615B92A"/>
    <w:rsid w:val="1617938D"/>
    <w:rsid w:val="1619EA92"/>
    <w:rsid w:val="161A0A05"/>
    <w:rsid w:val="161B5BBD"/>
    <w:rsid w:val="1620F903"/>
    <w:rsid w:val="16354CCC"/>
    <w:rsid w:val="163E36AC"/>
    <w:rsid w:val="16420502"/>
    <w:rsid w:val="16474CC8"/>
    <w:rsid w:val="164E2837"/>
    <w:rsid w:val="16504C48"/>
    <w:rsid w:val="165B6C44"/>
    <w:rsid w:val="16694F05"/>
    <w:rsid w:val="166B4884"/>
    <w:rsid w:val="166EB391"/>
    <w:rsid w:val="1675A1A9"/>
    <w:rsid w:val="167D55F4"/>
    <w:rsid w:val="168544AA"/>
    <w:rsid w:val="1686C929"/>
    <w:rsid w:val="168CECA5"/>
    <w:rsid w:val="1694CB9F"/>
    <w:rsid w:val="169DA525"/>
    <w:rsid w:val="16B312E0"/>
    <w:rsid w:val="16C7F9E7"/>
    <w:rsid w:val="16CAA591"/>
    <w:rsid w:val="16D2E25E"/>
    <w:rsid w:val="16D73450"/>
    <w:rsid w:val="16D85987"/>
    <w:rsid w:val="16DBABB7"/>
    <w:rsid w:val="16DCAC67"/>
    <w:rsid w:val="16DDF45D"/>
    <w:rsid w:val="16E3C69F"/>
    <w:rsid w:val="16EAD16C"/>
    <w:rsid w:val="1704FEF5"/>
    <w:rsid w:val="1706FAF7"/>
    <w:rsid w:val="1712283F"/>
    <w:rsid w:val="1712480A"/>
    <w:rsid w:val="1715781E"/>
    <w:rsid w:val="1717A7F3"/>
    <w:rsid w:val="17192FE3"/>
    <w:rsid w:val="171F4692"/>
    <w:rsid w:val="172AF7A6"/>
    <w:rsid w:val="17357724"/>
    <w:rsid w:val="17390E82"/>
    <w:rsid w:val="173CB4E2"/>
    <w:rsid w:val="174280E8"/>
    <w:rsid w:val="1758AFF1"/>
    <w:rsid w:val="175B7DC0"/>
    <w:rsid w:val="17605565"/>
    <w:rsid w:val="176BF9C1"/>
    <w:rsid w:val="17729CC3"/>
    <w:rsid w:val="1779873F"/>
    <w:rsid w:val="177DEB76"/>
    <w:rsid w:val="1784BA95"/>
    <w:rsid w:val="178DA6FB"/>
    <w:rsid w:val="178F4065"/>
    <w:rsid w:val="1794EA72"/>
    <w:rsid w:val="17985071"/>
    <w:rsid w:val="17A62644"/>
    <w:rsid w:val="17A82150"/>
    <w:rsid w:val="17AED944"/>
    <w:rsid w:val="17B4AFF1"/>
    <w:rsid w:val="17C9553F"/>
    <w:rsid w:val="17CE0A7D"/>
    <w:rsid w:val="17CF5530"/>
    <w:rsid w:val="17D1AD5D"/>
    <w:rsid w:val="17DF9ABC"/>
    <w:rsid w:val="17E05481"/>
    <w:rsid w:val="17ECFD15"/>
    <w:rsid w:val="180B46B8"/>
    <w:rsid w:val="18117F55"/>
    <w:rsid w:val="1820B901"/>
    <w:rsid w:val="183772DD"/>
    <w:rsid w:val="1839A50D"/>
    <w:rsid w:val="1843BF3D"/>
    <w:rsid w:val="1850AEA5"/>
    <w:rsid w:val="186DA0DA"/>
    <w:rsid w:val="18873393"/>
    <w:rsid w:val="188B37C8"/>
    <w:rsid w:val="189C5FBA"/>
    <w:rsid w:val="189E1698"/>
    <w:rsid w:val="18A21FC8"/>
    <w:rsid w:val="18A44634"/>
    <w:rsid w:val="18AD9F5C"/>
    <w:rsid w:val="18AE5EC7"/>
    <w:rsid w:val="18B0A3D2"/>
    <w:rsid w:val="18B141CB"/>
    <w:rsid w:val="18B8455E"/>
    <w:rsid w:val="18BB8872"/>
    <w:rsid w:val="18BE7DC7"/>
    <w:rsid w:val="18DC6111"/>
    <w:rsid w:val="18DE9F80"/>
    <w:rsid w:val="18F48B8C"/>
    <w:rsid w:val="18F53D66"/>
    <w:rsid w:val="18FDA844"/>
    <w:rsid w:val="190A9C87"/>
    <w:rsid w:val="1912416E"/>
    <w:rsid w:val="19240191"/>
    <w:rsid w:val="19250389"/>
    <w:rsid w:val="19527633"/>
    <w:rsid w:val="195875C8"/>
    <w:rsid w:val="1960BE75"/>
    <w:rsid w:val="1963E9B7"/>
    <w:rsid w:val="1964CE89"/>
    <w:rsid w:val="19653AD0"/>
    <w:rsid w:val="1967D0EA"/>
    <w:rsid w:val="19760E5B"/>
    <w:rsid w:val="1976E54C"/>
    <w:rsid w:val="19821709"/>
    <w:rsid w:val="1986E89D"/>
    <w:rsid w:val="1987AFE4"/>
    <w:rsid w:val="199A4D85"/>
    <w:rsid w:val="19AC1712"/>
    <w:rsid w:val="19B3A012"/>
    <w:rsid w:val="19C23C82"/>
    <w:rsid w:val="19C8C721"/>
    <w:rsid w:val="19D80CF8"/>
    <w:rsid w:val="19E74373"/>
    <w:rsid w:val="19E9DD42"/>
    <w:rsid w:val="19F4B84E"/>
    <w:rsid w:val="19F97BA2"/>
    <w:rsid w:val="19F9F638"/>
    <w:rsid w:val="1A002B7F"/>
    <w:rsid w:val="1A029C29"/>
    <w:rsid w:val="1A08F738"/>
    <w:rsid w:val="1A127374"/>
    <w:rsid w:val="1A2292C4"/>
    <w:rsid w:val="1A3EC5EE"/>
    <w:rsid w:val="1A3FC84C"/>
    <w:rsid w:val="1A5BCF15"/>
    <w:rsid w:val="1A656E1E"/>
    <w:rsid w:val="1A6B70D6"/>
    <w:rsid w:val="1A703BFA"/>
    <w:rsid w:val="1A7235C6"/>
    <w:rsid w:val="1A8B32D4"/>
    <w:rsid w:val="1A926CC1"/>
    <w:rsid w:val="1A98088D"/>
    <w:rsid w:val="1AADFB26"/>
    <w:rsid w:val="1AC6B3A9"/>
    <w:rsid w:val="1ACB6692"/>
    <w:rsid w:val="1AD0341B"/>
    <w:rsid w:val="1AD621FD"/>
    <w:rsid w:val="1B0080A5"/>
    <w:rsid w:val="1B011463"/>
    <w:rsid w:val="1B012D80"/>
    <w:rsid w:val="1B0DA83F"/>
    <w:rsid w:val="1B16B799"/>
    <w:rsid w:val="1B196426"/>
    <w:rsid w:val="1B253657"/>
    <w:rsid w:val="1B29A6EF"/>
    <w:rsid w:val="1B3150C6"/>
    <w:rsid w:val="1B34DEC3"/>
    <w:rsid w:val="1B3CA809"/>
    <w:rsid w:val="1B3D6418"/>
    <w:rsid w:val="1B3F2347"/>
    <w:rsid w:val="1B4034E4"/>
    <w:rsid w:val="1B4B6DFF"/>
    <w:rsid w:val="1B54663D"/>
    <w:rsid w:val="1B565A13"/>
    <w:rsid w:val="1B61FD3B"/>
    <w:rsid w:val="1B669E83"/>
    <w:rsid w:val="1B6CB4C9"/>
    <w:rsid w:val="1B716B91"/>
    <w:rsid w:val="1B737611"/>
    <w:rsid w:val="1B835EED"/>
    <w:rsid w:val="1B87E652"/>
    <w:rsid w:val="1B961F53"/>
    <w:rsid w:val="1B985458"/>
    <w:rsid w:val="1BA3B032"/>
    <w:rsid w:val="1BA77DBC"/>
    <w:rsid w:val="1BA8FDF7"/>
    <w:rsid w:val="1BA92AD0"/>
    <w:rsid w:val="1BB6AF4D"/>
    <w:rsid w:val="1BB78B62"/>
    <w:rsid w:val="1BBA02FB"/>
    <w:rsid w:val="1BC11C89"/>
    <w:rsid w:val="1BC445A7"/>
    <w:rsid w:val="1BC93065"/>
    <w:rsid w:val="1BCD4656"/>
    <w:rsid w:val="1BD2A451"/>
    <w:rsid w:val="1BD9503F"/>
    <w:rsid w:val="1BDDDE72"/>
    <w:rsid w:val="1BE733CC"/>
    <w:rsid w:val="1BE85F9C"/>
    <w:rsid w:val="1BE9BAFD"/>
    <w:rsid w:val="1BED87C6"/>
    <w:rsid w:val="1BFA9EC3"/>
    <w:rsid w:val="1BFDBE3E"/>
    <w:rsid w:val="1BFF988A"/>
    <w:rsid w:val="1C099127"/>
    <w:rsid w:val="1C249304"/>
    <w:rsid w:val="1C269EF4"/>
    <w:rsid w:val="1C29B801"/>
    <w:rsid w:val="1C33EEFB"/>
    <w:rsid w:val="1C38C098"/>
    <w:rsid w:val="1C437950"/>
    <w:rsid w:val="1C50050E"/>
    <w:rsid w:val="1C501B99"/>
    <w:rsid w:val="1C517058"/>
    <w:rsid w:val="1C5386D1"/>
    <w:rsid w:val="1C53F9D3"/>
    <w:rsid w:val="1C5A537F"/>
    <w:rsid w:val="1C5C3F3B"/>
    <w:rsid w:val="1C63DA97"/>
    <w:rsid w:val="1C6C0315"/>
    <w:rsid w:val="1C76AB00"/>
    <w:rsid w:val="1C7AE314"/>
    <w:rsid w:val="1C8BE04C"/>
    <w:rsid w:val="1CA809F1"/>
    <w:rsid w:val="1CB44C4F"/>
    <w:rsid w:val="1CB4B049"/>
    <w:rsid w:val="1CB6B704"/>
    <w:rsid w:val="1CC2AF72"/>
    <w:rsid w:val="1CC8F46F"/>
    <w:rsid w:val="1CD8A5D4"/>
    <w:rsid w:val="1CE0AE65"/>
    <w:rsid w:val="1CE48CDF"/>
    <w:rsid w:val="1CF299DC"/>
    <w:rsid w:val="1CFF31B2"/>
    <w:rsid w:val="1D04249B"/>
    <w:rsid w:val="1D0B4A3F"/>
    <w:rsid w:val="1D12E07E"/>
    <w:rsid w:val="1D1E190D"/>
    <w:rsid w:val="1D2F06C1"/>
    <w:rsid w:val="1D31AA87"/>
    <w:rsid w:val="1D3AD4CD"/>
    <w:rsid w:val="1D3D695B"/>
    <w:rsid w:val="1D4E41F7"/>
    <w:rsid w:val="1D5A8B76"/>
    <w:rsid w:val="1D66B6D8"/>
    <w:rsid w:val="1D68C447"/>
    <w:rsid w:val="1D70C72B"/>
    <w:rsid w:val="1D777DA9"/>
    <w:rsid w:val="1D82F306"/>
    <w:rsid w:val="1D89F145"/>
    <w:rsid w:val="1D8C0AED"/>
    <w:rsid w:val="1D8E592B"/>
    <w:rsid w:val="1D91B89A"/>
    <w:rsid w:val="1D976095"/>
    <w:rsid w:val="1D97744F"/>
    <w:rsid w:val="1D9CA207"/>
    <w:rsid w:val="1DBD4212"/>
    <w:rsid w:val="1DC5DF9F"/>
    <w:rsid w:val="1DD01247"/>
    <w:rsid w:val="1DD07A40"/>
    <w:rsid w:val="1DE3D653"/>
    <w:rsid w:val="1DE66B94"/>
    <w:rsid w:val="1DF9F4BE"/>
    <w:rsid w:val="1DFC69C8"/>
    <w:rsid w:val="1E00F94A"/>
    <w:rsid w:val="1E06F6CC"/>
    <w:rsid w:val="1E08DB0F"/>
    <w:rsid w:val="1E0EFD92"/>
    <w:rsid w:val="1E11F5A8"/>
    <w:rsid w:val="1E200F24"/>
    <w:rsid w:val="1E2CDEEB"/>
    <w:rsid w:val="1E33E731"/>
    <w:rsid w:val="1E4AD322"/>
    <w:rsid w:val="1E616B9A"/>
    <w:rsid w:val="1E87A838"/>
    <w:rsid w:val="1E9096D5"/>
    <w:rsid w:val="1E91CF41"/>
    <w:rsid w:val="1E936DBF"/>
    <w:rsid w:val="1EA6E977"/>
    <w:rsid w:val="1EB1E1AF"/>
    <w:rsid w:val="1EBC20EF"/>
    <w:rsid w:val="1EBCBDF3"/>
    <w:rsid w:val="1ECAD290"/>
    <w:rsid w:val="1ED775D0"/>
    <w:rsid w:val="1EE07C09"/>
    <w:rsid w:val="1EE3D0D8"/>
    <w:rsid w:val="1EE6A908"/>
    <w:rsid w:val="1EEBDFB2"/>
    <w:rsid w:val="1EFAEB16"/>
    <w:rsid w:val="1F0303B4"/>
    <w:rsid w:val="1F03F250"/>
    <w:rsid w:val="1F0A6860"/>
    <w:rsid w:val="1F0E3ED2"/>
    <w:rsid w:val="1F112631"/>
    <w:rsid w:val="1F16F752"/>
    <w:rsid w:val="1F1DE5D2"/>
    <w:rsid w:val="1F1EB506"/>
    <w:rsid w:val="1F2BA589"/>
    <w:rsid w:val="1F2EC192"/>
    <w:rsid w:val="1F3AEB7B"/>
    <w:rsid w:val="1F3B4C02"/>
    <w:rsid w:val="1F3C329F"/>
    <w:rsid w:val="1F3CA2F9"/>
    <w:rsid w:val="1F438BA3"/>
    <w:rsid w:val="1F66FE07"/>
    <w:rsid w:val="1F6BDED4"/>
    <w:rsid w:val="1F6D4795"/>
    <w:rsid w:val="1F6D7EDF"/>
    <w:rsid w:val="1F6E4E22"/>
    <w:rsid w:val="1F7DDBD5"/>
    <w:rsid w:val="1F801464"/>
    <w:rsid w:val="1F8B2EDC"/>
    <w:rsid w:val="1F8CE0DE"/>
    <w:rsid w:val="1F8F1974"/>
    <w:rsid w:val="1FA2FDB9"/>
    <w:rsid w:val="1FA4C4A8"/>
    <w:rsid w:val="1FBB2C1F"/>
    <w:rsid w:val="1FBFD7BA"/>
    <w:rsid w:val="1FC25941"/>
    <w:rsid w:val="1FC586D1"/>
    <w:rsid w:val="1FD6DAAD"/>
    <w:rsid w:val="1FDA0053"/>
    <w:rsid w:val="1FE9E96F"/>
    <w:rsid w:val="1FF1EC2B"/>
    <w:rsid w:val="1FF6472F"/>
    <w:rsid w:val="1FF6FF24"/>
    <w:rsid w:val="1FFECACE"/>
    <w:rsid w:val="20183FAF"/>
    <w:rsid w:val="201BFB8D"/>
    <w:rsid w:val="201D8EDC"/>
    <w:rsid w:val="201F7C5F"/>
    <w:rsid w:val="2032000B"/>
    <w:rsid w:val="20327EF1"/>
    <w:rsid w:val="20483212"/>
    <w:rsid w:val="204DA9D5"/>
    <w:rsid w:val="20558931"/>
    <w:rsid w:val="205A1D19"/>
    <w:rsid w:val="205AD229"/>
    <w:rsid w:val="20618E77"/>
    <w:rsid w:val="207B2D6C"/>
    <w:rsid w:val="2081FD6A"/>
    <w:rsid w:val="209FCFA0"/>
    <w:rsid w:val="20B1C90B"/>
    <w:rsid w:val="20C2C92E"/>
    <w:rsid w:val="20C4E999"/>
    <w:rsid w:val="20D887A6"/>
    <w:rsid w:val="20E45AF9"/>
    <w:rsid w:val="20E8C8FA"/>
    <w:rsid w:val="20EA89D9"/>
    <w:rsid w:val="20EF2274"/>
    <w:rsid w:val="20F1EC70"/>
    <w:rsid w:val="20F2BBF4"/>
    <w:rsid w:val="20FE7F21"/>
    <w:rsid w:val="21152EC5"/>
    <w:rsid w:val="2120DEF1"/>
    <w:rsid w:val="2121835F"/>
    <w:rsid w:val="2125081F"/>
    <w:rsid w:val="212597D0"/>
    <w:rsid w:val="212BA814"/>
    <w:rsid w:val="2137D918"/>
    <w:rsid w:val="213B0A13"/>
    <w:rsid w:val="214351D2"/>
    <w:rsid w:val="2143703A"/>
    <w:rsid w:val="21558FFA"/>
    <w:rsid w:val="216A7F79"/>
    <w:rsid w:val="217C01D7"/>
    <w:rsid w:val="217C6B0C"/>
    <w:rsid w:val="217FD87F"/>
    <w:rsid w:val="218B34CD"/>
    <w:rsid w:val="21972D3C"/>
    <w:rsid w:val="21A292D9"/>
    <w:rsid w:val="21ACE7FC"/>
    <w:rsid w:val="21ADB87D"/>
    <w:rsid w:val="21AFB7B7"/>
    <w:rsid w:val="21B0E5CF"/>
    <w:rsid w:val="21B627FE"/>
    <w:rsid w:val="21B83040"/>
    <w:rsid w:val="21D72097"/>
    <w:rsid w:val="21F0CA29"/>
    <w:rsid w:val="21FC2D98"/>
    <w:rsid w:val="21FC32A1"/>
    <w:rsid w:val="21FFB6EA"/>
    <w:rsid w:val="220971B2"/>
    <w:rsid w:val="2215D4FB"/>
    <w:rsid w:val="221CB3B1"/>
    <w:rsid w:val="223A94F2"/>
    <w:rsid w:val="2245BEA5"/>
    <w:rsid w:val="22467FF0"/>
    <w:rsid w:val="224A8C3A"/>
    <w:rsid w:val="224D2C40"/>
    <w:rsid w:val="224D41BB"/>
    <w:rsid w:val="2253E8ED"/>
    <w:rsid w:val="225805AA"/>
    <w:rsid w:val="22678FD3"/>
    <w:rsid w:val="226EE8E2"/>
    <w:rsid w:val="22765433"/>
    <w:rsid w:val="22786338"/>
    <w:rsid w:val="227CF72C"/>
    <w:rsid w:val="229A2949"/>
    <w:rsid w:val="22A4D0F6"/>
    <w:rsid w:val="22B9C6B2"/>
    <w:rsid w:val="22C7B721"/>
    <w:rsid w:val="22E2AC6E"/>
    <w:rsid w:val="22E7E449"/>
    <w:rsid w:val="22EB7339"/>
    <w:rsid w:val="22EB7B2F"/>
    <w:rsid w:val="22EC886A"/>
    <w:rsid w:val="22FF07EA"/>
    <w:rsid w:val="231350B0"/>
    <w:rsid w:val="2318F306"/>
    <w:rsid w:val="23268ADF"/>
    <w:rsid w:val="232691A0"/>
    <w:rsid w:val="232714D7"/>
    <w:rsid w:val="2332231B"/>
    <w:rsid w:val="2336737B"/>
    <w:rsid w:val="233ADBD1"/>
    <w:rsid w:val="233B713C"/>
    <w:rsid w:val="234876BE"/>
    <w:rsid w:val="234F7FE5"/>
    <w:rsid w:val="23526198"/>
    <w:rsid w:val="235FF8B5"/>
    <w:rsid w:val="2362D5EC"/>
    <w:rsid w:val="2372F357"/>
    <w:rsid w:val="23800DED"/>
    <w:rsid w:val="238392C0"/>
    <w:rsid w:val="23889E18"/>
    <w:rsid w:val="238E9593"/>
    <w:rsid w:val="23953454"/>
    <w:rsid w:val="2397C609"/>
    <w:rsid w:val="239BB7ED"/>
    <w:rsid w:val="23BBD450"/>
    <w:rsid w:val="23C108D8"/>
    <w:rsid w:val="23D1C570"/>
    <w:rsid w:val="23D47F40"/>
    <w:rsid w:val="23E3323B"/>
    <w:rsid w:val="23E78341"/>
    <w:rsid w:val="23E95EC8"/>
    <w:rsid w:val="23EB36F4"/>
    <w:rsid w:val="23ED5ADB"/>
    <w:rsid w:val="23EEA962"/>
    <w:rsid w:val="23F29A2F"/>
    <w:rsid w:val="23FBD8D8"/>
    <w:rsid w:val="23FE141B"/>
    <w:rsid w:val="24091D06"/>
    <w:rsid w:val="240E74D2"/>
    <w:rsid w:val="240FE68A"/>
    <w:rsid w:val="24125C61"/>
    <w:rsid w:val="2418B6EA"/>
    <w:rsid w:val="242E1462"/>
    <w:rsid w:val="2433DEDB"/>
    <w:rsid w:val="24343143"/>
    <w:rsid w:val="24395682"/>
    <w:rsid w:val="243F2F68"/>
    <w:rsid w:val="24428AE7"/>
    <w:rsid w:val="2445DAB4"/>
    <w:rsid w:val="244D909F"/>
    <w:rsid w:val="244F69C8"/>
    <w:rsid w:val="245164C6"/>
    <w:rsid w:val="245594B5"/>
    <w:rsid w:val="245C3F4B"/>
    <w:rsid w:val="245FC152"/>
    <w:rsid w:val="246E6126"/>
    <w:rsid w:val="2470F3F2"/>
    <w:rsid w:val="2471D7FB"/>
    <w:rsid w:val="247CA95F"/>
    <w:rsid w:val="2485C809"/>
    <w:rsid w:val="248A0510"/>
    <w:rsid w:val="2492D393"/>
    <w:rsid w:val="24979E6B"/>
    <w:rsid w:val="249CD2D0"/>
    <w:rsid w:val="24A48C8D"/>
    <w:rsid w:val="24ACD7B2"/>
    <w:rsid w:val="24B0695D"/>
    <w:rsid w:val="24B0AA25"/>
    <w:rsid w:val="24C1E312"/>
    <w:rsid w:val="24C50738"/>
    <w:rsid w:val="24C61BEA"/>
    <w:rsid w:val="24CE6EE4"/>
    <w:rsid w:val="24DC72E6"/>
    <w:rsid w:val="24E3B7A9"/>
    <w:rsid w:val="24FA8EEB"/>
    <w:rsid w:val="2500A724"/>
    <w:rsid w:val="250855AB"/>
    <w:rsid w:val="251BB94C"/>
    <w:rsid w:val="2539E485"/>
    <w:rsid w:val="253B17A6"/>
    <w:rsid w:val="254A29C4"/>
    <w:rsid w:val="25530CDC"/>
    <w:rsid w:val="25554661"/>
    <w:rsid w:val="255923F5"/>
    <w:rsid w:val="255AD0AC"/>
    <w:rsid w:val="2563BB57"/>
    <w:rsid w:val="2567021A"/>
    <w:rsid w:val="256E9358"/>
    <w:rsid w:val="256F6330"/>
    <w:rsid w:val="257012F4"/>
    <w:rsid w:val="257E0A84"/>
    <w:rsid w:val="25844FA6"/>
    <w:rsid w:val="258E37B0"/>
    <w:rsid w:val="258F1420"/>
    <w:rsid w:val="259F7170"/>
    <w:rsid w:val="25AB5BD2"/>
    <w:rsid w:val="25B2D754"/>
    <w:rsid w:val="25C77A1F"/>
    <w:rsid w:val="25E4CBBC"/>
    <w:rsid w:val="25E5ADE5"/>
    <w:rsid w:val="25EF5F27"/>
    <w:rsid w:val="25F49124"/>
    <w:rsid w:val="25F4AA63"/>
    <w:rsid w:val="260E12C8"/>
    <w:rsid w:val="26175006"/>
    <w:rsid w:val="26241AEA"/>
    <w:rsid w:val="2654229A"/>
    <w:rsid w:val="266161C6"/>
    <w:rsid w:val="26618EBC"/>
    <w:rsid w:val="266BE273"/>
    <w:rsid w:val="266EC54D"/>
    <w:rsid w:val="26732AD4"/>
    <w:rsid w:val="26865A48"/>
    <w:rsid w:val="2686C6F4"/>
    <w:rsid w:val="26881CE9"/>
    <w:rsid w:val="2690FB34"/>
    <w:rsid w:val="26925415"/>
    <w:rsid w:val="26933CCC"/>
    <w:rsid w:val="26992492"/>
    <w:rsid w:val="26AF83F9"/>
    <w:rsid w:val="26AF9013"/>
    <w:rsid w:val="26B2CF56"/>
    <w:rsid w:val="26B37C32"/>
    <w:rsid w:val="26BA52C6"/>
    <w:rsid w:val="26BD5F64"/>
    <w:rsid w:val="26BFEEC8"/>
    <w:rsid w:val="26CAA12D"/>
    <w:rsid w:val="26D1EEE6"/>
    <w:rsid w:val="26DB487A"/>
    <w:rsid w:val="26EBA705"/>
    <w:rsid w:val="26F31AA9"/>
    <w:rsid w:val="26F70C23"/>
    <w:rsid w:val="26FD4E12"/>
    <w:rsid w:val="2702B8C9"/>
    <w:rsid w:val="271D9B4A"/>
    <w:rsid w:val="271F11C4"/>
    <w:rsid w:val="2724785D"/>
    <w:rsid w:val="2740C053"/>
    <w:rsid w:val="2751F44B"/>
    <w:rsid w:val="2758A27C"/>
    <w:rsid w:val="2761AE60"/>
    <w:rsid w:val="276BBE43"/>
    <w:rsid w:val="276E0C60"/>
    <w:rsid w:val="277217AA"/>
    <w:rsid w:val="2778F135"/>
    <w:rsid w:val="277F7F99"/>
    <w:rsid w:val="278328D9"/>
    <w:rsid w:val="2784ADB2"/>
    <w:rsid w:val="278DB94F"/>
    <w:rsid w:val="279052EC"/>
    <w:rsid w:val="2796B96D"/>
    <w:rsid w:val="279CF574"/>
    <w:rsid w:val="27A46E6B"/>
    <w:rsid w:val="27A90F77"/>
    <w:rsid w:val="27B757A2"/>
    <w:rsid w:val="27BD27D1"/>
    <w:rsid w:val="27CDA826"/>
    <w:rsid w:val="27EB0AA2"/>
    <w:rsid w:val="27EC0E37"/>
    <w:rsid w:val="27EDE896"/>
    <w:rsid w:val="27F30B2A"/>
    <w:rsid w:val="27FEDF6F"/>
    <w:rsid w:val="28048A6D"/>
    <w:rsid w:val="280C63C7"/>
    <w:rsid w:val="2811735C"/>
    <w:rsid w:val="281A481C"/>
    <w:rsid w:val="281BC0D2"/>
    <w:rsid w:val="281E87D1"/>
    <w:rsid w:val="282CC180"/>
    <w:rsid w:val="2830641E"/>
    <w:rsid w:val="2833744B"/>
    <w:rsid w:val="283CB7B1"/>
    <w:rsid w:val="2849349C"/>
    <w:rsid w:val="28504753"/>
    <w:rsid w:val="285888DB"/>
    <w:rsid w:val="2859D8B7"/>
    <w:rsid w:val="285F15AE"/>
    <w:rsid w:val="286E6E93"/>
    <w:rsid w:val="2872C369"/>
    <w:rsid w:val="2881EA79"/>
    <w:rsid w:val="2882441B"/>
    <w:rsid w:val="28A00189"/>
    <w:rsid w:val="28CFC231"/>
    <w:rsid w:val="28D3B454"/>
    <w:rsid w:val="28D8E8A8"/>
    <w:rsid w:val="28F09EFE"/>
    <w:rsid w:val="28F8065F"/>
    <w:rsid w:val="28FF3690"/>
    <w:rsid w:val="28FFC1C8"/>
    <w:rsid w:val="290329A9"/>
    <w:rsid w:val="291AC7FC"/>
    <w:rsid w:val="291E1E25"/>
    <w:rsid w:val="29342C25"/>
    <w:rsid w:val="29383E0C"/>
    <w:rsid w:val="293D1222"/>
    <w:rsid w:val="293EFC61"/>
    <w:rsid w:val="294B4AEF"/>
    <w:rsid w:val="295035E5"/>
    <w:rsid w:val="29519FEA"/>
    <w:rsid w:val="2951DC4B"/>
    <w:rsid w:val="295B6C19"/>
    <w:rsid w:val="295BD3BD"/>
    <w:rsid w:val="295EB5FB"/>
    <w:rsid w:val="295F9F59"/>
    <w:rsid w:val="2964CDBF"/>
    <w:rsid w:val="296E1689"/>
    <w:rsid w:val="2973C236"/>
    <w:rsid w:val="2975BDA3"/>
    <w:rsid w:val="297C68AA"/>
    <w:rsid w:val="297C9692"/>
    <w:rsid w:val="297E78A3"/>
    <w:rsid w:val="29894444"/>
    <w:rsid w:val="2990E62A"/>
    <w:rsid w:val="299CA2FC"/>
    <w:rsid w:val="299EA137"/>
    <w:rsid w:val="29A73220"/>
    <w:rsid w:val="29A7FC47"/>
    <w:rsid w:val="29AB4E1F"/>
    <w:rsid w:val="29B00982"/>
    <w:rsid w:val="29B89188"/>
    <w:rsid w:val="29B8954F"/>
    <w:rsid w:val="29B8C344"/>
    <w:rsid w:val="29B92471"/>
    <w:rsid w:val="29C8EF87"/>
    <w:rsid w:val="29EA611B"/>
    <w:rsid w:val="29F76829"/>
    <w:rsid w:val="29FCE161"/>
    <w:rsid w:val="29FFD18A"/>
    <w:rsid w:val="2A03E70C"/>
    <w:rsid w:val="2A0E5D2B"/>
    <w:rsid w:val="2A11AB14"/>
    <w:rsid w:val="2A23CF2F"/>
    <w:rsid w:val="2A252117"/>
    <w:rsid w:val="2A302645"/>
    <w:rsid w:val="2A3B044D"/>
    <w:rsid w:val="2A3CB000"/>
    <w:rsid w:val="2A3E8C97"/>
    <w:rsid w:val="2A40C231"/>
    <w:rsid w:val="2A5E48FF"/>
    <w:rsid w:val="2A629A81"/>
    <w:rsid w:val="2A64B199"/>
    <w:rsid w:val="2A66877A"/>
    <w:rsid w:val="2A735F38"/>
    <w:rsid w:val="2A775613"/>
    <w:rsid w:val="2A84208F"/>
    <w:rsid w:val="2A91BA71"/>
    <w:rsid w:val="2A936089"/>
    <w:rsid w:val="2AABD33A"/>
    <w:rsid w:val="2AADDC4A"/>
    <w:rsid w:val="2AB7C14D"/>
    <w:rsid w:val="2AB7CFA2"/>
    <w:rsid w:val="2AC3F0B5"/>
    <w:rsid w:val="2AC667C0"/>
    <w:rsid w:val="2AD06CA7"/>
    <w:rsid w:val="2AD2AEBB"/>
    <w:rsid w:val="2AD38BAC"/>
    <w:rsid w:val="2ADA9D48"/>
    <w:rsid w:val="2ADADDDE"/>
    <w:rsid w:val="2AE1002D"/>
    <w:rsid w:val="2AE2034B"/>
    <w:rsid w:val="2AE8EBC2"/>
    <w:rsid w:val="2AEF150E"/>
    <w:rsid w:val="2AF16110"/>
    <w:rsid w:val="2B0AD82B"/>
    <w:rsid w:val="2B0E71AC"/>
    <w:rsid w:val="2B11C5F0"/>
    <w:rsid w:val="2B1344D6"/>
    <w:rsid w:val="2B14D218"/>
    <w:rsid w:val="2B15ADC8"/>
    <w:rsid w:val="2B2B5975"/>
    <w:rsid w:val="2B36F4FB"/>
    <w:rsid w:val="2B3A9B02"/>
    <w:rsid w:val="2B468BAF"/>
    <w:rsid w:val="2B4EAA08"/>
    <w:rsid w:val="2B65DB70"/>
    <w:rsid w:val="2B725A3E"/>
    <w:rsid w:val="2B7BDDFC"/>
    <w:rsid w:val="2B7C4C84"/>
    <w:rsid w:val="2B873142"/>
    <w:rsid w:val="2B8B9FB0"/>
    <w:rsid w:val="2B91235C"/>
    <w:rsid w:val="2B92707E"/>
    <w:rsid w:val="2B97C127"/>
    <w:rsid w:val="2BC63E47"/>
    <w:rsid w:val="2BC959ED"/>
    <w:rsid w:val="2BD2321A"/>
    <w:rsid w:val="2BD616A9"/>
    <w:rsid w:val="2BD9F109"/>
    <w:rsid w:val="2BDC23CF"/>
    <w:rsid w:val="2BE08353"/>
    <w:rsid w:val="2BEC17C2"/>
    <w:rsid w:val="2BF116DB"/>
    <w:rsid w:val="2BF19CF3"/>
    <w:rsid w:val="2BF2334A"/>
    <w:rsid w:val="2BF4693F"/>
    <w:rsid w:val="2BFEE1D0"/>
    <w:rsid w:val="2C190B0F"/>
    <w:rsid w:val="2C1F5728"/>
    <w:rsid w:val="2C226E31"/>
    <w:rsid w:val="2C278934"/>
    <w:rsid w:val="2C2D5034"/>
    <w:rsid w:val="2C417B38"/>
    <w:rsid w:val="2C481D0F"/>
    <w:rsid w:val="2C4F51F8"/>
    <w:rsid w:val="2C515F5E"/>
    <w:rsid w:val="2C595EAA"/>
    <w:rsid w:val="2C5E8B38"/>
    <w:rsid w:val="2C5FACCC"/>
    <w:rsid w:val="2C6EE2D3"/>
    <w:rsid w:val="2C8101B5"/>
    <w:rsid w:val="2C876BE1"/>
    <w:rsid w:val="2C98A05F"/>
    <w:rsid w:val="2CA0E0D7"/>
    <w:rsid w:val="2CA52B7A"/>
    <w:rsid w:val="2CA99FD4"/>
    <w:rsid w:val="2CAB1B1E"/>
    <w:rsid w:val="2CABA049"/>
    <w:rsid w:val="2CACA33E"/>
    <w:rsid w:val="2CACE801"/>
    <w:rsid w:val="2CAD29A0"/>
    <w:rsid w:val="2CADD6DB"/>
    <w:rsid w:val="2CB3B652"/>
    <w:rsid w:val="2CB8AF6B"/>
    <w:rsid w:val="2CC54C8A"/>
    <w:rsid w:val="2CCDC718"/>
    <w:rsid w:val="2CCF6231"/>
    <w:rsid w:val="2CE51686"/>
    <w:rsid w:val="2CE671F8"/>
    <w:rsid w:val="2CEA78E1"/>
    <w:rsid w:val="2CECD63B"/>
    <w:rsid w:val="2D1313DA"/>
    <w:rsid w:val="2D29B8C0"/>
    <w:rsid w:val="2D2B9EDC"/>
    <w:rsid w:val="2D2ED2B8"/>
    <w:rsid w:val="2D314FDB"/>
    <w:rsid w:val="2D3D9C83"/>
    <w:rsid w:val="2D3F0667"/>
    <w:rsid w:val="2D436993"/>
    <w:rsid w:val="2D49A0B4"/>
    <w:rsid w:val="2D501AE8"/>
    <w:rsid w:val="2D657DD0"/>
    <w:rsid w:val="2D6A3F59"/>
    <w:rsid w:val="2D6E6D2D"/>
    <w:rsid w:val="2D8D391B"/>
    <w:rsid w:val="2D8D6FFF"/>
    <w:rsid w:val="2D8DDA82"/>
    <w:rsid w:val="2D95B64D"/>
    <w:rsid w:val="2DA49D6C"/>
    <w:rsid w:val="2DA7058C"/>
    <w:rsid w:val="2DA789DB"/>
    <w:rsid w:val="2DD160A1"/>
    <w:rsid w:val="2DD9955C"/>
    <w:rsid w:val="2DD9FEDE"/>
    <w:rsid w:val="2DE11494"/>
    <w:rsid w:val="2DE2A1BB"/>
    <w:rsid w:val="2DEB2F55"/>
    <w:rsid w:val="2DEB7448"/>
    <w:rsid w:val="2E0CB2F9"/>
    <w:rsid w:val="2E1BF783"/>
    <w:rsid w:val="2E1FB998"/>
    <w:rsid w:val="2E49EF8F"/>
    <w:rsid w:val="2E4B1672"/>
    <w:rsid w:val="2E56E30B"/>
    <w:rsid w:val="2E59D761"/>
    <w:rsid w:val="2E64F883"/>
    <w:rsid w:val="2E650920"/>
    <w:rsid w:val="2E67D396"/>
    <w:rsid w:val="2E6F0967"/>
    <w:rsid w:val="2E746E71"/>
    <w:rsid w:val="2E7689E3"/>
    <w:rsid w:val="2E7896B1"/>
    <w:rsid w:val="2E84DDD9"/>
    <w:rsid w:val="2E85F778"/>
    <w:rsid w:val="2E971EFD"/>
    <w:rsid w:val="2E9732BD"/>
    <w:rsid w:val="2EB7B73B"/>
    <w:rsid w:val="2ED03063"/>
    <w:rsid w:val="2ED656C3"/>
    <w:rsid w:val="2EDDEF17"/>
    <w:rsid w:val="2EE236A5"/>
    <w:rsid w:val="2EECA6FC"/>
    <w:rsid w:val="2EEFAB10"/>
    <w:rsid w:val="2EF4A5A4"/>
    <w:rsid w:val="2F0BADBE"/>
    <w:rsid w:val="2F190524"/>
    <w:rsid w:val="2F208C2A"/>
    <w:rsid w:val="2F2C9E4A"/>
    <w:rsid w:val="2F3A3D52"/>
    <w:rsid w:val="2F3D0F51"/>
    <w:rsid w:val="2F43EB5A"/>
    <w:rsid w:val="2F988592"/>
    <w:rsid w:val="2FA06266"/>
    <w:rsid w:val="2FB56952"/>
    <w:rsid w:val="2FB80B4D"/>
    <w:rsid w:val="2FCB18C6"/>
    <w:rsid w:val="2FCB63BB"/>
    <w:rsid w:val="2FCF212A"/>
    <w:rsid w:val="2FD39D0A"/>
    <w:rsid w:val="2FD6C56F"/>
    <w:rsid w:val="2FDBDADD"/>
    <w:rsid w:val="2FDC820D"/>
    <w:rsid w:val="2FDD32CE"/>
    <w:rsid w:val="2FE0B0C3"/>
    <w:rsid w:val="2FEF9653"/>
    <w:rsid w:val="2FF3DF13"/>
    <w:rsid w:val="30058879"/>
    <w:rsid w:val="3014FFB4"/>
    <w:rsid w:val="301908CF"/>
    <w:rsid w:val="3043A4C8"/>
    <w:rsid w:val="3048BD92"/>
    <w:rsid w:val="3049CA27"/>
    <w:rsid w:val="3051DC08"/>
    <w:rsid w:val="305EC2F3"/>
    <w:rsid w:val="3063A5FC"/>
    <w:rsid w:val="30642EAD"/>
    <w:rsid w:val="306F3629"/>
    <w:rsid w:val="3070D4C1"/>
    <w:rsid w:val="307FC681"/>
    <w:rsid w:val="3085BD29"/>
    <w:rsid w:val="30889999"/>
    <w:rsid w:val="3092375C"/>
    <w:rsid w:val="30989945"/>
    <w:rsid w:val="3099153A"/>
    <w:rsid w:val="309B2E06"/>
    <w:rsid w:val="309B356E"/>
    <w:rsid w:val="309D7357"/>
    <w:rsid w:val="30A9BBD6"/>
    <w:rsid w:val="30B44EDE"/>
    <w:rsid w:val="30B519F1"/>
    <w:rsid w:val="30C49D6E"/>
    <w:rsid w:val="30D146EA"/>
    <w:rsid w:val="30EAEC1C"/>
    <w:rsid w:val="30F79A39"/>
    <w:rsid w:val="310EAE4C"/>
    <w:rsid w:val="31172F4D"/>
    <w:rsid w:val="3122E0BD"/>
    <w:rsid w:val="312F58A2"/>
    <w:rsid w:val="313F892C"/>
    <w:rsid w:val="3149D952"/>
    <w:rsid w:val="31514BE0"/>
    <w:rsid w:val="3152860B"/>
    <w:rsid w:val="3156D18A"/>
    <w:rsid w:val="31612B04"/>
    <w:rsid w:val="3165C0A0"/>
    <w:rsid w:val="316D7842"/>
    <w:rsid w:val="3175F368"/>
    <w:rsid w:val="319D22B7"/>
    <w:rsid w:val="319D77AD"/>
    <w:rsid w:val="31A17E6F"/>
    <w:rsid w:val="31A9E42F"/>
    <w:rsid w:val="31BA865D"/>
    <w:rsid w:val="31C18846"/>
    <w:rsid w:val="31C6529B"/>
    <w:rsid w:val="31D1364E"/>
    <w:rsid w:val="31D6BB89"/>
    <w:rsid w:val="31DDEACC"/>
    <w:rsid w:val="31E1F994"/>
    <w:rsid w:val="31FBEA0C"/>
    <w:rsid w:val="31FF753B"/>
    <w:rsid w:val="32047FC4"/>
    <w:rsid w:val="32095E95"/>
    <w:rsid w:val="320A8038"/>
    <w:rsid w:val="3211F660"/>
    <w:rsid w:val="32387F68"/>
    <w:rsid w:val="323CE86A"/>
    <w:rsid w:val="32414D56"/>
    <w:rsid w:val="32440D6D"/>
    <w:rsid w:val="325FC4AD"/>
    <w:rsid w:val="32688375"/>
    <w:rsid w:val="32711C11"/>
    <w:rsid w:val="3273EF2A"/>
    <w:rsid w:val="32758C9C"/>
    <w:rsid w:val="327FAE98"/>
    <w:rsid w:val="32828E3D"/>
    <w:rsid w:val="32836B8D"/>
    <w:rsid w:val="32856052"/>
    <w:rsid w:val="32878DEA"/>
    <w:rsid w:val="329729F9"/>
    <w:rsid w:val="32A3A6B1"/>
    <w:rsid w:val="32BBF90D"/>
    <w:rsid w:val="32CADA8F"/>
    <w:rsid w:val="32CFCC3A"/>
    <w:rsid w:val="32D1C981"/>
    <w:rsid w:val="32D62C16"/>
    <w:rsid w:val="32DC992D"/>
    <w:rsid w:val="32DCC694"/>
    <w:rsid w:val="32E81FF8"/>
    <w:rsid w:val="3310A008"/>
    <w:rsid w:val="331AAED1"/>
    <w:rsid w:val="331ACFA6"/>
    <w:rsid w:val="331E9A93"/>
    <w:rsid w:val="331ED588"/>
    <w:rsid w:val="332799AB"/>
    <w:rsid w:val="33285148"/>
    <w:rsid w:val="332D6AF0"/>
    <w:rsid w:val="3334571E"/>
    <w:rsid w:val="3339A07A"/>
    <w:rsid w:val="335BE0FB"/>
    <w:rsid w:val="335E560D"/>
    <w:rsid w:val="336120F5"/>
    <w:rsid w:val="336259B3"/>
    <w:rsid w:val="336BFA0C"/>
    <w:rsid w:val="33729E78"/>
    <w:rsid w:val="338B7468"/>
    <w:rsid w:val="338F0AF9"/>
    <w:rsid w:val="3392A81E"/>
    <w:rsid w:val="33930B33"/>
    <w:rsid w:val="33961487"/>
    <w:rsid w:val="339CA90A"/>
    <w:rsid w:val="339F7EEB"/>
    <w:rsid w:val="33A09F08"/>
    <w:rsid w:val="33A6A979"/>
    <w:rsid w:val="33A85065"/>
    <w:rsid w:val="33AC0CBB"/>
    <w:rsid w:val="33AC8C61"/>
    <w:rsid w:val="33C24FDE"/>
    <w:rsid w:val="33D36710"/>
    <w:rsid w:val="33D4AFB4"/>
    <w:rsid w:val="33D883DF"/>
    <w:rsid w:val="33E2E7CE"/>
    <w:rsid w:val="33E3A60C"/>
    <w:rsid w:val="33E6DA10"/>
    <w:rsid w:val="33E927B6"/>
    <w:rsid w:val="33EB3605"/>
    <w:rsid w:val="33F48A35"/>
    <w:rsid w:val="33F9B124"/>
    <w:rsid w:val="34096B56"/>
    <w:rsid w:val="340FBA74"/>
    <w:rsid w:val="342B598F"/>
    <w:rsid w:val="342D9CDB"/>
    <w:rsid w:val="343315D8"/>
    <w:rsid w:val="3436B7B6"/>
    <w:rsid w:val="344329AC"/>
    <w:rsid w:val="3443F973"/>
    <w:rsid w:val="3448CBB8"/>
    <w:rsid w:val="344F29B6"/>
    <w:rsid w:val="344FDE22"/>
    <w:rsid w:val="345891C1"/>
    <w:rsid w:val="345B8DF4"/>
    <w:rsid w:val="346367B3"/>
    <w:rsid w:val="3475558A"/>
    <w:rsid w:val="3476BC2D"/>
    <w:rsid w:val="3479D4F6"/>
    <w:rsid w:val="348014A6"/>
    <w:rsid w:val="3480DB6B"/>
    <w:rsid w:val="348362FB"/>
    <w:rsid w:val="34844B07"/>
    <w:rsid w:val="3484C75C"/>
    <w:rsid w:val="3485EFBD"/>
    <w:rsid w:val="34925820"/>
    <w:rsid w:val="349A39BB"/>
    <w:rsid w:val="349A6E4B"/>
    <w:rsid w:val="349B7EF8"/>
    <w:rsid w:val="34B4363B"/>
    <w:rsid w:val="34B49936"/>
    <w:rsid w:val="34B4C73E"/>
    <w:rsid w:val="34B79760"/>
    <w:rsid w:val="34BA9EE9"/>
    <w:rsid w:val="34C77D93"/>
    <w:rsid w:val="34C93DE3"/>
    <w:rsid w:val="34D06E55"/>
    <w:rsid w:val="34D158FC"/>
    <w:rsid w:val="34D2A5DF"/>
    <w:rsid w:val="34E3402D"/>
    <w:rsid w:val="34E620D2"/>
    <w:rsid w:val="34E8A9F8"/>
    <w:rsid w:val="34F5C614"/>
    <w:rsid w:val="34F7418F"/>
    <w:rsid w:val="350254C4"/>
    <w:rsid w:val="350ED915"/>
    <w:rsid w:val="35194A62"/>
    <w:rsid w:val="3520AABC"/>
    <w:rsid w:val="352C9DE6"/>
    <w:rsid w:val="353BC40D"/>
    <w:rsid w:val="353EEB9C"/>
    <w:rsid w:val="354F119D"/>
    <w:rsid w:val="355B26A6"/>
    <w:rsid w:val="356ED50A"/>
    <w:rsid w:val="3584A81B"/>
    <w:rsid w:val="35889E57"/>
    <w:rsid w:val="359757F3"/>
    <w:rsid w:val="359A833B"/>
    <w:rsid w:val="35A78C1A"/>
    <w:rsid w:val="35AA4F34"/>
    <w:rsid w:val="35AB163C"/>
    <w:rsid w:val="35D25AE9"/>
    <w:rsid w:val="35D97E8F"/>
    <w:rsid w:val="35DA8A52"/>
    <w:rsid w:val="35EA2721"/>
    <w:rsid w:val="35F2871F"/>
    <w:rsid w:val="360B8641"/>
    <w:rsid w:val="360BA850"/>
    <w:rsid w:val="361447F0"/>
    <w:rsid w:val="36209FD1"/>
    <w:rsid w:val="362C9802"/>
    <w:rsid w:val="363F9D5E"/>
    <w:rsid w:val="36422572"/>
    <w:rsid w:val="365541CA"/>
    <w:rsid w:val="365DDFB9"/>
    <w:rsid w:val="3666D4E4"/>
    <w:rsid w:val="366F137F"/>
    <w:rsid w:val="367318B4"/>
    <w:rsid w:val="368CDEBE"/>
    <w:rsid w:val="368E82A5"/>
    <w:rsid w:val="36948D80"/>
    <w:rsid w:val="36B3F3DD"/>
    <w:rsid w:val="36B677EE"/>
    <w:rsid w:val="36BC932F"/>
    <w:rsid w:val="36BCDF41"/>
    <w:rsid w:val="36BD49CF"/>
    <w:rsid w:val="36C9AEA9"/>
    <w:rsid w:val="36CC9FB9"/>
    <w:rsid w:val="36CF657D"/>
    <w:rsid w:val="36E3866D"/>
    <w:rsid w:val="36E59FA5"/>
    <w:rsid w:val="36EC3C49"/>
    <w:rsid w:val="36F0F5BE"/>
    <w:rsid w:val="36FDA131"/>
    <w:rsid w:val="36FFCFD7"/>
    <w:rsid w:val="371BBB25"/>
    <w:rsid w:val="37347931"/>
    <w:rsid w:val="3743724F"/>
    <w:rsid w:val="374EEB24"/>
    <w:rsid w:val="37512C37"/>
    <w:rsid w:val="375463C9"/>
    <w:rsid w:val="375C98F5"/>
    <w:rsid w:val="375E4DD2"/>
    <w:rsid w:val="37768E2C"/>
    <w:rsid w:val="37849673"/>
    <w:rsid w:val="378A7815"/>
    <w:rsid w:val="3798ED76"/>
    <w:rsid w:val="37B335DD"/>
    <w:rsid w:val="37B6C681"/>
    <w:rsid w:val="37B84448"/>
    <w:rsid w:val="37C386B4"/>
    <w:rsid w:val="37C6BEE2"/>
    <w:rsid w:val="37C7831F"/>
    <w:rsid w:val="37D2F9E2"/>
    <w:rsid w:val="37D3E863"/>
    <w:rsid w:val="37E05855"/>
    <w:rsid w:val="37F4C67F"/>
    <w:rsid w:val="37F95F50"/>
    <w:rsid w:val="37FCE2D3"/>
    <w:rsid w:val="3803F218"/>
    <w:rsid w:val="3807AED3"/>
    <w:rsid w:val="38088A6A"/>
    <w:rsid w:val="38092753"/>
    <w:rsid w:val="38125CB2"/>
    <w:rsid w:val="3821106E"/>
    <w:rsid w:val="382194A8"/>
    <w:rsid w:val="3828A4B1"/>
    <w:rsid w:val="383B6506"/>
    <w:rsid w:val="383E713A"/>
    <w:rsid w:val="3842B660"/>
    <w:rsid w:val="385394AF"/>
    <w:rsid w:val="386CA510"/>
    <w:rsid w:val="387143DC"/>
    <w:rsid w:val="387AD3C3"/>
    <w:rsid w:val="387DAE97"/>
    <w:rsid w:val="3880B6CA"/>
    <w:rsid w:val="3887F184"/>
    <w:rsid w:val="3889ABA3"/>
    <w:rsid w:val="3893D780"/>
    <w:rsid w:val="3894D583"/>
    <w:rsid w:val="38AE0C1A"/>
    <w:rsid w:val="38BFC9A4"/>
    <w:rsid w:val="38D1914E"/>
    <w:rsid w:val="38D3F53C"/>
    <w:rsid w:val="38D49B29"/>
    <w:rsid w:val="38D62799"/>
    <w:rsid w:val="38DA163E"/>
    <w:rsid w:val="38DB98A8"/>
    <w:rsid w:val="38DFA113"/>
    <w:rsid w:val="38E4360D"/>
    <w:rsid w:val="38E71AB3"/>
    <w:rsid w:val="38E8ADD4"/>
    <w:rsid w:val="3900377F"/>
    <w:rsid w:val="3901E518"/>
    <w:rsid w:val="3904FFBD"/>
    <w:rsid w:val="39114113"/>
    <w:rsid w:val="3919884D"/>
    <w:rsid w:val="3920B954"/>
    <w:rsid w:val="3938AE40"/>
    <w:rsid w:val="39452B84"/>
    <w:rsid w:val="394B3A0E"/>
    <w:rsid w:val="39502F91"/>
    <w:rsid w:val="39594CE8"/>
    <w:rsid w:val="395A6FB9"/>
    <w:rsid w:val="39675451"/>
    <w:rsid w:val="3974B740"/>
    <w:rsid w:val="3994AF46"/>
    <w:rsid w:val="39A0B42D"/>
    <w:rsid w:val="39A272DC"/>
    <w:rsid w:val="39A43305"/>
    <w:rsid w:val="39A80C38"/>
    <w:rsid w:val="39B5AA24"/>
    <w:rsid w:val="39BA6D7F"/>
    <w:rsid w:val="39BF793A"/>
    <w:rsid w:val="39CFCC3D"/>
    <w:rsid w:val="39D2D2FE"/>
    <w:rsid w:val="39D82C63"/>
    <w:rsid w:val="39DE4984"/>
    <w:rsid w:val="39FD1720"/>
    <w:rsid w:val="3A0862B4"/>
    <w:rsid w:val="3A10CDD7"/>
    <w:rsid w:val="3A16658D"/>
    <w:rsid w:val="3A2ADD29"/>
    <w:rsid w:val="3A4AF823"/>
    <w:rsid w:val="3A60D5DB"/>
    <w:rsid w:val="3A8073A7"/>
    <w:rsid w:val="3A84FCF7"/>
    <w:rsid w:val="3A9883F9"/>
    <w:rsid w:val="3A9C0081"/>
    <w:rsid w:val="3AA1ED83"/>
    <w:rsid w:val="3AA434B5"/>
    <w:rsid w:val="3AAA9BBF"/>
    <w:rsid w:val="3AB0A8C7"/>
    <w:rsid w:val="3AB0E39F"/>
    <w:rsid w:val="3AB4F785"/>
    <w:rsid w:val="3AB7C9F1"/>
    <w:rsid w:val="3ABD03DE"/>
    <w:rsid w:val="3AC28D13"/>
    <w:rsid w:val="3AC5BC6D"/>
    <w:rsid w:val="3AC9BFC6"/>
    <w:rsid w:val="3ACBEF8F"/>
    <w:rsid w:val="3ACCA514"/>
    <w:rsid w:val="3AD03648"/>
    <w:rsid w:val="3AE75C43"/>
    <w:rsid w:val="3AE97A5C"/>
    <w:rsid w:val="3AEC84A5"/>
    <w:rsid w:val="3AF8B567"/>
    <w:rsid w:val="3AFB4138"/>
    <w:rsid w:val="3AFDCC9D"/>
    <w:rsid w:val="3B140FBA"/>
    <w:rsid w:val="3B19BA08"/>
    <w:rsid w:val="3B1A1B89"/>
    <w:rsid w:val="3B265750"/>
    <w:rsid w:val="3B3A3F1E"/>
    <w:rsid w:val="3B3D3601"/>
    <w:rsid w:val="3B45D017"/>
    <w:rsid w:val="3B526988"/>
    <w:rsid w:val="3B6701AC"/>
    <w:rsid w:val="3B6793E1"/>
    <w:rsid w:val="3B7874FF"/>
    <w:rsid w:val="3B83231A"/>
    <w:rsid w:val="3B8A22B5"/>
    <w:rsid w:val="3B9D50E3"/>
    <w:rsid w:val="3B9E13B0"/>
    <w:rsid w:val="3BA0FC88"/>
    <w:rsid w:val="3BA1FE3D"/>
    <w:rsid w:val="3BA3E399"/>
    <w:rsid w:val="3BA70552"/>
    <w:rsid w:val="3BA92EA5"/>
    <w:rsid w:val="3BAC0094"/>
    <w:rsid w:val="3BAD3A05"/>
    <w:rsid w:val="3BAD6B58"/>
    <w:rsid w:val="3BB086E9"/>
    <w:rsid w:val="3BBA8A23"/>
    <w:rsid w:val="3BBAA104"/>
    <w:rsid w:val="3BC4A0E3"/>
    <w:rsid w:val="3BC7672F"/>
    <w:rsid w:val="3BCC0EB5"/>
    <w:rsid w:val="3BCD27C4"/>
    <w:rsid w:val="3BCEE410"/>
    <w:rsid w:val="3BE4A329"/>
    <w:rsid w:val="3BEC571C"/>
    <w:rsid w:val="3BF9F7A7"/>
    <w:rsid w:val="3C0C2762"/>
    <w:rsid w:val="3C168C92"/>
    <w:rsid w:val="3C208939"/>
    <w:rsid w:val="3C2B71FF"/>
    <w:rsid w:val="3C2CCFC5"/>
    <w:rsid w:val="3C37C415"/>
    <w:rsid w:val="3C3844CE"/>
    <w:rsid w:val="3C3C7581"/>
    <w:rsid w:val="3C48C299"/>
    <w:rsid w:val="3C507E77"/>
    <w:rsid w:val="3C5477A6"/>
    <w:rsid w:val="3C5CC8B9"/>
    <w:rsid w:val="3C5E98FD"/>
    <w:rsid w:val="3C66904D"/>
    <w:rsid w:val="3C76D3AA"/>
    <w:rsid w:val="3C7D5AF9"/>
    <w:rsid w:val="3C8D1BEA"/>
    <w:rsid w:val="3CA381B7"/>
    <w:rsid w:val="3CA4A1DD"/>
    <w:rsid w:val="3CA7E1AA"/>
    <w:rsid w:val="3CB586C9"/>
    <w:rsid w:val="3CBB4D21"/>
    <w:rsid w:val="3CBBE981"/>
    <w:rsid w:val="3CD888F7"/>
    <w:rsid w:val="3CD8AA94"/>
    <w:rsid w:val="3CDE3C2E"/>
    <w:rsid w:val="3CDE4BC3"/>
    <w:rsid w:val="3CE2833A"/>
    <w:rsid w:val="3CE68CAC"/>
    <w:rsid w:val="3D06909C"/>
    <w:rsid w:val="3D0E799A"/>
    <w:rsid w:val="3D18BEFC"/>
    <w:rsid w:val="3D30D4A2"/>
    <w:rsid w:val="3D3115F3"/>
    <w:rsid w:val="3D3DBC0F"/>
    <w:rsid w:val="3D44D7B7"/>
    <w:rsid w:val="3D487EEE"/>
    <w:rsid w:val="3D4EA628"/>
    <w:rsid w:val="3D5AD5C8"/>
    <w:rsid w:val="3D669320"/>
    <w:rsid w:val="3D6F33FF"/>
    <w:rsid w:val="3D85BAC4"/>
    <w:rsid w:val="3D8878C8"/>
    <w:rsid w:val="3D8DEBEF"/>
    <w:rsid w:val="3D92CB30"/>
    <w:rsid w:val="3D9D838B"/>
    <w:rsid w:val="3D9EB961"/>
    <w:rsid w:val="3DA13AA5"/>
    <w:rsid w:val="3DADA2FA"/>
    <w:rsid w:val="3DCD1B29"/>
    <w:rsid w:val="3DCD3131"/>
    <w:rsid w:val="3DCD8A6C"/>
    <w:rsid w:val="3DCDA22B"/>
    <w:rsid w:val="3DD8755C"/>
    <w:rsid w:val="3DDAE9B5"/>
    <w:rsid w:val="3DDE755B"/>
    <w:rsid w:val="3DF3483B"/>
    <w:rsid w:val="3DFA806D"/>
    <w:rsid w:val="3DFD98AF"/>
    <w:rsid w:val="3E0BA9BA"/>
    <w:rsid w:val="3E0F55C7"/>
    <w:rsid w:val="3E100236"/>
    <w:rsid w:val="3E1390F9"/>
    <w:rsid w:val="3E14C1E4"/>
    <w:rsid w:val="3E17964F"/>
    <w:rsid w:val="3E249F8E"/>
    <w:rsid w:val="3E3877C9"/>
    <w:rsid w:val="3E38ED11"/>
    <w:rsid w:val="3E3E63A3"/>
    <w:rsid w:val="3E4509CC"/>
    <w:rsid w:val="3E4FCF19"/>
    <w:rsid w:val="3E63BE98"/>
    <w:rsid w:val="3E6424F1"/>
    <w:rsid w:val="3E65D388"/>
    <w:rsid w:val="3E7061D3"/>
    <w:rsid w:val="3E76F81E"/>
    <w:rsid w:val="3E789405"/>
    <w:rsid w:val="3E795243"/>
    <w:rsid w:val="3E800E81"/>
    <w:rsid w:val="3E836C73"/>
    <w:rsid w:val="3E894B61"/>
    <w:rsid w:val="3E8BF4A5"/>
    <w:rsid w:val="3EB015B1"/>
    <w:rsid w:val="3EC38876"/>
    <w:rsid w:val="3ECAC10F"/>
    <w:rsid w:val="3ED157BD"/>
    <w:rsid w:val="3ED2343D"/>
    <w:rsid w:val="3ED64534"/>
    <w:rsid w:val="3EDBE84F"/>
    <w:rsid w:val="3EE55492"/>
    <w:rsid w:val="3EE75373"/>
    <w:rsid w:val="3EF00B9A"/>
    <w:rsid w:val="3EF4C986"/>
    <w:rsid w:val="3EFD768B"/>
    <w:rsid w:val="3F0A1541"/>
    <w:rsid w:val="3F128740"/>
    <w:rsid w:val="3F1B24EF"/>
    <w:rsid w:val="3F23D89E"/>
    <w:rsid w:val="3F2BE178"/>
    <w:rsid w:val="3F3C46EA"/>
    <w:rsid w:val="3F3C5D0C"/>
    <w:rsid w:val="3F4A8EE8"/>
    <w:rsid w:val="3F4B0539"/>
    <w:rsid w:val="3F4E1E97"/>
    <w:rsid w:val="3F4FF874"/>
    <w:rsid w:val="3F50B57E"/>
    <w:rsid w:val="3F50F4D7"/>
    <w:rsid w:val="3F51D870"/>
    <w:rsid w:val="3F6C3C46"/>
    <w:rsid w:val="3F84B18C"/>
    <w:rsid w:val="3FA3949C"/>
    <w:rsid w:val="3FA65413"/>
    <w:rsid w:val="3FA8E60B"/>
    <w:rsid w:val="3FAC3484"/>
    <w:rsid w:val="3FB488EA"/>
    <w:rsid w:val="3FBC167A"/>
    <w:rsid w:val="3FC13C32"/>
    <w:rsid w:val="3FC4623E"/>
    <w:rsid w:val="3FC5C323"/>
    <w:rsid w:val="3FD0642D"/>
    <w:rsid w:val="3FFB137B"/>
    <w:rsid w:val="400A8916"/>
    <w:rsid w:val="400A8EA8"/>
    <w:rsid w:val="400D3FDD"/>
    <w:rsid w:val="400EA291"/>
    <w:rsid w:val="4011F32C"/>
    <w:rsid w:val="401316C8"/>
    <w:rsid w:val="40184CEB"/>
    <w:rsid w:val="4018AA5A"/>
    <w:rsid w:val="40202473"/>
    <w:rsid w:val="4020FD41"/>
    <w:rsid w:val="40214A7A"/>
    <w:rsid w:val="402B57E1"/>
    <w:rsid w:val="40302CB9"/>
    <w:rsid w:val="4051795B"/>
    <w:rsid w:val="4054F6D6"/>
    <w:rsid w:val="405870D2"/>
    <w:rsid w:val="407272C9"/>
    <w:rsid w:val="408F8936"/>
    <w:rsid w:val="4095FECB"/>
    <w:rsid w:val="4096AE15"/>
    <w:rsid w:val="4096AEEA"/>
    <w:rsid w:val="409F541D"/>
    <w:rsid w:val="40AD8A2F"/>
    <w:rsid w:val="40B67674"/>
    <w:rsid w:val="40C20766"/>
    <w:rsid w:val="40C21AFB"/>
    <w:rsid w:val="40C42C31"/>
    <w:rsid w:val="40C7C7F0"/>
    <w:rsid w:val="40DB9FE5"/>
    <w:rsid w:val="40F6E099"/>
    <w:rsid w:val="4106A95C"/>
    <w:rsid w:val="412C6EB9"/>
    <w:rsid w:val="412D19B9"/>
    <w:rsid w:val="41313FCC"/>
    <w:rsid w:val="41335274"/>
    <w:rsid w:val="413D1695"/>
    <w:rsid w:val="41438978"/>
    <w:rsid w:val="414DD6AD"/>
    <w:rsid w:val="414FFEF7"/>
    <w:rsid w:val="4153B40C"/>
    <w:rsid w:val="41587B07"/>
    <w:rsid w:val="415BFE3A"/>
    <w:rsid w:val="415D87C1"/>
    <w:rsid w:val="415EADF4"/>
    <w:rsid w:val="416D5BF4"/>
    <w:rsid w:val="4179D192"/>
    <w:rsid w:val="417AF97C"/>
    <w:rsid w:val="41A1515A"/>
    <w:rsid w:val="41AC56AD"/>
    <w:rsid w:val="41AD8495"/>
    <w:rsid w:val="41BE2E11"/>
    <w:rsid w:val="41C1EC47"/>
    <w:rsid w:val="41C38296"/>
    <w:rsid w:val="41C6D806"/>
    <w:rsid w:val="41CB4B8F"/>
    <w:rsid w:val="41D61C57"/>
    <w:rsid w:val="41D72806"/>
    <w:rsid w:val="41DCC480"/>
    <w:rsid w:val="41E5732B"/>
    <w:rsid w:val="41EB4678"/>
    <w:rsid w:val="420430FD"/>
    <w:rsid w:val="4214A499"/>
    <w:rsid w:val="42163AA5"/>
    <w:rsid w:val="421679DB"/>
    <w:rsid w:val="421B0B7C"/>
    <w:rsid w:val="42247605"/>
    <w:rsid w:val="422B5A19"/>
    <w:rsid w:val="4233F7A9"/>
    <w:rsid w:val="42407E19"/>
    <w:rsid w:val="424291A2"/>
    <w:rsid w:val="42478FC8"/>
    <w:rsid w:val="424889C4"/>
    <w:rsid w:val="424F5313"/>
    <w:rsid w:val="4251C7D0"/>
    <w:rsid w:val="425816A2"/>
    <w:rsid w:val="425A55CD"/>
    <w:rsid w:val="4260F973"/>
    <w:rsid w:val="42622D7C"/>
    <w:rsid w:val="427569D2"/>
    <w:rsid w:val="427C4736"/>
    <w:rsid w:val="427E8004"/>
    <w:rsid w:val="427FFF1D"/>
    <w:rsid w:val="42864A4D"/>
    <w:rsid w:val="428EB049"/>
    <w:rsid w:val="4294C64C"/>
    <w:rsid w:val="4298F719"/>
    <w:rsid w:val="429DDF6E"/>
    <w:rsid w:val="42A03B97"/>
    <w:rsid w:val="42A1A30F"/>
    <w:rsid w:val="42A2C8D7"/>
    <w:rsid w:val="42A74236"/>
    <w:rsid w:val="42AD439A"/>
    <w:rsid w:val="42B8E338"/>
    <w:rsid w:val="42CF60E6"/>
    <w:rsid w:val="42E2744D"/>
    <w:rsid w:val="42E412D3"/>
    <w:rsid w:val="42E95E2A"/>
    <w:rsid w:val="42EA9754"/>
    <w:rsid w:val="42EDD3BF"/>
    <w:rsid w:val="42EFC52D"/>
    <w:rsid w:val="42F2D5E7"/>
    <w:rsid w:val="430FF775"/>
    <w:rsid w:val="4327192D"/>
    <w:rsid w:val="432E5D19"/>
    <w:rsid w:val="43425AE7"/>
    <w:rsid w:val="434E62EF"/>
    <w:rsid w:val="43588300"/>
    <w:rsid w:val="4359AC81"/>
    <w:rsid w:val="43621A91"/>
    <w:rsid w:val="436DF98C"/>
    <w:rsid w:val="4370DBDD"/>
    <w:rsid w:val="4380A59F"/>
    <w:rsid w:val="43815366"/>
    <w:rsid w:val="438B4F48"/>
    <w:rsid w:val="438EDF69"/>
    <w:rsid w:val="439949B5"/>
    <w:rsid w:val="439C6551"/>
    <w:rsid w:val="43AA0AE8"/>
    <w:rsid w:val="43C0A9ED"/>
    <w:rsid w:val="43D20B29"/>
    <w:rsid w:val="43D98095"/>
    <w:rsid w:val="43DA4766"/>
    <w:rsid w:val="43E5CFCC"/>
    <w:rsid w:val="43F46844"/>
    <w:rsid w:val="4403B1ED"/>
    <w:rsid w:val="440B6EDA"/>
    <w:rsid w:val="44222120"/>
    <w:rsid w:val="44323FDE"/>
    <w:rsid w:val="44334459"/>
    <w:rsid w:val="4444248B"/>
    <w:rsid w:val="44442E35"/>
    <w:rsid w:val="444CEF15"/>
    <w:rsid w:val="445F9E18"/>
    <w:rsid w:val="44623EF1"/>
    <w:rsid w:val="446A9FBD"/>
    <w:rsid w:val="4479CFD5"/>
    <w:rsid w:val="44868294"/>
    <w:rsid w:val="44959258"/>
    <w:rsid w:val="4496C983"/>
    <w:rsid w:val="44AE4696"/>
    <w:rsid w:val="44B0581C"/>
    <w:rsid w:val="44B9CE13"/>
    <w:rsid w:val="44C99DB3"/>
    <w:rsid w:val="44D24318"/>
    <w:rsid w:val="44E2D45F"/>
    <w:rsid w:val="44EA4C65"/>
    <w:rsid w:val="45000BDC"/>
    <w:rsid w:val="450F8F4C"/>
    <w:rsid w:val="45138F5B"/>
    <w:rsid w:val="45151C31"/>
    <w:rsid w:val="451D0059"/>
    <w:rsid w:val="451E7CDF"/>
    <w:rsid w:val="452CB00C"/>
    <w:rsid w:val="452F2627"/>
    <w:rsid w:val="45376D9E"/>
    <w:rsid w:val="45384B15"/>
    <w:rsid w:val="454E79EE"/>
    <w:rsid w:val="455935A9"/>
    <w:rsid w:val="455EB079"/>
    <w:rsid w:val="45672967"/>
    <w:rsid w:val="45672CF5"/>
    <w:rsid w:val="45877AE9"/>
    <w:rsid w:val="45893BBD"/>
    <w:rsid w:val="4598D1CB"/>
    <w:rsid w:val="459A6066"/>
    <w:rsid w:val="45A6EDBE"/>
    <w:rsid w:val="45A8827C"/>
    <w:rsid w:val="45AFBC3F"/>
    <w:rsid w:val="45B42B3D"/>
    <w:rsid w:val="45CB1961"/>
    <w:rsid w:val="45D40D1C"/>
    <w:rsid w:val="45D48030"/>
    <w:rsid w:val="45D8FA0F"/>
    <w:rsid w:val="45DA4E7E"/>
    <w:rsid w:val="45DDE60D"/>
    <w:rsid w:val="45E7795C"/>
    <w:rsid w:val="45F608B8"/>
    <w:rsid w:val="45FA9D07"/>
    <w:rsid w:val="4602F13F"/>
    <w:rsid w:val="4608437D"/>
    <w:rsid w:val="4613578E"/>
    <w:rsid w:val="461555AD"/>
    <w:rsid w:val="461BE20C"/>
    <w:rsid w:val="46220942"/>
    <w:rsid w:val="4624E579"/>
    <w:rsid w:val="4628F292"/>
    <w:rsid w:val="462A227B"/>
    <w:rsid w:val="46302025"/>
    <w:rsid w:val="4634FA73"/>
    <w:rsid w:val="464208A5"/>
    <w:rsid w:val="46551709"/>
    <w:rsid w:val="4655306B"/>
    <w:rsid w:val="465591C1"/>
    <w:rsid w:val="465D41EF"/>
    <w:rsid w:val="465DDB6C"/>
    <w:rsid w:val="465E09D6"/>
    <w:rsid w:val="465ED427"/>
    <w:rsid w:val="4669C310"/>
    <w:rsid w:val="4669E34D"/>
    <w:rsid w:val="466B2589"/>
    <w:rsid w:val="466F8819"/>
    <w:rsid w:val="46908C7F"/>
    <w:rsid w:val="46927D3F"/>
    <w:rsid w:val="469A0908"/>
    <w:rsid w:val="469D94E4"/>
    <w:rsid w:val="46ABC546"/>
    <w:rsid w:val="46B51879"/>
    <w:rsid w:val="46BA9007"/>
    <w:rsid w:val="46C77236"/>
    <w:rsid w:val="46DD17D4"/>
    <w:rsid w:val="46E95AA4"/>
    <w:rsid w:val="46EC3DE3"/>
    <w:rsid w:val="46F6F3BA"/>
    <w:rsid w:val="46FEECC7"/>
    <w:rsid w:val="46FFEDDA"/>
    <w:rsid w:val="472741B9"/>
    <w:rsid w:val="47480766"/>
    <w:rsid w:val="47505EEA"/>
    <w:rsid w:val="47617E78"/>
    <w:rsid w:val="4761C266"/>
    <w:rsid w:val="4766539A"/>
    <w:rsid w:val="47691006"/>
    <w:rsid w:val="476C65C6"/>
    <w:rsid w:val="476EECE9"/>
    <w:rsid w:val="477607A5"/>
    <w:rsid w:val="477A7894"/>
    <w:rsid w:val="477EFAA6"/>
    <w:rsid w:val="478822D7"/>
    <w:rsid w:val="4793855D"/>
    <w:rsid w:val="479997C6"/>
    <w:rsid w:val="47A0ABC1"/>
    <w:rsid w:val="47BDDCBB"/>
    <w:rsid w:val="47C2B035"/>
    <w:rsid w:val="47DAE042"/>
    <w:rsid w:val="47E154D3"/>
    <w:rsid w:val="47E53A87"/>
    <w:rsid w:val="47EE5D41"/>
    <w:rsid w:val="47F876D1"/>
    <w:rsid w:val="48055A53"/>
    <w:rsid w:val="481418E9"/>
    <w:rsid w:val="481A8040"/>
    <w:rsid w:val="481FBAD1"/>
    <w:rsid w:val="4826CC1F"/>
    <w:rsid w:val="482ACFDC"/>
    <w:rsid w:val="482D356D"/>
    <w:rsid w:val="4835FCFA"/>
    <w:rsid w:val="4839E4E0"/>
    <w:rsid w:val="483FE602"/>
    <w:rsid w:val="48458602"/>
    <w:rsid w:val="485B5763"/>
    <w:rsid w:val="4871955C"/>
    <w:rsid w:val="48816F56"/>
    <w:rsid w:val="4887A7F2"/>
    <w:rsid w:val="4887AE29"/>
    <w:rsid w:val="4887FD1C"/>
    <w:rsid w:val="48DFAFCC"/>
    <w:rsid w:val="48E196F4"/>
    <w:rsid w:val="48E64502"/>
    <w:rsid w:val="48E7B376"/>
    <w:rsid w:val="48F244DC"/>
    <w:rsid w:val="48FCC461"/>
    <w:rsid w:val="49041C38"/>
    <w:rsid w:val="49042A27"/>
    <w:rsid w:val="490DD15C"/>
    <w:rsid w:val="490E2999"/>
    <w:rsid w:val="491A02F2"/>
    <w:rsid w:val="494F3A4A"/>
    <w:rsid w:val="495CEA13"/>
    <w:rsid w:val="497D81C4"/>
    <w:rsid w:val="49828B46"/>
    <w:rsid w:val="49896401"/>
    <w:rsid w:val="4989A7B7"/>
    <w:rsid w:val="498DED44"/>
    <w:rsid w:val="49A25689"/>
    <w:rsid w:val="49B323A6"/>
    <w:rsid w:val="49B44622"/>
    <w:rsid w:val="49C1CAC0"/>
    <w:rsid w:val="49D1F522"/>
    <w:rsid w:val="49D76599"/>
    <w:rsid w:val="49E17F1E"/>
    <w:rsid w:val="49E2859E"/>
    <w:rsid w:val="49E2B987"/>
    <w:rsid w:val="49E658BF"/>
    <w:rsid w:val="49E67C0A"/>
    <w:rsid w:val="49F00963"/>
    <w:rsid w:val="49F0E87E"/>
    <w:rsid w:val="49F60403"/>
    <w:rsid w:val="49F7E322"/>
    <w:rsid w:val="4A0E184F"/>
    <w:rsid w:val="4A107598"/>
    <w:rsid w:val="4A1EE284"/>
    <w:rsid w:val="4A26C825"/>
    <w:rsid w:val="4A2F5726"/>
    <w:rsid w:val="4A455A8F"/>
    <w:rsid w:val="4A4A9E6E"/>
    <w:rsid w:val="4A52D0FB"/>
    <w:rsid w:val="4A550E76"/>
    <w:rsid w:val="4A5C44BA"/>
    <w:rsid w:val="4A75A675"/>
    <w:rsid w:val="4A76B4A8"/>
    <w:rsid w:val="4A85D128"/>
    <w:rsid w:val="4A88FB3D"/>
    <w:rsid w:val="4A91BB97"/>
    <w:rsid w:val="4A959920"/>
    <w:rsid w:val="4AA67AEE"/>
    <w:rsid w:val="4AB2C49B"/>
    <w:rsid w:val="4AC089FD"/>
    <w:rsid w:val="4AC3BE71"/>
    <w:rsid w:val="4AC4C2E4"/>
    <w:rsid w:val="4AC70774"/>
    <w:rsid w:val="4ACC49C5"/>
    <w:rsid w:val="4AD03F84"/>
    <w:rsid w:val="4AD4D60F"/>
    <w:rsid w:val="4AE8E914"/>
    <w:rsid w:val="4AF704E6"/>
    <w:rsid w:val="4AFE94EE"/>
    <w:rsid w:val="4B07C0F0"/>
    <w:rsid w:val="4B08BE90"/>
    <w:rsid w:val="4B10DAD7"/>
    <w:rsid w:val="4B119FF9"/>
    <w:rsid w:val="4B1457B9"/>
    <w:rsid w:val="4B18C88B"/>
    <w:rsid w:val="4B1A9D2B"/>
    <w:rsid w:val="4B1BE0FE"/>
    <w:rsid w:val="4B37C72B"/>
    <w:rsid w:val="4B382A06"/>
    <w:rsid w:val="4B3B4BE8"/>
    <w:rsid w:val="4B3E6763"/>
    <w:rsid w:val="4B404A78"/>
    <w:rsid w:val="4B41C53D"/>
    <w:rsid w:val="4B4A8CD8"/>
    <w:rsid w:val="4B4AA527"/>
    <w:rsid w:val="4B59AB26"/>
    <w:rsid w:val="4B766768"/>
    <w:rsid w:val="4B84C486"/>
    <w:rsid w:val="4B8A6417"/>
    <w:rsid w:val="4B909C01"/>
    <w:rsid w:val="4B926764"/>
    <w:rsid w:val="4B9317CD"/>
    <w:rsid w:val="4B9D49C7"/>
    <w:rsid w:val="4BA1339F"/>
    <w:rsid w:val="4BA4535E"/>
    <w:rsid w:val="4BB8414E"/>
    <w:rsid w:val="4BBC4920"/>
    <w:rsid w:val="4BC0B036"/>
    <w:rsid w:val="4BC921A9"/>
    <w:rsid w:val="4BDB3C2E"/>
    <w:rsid w:val="4BE8AEB8"/>
    <w:rsid w:val="4BF43B86"/>
    <w:rsid w:val="4C0FFB88"/>
    <w:rsid w:val="4C15267B"/>
    <w:rsid w:val="4C1CAB53"/>
    <w:rsid w:val="4C32BF52"/>
    <w:rsid w:val="4C37DEBB"/>
    <w:rsid w:val="4C38CE12"/>
    <w:rsid w:val="4C439EC3"/>
    <w:rsid w:val="4C4D5F98"/>
    <w:rsid w:val="4C4F75C1"/>
    <w:rsid w:val="4C4FEB24"/>
    <w:rsid w:val="4C5652BE"/>
    <w:rsid w:val="4C57E348"/>
    <w:rsid w:val="4C80B177"/>
    <w:rsid w:val="4C81EDD0"/>
    <w:rsid w:val="4C8584A6"/>
    <w:rsid w:val="4C85992F"/>
    <w:rsid w:val="4C957462"/>
    <w:rsid w:val="4CA1BB0E"/>
    <w:rsid w:val="4CB4AD6F"/>
    <w:rsid w:val="4CCE4ADF"/>
    <w:rsid w:val="4CD62D47"/>
    <w:rsid w:val="4CD6DDD2"/>
    <w:rsid w:val="4CE14241"/>
    <w:rsid w:val="4CE7C3EB"/>
    <w:rsid w:val="4D0E6F6A"/>
    <w:rsid w:val="4D22BF88"/>
    <w:rsid w:val="4D241528"/>
    <w:rsid w:val="4D2A55E5"/>
    <w:rsid w:val="4D2A81F4"/>
    <w:rsid w:val="4D2AFAC7"/>
    <w:rsid w:val="4D392798"/>
    <w:rsid w:val="4D3A5D9D"/>
    <w:rsid w:val="4D40BE74"/>
    <w:rsid w:val="4D4EFFBF"/>
    <w:rsid w:val="4D546E3B"/>
    <w:rsid w:val="4D5C8C2C"/>
    <w:rsid w:val="4D6213EF"/>
    <w:rsid w:val="4D6E62AF"/>
    <w:rsid w:val="4D714E43"/>
    <w:rsid w:val="4D80EAC4"/>
    <w:rsid w:val="4D848B16"/>
    <w:rsid w:val="4D85B212"/>
    <w:rsid w:val="4D956A1B"/>
    <w:rsid w:val="4D97F1F7"/>
    <w:rsid w:val="4DB0AB6E"/>
    <w:rsid w:val="4DB1D6FE"/>
    <w:rsid w:val="4DB73692"/>
    <w:rsid w:val="4DB865CD"/>
    <w:rsid w:val="4DB8E296"/>
    <w:rsid w:val="4DBC6992"/>
    <w:rsid w:val="4DBD382A"/>
    <w:rsid w:val="4DC98152"/>
    <w:rsid w:val="4DD29A26"/>
    <w:rsid w:val="4DE6A5D2"/>
    <w:rsid w:val="4DF08DCC"/>
    <w:rsid w:val="4DF86780"/>
    <w:rsid w:val="4DFFA843"/>
    <w:rsid w:val="4E06F8C8"/>
    <w:rsid w:val="4E0D6755"/>
    <w:rsid w:val="4E0D8686"/>
    <w:rsid w:val="4E13A7A1"/>
    <w:rsid w:val="4E1D175F"/>
    <w:rsid w:val="4E35132D"/>
    <w:rsid w:val="4E361042"/>
    <w:rsid w:val="4E3C6380"/>
    <w:rsid w:val="4E3CC659"/>
    <w:rsid w:val="4E543FA1"/>
    <w:rsid w:val="4E5DE0DB"/>
    <w:rsid w:val="4E700BE5"/>
    <w:rsid w:val="4E7215B8"/>
    <w:rsid w:val="4E882FB7"/>
    <w:rsid w:val="4E89BE8D"/>
    <w:rsid w:val="4E8E3817"/>
    <w:rsid w:val="4E9125E4"/>
    <w:rsid w:val="4EAB29DA"/>
    <w:rsid w:val="4EAB6AB0"/>
    <w:rsid w:val="4EADD14F"/>
    <w:rsid w:val="4EB7F2AB"/>
    <w:rsid w:val="4EC15E03"/>
    <w:rsid w:val="4EC3949E"/>
    <w:rsid w:val="4EC7259B"/>
    <w:rsid w:val="4EC72ED4"/>
    <w:rsid w:val="4EC8515D"/>
    <w:rsid w:val="4EC95B4C"/>
    <w:rsid w:val="4ECCE1E3"/>
    <w:rsid w:val="4ED36E5A"/>
    <w:rsid w:val="4ED48182"/>
    <w:rsid w:val="4EDD7862"/>
    <w:rsid w:val="4EED645A"/>
    <w:rsid w:val="4F00C2BB"/>
    <w:rsid w:val="4F00D191"/>
    <w:rsid w:val="4F03C98C"/>
    <w:rsid w:val="4F0D3A49"/>
    <w:rsid w:val="4F1DDFA7"/>
    <w:rsid w:val="4F2E7FD3"/>
    <w:rsid w:val="4F345F7F"/>
    <w:rsid w:val="4F3D014D"/>
    <w:rsid w:val="4F41D16E"/>
    <w:rsid w:val="4F42C20C"/>
    <w:rsid w:val="4F454AF4"/>
    <w:rsid w:val="4F4F6043"/>
    <w:rsid w:val="4F55C9B3"/>
    <w:rsid w:val="4F634668"/>
    <w:rsid w:val="4F63CCAA"/>
    <w:rsid w:val="4F7359CC"/>
    <w:rsid w:val="4F907EA0"/>
    <w:rsid w:val="4F925F6D"/>
    <w:rsid w:val="4F93F762"/>
    <w:rsid w:val="4F9FBE9F"/>
    <w:rsid w:val="4FA165A7"/>
    <w:rsid w:val="4FAEB8AD"/>
    <w:rsid w:val="4FB08671"/>
    <w:rsid w:val="4FB18465"/>
    <w:rsid w:val="4FB330C5"/>
    <w:rsid w:val="4FC062F7"/>
    <w:rsid w:val="4FC48821"/>
    <w:rsid w:val="4FC82480"/>
    <w:rsid w:val="4FCD3C14"/>
    <w:rsid w:val="4FCDFF7B"/>
    <w:rsid w:val="4FD3B834"/>
    <w:rsid w:val="4FE93939"/>
    <w:rsid w:val="4FEBAD85"/>
    <w:rsid w:val="4FEFA1C6"/>
    <w:rsid w:val="50034DDB"/>
    <w:rsid w:val="5010125F"/>
    <w:rsid w:val="50129666"/>
    <w:rsid w:val="50278226"/>
    <w:rsid w:val="502C1CEC"/>
    <w:rsid w:val="5034A54D"/>
    <w:rsid w:val="5042FC72"/>
    <w:rsid w:val="50437288"/>
    <w:rsid w:val="5048B5F7"/>
    <w:rsid w:val="504BD48C"/>
    <w:rsid w:val="504E996D"/>
    <w:rsid w:val="50501B99"/>
    <w:rsid w:val="5069F8D8"/>
    <w:rsid w:val="5075EF45"/>
    <w:rsid w:val="507D9CB3"/>
    <w:rsid w:val="508BB2E4"/>
    <w:rsid w:val="50A73A93"/>
    <w:rsid w:val="50B50776"/>
    <w:rsid w:val="50B7A19F"/>
    <w:rsid w:val="50B98AA4"/>
    <w:rsid w:val="50BC2EEE"/>
    <w:rsid w:val="50C56142"/>
    <w:rsid w:val="50C93467"/>
    <w:rsid w:val="50D0CF28"/>
    <w:rsid w:val="50D15826"/>
    <w:rsid w:val="50D55396"/>
    <w:rsid w:val="50F0061B"/>
    <w:rsid w:val="50FD1DF8"/>
    <w:rsid w:val="50FF5ED6"/>
    <w:rsid w:val="5108D528"/>
    <w:rsid w:val="510A88C4"/>
    <w:rsid w:val="510EA55C"/>
    <w:rsid w:val="511858A0"/>
    <w:rsid w:val="511B079C"/>
    <w:rsid w:val="51266F5A"/>
    <w:rsid w:val="51269CCA"/>
    <w:rsid w:val="51271945"/>
    <w:rsid w:val="51377DF3"/>
    <w:rsid w:val="5140D9A0"/>
    <w:rsid w:val="5143735C"/>
    <w:rsid w:val="514F0E81"/>
    <w:rsid w:val="51502672"/>
    <w:rsid w:val="5153C1D3"/>
    <w:rsid w:val="51588611"/>
    <w:rsid w:val="515CC04E"/>
    <w:rsid w:val="515CC4E2"/>
    <w:rsid w:val="51637C3E"/>
    <w:rsid w:val="5168009B"/>
    <w:rsid w:val="516D2549"/>
    <w:rsid w:val="51788A7D"/>
    <w:rsid w:val="517AA6D8"/>
    <w:rsid w:val="51ADB69C"/>
    <w:rsid w:val="51C97AE5"/>
    <w:rsid w:val="51E36DEB"/>
    <w:rsid w:val="51E8B1E2"/>
    <w:rsid w:val="51E927A1"/>
    <w:rsid w:val="51EA6434"/>
    <w:rsid w:val="51FC25B3"/>
    <w:rsid w:val="51FF099E"/>
    <w:rsid w:val="520948CE"/>
    <w:rsid w:val="520A4D3E"/>
    <w:rsid w:val="520B5EF7"/>
    <w:rsid w:val="52191863"/>
    <w:rsid w:val="523281ED"/>
    <w:rsid w:val="5237441A"/>
    <w:rsid w:val="5240C6E0"/>
    <w:rsid w:val="525E2505"/>
    <w:rsid w:val="5262B10E"/>
    <w:rsid w:val="5265F4AB"/>
    <w:rsid w:val="526A081A"/>
    <w:rsid w:val="526B7D41"/>
    <w:rsid w:val="528279CE"/>
    <w:rsid w:val="5285E8F0"/>
    <w:rsid w:val="528C8976"/>
    <w:rsid w:val="5298D295"/>
    <w:rsid w:val="529D6362"/>
    <w:rsid w:val="52A20B3C"/>
    <w:rsid w:val="52A910DA"/>
    <w:rsid w:val="52AB924B"/>
    <w:rsid w:val="52D98E70"/>
    <w:rsid w:val="52DB93C5"/>
    <w:rsid w:val="52F67353"/>
    <w:rsid w:val="532174AD"/>
    <w:rsid w:val="532E7CD0"/>
    <w:rsid w:val="535AEF2E"/>
    <w:rsid w:val="535B4AD6"/>
    <w:rsid w:val="535EF33C"/>
    <w:rsid w:val="53667AC2"/>
    <w:rsid w:val="5377F15B"/>
    <w:rsid w:val="537D968D"/>
    <w:rsid w:val="5386D39A"/>
    <w:rsid w:val="538C88BF"/>
    <w:rsid w:val="53A2780A"/>
    <w:rsid w:val="53AA9254"/>
    <w:rsid w:val="53AB10E6"/>
    <w:rsid w:val="53B58C32"/>
    <w:rsid w:val="53CDD1EE"/>
    <w:rsid w:val="53DC5AB8"/>
    <w:rsid w:val="53E078D8"/>
    <w:rsid w:val="53E6317B"/>
    <w:rsid w:val="53F0E562"/>
    <w:rsid w:val="53F8B826"/>
    <w:rsid w:val="5404C06B"/>
    <w:rsid w:val="540A8AF5"/>
    <w:rsid w:val="540AC585"/>
    <w:rsid w:val="542575E9"/>
    <w:rsid w:val="54293518"/>
    <w:rsid w:val="542C0E34"/>
    <w:rsid w:val="542D56E9"/>
    <w:rsid w:val="5430D2F7"/>
    <w:rsid w:val="543A0871"/>
    <w:rsid w:val="543FBF35"/>
    <w:rsid w:val="5441B2A1"/>
    <w:rsid w:val="5449231B"/>
    <w:rsid w:val="544FBD6F"/>
    <w:rsid w:val="5451BC82"/>
    <w:rsid w:val="54521324"/>
    <w:rsid w:val="5454434D"/>
    <w:rsid w:val="545E9F1C"/>
    <w:rsid w:val="5463EE9A"/>
    <w:rsid w:val="546490F8"/>
    <w:rsid w:val="5465B5B1"/>
    <w:rsid w:val="5470837A"/>
    <w:rsid w:val="54765822"/>
    <w:rsid w:val="547B18C6"/>
    <w:rsid w:val="548332A7"/>
    <w:rsid w:val="548E45C0"/>
    <w:rsid w:val="549663CD"/>
    <w:rsid w:val="54A393E4"/>
    <w:rsid w:val="54A689A8"/>
    <w:rsid w:val="54AD957C"/>
    <w:rsid w:val="54AF0B4D"/>
    <w:rsid w:val="54AF38A2"/>
    <w:rsid w:val="54C298CD"/>
    <w:rsid w:val="54C6879C"/>
    <w:rsid w:val="54E0DCB0"/>
    <w:rsid w:val="54E0F149"/>
    <w:rsid w:val="54E588AC"/>
    <w:rsid w:val="54EEC544"/>
    <w:rsid w:val="54F159D9"/>
    <w:rsid w:val="54F55970"/>
    <w:rsid w:val="5509180F"/>
    <w:rsid w:val="55115785"/>
    <w:rsid w:val="55166C40"/>
    <w:rsid w:val="551685A9"/>
    <w:rsid w:val="5517E699"/>
    <w:rsid w:val="552EDD70"/>
    <w:rsid w:val="553D4D29"/>
    <w:rsid w:val="5543D571"/>
    <w:rsid w:val="5552F56D"/>
    <w:rsid w:val="5554D088"/>
    <w:rsid w:val="55596B19"/>
    <w:rsid w:val="557497FF"/>
    <w:rsid w:val="5580F20D"/>
    <w:rsid w:val="55844DD1"/>
    <w:rsid w:val="55951ED5"/>
    <w:rsid w:val="559F555A"/>
    <w:rsid w:val="55A0FEB3"/>
    <w:rsid w:val="55A4DD7F"/>
    <w:rsid w:val="55A62234"/>
    <w:rsid w:val="55A90BC5"/>
    <w:rsid w:val="55ACB747"/>
    <w:rsid w:val="55AD054B"/>
    <w:rsid w:val="55B74DB4"/>
    <w:rsid w:val="55C21B30"/>
    <w:rsid w:val="55C93E97"/>
    <w:rsid w:val="55D92F46"/>
    <w:rsid w:val="55EE6A53"/>
    <w:rsid w:val="55F49020"/>
    <w:rsid w:val="55FC6CD4"/>
    <w:rsid w:val="55FDEA2C"/>
    <w:rsid w:val="56034688"/>
    <w:rsid w:val="56067558"/>
    <w:rsid w:val="5618BDF9"/>
    <w:rsid w:val="561CE90B"/>
    <w:rsid w:val="5628F6C6"/>
    <w:rsid w:val="5643D167"/>
    <w:rsid w:val="5644CA16"/>
    <w:rsid w:val="56485557"/>
    <w:rsid w:val="564A1151"/>
    <w:rsid w:val="564BD263"/>
    <w:rsid w:val="5656AAE1"/>
    <w:rsid w:val="5662A4FC"/>
    <w:rsid w:val="566882FF"/>
    <w:rsid w:val="5681539E"/>
    <w:rsid w:val="5697E328"/>
    <w:rsid w:val="56B0364C"/>
    <w:rsid w:val="56B32E87"/>
    <w:rsid w:val="56B502BE"/>
    <w:rsid w:val="56BF6F85"/>
    <w:rsid w:val="56C13196"/>
    <w:rsid w:val="56C2423A"/>
    <w:rsid w:val="56CE5283"/>
    <w:rsid w:val="56D4FC0F"/>
    <w:rsid w:val="56E70D19"/>
    <w:rsid w:val="56EF2CD4"/>
    <w:rsid w:val="56F50310"/>
    <w:rsid w:val="56F71ED0"/>
    <w:rsid w:val="56FFD4AC"/>
    <w:rsid w:val="5703BBDC"/>
    <w:rsid w:val="5704118D"/>
    <w:rsid w:val="570437F5"/>
    <w:rsid w:val="5708771D"/>
    <w:rsid w:val="570EF41D"/>
    <w:rsid w:val="570FAFF3"/>
    <w:rsid w:val="5722588A"/>
    <w:rsid w:val="572F993F"/>
    <w:rsid w:val="57349692"/>
    <w:rsid w:val="57553AE9"/>
    <w:rsid w:val="575EF519"/>
    <w:rsid w:val="576D5B01"/>
    <w:rsid w:val="577B7BA3"/>
    <w:rsid w:val="578F4755"/>
    <w:rsid w:val="5792FEB1"/>
    <w:rsid w:val="57A590F1"/>
    <w:rsid w:val="57A9201A"/>
    <w:rsid w:val="57B85398"/>
    <w:rsid w:val="57CA4315"/>
    <w:rsid w:val="57CF888C"/>
    <w:rsid w:val="57DE13BE"/>
    <w:rsid w:val="57DED544"/>
    <w:rsid w:val="57E5E2EB"/>
    <w:rsid w:val="57E835D2"/>
    <w:rsid w:val="57F39478"/>
    <w:rsid w:val="57F8AE9E"/>
    <w:rsid w:val="57FC7411"/>
    <w:rsid w:val="58046A53"/>
    <w:rsid w:val="580761BA"/>
    <w:rsid w:val="5816AD5B"/>
    <w:rsid w:val="5828887C"/>
    <w:rsid w:val="582B93AA"/>
    <w:rsid w:val="583806DD"/>
    <w:rsid w:val="58485634"/>
    <w:rsid w:val="584D947B"/>
    <w:rsid w:val="584FD70C"/>
    <w:rsid w:val="5864BC6E"/>
    <w:rsid w:val="58668B99"/>
    <w:rsid w:val="5867176F"/>
    <w:rsid w:val="586F3D41"/>
    <w:rsid w:val="58707E87"/>
    <w:rsid w:val="587134B9"/>
    <w:rsid w:val="5876F07D"/>
    <w:rsid w:val="588664F4"/>
    <w:rsid w:val="588ADC0D"/>
    <w:rsid w:val="589425CC"/>
    <w:rsid w:val="589A77DE"/>
    <w:rsid w:val="589D26D6"/>
    <w:rsid w:val="589E4042"/>
    <w:rsid w:val="589FB211"/>
    <w:rsid w:val="58A59AC1"/>
    <w:rsid w:val="58A8BE3E"/>
    <w:rsid w:val="58B24DFE"/>
    <w:rsid w:val="58B39C5F"/>
    <w:rsid w:val="58B66B22"/>
    <w:rsid w:val="58C26B1E"/>
    <w:rsid w:val="58C481F5"/>
    <w:rsid w:val="58CE162B"/>
    <w:rsid w:val="58CF995C"/>
    <w:rsid w:val="58D00711"/>
    <w:rsid w:val="58E32310"/>
    <w:rsid w:val="58F469F3"/>
    <w:rsid w:val="59171E65"/>
    <w:rsid w:val="5926590F"/>
    <w:rsid w:val="592BD3CB"/>
    <w:rsid w:val="59352B76"/>
    <w:rsid w:val="5942642B"/>
    <w:rsid w:val="594C8A98"/>
    <w:rsid w:val="59591F5A"/>
    <w:rsid w:val="595F4A83"/>
    <w:rsid w:val="596DE2FE"/>
    <w:rsid w:val="596E4F0E"/>
    <w:rsid w:val="5970E96B"/>
    <w:rsid w:val="597AC1FA"/>
    <w:rsid w:val="597B61FD"/>
    <w:rsid w:val="599FA79A"/>
    <w:rsid w:val="59A06D72"/>
    <w:rsid w:val="59A0FBF0"/>
    <w:rsid w:val="59A1E6D5"/>
    <w:rsid w:val="59A77D63"/>
    <w:rsid w:val="59B73C3E"/>
    <w:rsid w:val="59C3F7BA"/>
    <w:rsid w:val="59CB4272"/>
    <w:rsid w:val="59D3F2A8"/>
    <w:rsid w:val="59DAC10D"/>
    <w:rsid w:val="59DEE4E9"/>
    <w:rsid w:val="59E7E4B0"/>
    <w:rsid w:val="59E94F0D"/>
    <w:rsid w:val="59ED6CD3"/>
    <w:rsid w:val="5A02B44A"/>
    <w:rsid w:val="5A05F66E"/>
    <w:rsid w:val="5A08A594"/>
    <w:rsid w:val="5A0CA0D6"/>
    <w:rsid w:val="5A0D86EF"/>
    <w:rsid w:val="5A0DF3D0"/>
    <w:rsid w:val="5A193545"/>
    <w:rsid w:val="5A1B66A4"/>
    <w:rsid w:val="5A4EE512"/>
    <w:rsid w:val="5A582DA6"/>
    <w:rsid w:val="5A586E29"/>
    <w:rsid w:val="5A598007"/>
    <w:rsid w:val="5A606303"/>
    <w:rsid w:val="5A660A37"/>
    <w:rsid w:val="5A72D347"/>
    <w:rsid w:val="5A81D777"/>
    <w:rsid w:val="5A8CA23C"/>
    <w:rsid w:val="5A8D8BB3"/>
    <w:rsid w:val="5A919A1D"/>
    <w:rsid w:val="5A91B8B5"/>
    <w:rsid w:val="5A928D3D"/>
    <w:rsid w:val="5A971E28"/>
    <w:rsid w:val="5AA3A51F"/>
    <w:rsid w:val="5ABFB4C9"/>
    <w:rsid w:val="5ACE3299"/>
    <w:rsid w:val="5ADB7CBD"/>
    <w:rsid w:val="5ADC369E"/>
    <w:rsid w:val="5AE02CE6"/>
    <w:rsid w:val="5AE2A904"/>
    <w:rsid w:val="5AEFD7F0"/>
    <w:rsid w:val="5AF4E19B"/>
    <w:rsid w:val="5AF5B304"/>
    <w:rsid w:val="5AF8DF95"/>
    <w:rsid w:val="5AF9E9C0"/>
    <w:rsid w:val="5B088E63"/>
    <w:rsid w:val="5B0E10F2"/>
    <w:rsid w:val="5B208EA5"/>
    <w:rsid w:val="5B24C148"/>
    <w:rsid w:val="5B3B44E7"/>
    <w:rsid w:val="5B400BA9"/>
    <w:rsid w:val="5B48A078"/>
    <w:rsid w:val="5B506883"/>
    <w:rsid w:val="5B50CE47"/>
    <w:rsid w:val="5B54F7C0"/>
    <w:rsid w:val="5B556E78"/>
    <w:rsid w:val="5B55BB46"/>
    <w:rsid w:val="5B71CF68"/>
    <w:rsid w:val="5B75ECC4"/>
    <w:rsid w:val="5B8C0A60"/>
    <w:rsid w:val="5B9088D7"/>
    <w:rsid w:val="5B9685CC"/>
    <w:rsid w:val="5B98E4FC"/>
    <w:rsid w:val="5BA3781D"/>
    <w:rsid w:val="5BB6465F"/>
    <w:rsid w:val="5BC96F4C"/>
    <w:rsid w:val="5BEAB57A"/>
    <w:rsid w:val="5BF520F4"/>
    <w:rsid w:val="5BF52A18"/>
    <w:rsid w:val="5BF553DE"/>
    <w:rsid w:val="5BFD8275"/>
    <w:rsid w:val="5C01CB3E"/>
    <w:rsid w:val="5C09DBE8"/>
    <w:rsid w:val="5C16EE03"/>
    <w:rsid w:val="5C1A67A3"/>
    <w:rsid w:val="5C293D36"/>
    <w:rsid w:val="5C30BA14"/>
    <w:rsid w:val="5C359A3A"/>
    <w:rsid w:val="5C382AA5"/>
    <w:rsid w:val="5C4B8CA4"/>
    <w:rsid w:val="5C538F19"/>
    <w:rsid w:val="5C5E3392"/>
    <w:rsid w:val="5C5F9875"/>
    <w:rsid w:val="5C70B08A"/>
    <w:rsid w:val="5C82D7C7"/>
    <w:rsid w:val="5C8670F4"/>
    <w:rsid w:val="5C8E3D18"/>
    <w:rsid w:val="5C8E5B5A"/>
    <w:rsid w:val="5C924130"/>
    <w:rsid w:val="5CA69A63"/>
    <w:rsid w:val="5CB39CE8"/>
    <w:rsid w:val="5CC02043"/>
    <w:rsid w:val="5CC4FFA1"/>
    <w:rsid w:val="5CCAA9B0"/>
    <w:rsid w:val="5CCE28BD"/>
    <w:rsid w:val="5CD154F2"/>
    <w:rsid w:val="5CD293CF"/>
    <w:rsid w:val="5CE9A8D5"/>
    <w:rsid w:val="5CE9A931"/>
    <w:rsid w:val="5CF17FFC"/>
    <w:rsid w:val="5D00558B"/>
    <w:rsid w:val="5D050760"/>
    <w:rsid w:val="5D0F7290"/>
    <w:rsid w:val="5D15DC7C"/>
    <w:rsid w:val="5D1AD2AC"/>
    <w:rsid w:val="5D297EC2"/>
    <w:rsid w:val="5D32777C"/>
    <w:rsid w:val="5D4347AE"/>
    <w:rsid w:val="5D451866"/>
    <w:rsid w:val="5D4EDD64"/>
    <w:rsid w:val="5D508C00"/>
    <w:rsid w:val="5D5BE9FC"/>
    <w:rsid w:val="5D6E98FB"/>
    <w:rsid w:val="5D73A1C0"/>
    <w:rsid w:val="5D7A231D"/>
    <w:rsid w:val="5D9EC3A7"/>
    <w:rsid w:val="5DA15ADD"/>
    <w:rsid w:val="5DA269B6"/>
    <w:rsid w:val="5DA61D3D"/>
    <w:rsid w:val="5DA88C29"/>
    <w:rsid w:val="5DB1626F"/>
    <w:rsid w:val="5DBE30D1"/>
    <w:rsid w:val="5DBE34A0"/>
    <w:rsid w:val="5DC2CF47"/>
    <w:rsid w:val="5DC4E75B"/>
    <w:rsid w:val="5DEBA9A9"/>
    <w:rsid w:val="5DF494CD"/>
    <w:rsid w:val="5DFB29A2"/>
    <w:rsid w:val="5E01B098"/>
    <w:rsid w:val="5E1629CD"/>
    <w:rsid w:val="5E16341B"/>
    <w:rsid w:val="5E18F0F4"/>
    <w:rsid w:val="5E1D53B3"/>
    <w:rsid w:val="5E1DF65D"/>
    <w:rsid w:val="5E273FED"/>
    <w:rsid w:val="5E28AB34"/>
    <w:rsid w:val="5E308706"/>
    <w:rsid w:val="5E30FD48"/>
    <w:rsid w:val="5E36308A"/>
    <w:rsid w:val="5E394A2C"/>
    <w:rsid w:val="5E420CB1"/>
    <w:rsid w:val="5E447DE9"/>
    <w:rsid w:val="5E4AABA9"/>
    <w:rsid w:val="5E4AC2A0"/>
    <w:rsid w:val="5E4F3224"/>
    <w:rsid w:val="5E54E2E6"/>
    <w:rsid w:val="5E55476E"/>
    <w:rsid w:val="5E5AD126"/>
    <w:rsid w:val="5E6123E8"/>
    <w:rsid w:val="5E69C69A"/>
    <w:rsid w:val="5E7A1135"/>
    <w:rsid w:val="5E882A57"/>
    <w:rsid w:val="5E8BE86F"/>
    <w:rsid w:val="5E8F7CF2"/>
    <w:rsid w:val="5E99E583"/>
    <w:rsid w:val="5EA0F04C"/>
    <w:rsid w:val="5EA923E8"/>
    <w:rsid w:val="5EA9BB41"/>
    <w:rsid w:val="5EAA10BC"/>
    <w:rsid w:val="5EB043D4"/>
    <w:rsid w:val="5EB8736A"/>
    <w:rsid w:val="5EBA240A"/>
    <w:rsid w:val="5EBB9EFF"/>
    <w:rsid w:val="5EBDD5CB"/>
    <w:rsid w:val="5EC07D41"/>
    <w:rsid w:val="5ECE1F40"/>
    <w:rsid w:val="5ED4D38F"/>
    <w:rsid w:val="5ED70741"/>
    <w:rsid w:val="5EDA714B"/>
    <w:rsid w:val="5EE3A8EF"/>
    <w:rsid w:val="5EE4A8AE"/>
    <w:rsid w:val="5EF74A5A"/>
    <w:rsid w:val="5EFC1FE6"/>
    <w:rsid w:val="5F056031"/>
    <w:rsid w:val="5F0C018C"/>
    <w:rsid w:val="5F125178"/>
    <w:rsid w:val="5F1DBCE2"/>
    <w:rsid w:val="5F1F1418"/>
    <w:rsid w:val="5F29797A"/>
    <w:rsid w:val="5F2C05D4"/>
    <w:rsid w:val="5F3C4214"/>
    <w:rsid w:val="5F3DF20B"/>
    <w:rsid w:val="5F3F98D9"/>
    <w:rsid w:val="5F472DC7"/>
    <w:rsid w:val="5F50DC2B"/>
    <w:rsid w:val="5F525B5A"/>
    <w:rsid w:val="5F5CAF63"/>
    <w:rsid w:val="5F639C35"/>
    <w:rsid w:val="5F6AAF86"/>
    <w:rsid w:val="5F77FDF9"/>
    <w:rsid w:val="5F7E40F8"/>
    <w:rsid w:val="5F7EED7A"/>
    <w:rsid w:val="5F8A24AA"/>
    <w:rsid w:val="5F8B5EE2"/>
    <w:rsid w:val="5F9C8B31"/>
    <w:rsid w:val="5FAE0BEA"/>
    <w:rsid w:val="5FAE4DE6"/>
    <w:rsid w:val="5FBC2928"/>
    <w:rsid w:val="5FBD9DFE"/>
    <w:rsid w:val="5FC3BC35"/>
    <w:rsid w:val="5FC7A232"/>
    <w:rsid w:val="5FC8C56A"/>
    <w:rsid w:val="5FCB32AA"/>
    <w:rsid w:val="5FCB83DC"/>
    <w:rsid w:val="5FD0B7FC"/>
    <w:rsid w:val="5FD1DF6E"/>
    <w:rsid w:val="5FDB09F2"/>
    <w:rsid w:val="5FE17822"/>
    <w:rsid w:val="5FF1A98D"/>
    <w:rsid w:val="5FF64A25"/>
    <w:rsid w:val="5FF75253"/>
    <w:rsid w:val="5FFBF339"/>
    <w:rsid w:val="5FFF05B4"/>
    <w:rsid w:val="60012272"/>
    <w:rsid w:val="601AF0FA"/>
    <w:rsid w:val="60224764"/>
    <w:rsid w:val="60236BE6"/>
    <w:rsid w:val="60317B1B"/>
    <w:rsid w:val="60327E79"/>
    <w:rsid w:val="6035F9BE"/>
    <w:rsid w:val="60421A98"/>
    <w:rsid w:val="6048DB62"/>
    <w:rsid w:val="604CAA46"/>
    <w:rsid w:val="604FA206"/>
    <w:rsid w:val="60557E8A"/>
    <w:rsid w:val="605DDA1F"/>
    <w:rsid w:val="606D7C07"/>
    <w:rsid w:val="6070D50B"/>
    <w:rsid w:val="607F2673"/>
    <w:rsid w:val="608A7E74"/>
    <w:rsid w:val="6094AB34"/>
    <w:rsid w:val="60A2DA38"/>
    <w:rsid w:val="60A92B6A"/>
    <w:rsid w:val="60AF245C"/>
    <w:rsid w:val="60B2EB2D"/>
    <w:rsid w:val="60BB17D7"/>
    <w:rsid w:val="60C5DCB9"/>
    <w:rsid w:val="60CA331C"/>
    <w:rsid w:val="60DBE97C"/>
    <w:rsid w:val="60DE01A7"/>
    <w:rsid w:val="60E2D257"/>
    <w:rsid w:val="60FEABAE"/>
    <w:rsid w:val="6101B1DB"/>
    <w:rsid w:val="61094D03"/>
    <w:rsid w:val="61125C11"/>
    <w:rsid w:val="612EC75D"/>
    <w:rsid w:val="612F2797"/>
    <w:rsid w:val="613D4701"/>
    <w:rsid w:val="613EDAA4"/>
    <w:rsid w:val="614B3FE5"/>
    <w:rsid w:val="614CF5D6"/>
    <w:rsid w:val="61546158"/>
    <w:rsid w:val="616DE979"/>
    <w:rsid w:val="61889090"/>
    <w:rsid w:val="619563BF"/>
    <w:rsid w:val="6199480B"/>
    <w:rsid w:val="619C7996"/>
    <w:rsid w:val="61A23D5C"/>
    <w:rsid w:val="61A64D8F"/>
    <w:rsid w:val="61B47716"/>
    <w:rsid w:val="61BB38CA"/>
    <w:rsid w:val="61BB3C94"/>
    <w:rsid w:val="61C470B0"/>
    <w:rsid w:val="61C48860"/>
    <w:rsid w:val="61C7239D"/>
    <w:rsid w:val="61CCCAAD"/>
    <w:rsid w:val="61CF06D2"/>
    <w:rsid w:val="61D48E3B"/>
    <w:rsid w:val="61D5D712"/>
    <w:rsid w:val="61D8585A"/>
    <w:rsid w:val="61ED08D8"/>
    <w:rsid w:val="61ED4A7E"/>
    <w:rsid w:val="61ED5AC8"/>
    <w:rsid w:val="61F3FA57"/>
    <w:rsid w:val="61F85999"/>
    <w:rsid w:val="62073F7D"/>
    <w:rsid w:val="620BC046"/>
    <w:rsid w:val="620D9BDE"/>
    <w:rsid w:val="621460B3"/>
    <w:rsid w:val="6222E0B5"/>
    <w:rsid w:val="622346EE"/>
    <w:rsid w:val="6235882A"/>
    <w:rsid w:val="62408315"/>
    <w:rsid w:val="6241829B"/>
    <w:rsid w:val="624824E2"/>
    <w:rsid w:val="624E3660"/>
    <w:rsid w:val="62644BAD"/>
    <w:rsid w:val="626E9DCF"/>
    <w:rsid w:val="62736616"/>
    <w:rsid w:val="627CF7BA"/>
    <w:rsid w:val="627DEF7C"/>
    <w:rsid w:val="628564A2"/>
    <w:rsid w:val="62858DFA"/>
    <w:rsid w:val="628DFC5E"/>
    <w:rsid w:val="628E5E7A"/>
    <w:rsid w:val="6296BC70"/>
    <w:rsid w:val="629CA59C"/>
    <w:rsid w:val="62A9EAB1"/>
    <w:rsid w:val="62AD0A7B"/>
    <w:rsid w:val="62BF257D"/>
    <w:rsid w:val="62D33E76"/>
    <w:rsid w:val="62DB4C27"/>
    <w:rsid w:val="62E921A2"/>
    <w:rsid w:val="62FC8373"/>
    <w:rsid w:val="6309A0C2"/>
    <w:rsid w:val="630AAF0B"/>
    <w:rsid w:val="63132239"/>
    <w:rsid w:val="6320595B"/>
    <w:rsid w:val="632273B9"/>
    <w:rsid w:val="633B23DD"/>
    <w:rsid w:val="634790F3"/>
    <w:rsid w:val="63505C71"/>
    <w:rsid w:val="6355D55F"/>
    <w:rsid w:val="6358DA18"/>
    <w:rsid w:val="635BF99D"/>
    <w:rsid w:val="635E1AC4"/>
    <w:rsid w:val="63635ADD"/>
    <w:rsid w:val="63697AB1"/>
    <w:rsid w:val="63698FEA"/>
    <w:rsid w:val="63765297"/>
    <w:rsid w:val="6382B98B"/>
    <w:rsid w:val="638C3342"/>
    <w:rsid w:val="638EDAC9"/>
    <w:rsid w:val="63969D88"/>
    <w:rsid w:val="639E78C0"/>
    <w:rsid w:val="63A93CF3"/>
    <w:rsid w:val="63AA1F10"/>
    <w:rsid w:val="63ADC580"/>
    <w:rsid w:val="63B20223"/>
    <w:rsid w:val="63BB0A52"/>
    <w:rsid w:val="63C2D31C"/>
    <w:rsid w:val="63CD7BDE"/>
    <w:rsid w:val="63CE5F31"/>
    <w:rsid w:val="63CEB3DE"/>
    <w:rsid w:val="63D0836E"/>
    <w:rsid w:val="63D23F03"/>
    <w:rsid w:val="63E0DB99"/>
    <w:rsid w:val="63EE2EE4"/>
    <w:rsid w:val="63F5D70C"/>
    <w:rsid w:val="641240AA"/>
    <w:rsid w:val="64130837"/>
    <w:rsid w:val="6414D843"/>
    <w:rsid w:val="641A014F"/>
    <w:rsid w:val="641ACD5A"/>
    <w:rsid w:val="641DD7B0"/>
    <w:rsid w:val="641F423F"/>
    <w:rsid w:val="6420E333"/>
    <w:rsid w:val="64235A9B"/>
    <w:rsid w:val="642A53BB"/>
    <w:rsid w:val="643564E1"/>
    <w:rsid w:val="643972AC"/>
    <w:rsid w:val="643B8E92"/>
    <w:rsid w:val="643E4A5E"/>
    <w:rsid w:val="643FBCC8"/>
    <w:rsid w:val="644155AC"/>
    <w:rsid w:val="644610B7"/>
    <w:rsid w:val="645479EA"/>
    <w:rsid w:val="6457103D"/>
    <w:rsid w:val="64581294"/>
    <w:rsid w:val="645AFC90"/>
    <w:rsid w:val="646F9BA4"/>
    <w:rsid w:val="647B25F5"/>
    <w:rsid w:val="648D8796"/>
    <w:rsid w:val="648EAF6F"/>
    <w:rsid w:val="64979796"/>
    <w:rsid w:val="649B19F5"/>
    <w:rsid w:val="64A1E22A"/>
    <w:rsid w:val="64A445E4"/>
    <w:rsid w:val="64A6AB5A"/>
    <w:rsid w:val="64B2E699"/>
    <w:rsid w:val="64C40926"/>
    <w:rsid w:val="64C9642C"/>
    <w:rsid w:val="64CD2696"/>
    <w:rsid w:val="64CD494A"/>
    <w:rsid w:val="64D59DB3"/>
    <w:rsid w:val="64EA6E1A"/>
    <w:rsid w:val="64EAF4DF"/>
    <w:rsid w:val="64F04B09"/>
    <w:rsid w:val="64FE32B8"/>
    <w:rsid w:val="650C5ED4"/>
    <w:rsid w:val="650E8A4D"/>
    <w:rsid w:val="65151958"/>
    <w:rsid w:val="6526F63F"/>
    <w:rsid w:val="6529A35C"/>
    <w:rsid w:val="6529C2BA"/>
    <w:rsid w:val="6534E12B"/>
    <w:rsid w:val="6535D99A"/>
    <w:rsid w:val="653EC3FB"/>
    <w:rsid w:val="6543E779"/>
    <w:rsid w:val="6544716A"/>
    <w:rsid w:val="6560D807"/>
    <w:rsid w:val="656B92AF"/>
    <w:rsid w:val="656D6E1D"/>
    <w:rsid w:val="6578E812"/>
    <w:rsid w:val="657E2074"/>
    <w:rsid w:val="6588F561"/>
    <w:rsid w:val="65896E31"/>
    <w:rsid w:val="658A1609"/>
    <w:rsid w:val="658A3A0D"/>
    <w:rsid w:val="65908B8D"/>
    <w:rsid w:val="6590AD10"/>
    <w:rsid w:val="659102FF"/>
    <w:rsid w:val="6597A7DD"/>
    <w:rsid w:val="659DF39B"/>
    <w:rsid w:val="65AA6EED"/>
    <w:rsid w:val="65B8F138"/>
    <w:rsid w:val="65CB34BE"/>
    <w:rsid w:val="65D1B965"/>
    <w:rsid w:val="65D40510"/>
    <w:rsid w:val="65D93CE9"/>
    <w:rsid w:val="65ED7B4A"/>
    <w:rsid w:val="65F6D662"/>
    <w:rsid w:val="65FBE8BC"/>
    <w:rsid w:val="65FD2CF2"/>
    <w:rsid w:val="660E9858"/>
    <w:rsid w:val="661A976A"/>
    <w:rsid w:val="662B0E9A"/>
    <w:rsid w:val="662C58AD"/>
    <w:rsid w:val="663129D5"/>
    <w:rsid w:val="6638B6AD"/>
    <w:rsid w:val="66729DAC"/>
    <w:rsid w:val="6678F9AB"/>
    <w:rsid w:val="667B1774"/>
    <w:rsid w:val="66827E49"/>
    <w:rsid w:val="66855589"/>
    <w:rsid w:val="66901612"/>
    <w:rsid w:val="66AD3C72"/>
    <w:rsid w:val="66AEFFC2"/>
    <w:rsid w:val="66C1C863"/>
    <w:rsid w:val="66C53A92"/>
    <w:rsid w:val="66CC9BA5"/>
    <w:rsid w:val="66CDF996"/>
    <w:rsid w:val="66DD13C9"/>
    <w:rsid w:val="66ED019B"/>
    <w:rsid w:val="66F0B88E"/>
    <w:rsid w:val="6709C0BE"/>
    <w:rsid w:val="670E8DA3"/>
    <w:rsid w:val="671EEA22"/>
    <w:rsid w:val="673647C5"/>
    <w:rsid w:val="673BEC8A"/>
    <w:rsid w:val="673D25ED"/>
    <w:rsid w:val="67448C89"/>
    <w:rsid w:val="6748DAD6"/>
    <w:rsid w:val="674E6585"/>
    <w:rsid w:val="67512BB5"/>
    <w:rsid w:val="675B767A"/>
    <w:rsid w:val="675DBB08"/>
    <w:rsid w:val="67688253"/>
    <w:rsid w:val="6772735D"/>
    <w:rsid w:val="6773A1C7"/>
    <w:rsid w:val="6776ABF1"/>
    <w:rsid w:val="6778D7A2"/>
    <w:rsid w:val="677E78BC"/>
    <w:rsid w:val="6790A338"/>
    <w:rsid w:val="6796ABEF"/>
    <w:rsid w:val="6796CAD6"/>
    <w:rsid w:val="679E55D7"/>
    <w:rsid w:val="67AEEBA9"/>
    <w:rsid w:val="67AF7F77"/>
    <w:rsid w:val="67B3A1E9"/>
    <w:rsid w:val="67BE9EAE"/>
    <w:rsid w:val="67C13647"/>
    <w:rsid w:val="67C1CC2B"/>
    <w:rsid w:val="67CE97C8"/>
    <w:rsid w:val="67D38B2E"/>
    <w:rsid w:val="67D8967A"/>
    <w:rsid w:val="67E236CD"/>
    <w:rsid w:val="67F0C219"/>
    <w:rsid w:val="67FCFA9A"/>
    <w:rsid w:val="68032DCC"/>
    <w:rsid w:val="68034BC8"/>
    <w:rsid w:val="680A0B48"/>
    <w:rsid w:val="680A83D9"/>
    <w:rsid w:val="680D57F7"/>
    <w:rsid w:val="682B7609"/>
    <w:rsid w:val="682FE8F5"/>
    <w:rsid w:val="683356F2"/>
    <w:rsid w:val="683B0684"/>
    <w:rsid w:val="68492FEB"/>
    <w:rsid w:val="6852E812"/>
    <w:rsid w:val="68568CBE"/>
    <w:rsid w:val="6887AD20"/>
    <w:rsid w:val="688E81B2"/>
    <w:rsid w:val="689D0F0C"/>
    <w:rsid w:val="689F3D84"/>
    <w:rsid w:val="68C4CCCE"/>
    <w:rsid w:val="68CA2AF1"/>
    <w:rsid w:val="68D27D04"/>
    <w:rsid w:val="68D59B13"/>
    <w:rsid w:val="68DEB384"/>
    <w:rsid w:val="68E5E718"/>
    <w:rsid w:val="68EE19AE"/>
    <w:rsid w:val="68F57E12"/>
    <w:rsid w:val="68F60F7D"/>
    <w:rsid w:val="6901458E"/>
    <w:rsid w:val="6908C665"/>
    <w:rsid w:val="690B7F48"/>
    <w:rsid w:val="690E6848"/>
    <w:rsid w:val="69137AAF"/>
    <w:rsid w:val="691547FD"/>
    <w:rsid w:val="6915DFBF"/>
    <w:rsid w:val="6920BAC7"/>
    <w:rsid w:val="692176FB"/>
    <w:rsid w:val="69385E6C"/>
    <w:rsid w:val="693F6F4D"/>
    <w:rsid w:val="69408DE4"/>
    <w:rsid w:val="69504D4A"/>
    <w:rsid w:val="69508961"/>
    <w:rsid w:val="695318F9"/>
    <w:rsid w:val="6960381F"/>
    <w:rsid w:val="696F1B6D"/>
    <w:rsid w:val="697B4040"/>
    <w:rsid w:val="697C3656"/>
    <w:rsid w:val="698A3D5D"/>
    <w:rsid w:val="698F7403"/>
    <w:rsid w:val="699004EB"/>
    <w:rsid w:val="69908FBA"/>
    <w:rsid w:val="699C1958"/>
    <w:rsid w:val="69A3E3A1"/>
    <w:rsid w:val="69A4E48B"/>
    <w:rsid w:val="69B45387"/>
    <w:rsid w:val="69B57D6F"/>
    <w:rsid w:val="69BE3F31"/>
    <w:rsid w:val="69C3435B"/>
    <w:rsid w:val="69C6DFB5"/>
    <w:rsid w:val="69C70449"/>
    <w:rsid w:val="69C861A8"/>
    <w:rsid w:val="69CC6289"/>
    <w:rsid w:val="69D810F8"/>
    <w:rsid w:val="69DD6808"/>
    <w:rsid w:val="69E1CE74"/>
    <w:rsid w:val="69E68323"/>
    <w:rsid w:val="6A09D91C"/>
    <w:rsid w:val="6A1D6884"/>
    <w:rsid w:val="6A28E5FA"/>
    <w:rsid w:val="6A2CCCF1"/>
    <w:rsid w:val="6A2F4BFB"/>
    <w:rsid w:val="6A3392BA"/>
    <w:rsid w:val="6A339839"/>
    <w:rsid w:val="6A3B441D"/>
    <w:rsid w:val="6A3CB655"/>
    <w:rsid w:val="6A492BDE"/>
    <w:rsid w:val="6A552ECD"/>
    <w:rsid w:val="6A566054"/>
    <w:rsid w:val="6A664C48"/>
    <w:rsid w:val="6A6DEE34"/>
    <w:rsid w:val="6A72D16D"/>
    <w:rsid w:val="6A7F09DA"/>
    <w:rsid w:val="6A869400"/>
    <w:rsid w:val="6A8ABC52"/>
    <w:rsid w:val="6A914C4C"/>
    <w:rsid w:val="6A9150EA"/>
    <w:rsid w:val="6A9649A1"/>
    <w:rsid w:val="6A9B4795"/>
    <w:rsid w:val="6AA0615E"/>
    <w:rsid w:val="6ABA8535"/>
    <w:rsid w:val="6ABAB77D"/>
    <w:rsid w:val="6ABD5B64"/>
    <w:rsid w:val="6AC14C84"/>
    <w:rsid w:val="6AD0E75A"/>
    <w:rsid w:val="6AE3ED98"/>
    <w:rsid w:val="6AE8A5CD"/>
    <w:rsid w:val="6AEF7C32"/>
    <w:rsid w:val="6AF1DBF5"/>
    <w:rsid w:val="6B0151A9"/>
    <w:rsid w:val="6B0DB7C4"/>
    <w:rsid w:val="6B1989DA"/>
    <w:rsid w:val="6B21C8E5"/>
    <w:rsid w:val="6B25D52A"/>
    <w:rsid w:val="6B3B55BC"/>
    <w:rsid w:val="6B504D6E"/>
    <w:rsid w:val="6B63958B"/>
    <w:rsid w:val="6B6AF248"/>
    <w:rsid w:val="6B6D2763"/>
    <w:rsid w:val="6B6F12C7"/>
    <w:rsid w:val="6B770995"/>
    <w:rsid w:val="6B82E025"/>
    <w:rsid w:val="6B84237B"/>
    <w:rsid w:val="6B84CA5B"/>
    <w:rsid w:val="6B86D4FD"/>
    <w:rsid w:val="6B87B704"/>
    <w:rsid w:val="6B904A27"/>
    <w:rsid w:val="6B976697"/>
    <w:rsid w:val="6B9A6491"/>
    <w:rsid w:val="6B9EF7B0"/>
    <w:rsid w:val="6BA1B522"/>
    <w:rsid w:val="6BB9C495"/>
    <w:rsid w:val="6BC23EED"/>
    <w:rsid w:val="6BCDF3FE"/>
    <w:rsid w:val="6BD534D9"/>
    <w:rsid w:val="6BE3C658"/>
    <w:rsid w:val="6BE400BD"/>
    <w:rsid w:val="6BEA809C"/>
    <w:rsid w:val="6BEB6CA2"/>
    <w:rsid w:val="6BF5DCB5"/>
    <w:rsid w:val="6C0444D1"/>
    <w:rsid w:val="6C0D9C89"/>
    <w:rsid w:val="6C17F1A0"/>
    <w:rsid w:val="6C1D7F08"/>
    <w:rsid w:val="6C203B90"/>
    <w:rsid w:val="6C266B67"/>
    <w:rsid w:val="6C27014F"/>
    <w:rsid w:val="6C2B1FAF"/>
    <w:rsid w:val="6C2E0101"/>
    <w:rsid w:val="6C33240E"/>
    <w:rsid w:val="6C3784FE"/>
    <w:rsid w:val="6C42A3E5"/>
    <w:rsid w:val="6C4C7D03"/>
    <w:rsid w:val="6C4D5B99"/>
    <w:rsid w:val="6C50A78E"/>
    <w:rsid w:val="6C630E59"/>
    <w:rsid w:val="6C68D770"/>
    <w:rsid w:val="6C74CAB8"/>
    <w:rsid w:val="6C81071F"/>
    <w:rsid w:val="6C86FE99"/>
    <w:rsid w:val="6C8C8995"/>
    <w:rsid w:val="6C8FEF2C"/>
    <w:rsid w:val="6CA9F528"/>
    <w:rsid w:val="6CB0A4F6"/>
    <w:rsid w:val="6CBEB158"/>
    <w:rsid w:val="6CD53015"/>
    <w:rsid w:val="6CE4BAED"/>
    <w:rsid w:val="6CE60D9B"/>
    <w:rsid w:val="6CFD7133"/>
    <w:rsid w:val="6D0FD9F7"/>
    <w:rsid w:val="6D29993A"/>
    <w:rsid w:val="6D347D22"/>
    <w:rsid w:val="6D3BD4D2"/>
    <w:rsid w:val="6D533801"/>
    <w:rsid w:val="6D5E3B2E"/>
    <w:rsid w:val="6D7294CE"/>
    <w:rsid w:val="6D7406B0"/>
    <w:rsid w:val="6D89A546"/>
    <w:rsid w:val="6D8B4068"/>
    <w:rsid w:val="6DA22EC9"/>
    <w:rsid w:val="6DAACC1A"/>
    <w:rsid w:val="6DAC7F5E"/>
    <w:rsid w:val="6DB0194F"/>
    <w:rsid w:val="6DBC3CE8"/>
    <w:rsid w:val="6DC98B52"/>
    <w:rsid w:val="6DD7DBF8"/>
    <w:rsid w:val="6DD978C4"/>
    <w:rsid w:val="6DDC9EE7"/>
    <w:rsid w:val="6DE0D5FA"/>
    <w:rsid w:val="6DE1296D"/>
    <w:rsid w:val="6E053996"/>
    <w:rsid w:val="6E06209D"/>
    <w:rsid w:val="6E09D323"/>
    <w:rsid w:val="6E0E5741"/>
    <w:rsid w:val="6E188737"/>
    <w:rsid w:val="6E1BB361"/>
    <w:rsid w:val="6E2842E0"/>
    <w:rsid w:val="6E51E0A6"/>
    <w:rsid w:val="6E535195"/>
    <w:rsid w:val="6E53BC7E"/>
    <w:rsid w:val="6E571BFF"/>
    <w:rsid w:val="6E6E6052"/>
    <w:rsid w:val="6E70A06A"/>
    <w:rsid w:val="6E71393D"/>
    <w:rsid w:val="6E7AC0F7"/>
    <w:rsid w:val="6E7AC768"/>
    <w:rsid w:val="6E7DCC73"/>
    <w:rsid w:val="6E7F84E8"/>
    <w:rsid w:val="6E885BD0"/>
    <w:rsid w:val="6E902981"/>
    <w:rsid w:val="6E97287D"/>
    <w:rsid w:val="6EA349B0"/>
    <w:rsid w:val="6EA3FEB4"/>
    <w:rsid w:val="6EA86C7B"/>
    <w:rsid w:val="6EA8D45A"/>
    <w:rsid w:val="6EABBC60"/>
    <w:rsid w:val="6EB49A2F"/>
    <w:rsid w:val="6EB8186C"/>
    <w:rsid w:val="6EBF4FA8"/>
    <w:rsid w:val="6ECFB05C"/>
    <w:rsid w:val="6EDFC2A6"/>
    <w:rsid w:val="6EE7B4CB"/>
    <w:rsid w:val="6EF9474A"/>
    <w:rsid w:val="6F0026B8"/>
    <w:rsid w:val="6F08B298"/>
    <w:rsid w:val="6F20701C"/>
    <w:rsid w:val="6F2821B2"/>
    <w:rsid w:val="6F30CF33"/>
    <w:rsid w:val="6F33A8F5"/>
    <w:rsid w:val="6F373669"/>
    <w:rsid w:val="6F378D44"/>
    <w:rsid w:val="6F3D9613"/>
    <w:rsid w:val="6F41787C"/>
    <w:rsid w:val="6F423992"/>
    <w:rsid w:val="6F5DDFEC"/>
    <w:rsid w:val="6F5E202D"/>
    <w:rsid w:val="6F64FD77"/>
    <w:rsid w:val="6F7AE84C"/>
    <w:rsid w:val="6F7D623A"/>
    <w:rsid w:val="6F95E8F3"/>
    <w:rsid w:val="6F9CFBD5"/>
    <w:rsid w:val="6FA01656"/>
    <w:rsid w:val="6FB7F8A7"/>
    <w:rsid w:val="6FC2D1CC"/>
    <w:rsid w:val="6FCC3488"/>
    <w:rsid w:val="6FE34EC0"/>
    <w:rsid w:val="6FEB8646"/>
    <w:rsid w:val="6FED5565"/>
    <w:rsid w:val="6FF5A61C"/>
    <w:rsid w:val="6FF9EEB5"/>
    <w:rsid w:val="700E0230"/>
    <w:rsid w:val="7018E8CC"/>
    <w:rsid w:val="7025CD9D"/>
    <w:rsid w:val="702CBD4F"/>
    <w:rsid w:val="7039E1F4"/>
    <w:rsid w:val="704376DC"/>
    <w:rsid w:val="7050DC96"/>
    <w:rsid w:val="7052BF65"/>
    <w:rsid w:val="705629C4"/>
    <w:rsid w:val="706054AB"/>
    <w:rsid w:val="706126D1"/>
    <w:rsid w:val="70682A68"/>
    <w:rsid w:val="7068DBBD"/>
    <w:rsid w:val="70795B67"/>
    <w:rsid w:val="707BD7CC"/>
    <w:rsid w:val="7088A11D"/>
    <w:rsid w:val="708D529A"/>
    <w:rsid w:val="7097C105"/>
    <w:rsid w:val="70A77D87"/>
    <w:rsid w:val="70C1E32A"/>
    <w:rsid w:val="70C2808D"/>
    <w:rsid w:val="70C5D7A7"/>
    <w:rsid w:val="70D2BCFA"/>
    <w:rsid w:val="70E64DB8"/>
    <w:rsid w:val="70E7642E"/>
    <w:rsid w:val="70EA1393"/>
    <w:rsid w:val="70F3E275"/>
    <w:rsid w:val="70F98AE2"/>
    <w:rsid w:val="711095E3"/>
    <w:rsid w:val="7143F1A8"/>
    <w:rsid w:val="71565DD5"/>
    <w:rsid w:val="71597697"/>
    <w:rsid w:val="717A5174"/>
    <w:rsid w:val="71854775"/>
    <w:rsid w:val="7185A28C"/>
    <w:rsid w:val="7189F6D9"/>
    <w:rsid w:val="718C4868"/>
    <w:rsid w:val="718F4FFC"/>
    <w:rsid w:val="718FBC2B"/>
    <w:rsid w:val="7191F6C4"/>
    <w:rsid w:val="71B5E7C5"/>
    <w:rsid w:val="71B8B057"/>
    <w:rsid w:val="71BD0A14"/>
    <w:rsid w:val="71C73A73"/>
    <w:rsid w:val="71D278D4"/>
    <w:rsid w:val="71D2B0B8"/>
    <w:rsid w:val="71DD1304"/>
    <w:rsid w:val="71E35F22"/>
    <w:rsid w:val="71EBCDF9"/>
    <w:rsid w:val="71F3EB38"/>
    <w:rsid w:val="71F4ED46"/>
    <w:rsid w:val="71FDA30E"/>
    <w:rsid w:val="72019781"/>
    <w:rsid w:val="72041414"/>
    <w:rsid w:val="721302CA"/>
    <w:rsid w:val="7213F55D"/>
    <w:rsid w:val="72171CD2"/>
    <w:rsid w:val="721ECAE3"/>
    <w:rsid w:val="721ECD78"/>
    <w:rsid w:val="72217FA5"/>
    <w:rsid w:val="722246E3"/>
    <w:rsid w:val="722C8394"/>
    <w:rsid w:val="72300479"/>
    <w:rsid w:val="7233764F"/>
    <w:rsid w:val="723C9771"/>
    <w:rsid w:val="72541BF8"/>
    <w:rsid w:val="7259ED38"/>
    <w:rsid w:val="72623AF5"/>
    <w:rsid w:val="727DA830"/>
    <w:rsid w:val="7280DD0A"/>
    <w:rsid w:val="728B773F"/>
    <w:rsid w:val="72957133"/>
    <w:rsid w:val="72973796"/>
    <w:rsid w:val="72AF97BC"/>
    <w:rsid w:val="72C1EBB4"/>
    <w:rsid w:val="72C280E3"/>
    <w:rsid w:val="72C61D68"/>
    <w:rsid w:val="72EF50F7"/>
    <w:rsid w:val="72F70287"/>
    <w:rsid w:val="72F93B72"/>
    <w:rsid w:val="72FD81C6"/>
    <w:rsid w:val="7300E510"/>
    <w:rsid w:val="73153FA4"/>
    <w:rsid w:val="7317DB29"/>
    <w:rsid w:val="732374D7"/>
    <w:rsid w:val="73254B65"/>
    <w:rsid w:val="7338AAC2"/>
    <w:rsid w:val="7346BC07"/>
    <w:rsid w:val="73612C16"/>
    <w:rsid w:val="73628068"/>
    <w:rsid w:val="736AC0A5"/>
    <w:rsid w:val="7371663B"/>
    <w:rsid w:val="73738FD5"/>
    <w:rsid w:val="737D234A"/>
    <w:rsid w:val="739382B9"/>
    <w:rsid w:val="73948726"/>
    <w:rsid w:val="7396E963"/>
    <w:rsid w:val="73A560F5"/>
    <w:rsid w:val="73A7A714"/>
    <w:rsid w:val="73AC1124"/>
    <w:rsid w:val="73AF3348"/>
    <w:rsid w:val="73C8D2AE"/>
    <w:rsid w:val="73D117CC"/>
    <w:rsid w:val="73D85D61"/>
    <w:rsid w:val="73DEFA7C"/>
    <w:rsid w:val="73E0ACEE"/>
    <w:rsid w:val="73E364D4"/>
    <w:rsid w:val="740D3B28"/>
    <w:rsid w:val="7412A32A"/>
    <w:rsid w:val="7412F0FD"/>
    <w:rsid w:val="7418A77C"/>
    <w:rsid w:val="74378067"/>
    <w:rsid w:val="743BBCC0"/>
    <w:rsid w:val="744ED5B7"/>
    <w:rsid w:val="74559A5E"/>
    <w:rsid w:val="745D53BE"/>
    <w:rsid w:val="74653CCC"/>
    <w:rsid w:val="74693130"/>
    <w:rsid w:val="747A55A6"/>
    <w:rsid w:val="747F2D11"/>
    <w:rsid w:val="74803C44"/>
    <w:rsid w:val="7490C47F"/>
    <w:rsid w:val="749298C2"/>
    <w:rsid w:val="749D8FAC"/>
    <w:rsid w:val="74B1BB6F"/>
    <w:rsid w:val="74C0A93E"/>
    <w:rsid w:val="74C418F3"/>
    <w:rsid w:val="74C451A2"/>
    <w:rsid w:val="74D82C4B"/>
    <w:rsid w:val="74F08984"/>
    <w:rsid w:val="74F2AD39"/>
    <w:rsid w:val="74F776BB"/>
    <w:rsid w:val="74F7EAB0"/>
    <w:rsid w:val="74FA1DE3"/>
    <w:rsid w:val="74FEA7F1"/>
    <w:rsid w:val="7502DDA6"/>
    <w:rsid w:val="7504FE8A"/>
    <w:rsid w:val="7508D469"/>
    <w:rsid w:val="75138562"/>
    <w:rsid w:val="7514A712"/>
    <w:rsid w:val="751FD58A"/>
    <w:rsid w:val="7522ECCD"/>
    <w:rsid w:val="75294F86"/>
    <w:rsid w:val="75314835"/>
    <w:rsid w:val="7536855F"/>
    <w:rsid w:val="753B1978"/>
    <w:rsid w:val="7540A7CC"/>
    <w:rsid w:val="75452CDC"/>
    <w:rsid w:val="7554F320"/>
    <w:rsid w:val="755C8356"/>
    <w:rsid w:val="755E9A1F"/>
    <w:rsid w:val="7560F441"/>
    <w:rsid w:val="75613CC2"/>
    <w:rsid w:val="7563219A"/>
    <w:rsid w:val="75659278"/>
    <w:rsid w:val="7567D77C"/>
    <w:rsid w:val="758589F3"/>
    <w:rsid w:val="758EB9CC"/>
    <w:rsid w:val="7591965C"/>
    <w:rsid w:val="759358A3"/>
    <w:rsid w:val="7594D39C"/>
    <w:rsid w:val="759D9048"/>
    <w:rsid w:val="75A0A8D1"/>
    <w:rsid w:val="75A2EA6D"/>
    <w:rsid w:val="75A309D9"/>
    <w:rsid w:val="75A6B3D7"/>
    <w:rsid w:val="75B19087"/>
    <w:rsid w:val="75B8E98D"/>
    <w:rsid w:val="75C3C480"/>
    <w:rsid w:val="75D25057"/>
    <w:rsid w:val="75D7E760"/>
    <w:rsid w:val="75DE137D"/>
    <w:rsid w:val="75ECA1FA"/>
    <w:rsid w:val="75F1E4DB"/>
    <w:rsid w:val="75F38BFC"/>
    <w:rsid w:val="75F6EE70"/>
    <w:rsid w:val="7603663B"/>
    <w:rsid w:val="760903A2"/>
    <w:rsid w:val="760D19F2"/>
    <w:rsid w:val="76186D0F"/>
    <w:rsid w:val="761BEA97"/>
    <w:rsid w:val="76283CFB"/>
    <w:rsid w:val="76382D0B"/>
    <w:rsid w:val="7644E257"/>
    <w:rsid w:val="764AED04"/>
    <w:rsid w:val="76500F1D"/>
    <w:rsid w:val="765E37B4"/>
    <w:rsid w:val="767D6905"/>
    <w:rsid w:val="76903603"/>
    <w:rsid w:val="7691B33C"/>
    <w:rsid w:val="76ACF762"/>
    <w:rsid w:val="76AD99C2"/>
    <w:rsid w:val="76ADE94F"/>
    <w:rsid w:val="76B03504"/>
    <w:rsid w:val="76B51E8E"/>
    <w:rsid w:val="76C7634A"/>
    <w:rsid w:val="76D675DB"/>
    <w:rsid w:val="76D70AFD"/>
    <w:rsid w:val="76D8AECB"/>
    <w:rsid w:val="76DD8C75"/>
    <w:rsid w:val="76E83805"/>
    <w:rsid w:val="76EBDF1D"/>
    <w:rsid w:val="76FF821C"/>
    <w:rsid w:val="7712442A"/>
    <w:rsid w:val="771427C1"/>
    <w:rsid w:val="771E18DE"/>
    <w:rsid w:val="77318A12"/>
    <w:rsid w:val="7733C6EE"/>
    <w:rsid w:val="773B4E08"/>
    <w:rsid w:val="774700AE"/>
    <w:rsid w:val="77494EE2"/>
    <w:rsid w:val="774AC182"/>
    <w:rsid w:val="774EC7E6"/>
    <w:rsid w:val="774F3C32"/>
    <w:rsid w:val="77527950"/>
    <w:rsid w:val="776D0E35"/>
    <w:rsid w:val="776D19CE"/>
    <w:rsid w:val="7775BA67"/>
    <w:rsid w:val="7779D59A"/>
    <w:rsid w:val="779B99C5"/>
    <w:rsid w:val="779D37E2"/>
    <w:rsid w:val="77A0853F"/>
    <w:rsid w:val="77A391BB"/>
    <w:rsid w:val="77AACBD7"/>
    <w:rsid w:val="77AB69EB"/>
    <w:rsid w:val="77C33A58"/>
    <w:rsid w:val="77C40E9C"/>
    <w:rsid w:val="77CCAC08"/>
    <w:rsid w:val="77D8D127"/>
    <w:rsid w:val="77E1B888"/>
    <w:rsid w:val="77E4C0FD"/>
    <w:rsid w:val="77E6EE97"/>
    <w:rsid w:val="77FDF5E9"/>
    <w:rsid w:val="7805EAE9"/>
    <w:rsid w:val="7808171B"/>
    <w:rsid w:val="780D87E9"/>
    <w:rsid w:val="780F782E"/>
    <w:rsid w:val="7812E902"/>
    <w:rsid w:val="78186C43"/>
    <w:rsid w:val="781FEC42"/>
    <w:rsid w:val="7832E40B"/>
    <w:rsid w:val="7832F59B"/>
    <w:rsid w:val="783B6C58"/>
    <w:rsid w:val="783DB56D"/>
    <w:rsid w:val="783EA0DE"/>
    <w:rsid w:val="784DD7E2"/>
    <w:rsid w:val="7856EA4A"/>
    <w:rsid w:val="7857476F"/>
    <w:rsid w:val="785BBACE"/>
    <w:rsid w:val="78603E47"/>
    <w:rsid w:val="78684E86"/>
    <w:rsid w:val="78759F66"/>
    <w:rsid w:val="787EB4FF"/>
    <w:rsid w:val="7880AC7E"/>
    <w:rsid w:val="788284B1"/>
    <w:rsid w:val="78830881"/>
    <w:rsid w:val="78858C22"/>
    <w:rsid w:val="788F68F2"/>
    <w:rsid w:val="788FF287"/>
    <w:rsid w:val="789467E9"/>
    <w:rsid w:val="78A7370A"/>
    <w:rsid w:val="78ACE5CA"/>
    <w:rsid w:val="78B3E733"/>
    <w:rsid w:val="78C4B147"/>
    <w:rsid w:val="78CA0423"/>
    <w:rsid w:val="78CA14E2"/>
    <w:rsid w:val="78D35946"/>
    <w:rsid w:val="78D63FFA"/>
    <w:rsid w:val="78DC8DEB"/>
    <w:rsid w:val="78DFC614"/>
    <w:rsid w:val="78E4CD6C"/>
    <w:rsid w:val="78E4F40B"/>
    <w:rsid w:val="78F0FE8D"/>
    <w:rsid w:val="7902DE98"/>
    <w:rsid w:val="7907A5FF"/>
    <w:rsid w:val="79190948"/>
    <w:rsid w:val="791C72D3"/>
    <w:rsid w:val="79252365"/>
    <w:rsid w:val="792BAC80"/>
    <w:rsid w:val="792E13C5"/>
    <w:rsid w:val="793B06C4"/>
    <w:rsid w:val="79407585"/>
    <w:rsid w:val="79409A31"/>
    <w:rsid w:val="794A089D"/>
    <w:rsid w:val="794A198F"/>
    <w:rsid w:val="794DE7E5"/>
    <w:rsid w:val="7956B6E6"/>
    <w:rsid w:val="79655C6D"/>
    <w:rsid w:val="796A0162"/>
    <w:rsid w:val="796EFED2"/>
    <w:rsid w:val="7970F922"/>
    <w:rsid w:val="798D14A9"/>
    <w:rsid w:val="799311DA"/>
    <w:rsid w:val="799AACFA"/>
    <w:rsid w:val="79A07DCA"/>
    <w:rsid w:val="79A0F65A"/>
    <w:rsid w:val="79A1F111"/>
    <w:rsid w:val="79BDEC9A"/>
    <w:rsid w:val="79D13CAA"/>
    <w:rsid w:val="79D46A7F"/>
    <w:rsid w:val="79E016FF"/>
    <w:rsid w:val="79E13C54"/>
    <w:rsid w:val="79EA4877"/>
    <w:rsid w:val="79EBF9FE"/>
    <w:rsid w:val="79F55703"/>
    <w:rsid w:val="7A10285D"/>
    <w:rsid w:val="7A27C4DE"/>
    <w:rsid w:val="7A28ADD9"/>
    <w:rsid w:val="7A2D08FA"/>
    <w:rsid w:val="7A3DB375"/>
    <w:rsid w:val="7A4A7F08"/>
    <w:rsid w:val="7A4C73F2"/>
    <w:rsid w:val="7A4F2B10"/>
    <w:rsid w:val="7A500D43"/>
    <w:rsid w:val="7A58589D"/>
    <w:rsid w:val="7A5A6705"/>
    <w:rsid w:val="7A651657"/>
    <w:rsid w:val="7A6C65CE"/>
    <w:rsid w:val="7A712989"/>
    <w:rsid w:val="7A7CBF71"/>
    <w:rsid w:val="7A897A91"/>
    <w:rsid w:val="7A899EE7"/>
    <w:rsid w:val="7A8C0CDB"/>
    <w:rsid w:val="7A8F5701"/>
    <w:rsid w:val="7A940F57"/>
    <w:rsid w:val="7A955677"/>
    <w:rsid w:val="7A96EA7A"/>
    <w:rsid w:val="7AA40B3A"/>
    <w:rsid w:val="7AB6C4A8"/>
    <w:rsid w:val="7ABA039E"/>
    <w:rsid w:val="7ABF1900"/>
    <w:rsid w:val="7AD0DD39"/>
    <w:rsid w:val="7AD968E1"/>
    <w:rsid w:val="7AE2C0ED"/>
    <w:rsid w:val="7AF90C98"/>
    <w:rsid w:val="7AF9CDA5"/>
    <w:rsid w:val="7AFC289A"/>
    <w:rsid w:val="7AFF1B25"/>
    <w:rsid w:val="7B1EFFB9"/>
    <w:rsid w:val="7B1FEF68"/>
    <w:rsid w:val="7B3BBF32"/>
    <w:rsid w:val="7B483259"/>
    <w:rsid w:val="7B6CCDC3"/>
    <w:rsid w:val="7B6DBFD7"/>
    <w:rsid w:val="7B6E14D6"/>
    <w:rsid w:val="7B7846CB"/>
    <w:rsid w:val="7B89C0FC"/>
    <w:rsid w:val="7B8F7271"/>
    <w:rsid w:val="7B900ED9"/>
    <w:rsid w:val="7B94EF27"/>
    <w:rsid w:val="7B9A7719"/>
    <w:rsid w:val="7B9FBE65"/>
    <w:rsid w:val="7BA04AAA"/>
    <w:rsid w:val="7BA05634"/>
    <w:rsid w:val="7BA65308"/>
    <w:rsid w:val="7BA9A617"/>
    <w:rsid w:val="7BB1A9DF"/>
    <w:rsid w:val="7BC4E449"/>
    <w:rsid w:val="7BC64E9D"/>
    <w:rsid w:val="7BCB4515"/>
    <w:rsid w:val="7BCB864F"/>
    <w:rsid w:val="7BD2B6DC"/>
    <w:rsid w:val="7BD90819"/>
    <w:rsid w:val="7BE379CE"/>
    <w:rsid w:val="7C0B5FC6"/>
    <w:rsid w:val="7C0B65AC"/>
    <w:rsid w:val="7C11BB10"/>
    <w:rsid w:val="7C1F3AD8"/>
    <w:rsid w:val="7C23AFDA"/>
    <w:rsid w:val="7C24240E"/>
    <w:rsid w:val="7C2EC084"/>
    <w:rsid w:val="7C38AD0E"/>
    <w:rsid w:val="7C4260CA"/>
    <w:rsid w:val="7C45594E"/>
    <w:rsid w:val="7C4A60F8"/>
    <w:rsid w:val="7C517147"/>
    <w:rsid w:val="7C557525"/>
    <w:rsid w:val="7C571F82"/>
    <w:rsid w:val="7C723EBF"/>
    <w:rsid w:val="7C7CFB2F"/>
    <w:rsid w:val="7C812097"/>
    <w:rsid w:val="7C886454"/>
    <w:rsid w:val="7C928B85"/>
    <w:rsid w:val="7C9E41B7"/>
    <w:rsid w:val="7C9F40C0"/>
    <w:rsid w:val="7CAC2867"/>
    <w:rsid w:val="7CBA46A5"/>
    <w:rsid w:val="7CBB97F1"/>
    <w:rsid w:val="7CC0EE5C"/>
    <w:rsid w:val="7CC22F87"/>
    <w:rsid w:val="7CCEE575"/>
    <w:rsid w:val="7CDDC24E"/>
    <w:rsid w:val="7CE2239E"/>
    <w:rsid w:val="7CECD20D"/>
    <w:rsid w:val="7CF610EC"/>
    <w:rsid w:val="7D035EF7"/>
    <w:rsid w:val="7D0A9DBD"/>
    <w:rsid w:val="7D13D846"/>
    <w:rsid w:val="7D1F3243"/>
    <w:rsid w:val="7D402EE4"/>
    <w:rsid w:val="7D4D499E"/>
    <w:rsid w:val="7D532CFC"/>
    <w:rsid w:val="7D662EA0"/>
    <w:rsid w:val="7D6C7E13"/>
    <w:rsid w:val="7D72C812"/>
    <w:rsid w:val="7D7C78B6"/>
    <w:rsid w:val="7D9A856A"/>
    <w:rsid w:val="7DA2FEA2"/>
    <w:rsid w:val="7DA4670C"/>
    <w:rsid w:val="7DA5326F"/>
    <w:rsid w:val="7DAEB3A3"/>
    <w:rsid w:val="7DAF34E9"/>
    <w:rsid w:val="7DAFB2BA"/>
    <w:rsid w:val="7DB95409"/>
    <w:rsid w:val="7DC83B22"/>
    <w:rsid w:val="7DC855F1"/>
    <w:rsid w:val="7DCF3070"/>
    <w:rsid w:val="7DE491C2"/>
    <w:rsid w:val="7DE49C73"/>
    <w:rsid w:val="7DE8CC66"/>
    <w:rsid w:val="7DFB05B9"/>
    <w:rsid w:val="7E0208F6"/>
    <w:rsid w:val="7E106837"/>
    <w:rsid w:val="7E1B926F"/>
    <w:rsid w:val="7E1CA12A"/>
    <w:rsid w:val="7E4BAB3A"/>
    <w:rsid w:val="7E560A68"/>
    <w:rsid w:val="7E5943F2"/>
    <w:rsid w:val="7E64DF09"/>
    <w:rsid w:val="7E6546B3"/>
    <w:rsid w:val="7E666159"/>
    <w:rsid w:val="7E6CC198"/>
    <w:rsid w:val="7E76DC22"/>
    <w:rsid w:val="7E7A43E0"/>
    <w:rsid w:val="7E915E63"/>
    <w:rsid w:val="7E935311"/>
    <w:rsid w:val="7E94A4FC"/>
    <w:rsid w:val="7E9E3339"/>
    <w:rsid w:val="7EA096EA"/>
    <w:rsid w:val="7EA5AE3B"/>
    <w:rsid w:val="7EB737BA"/>
    <w:rsid w:val="7EB79642"/>
    <w:rsid w:val="7EB8684E"/>
    <w:rsid w:val="7EBED6C4"/>
    <w:rsid w:val="7EC8153C"/>
    <w:rsid w:val="7ED0A381"/>
    <w:rsid w:val="7ED626EE"/>
    <w:rsid w:val="7ED83BD4"/>
    <w:rsid w:val="7EE0263D"/>
    <w:rsid w:val="7EEDF9CC"/>
    <w:rsid w:val="7EF235A6"/>
    <w:rsid w:val="7EF50786"/>
    <w:rsid w:val="7EFD4B94"/>
    <w:rsid w:val="7F103CF2"/>
    <w:rsid w:val="7F1372D6"/>
    <w:rsid w:val="7F1926D0"/>
    <w:rsid w:val="7F23A5B8"/>
    <w:rsid w:val="7F3A8CCE"/>
    <w:rsid w:val="7F45E843"/>
    <w:rsid w:val="7F4C12C9"/>
    <w:rsid w:val="7F5AC727"/>
    <w:rsid w:val="7F5E33CE"/>
    <w:rsid w:val="7F626DAB"/>
    <w:rsid w:val="7F643A04"/>
    <w:rsid w:val="7F703386"/>
    <w:rsid w:val="7F72EA14"/>
    <w:rsid w:val="7F89ACC1"/>
    <w:rsid w:val="7F9BA546"/>
    <w:rsid w:val="7FA9D3DC"/>
    <w:rsid w:val="7FAF8E34"/>
    <w:rsid w:val="7FB68693"/>
    <w:rsid w:val="7FBA0E30"/>
    <w:rsid w:val="7FBF757C"/>
    <w:rsid w:val="7FC0E4D2"/>
    <w:rsid w:val="7FC226BB"/>
    <w:rsid w:val="7FC8010F"/>
    <w:rsid w:val="7FD1A626"/>
    <w:rsid w:val="7FD734D1"/>
    <w:rsid w:val="7FD96F2D"/>
    <w:rsid w:val="7FDC55C1"/>
    <w:rsid w:val="7FF3B80F"/>
    <w:rsid w:val="7FF82640"/>
    <w:rsid w:val="7FF989C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1"/>
    </o:shapelayout>
  </w:shapeDefaults>
  <w:decimalSymbol w:val="."/>
  <w:listSeparator w:val=","/>
  <w14:docId w14:val="3864582D"/>
  <w15:docId w15:val="{F529A195-BD09-4E96-99B6-1792D901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1A3D"/>
    <w:pPr>
      <w:spacing w:after="180"/>
    </w:pPr>
    <w:rPr>
      <w:rFonts w:ascii="Arial" w:hAnsi="Arial"/>
      <w:color w:val="7F7F7F" w:themeColor="text1" w:themeTint="80"/>
      <w:sz w:val="20"/>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qFormat/>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TCoverPageHeading">
    <w:name w:val="VIRT Cover Page Heading"/>
    <w:basedOn w:val="Normal"/>
    <w:rsid w:val="00544C50"/>
    <w:rPr>
      <w:rFonts w:asciiTheme="minorHAnsi" w:hAnsiTheme="minorHAnsi"/>
      <w:noProof/>
      <w:color w:val="FFFFFF" w:themeColor="background1"/>
      <w:spacing w:val="20"/>
      <w:sz w:val="64"/>
      <w:lang w:val="en-US"/>
    </w:rPr>
  </w:style>
  <w:style w:type="paragraph" w:customStyle="1" w:styleId="VIRTCoverSubHeading">
    <w:name w:val="VIRT Cover Sub Heading"/>
    <w:basedOn w:val="VIRTCoverPageHeading"/>
    <w:rsid w:val="00992A5D"/>
    <w:pPr>
      <w:spacing w:before="120"/>
    </w:pPr>
    <w:rPr>
      <w:color w:val="BFBFBF" w:themeColor="background1" w:themeShade="BF"/>
      <w:sz w:val="48"/>
    </w:rPr>
  </w:style>
  <w:style w:type="paragraph" w:customStyle="1" w:styleId="VIRTImprinttext">
    <w:name w:val="VIRT Imprint text"/>
    <w:basedOn w:val="Normal"/>
    <w:rsid w:val="009047EC"/>
    <w:pPr>
      <w:ind w:right="1757"/>
    </w:pPr>
    <w:rPr>
      <w:rFonts w:cs="Arial"/>
      <w:sz w:val="16"/>
      <w:szCs w:val="20"/>
    </w:rPr>
  </w:style>
  <w:style w:type="paragraph" w:customStyle="1" w:styleId="PersonalName">
    <w:name w:val="Personal Name"/>
    <w:basedOn w:val="Title"/>
    <w:rsid w:val="00320A8D"/>
    <w:rPr>
      <w:b/>
      <w:caps/>
      <w:color w:val="000000"/>
      <w:sz w:val="28"/>
      <w:szCs w:val="28"/>
    </w:rPr>
  </w:style>
  <w:style w:type="paragraph" w:styleId="Title">
    <w:name w:val="Title"/>
    <w:basedOn w:val="Normal"/>
    <w:next w:val="Normal"/>
    <w:link w:val="TitleChar"/>
    <w:uiPriority w:val="10"/>
    <w:rsid w:val="00320A8D"/>
    <w:pPr>
      <w:spacing w:after="120"/>
      <w:contextualSpacing/>
    </w:pPr>
    <w:rPr>
      <w:rFonts w:asciiTheme="majorHAnsi" w:eastAsiaTheme="majorEastAsia" w:hAnsiTheme="majorHAnsi" w:cstheme="majorBidi"/>
      <w:color w:val="000000" w:themeColor="text2"/>
      <w:spacing w:val="30"/>
      <w:kern w:val="28"/>
      <w:sz w:val="96"/>
      <w:szCs w:val="52"/>
    </w:rPr>
  </w:style>
  <w:style w:type="character" w:customStyle="1" w:styleId="TitleChar">
    <w:name w:val="Title Char"/>
    <w:basedOn w:val="DefaultParagraphFont"/>
    <w:link w:val="Title"/>
    <w:uiPriority w:val="10"/>
    <w:rsid w:val="00320A8D"/>
    <w:rPr>
      <w:rFonts w:asciiTheme="majorHAnsi" w:eastAsiaTheme="majorEastAsia" w:hAnsiTheme="majorHAnsi" w:cstheme="majorBidi"/>
      <w:b w:val="0"/>
      <w:i w:val="0"/>
      <w:color w:val="000000" w:themeColor="text2"/>
      <w:spacing w:val="30"/>
      <w:kern w:val="28"/>
      <w:sz w:val="96"/>
      <w:szCs w:val="52"/>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Arial" w:eastAsiaTheme="majorEastAsia" w:hAnsi="Arial" w:cstheme="majorBidi"/>
      <w:b/>
      <w:bCs/>
      <w:i w:val="0"/>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 w:val="0"/>
      <w:bCs/>
      <w:i w:val="0"/>
      <w:color w:val="000000" w:themeColor="text2"/>
      <w:spacing w:val="14"/>
      <w:sz w:val="24"/>
    </w:rPr>
  </w:style>
  <w:style w:type="character" w:customStyle="1" w:styleId="Heading4Char">
    <w:name w:val="Heading 4 Char"/>
    <w:basedOn w:val="DefaultParagraphFont"/>
    <w:link w:val="Heading4"/>
    <w:uiPriority w:val="9"/>
    <w:rsid w:val="00320A8D"/>
    <w:rPr>
      <w:rFonts w:ascii="Arial" w:eastAsiaTheme="majorEastAsia" w:hAnsi="Arial"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b w:val="0"/>
      <w:i w:val="0"/>
      <w:color w:val="000000"/>
      <w:sz w:val="2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b w:val="0"/>
      <w:i w:val="0"/>
      <w:iCs/>
      <w:color w:val="26664E" w:themeColor="accent1"/>
      <w:sz w:val="20"/>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styleId="Caption">
    <w:name w:val="caption"/>
    <w:aliases w:val="VIRT Caption"/>
    <w:basedOn w:val="Normal"/>
    <w:next w:val="Normal"/>
    <w:uiPriority w:val="35"/>
    <w:unhideWhenUsed/>
    <w:rsid w:val="00320A8D"/>
    <w:rPr>
      <w:rFonts w:asciiTheme="majorHAnsi" w:eastAsiaTheme="minorEastAsia" w:hAnsiTheme="majorHAnsi"/>
      <w:bCs/>
      <w:smallCaps/>
      <w:color w:val="000000" w:themeColor="text2"/>
      <w:spacing w:val="6"/>
      <w:sz w:val="22"/>
      <w:szCs w:val="18"/>
    </w:rPr>
  </w:style>
  <w:style w:type="paragraph" w:styleId="Subtitle">
    <w:name w:val="Subtitle"/>
    <w:basedOn w:val="Normal"/>
    <w:next w:val="Normal"/>
    <w:link w:val="SubtitleChar"/>
    <w:uiPriority w:val="11"/>
    <w:rsid w:val="00320A8D"/>
    <w:pPr>
      <w:numPr>
        <w:ilvl w:val="1"/>
      </w:numPr>
    </w:pPr>
    <w:rPr>
      <w:rFonts w:eastAsiaTheme="majorEastAsia" w:cstheme="majorBidi"/>
      <w:iCs/>
      <w:color w:val="000000" w:themeColor="text2"/>
      <w:sz w:val="40"/>
      <w:szCs w:val="24"/>
    </w:rPr>
  </w:style>
  <w:style w:type="character" w:customStyle="1" w:styleId="SubtitleChar">
    <w:name w:val="Subtitle Char"/>
    <w:basedOn w:val="DefaultParagraphFont"/>
    <w:link w:val="Subtitle"/>
    <w:uiPriority w:val="11"/>
    <w:rsid w:val="00320A8D"/>
    <w:rPr>
      <w:rFonts w:ascii="Arial" w:eastAsiaTheme="majorEastAsia" w:hAnsi="Arial" w:cstheme="majorBidi"/>
      <w:b w:val="0"/>
      <w:i w:val="0"/>
      <w:iCs/>
      <w:color w:val="000000" w:themeColor="text2"/>
      <w:sz w:val="40"/>
      <w:szCs w:val="24"/>
    </w:rPr>
  </w:style>
  <w:style w:type="character" w:styleId="Strong">
    <w:name w:val="Strong"/>
    <w:basedOn w:val="DefaultParagraphFont"/>
    <w:uiPriority w:val="22"/>
    <w:rsid w:val="00320A8D"/>
    <w:rPr>
      <w:rFonts w:ascii="Arial" w:hAnsi="Arial"/>
      <w:b w:val="0"/>
      <w:bCs/>
      <w:i/>
      <w:color w:val="000000" w:themeColor="text2"/>
      <w:sz w:val="20"/>
    </w:rPr>
  </w:style>
  <w:style w:type="character" w:styleId="Emphasis">
    <w:name w:val="Emphasis"/>
    <w:basedOn w:val="DefaultParagraphFont"/>
    <w:uiPriority w:val="20"/>
    <w:rsid w:val="00320A8D"/>
    <w:rPr>
      <w:rFonts w:ascii="Arial" w:hAnsi="Arial"/>
      <w:b/>
      <w:i/>
      <w:iCs/>
      <w:color w:val="7F7F7F" w:themeColor="text1" w:themeTint="80"/>
      <w:sz w:val="20"/>
    </w:rPr>
  </w:style>
  <w:style w:type="paragraph" w:styleId="NoSpacing">
    <w:name w:val="No Spacing"/>
    <w:link w:val="NoSpacingChar"/>
    <w:uiPriority w:val="1"/>
    <w:rsid w:val="00320A8D"/>
    <w:pPr>
      <w:spacing w:after="0"/>
    </w:pPr>
  </w:style>
  <w:style w:type="character" w:customStyle="1" w:styleId="NoSpacingChar">
    <w:name w:val="No Spacing Char"/>
    <w:basedOn w:val="DefaultParagraphFont"/>
    <w:link w:val="NoSpacing"/>
    <w:uiPriority w:val="1"/>
    <w:rsid w:val="00320A8D"/>
    <w:rPr>
      <w:rFonts w:ascii="Arial" w:hAnsi="Arial"/>
      <w:b w:val="0"/>
      <w:i w:val="0"/>
      <w:color w:val="7F7F7F" w:themeColor="text1" w:themeTint="80"/>
      <w:sz w:val="20"/>
    </w:rPr>
  </w:style>
  <w:style w:type="paragraph" w:styleId="ListParagraph">
    <w:name w:val="List Paragraph"/>
    <w:basedOn w:val="Normal"/>
    <w:link w:val="ListParagraphChar"/>
    <w:rsid w:val="009047EC"/>
    <w:pPr>
      <w:ind w:left="288" w:hanging="288"/>
      <w:contextualSpacing/>
    </w:pPr>
  </w:style>
  <w:style w:type="paragraph" w:styleId="Quote">
    <w:name w:val="Quote"/>
    <w:basedOn w:val="Normal"/>
    <w:next w:val="Normal"/>
    <w:link w:val="QuoteChar"/>
    <w:uiPriority w:val="29"/>
    <w:rsid w:val="00320A8D"/>
    <w:pPr>
      <w:spacing w:after="0" w:line="360" w:lineRule="auto"/>
      <w:jc w:val="center"/>
    </w:pPr>
    <w:rPr>
      <w:rFonts w:eastAsiaTheme="minorEastAsia"/>
      <w:b/>
      <w:i/>
      <w:iCs/>
      <w:color w:val="26664E" w:themeColor="accent1"/>
      <w:sz w:val="26"/>
    </w:rPr>
  </w:style>
  <w:style w:type="character" w:customStyle="1" w:styleId="QuoteChar">
    <w:name w:val="Quote Char"/>
    <w:basedOn w:val="DefaultParagraphFont"/>
    <w:link w:val="Quote"/>
    <w:uiPriority w:val="29"/>
    <w:rsid w:val="00320A8D"/>
    <w:rPr>
      <w:rFonts w:ascii="Arial" w:eastAsiaTheme="minorEastAsia" w:hAnsi="Arial"/>
      <w:b/>
      <w:i/>
      <w:iCs/>
      <w:color w:val="26664E" w:themeColor="accent1"/>
      <w:sz w:val="26"/>
    </w:rPr>
  </w:style>
  <w:style w:type="paragraph" w:styleId="IntenseQuote">
    <w:name w:val="Intense Quote"/>
    <w:basedOn w:val="Normal"/>
    <w:next w:val="Normal"/>
    <w:link w:val="IntenseQuoteChar"/>
    <w:uiPriority w:val="30"/>
    <w:rsid w:val="00320A8D"/>
    <w:pPr>
      <w:pBdr>
        <w:top w:val="single" w:sz="36" w:space="8" w:color="26664E" w:themeColor="accent1"/>
        <w:left w:val="single" w:sz="36" w:space="8" w:color="26664E" w:themeColor="accent1"/>
        <w:bottom w:val="single" w:sz="36" w:space="8" w:color="26664E" w:themeColor="accent1"/>
        <w:right w:val="single" w:sz="36" w:space="8" w:color="26664E" w:themeColor="accent1"/>
      </w:pBdr>
      <w:shd w:val="clear" w:color="auto" w:fill="26664E"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320A8D"/>
    <w:rPr>
      <w:rFonts w:asciiTheme="majorHAnsi" w:eastAsiaTheme="minorEastAsia" w:hAnsiTheme="majorHAnsi"/>
      <w:b w:val="0"/>
      <w:bCs/>
      <w:i w:val="0"/>
      <w:iCs/>
      <w:color w:val="FFFFFF" w:themeColor="background1"/>
      <w:sz w:val="28"/>
      <w:shd w:val="clear" w:color="auto" w:fill="26664E" w:themeFill="accent1"/>
    </w:rPr>
  </w:style>
  <w:style w:type="character" w:styleId="SubtleEmphasis">
    <w:name w:val="Subtle Emphasis"/>
    <w:basedOn w:val="DefaultParagraphFont"/>
    <w:uiPriority w:val="19"/>
    <w:rsid w:val="00320A8D"/>
    <w:rPr>
      <w:rFonts w:ascii="Arial" w:hAnsi="Arial"/>
      <w:b w:val="0"/>
      <w:i/>
      <w:iCs/>
      <w:color w:val="000000"/>
      <w:sz w:val="20"/>
    </w:rPr>
  </w:style>
  <w:style w:type="character" w:styleId="IntenseEmphasis">
    <w:name w:val="Intense Emphasis"/>
    <w:basedOn w:val="DefaultParagraphFont"/>
    <w:uiPriority w:val="21"/>
    <w:rsid w:val="00320A8D"/>
    <w:rPr>
      <w:rFonts w:ascii="Arial" w:hAnsi="Arial"/>
      <w:b/>
      <w:bCs/>
      <w:i/>
      <w:iCs/>
      <w:color w:val="26664E" w:themeColor="accent1"/>
      <w:sz w:val="20"/>
    </w:rPr>
  </w:style>
  <w:style w:type="character" w:styleId="SubtleReference">
    <w:name w:val="Subtle Reference"/>
    <w:basedOn w:val="DefaultParagraphFont"/>
    <w:uiPriority w:val="31"/>
    <w:rsid w:val="00320A8D"/>
    <w:rPr>
      <w:rFonts w:ascii="Arial" w:hAnsi="Arial"/>
      <w:b w:val="0"/>
      <w:i w:val="0"/>
      <w:smallCaps/>
      <w:color w:val="000000"/>
      <w:sz w:val="20"/>
      <w:u w:val="single"/>
    </w:rPr>
  </w:style>
  <w:style w:type="character" w:styleId="IntenseReference">
    <w:name w:val="Intense Reference"/>
    <w:basedOn w:val="DefaultParagraphFont"/>
    <w:uiPriority w:val="32"/>
    <w:rsid w:val="00320A8D"/>
    <w:rPr>
      <w:rFonts w:ascii="Arial" w:hAnsi="Arial"/>
      <w:b w:val="0"/>
      <w:bCs/>
      <w:i w:val="0"/>
      <w:smallCaps/>
      <w:color w:val="26664E" w:themeColor="accent1"/>
      <w:spacing w:val="5"/>
      <w:sz w:val="20"/>
      <w:u w:val="single"/>
    </w:rPr>
  </w:style>
  <w:style w:type="character" w:styleId="BookTitle">
    <w:name w:val="Book Title"/>
    <w:basedOn w:val="DefaultParagraphFont"/>
    <w:uiPriority w:val="33"/>
    <w:rsid w:val="00320A8D"/>
    <w:rPr>
      <w:rFonts w:ascii="Arial" w:hAnsi="Arial"/>
      <w:b/>
      <w:bCs/>
      <w:i w:val="0"/>
      <w:caps/>
      <w:smallCaps w:val="0"/>
      <w:color w:val="000000" w:themeColor="text2"/>
      <w:spacing w:val="10"/>
      <w:sz w:val="20"/>
    </w:rPr>
  </w:style>
  <w:style w:type="paragraph" w:styleId="TOCHeading">
    <w:name w:val="TOC Heading"/>
    <w:basedOn w:val="Heading1"/>
    <w:next w:val="Normal"/>
    <w:uiPriority w:val="39"/>
    <w:unhideWhenUsed/>
    <w:rsid w:val="00A602BE"/>
    <w:pPr>
      <w:spacing w:before="480" w:line="276" w:lineRule="auto"/>
      <w:outlineLvl w:val="9"/>
    </w:pPr>
    <w:rPr>
      <w:rFonts w:asciiTheme="majorHAnsi" w:hAnsiTheme="majorHAnsi" w:cstheme="majorBidi"/>
      <w:b/>
      <w:color w:val="1C4C3A" w:themeColor="accent1" w:themeShade="BF"/>
      <w:spacing w:val="0"/>
      <w:sz w:val="28"/>
      <w:lang w:val="en-US"/>
    </w:rPr>
  </w:style>
  <w:style w:type="character" w:styleId="PageNumber">
    <w:name w:val="page number"/>
    <w:basedOn w:val="DefaultParagraphFont"/>
    <w:uiPriority w:val="99"/>
    <w:semiHidden/>
    <w:unhideWhenUsed/>
    <w:rsid w:val="00326932"/>
    <w:rPr>
      <w:rFonts w:ascii="Arial" w:hAnsi="Arial"/>
      <w:b w:val="0"/>
      <w:i w:val="0"/>
      <w:color w:val="7F7F7F" w:themeColor="text1" w:themeTint="80"/>
      <w:sz w:val="20"/>
    </w:rPr>
  </w:style>
  <w:style w:type="paragraph" w:customStyle="1" w:styleId="VIRTBodyText">
    <w:name w:val="VIRT Body Text"/>
    <w:basedOn w:val="Normal"/>
    <w:rsid w:val="00544C50"/>
    <w:pPr>
      <w:spacing w:before="120"/>
    </w:pPr>
    <w:rPr>
      <w:rFonts w:cs="Arial"/>
      <w:noProof/>
      <w:szCs w:val="20"/>
      <w:lang w:val="en-US"/>
    </w:rPr>
  </w:style>
  <w:style w:type="paragraph" w:customStyle="1" w:styleId="VIRTBulletpoints">
    <w:name w:val="VIRT Bullet points"/>
    <w:link w:val="VIRTBulletpointsChar"/>
    <w:qFormat/>
    <w:rsid w:val="0046477F"/>
    <w:pPr>
      <w:numPr>
        <w:numId w:val="12"/>
      </w:numPr>
      <w:spacing w:after="0" w:line="276" w:lineRule="auto"/>
      <w:contextualSpacing/>
      <w:jc w:val="both"/>
    </w:pPr>
    <w:rPr>
      <w:rFonts w:ascii="Calibri Light" w:hAnsi="Calibri Light" w:cs="Arial"/>
      <w:color w:val="4D4D4D" w:themeColor="accent6"/>
      <w:sz w:val="26"/>
      <w:szCs w:val="20"/>
    </w:rPr>
  </w:style>
  <w:style w:type="table" w:styleId="TableGrid">
    <w:name w:val="Table Grid"/>
    <w:basedOn w:val="TableNormal"/>
    <w:uiPriority w:val="39"/>
    <w:rsid w:val="00277C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THeading2">
    <w:name w:val="VIRT Heading 2"/>
    <w:basedOn w:val="Normal"/>
    <w:link w:val="VIRTHeading2Char"/>
    <w:qFormat/>
    <w:rsid w:val="00971948"/>
    <w:pPr>
      <w:keepNext/>
      <w:spacing w:before="240" w:after="300"/>
      <w:outlineLvl w:val="0"/>
    </w:pPr>
    <w:rPr>
      <w:rFonts w:asciiTheme="minorHAnsi" w:hAnsiTheme="minorHAnsi" w:cs="Times New Roman (Body CS)"/>
      <w:noProof/>
      <w:color w:val="007449"/>
      <w:sz w:val="44"/>
      <w:szCs w:val="44"/>
      <w:lang w:val="en-US"/>
    </w:rPr>
  </w:style>
  <w:style w:type="paragraph" w:customStyle="1" w:styleId="VIRTHeading3">
    <w:name w:val="VIRT Heading 3"/>
    <w:basedOn w:val="Normal"/>
    <w:link w:val="VIRTHeading3Char"/>
    <w:qFormat/>
    <w:rsid w:val="00412567"/>
    <w:pPr>
      <w:spacing w:before="120" w:after="240"/>
      <w:outlineLvl w:val="0"/>
    </w:pPr>
    <w:rPr>
      <w:rFonts w:asciiTheme="minorHAnsi" w:hAnsiTheme="minorHAnsi" w:cs="Arial"/>
      <w:noProof/>
      <w:color w:val="0F6745" w:themeColor="accent2" w:themeShade="BF"/>
      <w:spacing w:val="20"/>
      <w:sz w:val="30"/>
      <w:lang w:val="en-US"/>
    </w:rPr>
  </w:style>
  <w:style w:type="paragraph" w:customStyle="1" w:styleId="VIRTBreakouttext">
    <w:name w:val="VIRT Breakout text"/>
    <w:basedOn w:val="Normal"/>
    <w:link w:val="VIRTBreakouttextChar"/>
    <w:qFormat/>
    <w:rsid w:val="005A6A90"/>
    <w:pPr>
      <w:tabs>
        <w:tab w:val="center" w:pos="4680"/>
        <w:tab w:val="right" w:pos="9360"/>
      </w:tabs>
      <w:spacing w:before="120" w:after="120" w:line="276" w:lineRule="auto"/>
      <w:ind w:left="720" w:right="720"/>
      <w:jc w:val="both"/>
    </w:pPr>
    <w:rPr>
      <w:rFonts w:ascii="Calibri Light" w:hAnsi="Calibri Light" w:cs="Times New Roman (Body CS)"/>
      <w:i/>
      <w:color w:val="26664E" w:themeColor="accent1"/>
      <w:sz w:val="26"/>
    </w:rPr>
  </w:style>
  <w:style w:type="character" w:customStyle="1" w:styleId="VIRTBreakouttextChar">
    <w:name w:val="VIRT Breakout text Char"/>
    <w:basedOn w:val="DefaultParagraphFont"/>
    <w:link w:val="VIRTBreakouttext"/>
    <w:rsid w:val="005A6A90"/>
    <w:rPr>
      <w:rFonts w:ascii="Calibri Light" w:hAnsi="Calibri Light" w:cs="Times New Roman (Body CS)"/>
      <w:i/>
      <w:color w:val="26664E" w:themeColor="accent1"/>
      <w:sz w:val="26"/>
    </w:rPr>
  </w:style>
  <w:style w:type="paragraph" w:customStyle="1" w:styleId="Paragraph">
    <w:name w:val="Paragraph"/>
    <w:qFormat/>
    <w:rsid w:val="00076456"/>
    <w:pPr>
      <w:spacing w:before="120" w:after="120" w:line="276" w:lineRule="auto"/>
      <w:jc w:val="both"/>
    </w:pPr>
    <w:rPr>
      <w:rFonts w:ascii="Calibri Light" w:eastAsia="Rockwell" w:hAnsi="Calibri Light" w:cs="Arial"/>
      <w:color w:val="4D4D4D" w:themeColor="accent6"/>
      <w:sz w:val="26"/>
      <w:szCs w:val="20"/>
    </w:rPr>
  </w:style>
  <w:style w:type="paragraph" w:customStyle="1" w:styleId="Chapterheading">
    <w:name w:val="Chapter heading"/>
    <w:basedOn w:val="VIRTHeading2"/>
    <w:link w:val="ChapterheadingChar"/>
    <w:autoRedefine/>
    <w:qFormat/>
    <w:rsid w:val="002C77F0"/>
    <w:pPr>
      <w:spacing w:before="0" w:after="360"/>
      <w:ind w:left="720" w:hanging="720"/>
    </w:pPr>
    <w:rPr>
      <w:rFonts w:ascii="Rockwell" w:hAnsi="Rockwell"/>
      <w:szCs w:val="72"/>
    </w:rPr>
  </w:style>
  <w:style w:type="paragraph" w:customStyle="1" w:styleId="VIRTHeading6">
    <w:name w:val="VIRT Heading 6"/>
    <w:basedOn w:val="Normal"/>
    <w:rsid w:val="001F0C7E"/>
    <w:rPr>
      <w:u w:val="single"/>
    </w:rPr>
  </w:style>
  <w:style w:type="paragraph" w:customStyle="1" w:styleId="VIRTHeading4">
    <w:name w:val="VIRT Heading 4"/>
    <w:basedOn w:val="Normal"/>
    <w:link w:val="VIRTHeading4Char"/>
    <w:autoRedefine/>
    <w:rsid w:val="005C3030"/>
    <w:pPr>
      <w:spacing w:before="180" w:after="240"/>
    </w:pPr>
    <w:rPr>
      <w:rFonts w:ascii="Rockwell" w:hAnsi="Rockwell"/>
      <w:color w:val="148A5D" w:themeColor="accent2"/>
      <w:sz w:val="26"/>
    </w:rPr>
  </w:style>
  <w:style w:type="paragraph" w:customStyle="1" w:styleId="VIRTHeading5">
    <w:name w:val="VIRT Heading 5"/>
    <w:basedOn w:val="Normal"/>
    <w:qFormat/>
    <w:rsid w:val="007276F9"/>
    <w:pPr>
      <w:spacing w:before="180" w:after="120"/>
    </w:pPr>
    <w:rPr>
      <w:rFonts w:ascii="Calibri Light" w:hAnsi="Calibri Light" w:cs="Times New Roman (Body CS)"/>
      <w:color w:val="26664E" w:themeColor="accent1"/>
      <w:spacing w:val="6"/>
      <w:sz w:val="26"/>
    </w:rPr>
  </w:style>
  <w:style w:type="paragraph" w:customStyle="1" w:styleId="Tablebullets">
    <w:name w:val="Table bullets"/>
    <w:link w:val="TablebulletsChar"/>
    <w:qFormat/>
    <w:rsid w:val="0007293B"/>
    <w:pPr>
      <w:numPr>
        <w:numId w:val="20"/>
      </w:numPr>
      <w:spacing w:after="0"/>
      <w:contextualSpacing/>
    </w:pPr>
    <w:rPr>
      <w:rFonts w:ascii="Calibri Light" w:hAnsi="Calibri Light" w:cs="Times New Roman (Body CS)"/>
      <w:color w:val="4D4D4D" w:themeColor="accent6"/>
    </w:rPr>
  </w:style>
  <w:style w:type="table" w:customStyle="1" w:styleId="PlainTable11">
    <w:name w:val="Plain Table 11"/>
    <w:basedOn w:val="TableNormal"/>
    <w:uiPriority w:val="99"/>
    <w:rsid w:val="00277C7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99"/>
    <w:rsid w:val="00277C7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277C74"/>
    <w:pPr>
      <w:numPr>
        <w:numId w:val="41"/>
      </w:num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277C74"/>
    <w:pPr>
      <w:spacing w:after="0"/>
    </w:pPr>
    <w:tblPr>
      <w:tblStyleRowBandSize w:val="1"/>
      <w:tblStyleColBandSize w:val="1"/>
      <w:tblBorders>
        <w:top w:val="single" w:sz="4" w:space="0" w:color="83EDC4" w:themeColor="accent2" w:themeTint="66"/>
        <w:left w:val="single" w:sz="4" w:space="0" w:color="83EDC4" w:themeColor="accent2" w:themeTint="66"/>
        <w:bottom w:val="single" w:sz="4" w:space="0" w:color="83EDC4" w:themeColor="accent2" w:themeTint="66"/>
        <w:right w:val="single" w:sz="4" w:space="0" w:color="83EDC4" w:themeColor="accent2" w:themeTint="66"/>
        <w:insideH w:val="single" w:sz="4" w:space="0" w:color="83EDC4" w:themeColor="accent2" w:themeTint="66"/>
        <w:insideV w:val="single" w:sz="4" w:space="0" w:color="83EDC4" w:themeColor="accent2" w:themeTint="66"/>
      </w:tblBorders>
    </w:tblPr>
    <w:tblStylePr w:type="firstRow">
      <w:rPr>
        <w:b/>
        <w:bCs/>
      </w:rPr>
      <w:tblPr/>
      <w:tcPr>
        <w:tcBorders>
          <w:bottom w:val="single" w:sz="12" w:space="0" w:color="46E4A7" w:themeColor="accent2" w:themeTint="99"/>
        </w:tcBorders>
      </w:tcPr>
    </w:tblStylePr>
    <w:tblStylePr w:type="lastRow">
      <w:rPr>
        <w:b/>
        <w:bCs/>
      </w:rPr>
      <w:tblPr/>
      <w:tcPr>
        <w:tcBorders>
          <w:top w:val="double" w:sz="2" w:space="0" w:color="46E4A7"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7C74"/>
    <w:pPr>
      <w:spacing w:after="0"/>
    </w:pPr>
    <w:tblPr>
      <w:tblStyleRowBandSize w:val="1"/>
      <w:tblStyleColBandSize w:val="1"/>
      <w:tblBorders>
        <w:top w:val="single" w:sz="2" w:space="0" w:color="5DC29C" w:themeColor="accent1" w:themeTint="99"/>
        <w:bottom w:val="single" w:sz="2" w:space="0" w:color="5DC29C" w:themeColor="accent1" w:themeTint="99"/>
        <w:insideH w:val="single" w:sz="2" w:space="0" w:color="5DC29C" w:themeColor="accent1" w:themeTint="99"/>
        <w:insideV w:val="single" w:sz="2" w:space="0" w:color="5DC29C" w:themeColor="accent1" w:themeTint="99"/>
      </w:tblBorders>
    </w:tblPr>
    <w:tblStylePr w:type="firstRow">
      <w:rPr>
        <w:b/>
        <w:bCs/>
      </w:rPr>
      <w:tblPr/>
      <w:tcPr>
        <w:tcBorders>
          <w:top w:val="nil"/>
          <w:bottom w:val="single" w:sz="12" w:space="0" w:color="5DC29C" w:themeColor="accent1" w:themeTint="99"/>
          <w:insideH w:val="nil"/>
          <w:insideV w:val="nil"/>
        </w:tcBorders>
        <w:shd w:val="clear" w:color="auto" w:fill="FFFFFF" w:themeFill="background1"/>
      </w:tcPr>
    </w:tblStylePr>
    <w:tblStylePr w:type="lastRow">
      <w:rPr>
        <w:b/>
        <w:bCs/>
      </w:rPr>
      <w:tblPr/>
      <w:tcPr>
        <w:tcBorders>
          <w:top w:val="double" w:sz="2" w:space="0" w:color="5DC2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2-Accent41">
    <w:name w:val="Grid Table 2 - Accent 41"/>
    <w:basedOn w:val="TableNormal"/>
    <w:uiPriority w:val="47"/>
    <w:rsid w:val="00277C74"/>
    <w:pPr>
      <w:spacing w:after="0"/>
    </w:pPr>
    <w:tblPr>
      <w:tblStyleRowBandSize w:val="1"/>
      <w:tblStyleColBandSize w:val="1"/>
      <w:tblBorders>
        <w:top w:val="single" w:sz="2" w:space="0" w:color="9DB5AF" w:themeColor="accent4" w:themeTint="99"/>
        <w:bottom w:val="single" w:sz="2" w:space="0" w:color="9DB5AF" w:themeColor="accent4" w:themeTint="99"/>
        <w:insideH w:val="single" w:sz="2" w:space="0" w:color="9DB5AF" w:themeColor="accent4" w:themeTint="99"/>
        <w:insideV w:val="single" w:sz="2" w:space="0" w:color="9DB5AF" w:themeColor="accent4" w:themeTint="99"/>
      </w:tblBorders>
    </w:tblPr>
    <w:tblStylePr w:type="firstRow">
      <w:rPr>
        <w:b/>
        <w:bCs/>
      </w:rPr>
      <w:tblPr/>
      <w:tcPr>
        <w:tcBorders>
          <w:top w:val="nil"/>
          <w:bottom w:val="single" w:sz="12" w:space="0" w:color="9DB5AF" w:themeColor="accent4" w:themeTint="99"/>
          <w:insideH w:val="nil"/>
          <w:insideV w:val="nil"/>
        </w:tcBorders>
        <w:shd w:val="clear" w:color="auto" w:fill="FFFFFF" w:themeFill="background1"/>
      </w:tcPr>
    </w:tblStylePr>
    <w:tblStylePr w:type="lastRow">
      <w:rPr>
        <w:b/>
        <w:bCs/>
      </w:rPr>
      <w:tblPr/>
      <w:tcPr>
        <w:tcBorders>
          <w:top w:val="double" w:sz="2" w:space="0" w:color="9DB5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E4" w:themeFill="accent4" w:themeFillTint="33"/>
      </w:tcPr>
    </w:tblStylePr>
    <w:tblStylePr w:type="band1Horz">
      <w:tblPr/>
      <w:tcPr>
        <w:shd w:val="clear" w:color="auto" w:fill="DEE6E4" w:themeFill="accent4" w:themeFillTint="33"/>
      </w:tcPr>
    </w:tblStylePr>
  </w:style>
  <w:style w:type="table" w:customStyle="1" w:styleId="GridTable2-Accent21">
    <w:name w:val="Grid Table 2 - Accent 21"/>
    <w:basedOn w:val="TableNormal"/>
    <w:uiPriority w:val="47"/>
    <w:rsid w:val="00277C74"/>
    <w:pPr>
      <w:spacing w:after="0"/>
    </w:pPr>
    <w:tblPr>
      <w:tblStyleRowBandSize w:val="1"/>
      <w:tblStyleColBandSize w:val="1"/>
      <w:tblBorders>
        <w:top w:val="single" w:sz="2" w:space="0" w:color="46E4A7" w:themeColor="accent2" w:themeTint="99"/>
        <w:bottom w:val="single" w:sz="2" w:space="0" w:color="46E4A7" w:themeColor="accent2" w:themeTint="99"/>
        <w:insideH w:val="single" w:sz="2" w:space="0" w:color="46E4A7" w:themeColor="accent2" w:themeTint="99"/>
        <w:insideV w:val="single" w:sz="2" w:space="0" w:color="46E4A7" w:themeColor="accent2" w:themeTint="99"/>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themeColor="accent2" w:themeTint="99"/>
          <w:insideH w:val="nil"/>
          <w:insideV w:val="nil"/>
        </w:tcBorders>
        <w:shd w:val="clear" w:color="auto" w:fill="FFFFFF" w:themeFill="background1"/>
      </w:tcPr>
    </w:tblStylePr>
    <w:tblStylePr w:type="lastRow">
      <w:rPr>
        <w:b/>
        <w:bCs/>
      </w:rPr>
      <w:tblPr/>
      <w:tcPr>
        <w:tcBorders>
          <w:top w:val="double" w:sz="2" w:space="0" w:color="46E4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E1" w:themeFill="accent2" w:themeFillTint="33"/>
      </w:tcPr>
    </w:tblStylePr>
    <w:tblStylePr w:type="band1Horz">
      <w:tblPr/>
      <w:tcPr>
        <w:shd w:val="clear" w:color="auto" w:fill="C1F6E1" w:themeFill="accent2" w:themeFillTint="33"/>
      </w:tcPr>
    </w:tblStylePr>
  </w:style>
  <w:style w:type="table" w:customStyle="1" w:styleId="GridTable41">
    <w:name w:val="Grid Table 41"/>
    <w:basedOn w:val="TableNormal"/>
    <w:uiPriority w:val="49"/>
    <w:rsid w:val="00277C7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77C74"/>
    <w:pPr>
      <w:spacing w:after="0"/>
    </w:p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color w:val="FFFFFF" w:themeColor="background1"/>
      </w:rPr>
      <w:tblPr/>
      <w:tcPr>
        <w:tcBorders>
          <w:top w:val="single" w:sz="4" w:space="0" w:color="26664E" w:themeColor="accent1"/>
          <w:left w:val="single" w:sz="4" w:space="0" w:color="26664E" w:themeColor="accent1"/>
          <w:bottom w:val="single" w:sz="4" w:space="0" w:color="26664E" w:themeColor="accent1"/>
          <w:right w:val="single" w:sz="4" w:space="0" w:color="26664E" w:themeColor="accent1"/>
          <w:insideH w:val="nil"/>
          <w:insideV w:val="nil"/>
        </w:tcBorders>
        <w:shd w:val="clear" w:color="auto" w:fill="26664E" w:themeFill="accent1"/>
      </w:tcPr>
    </w:tblStylePr>
    <w:tblStylePr w:type="lastRow">
      <w:rPr>
        <w:b/>
        <w:bCs/>
      </w:rPr>
      <w:tblPr/>
      <w:tcPr>
        <w:tcBorders>
          <w:top w:val="double" w:sz="4" w:space="0" w:color="26664E" w:themeColor="accent1"/>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3-Accent41">
    <w:name w:val="Grid Table 3 - Accent 41"/>
    <w:basedOn w:val="TableNormal"/>
    <w:uiPriority w:val="48"/>
    <w:rsid w:val="00277C74"/>
    <w:pPr>
      <w:spacing w:after="0"/>
    </w:pPr>
    <w:tblPr>
      <w:tblStyleRowBandSize w:val="1"/>
      <w:tblStyleColBandSize w:val="1"/>
      <w:tblBorders>
        <w:top w:val="single" w:sz="4" w:space="0" w:color="9DB5AF" w:themeColor="accent4" w:themeTint="99"/>
        <w:left w:val="single" w:sz="4" w:space="0" w:color="9DB5AF" w:themeColor="accent4" w:themeTint="99"/>
        <w:bottom w:val="single" w:sz="4" w:space="0" w:color="9DB5AF" w:themeColor="accent4" w:themeTint="99"/>
        <w:right w:val="single" w:sz="4" w:space="0" w:color="9DB5AF" w:themeColor="accent4" w:themeTint="99"/>
        <w:insideH w:val="single" w:sz="4" w:space="0" w:color="9DB5AF" w:themeColor="accent4" w:themeTint="99"/>
        <w:insideV w:val="single" w:sz="4" w:space="0" w:color="9DB5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4" w:themeFill="accent4" w:themeFillTint="33"/>
      </w:tcPr>
    </w:tblStylePr>
    <w:tblStylePr w:type="band1Horz">
      <w:tblPr/>
      <w:tcPr>
        <w:shd w:val="clear" w:color="auto" w:fill="DEE6E4" w:themeFill="accent4" w:themeFillTint="33"/>
      </w:tcPr>
    </w:tblStylePr>
    <w:tblStylePr w:type="neCell">
      <w:tblPr/>
      <w:tcPr>
        <w:tcBorders>
          <w:bottom w:val="single" w:sz="4" w:space="0" w:color="9DB5AF" w:themeColor="accent4" w:themeTint="99"/>
        </w:tcBorders>
      </w:tcPr>
    </w:tblStylePr>
    <w:tblStylePr w:type="nwCell">
      <w:tblPr/>
      <w:tcPr>
        <w:tcBorders>
          <w:bottom w:val="single" w:sz="4" w:space="0" w:color="9DB5AF" w:themeColor="accent4" w:themeTint="99"/>
        </w:tcBorders>
      </w:tcPr>
    </w:tblStylePr>
    <w:tblStylePr w:type="seCell">
      <w:tblPr/>
      <w:tcPr>
        <w:tcBorders>
          <w:top w:val="single" w:sz="4" w:space="0" w:color="9DB5AF" w:themeColor="accent4" w:themeTint="99"/>
        </w:tcBorders>
      </w:tcPr>
    </w:tblStylePr>
    <w:tblStylePr w:type="swCell">
      <w:tblPr/>
      <w:tcPr>
        <w:tcBorders>
          <w:top w:val="single" w:sz="4" w:space="0" w:color="9DB5AF" w:themeColor="accent4" w:themeTint="99"/>
        </w:tcBorders>
      </w:tcPr>
    </w:tblStylePr>
  </w:style>
  <w:style w:type="table" w:customStyle="1" w:styleId="GridTable3-Accent21">
    <w:name w:val="Grid Table 3 - Accent 21"/>
    <w:basedOn w:val="TableNormal"/>
    <w:uiPriority w:val="48"/>
    <w:rsid w:val="00277C74"/>
    <w:pPr>
      <w:spacing w:after="0"/>
    </w:pPr>
    <w:tblPr>
      <w:tblStyleRowBandSize w:val="1"/>
      <w:tblStyleColBandSize w:val="1"/>
      <w:tblBorders>
        <w:top w:val="single" w:sz="4" w:space="0" w:color="46E4A7" w:themeColor="accent2" w:themeTint="99"/>
        <w:left w:val="single" w:sz="4" w:space="0" w:color="46E4A7" w:themeColor="accent2" w:themeTint="99"/>
        <w:bottom w:val="single" w:sz="4" w:space="0" w:color="46E4A7" w:themeColor="accent2" w:themeTint="99"/>
        <w:right w:val="single" w:sz="4" w:space="0" w:color="46E4A7" w:themeColor="accent2" w:themeTint="99"/>
        <w:insideH w:val="single" w:sz="4" w:space="0" w:color="46E4A7" w:themeColor="accent2" w:themeTint="99"/>
        <w:insideV w:val="single" w:sz="4" w:space="0" w:color="46E4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E1" w:themeFill="accent2" w:themeFillTint="33"/>
      </w:tcPr>
    </w:tblStylePr>
    <w:tblStylePr w:type="band1Horz">
      <w:tblPr/>
      <w:tcPr>
        <w:shd w:val="clear" w:color="auto" w:fill="C1F6E1" w:themeFill="accent2" w:themeFillTint="33"/>
      </w:tcPr>
    </w:tblStylePr>
    <w:tblStylePr w:type="neCell">
      <w:tblPr/>
      <w:tcPr>
        <w:tcBorders>
          <w:bottom w:val="single" w:sz="4" w:space="0" w:color="46E4A7" w:themeColor="accent2" w:themeTint="99"/>
        </w:tcBorders>
      </w:tcPr>
    </w:tblStylePr>
    <w:tblStylePr w:type="nwCell">
      <w:tblPr/>
      <w:tcPr>
        <w:tcBorders>
          <w:bottom w:val="single" w:sz="4" w:space="0" w:color="46E4A7" w:themeColor="accent2" w:themeTint="99"/>
        </w:tcBorders>
      </w:tcPr>
    </w:tblStylePr>
    <w:tblStylePr w:type="seCell">
      <w:tblPr/>
      <w:tcPr>
        <w:tcBorders>
          <w:top w:val="single" w:sz="4" w:space="0" w:color="46E4A7" w:themeColor="accent2" w:themeTint="99"/>
        </w:tcBorders>
      </w:tcPr>
    </w:tblStylePr>
    <w:tblStylePr w:type="swCell">
      <w:tblPr/>
      <w:tcPr>
        <w:tcBorders>
          <w:top w:val="single" w:sz="4" w:space="0" w:color="46E4A7" w:themeColor="accent2" w:themeTint="99"/>
        </w:tcBorders>
      </w:tcPr>
    </w:tblStylePr>
  </w:style>
  <w:style w:type="table" w:customStyle="1" w:styleId="GridTable5Dark-Accent11">
    <w:name w:val="Grid Table 5 Dark - Accent 11"/>
    <w:basedOn w:val="TableNormal"/>
    <w:uiPriority w:val="50"/>
    <w:rsid w:val="00277C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66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66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66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664E" w:themeFill="accent1"/>
      </w:tcPr>
    </w:tblStylePr>
    <w:tblStylePr w:type="band1Vert">
      <w:tblPr/>
      <w:tcPr>
        <w:shd w:val="clear" w:color="auto" w:fill="93D6BD" w:themeFill="accent1" w:themeFillTint="66"/>
      </w:tcPr>
    </w:tblStylePr>
    <w:tblStylePr w:type="band1Horz">
      <w:tblPr/>
      <w:tcPr>
        <w:shd w:val="clear" w:color="auto" w:fill="93D6BD" w:themeFill="accent1" w:themeFillTint="66"/>
      </w:tcPr>
    </w:tblStylePr>
  </w:style>
  <w:style w:type="table" w:customStyle="1" w:styleId="GridTable6Colorful-Accent11">
    <w:name w:val="Grid Table 6 Colorful - Accent 11"/>
    <w:basedOn w:val="TableNormal"/>
    <w:uiPriority w:val="51"/>
    <w:rsid w:val="00277C74"/>
    <w:pPr>
      <w:spacing w:after="0"/>
    </w:pPr>
    <w:rPr>
      <w:color w:val="1C4C3A" w:themeColor="accent1" w:themeShade="BF"/>
    </w:r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4" w:space="0" w:color="5DC29C" w:themeColor="accent1" w:themeTint="99"/>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1Light-Accent11">
    <w:name w:val="Grid Table 1 Light - Accent 11"/>
    <w:basedOn w:val="TableNormal"/>
    <w:uiPriority w:val="46"/>
    <w:rsid w:val="00277C74"/>
    <w:pPr>
      <w:spacing w:after="0"/>
    </w:pPr>
    <w:tblPr>
      <w:tblStyleRowBandSize w:val="1"/>
      <w:tblStyleColBandSize w:val="1"/>
      <w:tblBorders>
        <w:top w:val="single" w:sz="4" w:space="0" w:color="93D6BD" w:themeColor="accent1" w:themeTint="66"/>
        <w:left w:val="single" w:sz="4" w:space="0" w:color="93D6BD" w:themeColor="accent1" w:themeTint="66"/>
        <w:bottom w:val="single" w:sz="4" w:space="0" w:color="93D6BD" w:themeColor="accent1" w:themeTint="66"/>
        <w:right w:val="single" w:sz="4" w:space="0" w:color="93D6BD" w:themeColor="accent1" w:themeTint="66"/>
        <w:insideH w:val="single" w:sz="4" w:space="0" w:color="93D6BD" w:themeColor="accent1" w:themeTint="66"/>
        <w:insideV w:val="single" w:sz="4" w:space="0" w:color="93D6BD" w:themeColor="accent1" w:themeTint="66"/>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2" w:space="0" w:color="5DC29C" w:themeColor="accent1" w:themeTint="99"/>
        </w:tcBorders>
      </w:tcPr>
    </w:tblStylePr>
    <w:tblStylePr w:type="firstCol">
      <w:rPr>
        <w:b/>
        <w:bCs/>
      </w:rPr>
    </w:tblStylePr>
    <w:tblStylePr w:type="lastCol">
      <w:rPr>
        <w:b/>
        <w:bCs/>
      </w:rPr>
    </w:tblStylePr>
  </w:style>
  <w:style w:type="paragraph" w:styleId="TOC2">
    <w:name w:val="toc 2"/>
    <w:aliases w:val="TOC 2 VIRT"/>
    <w:next w:val="Paragraph"/>
    <w:uiPriority w:val="39"/>
    <w:unhideWhenUsed/>
    <w:rsid w:val="00BA49F1"/>
    <w:pPr>
      <w:widowControl w:val="0"/>
      <w:spacing w:before="120" w:after="120"/>
      <w:ind w:left="510"/>
    </w:pPr>
    <w:rPr>
      <w:rFonts w:ascii="Calibri Light" w:hAnsi="Calibri Light"/>
      <w:iCs/>
      <w:color w:val="4D4D4D" w:themeColor="accent6"/>
      <w:sz w:val="26"/>
      <w:szCs w:val="20"/>
    </w:rPr>
  </w:style>
  <w:style w:type="table" w:customStyle="1" w:styleId="PlainTable21">
    <w:name w:val="Plain Table 21"/>
    <w:basedOn w:val="TableNormal"/>
    <w:uiPriority w:val="99"/>
    <w:rsid w:val="00277C7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277C74"/>
    <w:pPr>
      <w:spacing w:after="0"/>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77C74"/>
    <w:pPr>
      <w:spacing w:after="0"/>
    </w:pPr>
    <w:tblPr>
      <w:tblStyleRowBandSize w:val="1"/>
    </w:tblPr>
    <w:tblStylePr w:type="lastRow">
      <w:rPr>
        <w:rFonts w:ascii="Arial" w:hAnsi="Arial"/>
        <w:b/>
      </w:rPr>
    </w:tblStylePr>
    <w:tblStylePr w:type="band1Horz">
      <w:rPr>
        <w:rFonts w:ascii="Arial" w:hAnsi="Arial"/>
        <w:sz w:val="20"/>
      </w:rPr>
    </w:tblStylePr>
  </w:style>
  <w:style w:type="table" w:customStyle="1" w:styleId="TableGridLight1">
    <w:name w:val="Table Grid Light1"/>
    <w:basedOn w:val="TableNormal"/>
    <w:uiPriority w:val="99"/>
    <w:rsid w:val="00277C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99"/>
    <w:rsid w:val="00277C74"/>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277C74"/>
    <w:pPr>
      <w:spacing w:after="0"/>
    </w:pPr>
    <w:rPr>
      <w:rFonts w:ascii="Arial" w:hAnsi="Arial"/>
      <w:sz w:val="20"/>
    </w:rPr>
    <w:tblPr/>
  </w:style>
  <w:style w:type="table" w:customStyle="1" w:styleId="VIRTTablestyle">
    <w:name w:val="VIRT Table style"/>
    <w:basedOn w:val="TableNormal"/>
    <w:uiPriority w:val="99"/>
    <w:rsid w:val="00785818"/>
    <w:pPr>
      <w:spacing w:after="0"/>
    </w:pPr>
    <w:rPr>
      <w:rFonts w:ascii="Arial" w:hAnsi="Arial"/>
      <w:sz w:val="20"/>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hemeFill="background1" w:themeFillShade="F2"/>
      </w:tcPr>
    </w:tblStylePr>
  </w:style>
  <w:style w:type="paragraph" w:styleId="TOC1">
    <w:name w:val="toc 1"/>
    <w:basedOn w:val="Normal"/>
    <w:next w:val="Paragraph"/>
    <w:uiPriority w:val="39"/>
    <w:unhideWhenUsed/>
    <w:rsid w:val="00BA49F1"/>
    <w:pPr>
      <w:spacing w:before="120" w:after="120"/>
    </w:pPr>
    <w:rPr>
      <w:rFonts w:ascii="Calibri Light" w:hAnsi="Calibri Light"/>
      <w:b/>
      <w:bCs/>
      <w:color w:val="4D4D4D" w:themeColor="accent6"/>
      <w:sz w:val="26"/>
      <w:szCs w:val="20"/>
    </w:rPr>
  </w:style>
  <w:style w:type="paragraph" w:styleId="TOC3">
    <w:name w:val="toc 3"/>
    <w:aliases w:val="TOC 3 VIRT"/>
    <w:basedOn w:val="Normal"/>
    <w:next w:val="Normal"/>
    <w:autoRedefine/>
    <w:uiPriority w:val="39"/>
    <w:unhideWhenUsed/>
    <w:rsid w:val="00A602BE"/>
    <w:pPr>
      <w:spacing w:after="0"/>
      <w:ind w:left="400"/>
    </w:pPr>
    <w:rPr>
      <w:rFonts w:asciiTheme="minorHAnsi" w:hAnsiTheme="minorHAnsi"/>
      <w:szCs w:val="20"/>
    </w:rPr>
  </w:style>
  <w:style w:type="paragraph" w:styleId="TOC4">
    <w:name w:val="toc 4"/>
    <w:basedOn w:val="Normal"/>
    <w:next w:val="Normal"/>
    <w:autoRedefine/>
    <w:uiPriority w:val="39"/>
    <w:unhideWhenUsed/>
    <w:rsid w:val="00A602BE"/>
    <w:pPr>
      <w:spacing w:after="0"/>
      <w:ind w:left="600"/>
    </w:pPr>
    <w:rPr>
      <w:rFonts w:asciiTheme="minorHAnsi" w:hAnsiTheme="minorHAnsi"/>
      <w:szCs w:val="20"/>
    </w:rPr>
  </w:style>
  <w:style w:type="paragraph" w:styleId="TOC5">
    <w:name w:val="toc 5"/>
    <w:basedOn w:val="Normal"/>
    <w:next w:val="Normal"/>
    <w:autoRedefine/>
    <w:unhideWhenUsed/>
    <w:rsid w:val="00A602BE"/>
    <w:pPr>
      <w:spacing w:after="0"/>
      <w:ind w:left="800"/>
    </w:pPr>
    <w:rPr>
      <w:rFonts w:asciiTheme="minorHAnsi" w:hAnsiTheme="minorHAnsi"/>
      <w:szCs w:val="20"/>
    </w:rPr>
  </w:style>
  <w:style w:type="paragraph" w:styleId="TOC6">
    <w:name w:val="toc 6"/>
    <w:basedOn w:val="Normal"/>
    <w:next w:val="Normal"/>
    <w:autoRedefine/>
    <w:unhideWhenUsed/>
    <w:rsid w:val="00A602BE"/>
    <w:pPr>
      <w:spacing w:after="0"/>
      <w:ind w:left="1000"/>
    </w:pPr>
    <w:rPr>
      <w:rFonts w:asciiTheme="minorHAnsi" w:hAnsiTheme="minorHAnsi"/>
      <w:szCs w:val="20"/>
    </w:rPr>
  </w:style>
  <w:style w:type="paragraph" w:styleId="TOC7">
    <w:name w:val="toc 7"/>
    <w:basedOn w:val="Normal"/>
    <w:next w:val="Normal"/>
    <w:autoRedefine/>
    <w:unhideWhenUsed/>
    <w:rsid w:val="00A602BE"/>
    <w:pPr>
      <w:spacing w:after="0"/>
      <w:ind w:left="1200"/>
    </w:pPr>
    <w:rPr>
      <w:rFonts w:asciiTheme="minorHAnsi" w:hAnsiTheme="minorHAnsi"/>
      <w:szCs w:val="20"/>
    </w:rPr>
  </w:style>
  <w:style w:type="paragraph" w:styleId="TOC8">
    <w:name w:val="toc 8"/>
    <w:basedOn w:val="Normal"/>
    <w:next w:val="Normal"/>
    <w:autoRedefine/>
    <w:unhideWhenUsed/>
    <w:rsid w:val="00A602BE"/>
    <w:pPr>
      <w:spacing w:after="0"/>
      <w:ind w:left="1400"/>
    </w:pPr>
    <w:rPr>
      <w:rFonts w:asciiTheme="minorHAnsi" w:hAnsiTheme="minorHAnsi"/>
      <w:szCs w:val="20"/>
    </w:rPr>
  </w:style>
  <w:style w:type="paragraph" w:styleId="TOC9">
    <w:name w:val="toc 9"/>
    <w:basedOn w:val="Normal"/>
    <w:next w:val="Normal"/>
    <w:autoRedefine/>
    <w:unhideWhenUsed/>
    <w:rsid w:val="00A602BE"/>
    <w:pPr>
      <w:spacing w:after="0"/>
      <w:ind w:left="1600"/>
    </w:pPr>
    <w:rPr>
      <w:rFonts w:asciiTheme="minorHAnsi" w:hAnsiTheme="minorHAnsi"/>
      <w:szCs w:val="20"/>
    </w:rPr>
  </w:style>
  <w:style w:type="character" w:styleId="Hyperlink">
    <w:name w:val="Hyperlink"/>
    <w:basedOn w:val="DefaultParagraphFont"/>
    <w:uiPriority w:val="99"/>
    <w:unhideWhenUsed/>
    <w:rsid w:val="00A602BE"/>
    <w:rPr>
      <w:color w:val="5F5F5F" w:themeColor="hyperlink"/>
      <w:u w:val="single"/>
    </w:rPr>
  </w:style>
  <w:style w:type="paragraph" w:styleId="BalloonText">
    <w:name w:val="Balloon Text"/>
    <w:basedOn w:val="Normal"/>
    <w:link w:val="BalloonTextChar"/>
    <w:semiHidden/>
    <w:unhideWhenUsed/>
    <w:rsid w:val="00A57FA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A57FA3"/>
    <w:rPr>
      <w:rFonts w:ascii="Tahoma" w:hAnsi="Tahoma" w:cs="Tahoma"/>
      <w:color w:val="7F7F7F" w:themeColor="text1" w:themeTint="80"/>
      <w:sz w:val="16"/>
      <w:szCs w:val="16"/>
    </w:rPr>
  </w:style>
  <w:style w:type="paragraph" w:customStyle="1" w:styleId="Tabletext">
    <w:name w:val="Table text"/>
    <w:link w:val="TabletextChar"/>
    <w:autoRedefine/>
    <w:rsid w:val="00F65785"/>
    <w:pPr>
      <w:spacing w:after="0"/>
      <w:contextualSpacing/>
      <w:outlineLvl w:val="0"/>
    </w:pPr>
    <w:rPr>
      <w:rFonts w:ascii="Calibri Light" w:eastAsia="Rockwell" w:hAnsi="Calibri Light" w:cs="Calibri Light"/>
      <w:bCs/>
      <w:noProof/>
      <w:color w:val="4D4D4D" w:themeColor="accent6"/>
      <w:spacing w:val="20"/>
      <w:lang w:val="en-US"/>
    </w:rPr>
  </w:style>
  <w:style w:type="paragraph" w:customStyle="1" w:styleId="Footnotes">
    <w:name w:val="Footnotes"/>
    <w:basedOn w:val="Sourcefortablesandfigures"/>
    <w:link w:val="FootnotesChar"/>
    <w:qFormat/>
    <w:rsid w:val="002C77F0"/>
  </w:style>
  <w:style w:type="paragraph" w:customStyle="1" w:styleId="Tableheading">
    <w:name w:val="Table heading"/>
    <w:basedOn w:val="Footnotes"/>
    <w:next w:val="Tabletext"/>
    <w:link w:val="TableheadingChar"/>
    <w:qFormat/>
    <w:rsid w:val="008D27F6"/>
    <w:pPr>
      <w:keepNext/>
      <w:tabs>
        <w:tab w:val="left" w:pos="1276"/>
      </w:tabs>
      <w:spacing w:before="120" w:after="60"/>
    </w:pPr>
    <w:rPr>
      <w:b/>
      <w:bCs/>
      <w:sz w:val="24"/>
    </w:rPr>
  </w:style>
  <w:style w:type="character" w:customStyle="1" w:styleId="TabletextChar">
    <w:name w:val="Table text Char"/>
    <w:basedOn w:val="DefaultParagraphFont"/>
    <w:link w:val="Tabletext"/>
    <w:rsid w:val="00F65785"/>
    <w:rPr>
      <w:rFonts w:ascii="Calibri Light" w:eastAsia="Rockwell" w:hAnsi="Calibri Light" w:cs="Calibri Light"/>
      <w:bCs/>
      <w:noProof/>
      <w:color w:val="4D4D4D" w:themeColor="accent6"/>
      <w:spacing w:val="20"/>
      <w:lang w:val="en-US"/>
    </w:rPr>
  </w:style>
  <w:style w:type="character" w:customStyle="1" w:styleId="FootnotesChar">
    <w:name w:val="Footnotes Char"/>
    <w:basedOn w:val="TabletextChar"/>
    <w:link w:val="Footnotes"/>
    <w:rsid w:val="002C77F0"/>
    <w:rPr>
      <w:rFonts w:ascii="Calibri Light" w:eastAsia="Rockwell" w:hAnsi="Calibri Light" w:cs="Calibri Light"/>
      <w:bCs/>
      <w:noProof/>
      <w:color w:val="4D4D4D" w:themeColor="accent6"/>
      <w:spacing w:val="20"/>
      <w:sz w:val="18"/>
      <w:szCs w:val="20"/>
      <w:lang w:val="en-US"/>
    </w:rPr>
  </w:style>
  <w:style w:type="paragraph" w:customStyle="1" w:styleId="Figureheading">
    <w:name w:val="Figure heading"/>
    <w:basedOn w:val="Tableheading"/>
    <w:link w:val="FigureheadingChar"/>
    <w:qFormat/>
    <w:rsid w:val="00615F9D"/>
    <w:pPr>
      <w:spacing w:after="120"/>
    </w:pPr>
    <w:rPr>
      <w:color w:val="26664E" w:themeColor="accent1"/>
    </w:rPr>
  </w:style>
  <w:style w:type="character" w:customStyle="1" w:styleId="TableheadingChar">
    <w:name w:val="Table heading Char"/>
    <w:basedOn w:val="FootnotesChar"/>
    <w:link w:val="Tableheading"/>
    <w:rsid w:val="008D27F6"/>
    <w:rPr>
      <w:rFonts w:ascii="Calibri Light" w:eastAsia="Rockwell" w:hAnsi="Calibri Light" w:cs="Calibri Light"/>
      <w:b/>
      <w:bCs/>
      <w:noProof/>
      <w:color w:val="4D4D4D" w:themeColor="accent6"/>
      <w:spacing w:val="20"/>
      <w:sz w:val="24"/>
      <w:szCs w:val="20"/>
      <w:lang w:val="en-US"/>
    </w:rPr>
  </w:style>
  <w:style w:type="paragraph" w:customStyle="1" w:styleId="Notesfortablesfigures">
    <w:name w:val="Notes for tables/figures"/>
    <w:basedOn w:val="Footnotes"/>
    <w:next w:val="Footnotes"/>
    <w:link w:val="NotesfortablesfiguresChar"/>
    <w:qFormat/>
    <w:rsid w:val="00532A4F"/>
    <w:pPr>
      <w:spacing w:after="0"/>
      <w:ind w:right="-7"/>
    </w:pPr>
  </w:style>
  <w:style w:type="character" w:customStyle="1" w:styleId="FigureheadingChar">
    <w:name w:val="Figure heading Char"/>
    <w:basedOn w:val="TableheadingChar"/>
    <w:link w:val="Figureheading"/>
    <w:rsid w:val="00615F9D"/>
    <w:rPr>
      <w:rFonts w:ascii="Calibri Light" w:eastAsia="Rockwell" w:hAnsi="Calibri Light" w:cs="Calibri Light"/>
      <w:b/>
      <w:bCs/>
      <w:noProof/>
      <w:color w:val="26664E" w:themeColor="accent1"/>
      <w:spacing w:val="20"/>
      <w:sz w:val="24"/>
      <w:szCs w:val="20"/>
      <w:lang w:val="en-US"/>
    </w:rPr>
  </w:style>
  <w:style w:type="paragraph" w:customStyle="1" w:styleId="Sourcesfortablesfigures">
    <w:name w:val="Sources for tables/figures"/>
    <w:basedOn w:val="Notesfortablesfigures"/>
    <w:link w:val="SourcesfortablesfiguresChar"/>
    <w:rsid w:val="00412567"/>
    <w:pPr>
      <w:spacing w:after="240"/>
    </w:pPr>
  </w:style>
  <w:style w:type="character" w:customStyle="1" w:styleId="NotesfortablesfiguresChar">
    <w:name w:val="Notes for tables/figures Char"/>
    <w:basedOn w:val="FootnotesChar"/>
    <w:link w:val="Notesfortablesfigures"/>
    <w:rsid w:val="00532A4F"/>
    <w:rPr>
      <w:rFonts w:ascii="Calibri Light" w:eastAsia="Rockwell" w:hAnsi="Calibri Light" w:cs="Calibri Light"/>
      <w:bCs w:val="0"/>
      <w:noProof/>
      <w:color w:val="4D4D4D" w:themeColor="accent6"/>
      <w:spacing w:val="20"/>
      <w:sz w:val="18"/>
      <w:szCs w:val="20"/>
      <w:lang w:val="en-US"/>
    </w:rPr>
  </w:style>
  <w:style w:type="paragraph" w:styleId="FootnoteText">
    <w:name w:val="footnote text"/>
    <w:basedOn w:val="Normal"/>
    <w:link w:val="FootnoteTextChar"/>
    <w:uiPriority w:val="8"/>
    <w:unhideWhenUsed/>
    <w:qFormat/>
    <w:rsid w:val="00B33183"/>
    <w:pPr>
      <w:spacing w:after="0"/>
      <w:jc w:val="both"/>
    </w:pPr>
    <w:rPr>
      <w:rFonts w:ascii="Calibri Light" w:hAnsi="Calibri Light"/>
      <w:color w:val="4D4D4D" w:themeColor="accent6"/>
      <w:sz w:val="18"/>
      <w:szCs w:val="20"/>
    </w:rPr>
  </w:style>
  <w:style w:type="character" w:customStyle="1" w:styleId="SourcesfortablesfiguresChar">
    <w:name w:val="Sources for tables/figures Char"/>
    <w:basedOn w:val="NotesfortablesfiguresChar"/>
    <w:link w:val="Sourcesfortablesfigures"/>
    <w:rsid w:val="00412567"/>
    <w:rPr>
      <w:rFonts w:ascii="Calibri Light" w:eastAsia="Rockwell" w:hAnsi="Calibri Light" w:cs="Calibri Light"/>
      <w:bCs w:val="0"/>
      <w:noProof/>
      <w:color w:val="4D4D4D" w:themeColor="accent6"/>
      <w:spacing w:val="20"/>
      <w:sz w:val="18"/>
      <w:szCs w:val="20"/>
      <w:lang w:val="en-US"/>
    </w:rPr>
  </w:style>
  <w:style w:type="character" w:customStyle="1" w:styleId="FootnoteTextChar">
    <w:name w:val="Footnote Text Char"/>
    <w:basedOn w:val="DefaultParagraphFont"/>
    <w:link w:val="FootnoteText"/>
    <w:uiPriority w:val="8"/>
    <w:rsid w:val="00B33183"/>
    <w:rPr>
      <w:rFonts w:ascii="Calibri Light" w:hAnsi="Calibri Light"/>
      <w:color w:val="4D4D4D" w:themeColor="accent6"/>
      <w:sz w:val="18"/>
      <w:szCs w:val="20"/>
    </w:rPr>
  </w:style>
  <w:style w:type="character" w:customStyle="1" w:styleId="ListParagraphChar">
    <w:name w:val="List Paragraph Char"/>
    <w:basedOn w:val="DefaultParagraphFont"/>
    <w:link w:val="ListParagraph"/>
    <w:locked/>
    <w:rsid w:val="009A0144"/>
    <w:rPr>
      <w:rFonts w:ascii="Arial" w:hAnsi="Arial"/>
      <w:color w:val="7F7F7F" w:themeColor="text1" w:themeTint="80"/>
      <w:sz w:val="20"/>
    </w:rPr>
  </w:style>
  <w:style w:type="character" w:customStyle="1" w:styleId="VIRTHeading2Char">
    <w:name w:val="VIRT Heading 2 Char"/>
    <w:basedOn w:val="DefaultParagraphFont"/>
    <w:link w:val="VIRTHeading2"/>
    <w:locked/>
    <w:rsid w:val="00971948"/>
    <w:rPr>
      <w:rFonts w:cs="Times New Roman (Body CS)"/>
      <w:noProof/>
      <w:color w:val="007449"/>
      <w:sz w:val="44"/>
      <w:szCs w:val="44"/>
      <w:lang w:val="en-US"/>
    </w:rPr>
  </w:style>
  <w:style w:type="character" w:customStyle="1" w:styleId="ChapterHeadingChar0">
    <w:name w:val="Chapter Heading Char"/>
    <w:basedOn w:val="VIRTHeading2Char"/>
    <w:link w:val="ChapterHeading0"/>
    <w:locked/>
    <w:rsid w:val="00BF2DB2"/>
    <w:rPr>
      <w:rFonts w:cs="Times New Roman (Body CS)"/>
      <w:noProof/>
      <w:color w:val="26664E" w:themeColor="accent1"/>
      <w:sz w:val="72"/>
      <w:szCs w:val="36"/>
      <w:lang w:val="en-US"/>
    </w:rPr>
  </w:style>
  <w:style w:type="paragraph" w:customStyle="1" w:styleId="ChapterHeading0">
    <w:name w:val="Chapter Heading"/>
    <w:basedOn w:val="VIRTHeading2"/>
    <w:link w:val="ChapterHeadingChar0"/>
    <w:qFormat/>
    <w:rsid w:val="00BF2DB2"/>
    <w:pPr>
      <w:spacing w:before="0" w:after="480"/>
    </w:pPr>
    <w:rPr>
      <w:color w:val="26664E" w:themeColor="accent1"/>
      <w:sz w:val="72"/>
      <w:szCs w:val="36"/>
    </w:rPr>
  </w:style>
  <w:style w:type="character" w:customStyle="1" w:styleId="ParabeforebulletlistChar">
    <w:name w:val="Para before bullet list Char"/>
    <w:basedOn w:val="DefaultParagraphFont"/>
    <w:link w:val="Parabeforebulletlist"/>
    <w:locked/>
    <w:rsid w:val="00EF35B4"/>
    <w:rPr>
      <w:rFonts w:ascii="Calibri Light" w:hAnsi="Calibri Light"/>
      <w:color w:val="4D4D4D" w:themeColor="accent6"/>
      <w:sz w:val="26"/>
    </w:rPr>
  </w:style>
  <w:style w:type="paragraph" w:customStyle="1" w:styleId="Parabeforebulletlist">
    <w:name w:val="Para before bullet list"/>
    <w:link w:val="ParabeforebulletlistChar"/>
    <w:autoRedefine/>
    <w:rsid w:val="00EF35B4"/>
    <w:pPr>
      <w:keepNext/>
      <w:spacing w:before="120" w:after="120" w:line="276" w:lineRule="auto"/>
      <w:jc w:val="both"/>
    </w:pPr>
    <w:rPr>
      <w:rFonts w:ascii="Calibri Light" w:hAnsi="Calibri Light"/>
      <w:color w:val="4D4D4D" w:themeColor="accent6"/>
      <w:sz w:val="26"/>
    </w:rPr>
  </w:style>
  <w:style w:type="character" w:customStyle="1" w:styleId="FiguretitleChar">
    <w:name w:val="Figure title Char"/>
    <w:basedOn w:val="ChapterHeadingChar0"/>
    <w:link w:val="Figuretitle"/>
    <w:locked/>
    <w:rsid w:val="00043F4C"/>
    <w:rPr>
      <w:rFonts w:ascii="Calibri Light" w:hAnsi="Calibri Light" w:cs="Times New Roman (Body CS)"/>
      <w:b/>
      <w:noProof/>
      <w:color w:val="0F6745" w:themeColor="accent2" w:themeShade="BF"/>
      <w:sz w:val="24"/>
      <w:szCs w:val="36"/>
      <w:lang w:val="en-US"/>
    </w:rPr>
  </w:style>
  <w:style w:type="paragraph" w:customStyle="1" w:styleId="Figuretitle">
    <w:name w:val="Figure title"/>
    <w:link w:val="FiguretitleChar"/>
    <w:qFormat/>
    <w:rsid w:val="00043F4C"/>
    <w:pPr>
      <w:keepNext/>
      <w:spacing w:after="120"/>
    </w:pPr>
    <w:rPr>
      <w:rFonts w:ascii="Calibri Light" w:hAnsi="Calibri Light" w:cs="Times New Roman (Body CS)"/>
      <w:b/>
      <w:noProof/>
      <w:color w:val="0F6745" w:themeColor="accent2" w:themeShade="BF"/>
      <w:sz w:val="24"/>
      <w:szCs w:val="36"/>
      <w:lang w:val="en-US"/>
    </w:rPr>
  </w:style>
  <w:style w:type="character" w:customStyle="1" w:styleId="SourcefortablesandfiguresChar">
    <w:name w:val="Source for tables and figures Char"/>
    <w:basedOn w:val="DefaultParagraphFont"/>
    <w:link w:val="Sourcefortablesandfigures"/>
    <w:locked/>
    <w:rsid w:val="003424C0"/>
    <w:rPr>
      <w:rFonts w:ascii="Calibri Light" w:hAnsi="Calibri Light"/>
      <w:color w:val="4D4D4D" w:themeColor="accent6"/>
      <w:sz w:val="18"/>
      <w:szCs w:val="20"/>
    </w:rPr>
  </w:style>
  <w:style w:type="paragraph" w:customStyle="1" w:styleId="Sourcefortablesandfigures">
    <w:name w:val="Source for tables and figures"/>
    <w:basedOn w:val="Normal"/>
    <w:link w:val="SourcefortablesandfiguresChar"/>
    <w:qFormat/>
    <w:rsid w:val="003424C0"/>
    <w:pPr>
      <w:spacing w:after="240"/>
      <w:ind w:right="-149"/>
      <w:contextualSpacing/>
    </w:pPr>
    <w:rPr>
      <w:rFonts w:ascii="Calibri Light" w:hAnsi="Calibri Light"/>
      <w:color w:val="4D4D4D" w:themeColor="accent6"/>
      <w:sz w:val="18"/>
      <w:szCs w:val="20"/>
    </w:rPr>
  </w:style>
  <w:style w:type="character" w:styleId="FootnoteReference">
    <w:name w:val="footnote reference"/>
    <w:basedOn w:val="DefaultParagraphFont"/>
    <w:uiPriority w:val="8"/>
    <w:unhideWhenUsed/>
    <w:rsid w:val="009A0144"/>
    <w:rPr>
      <w:vertAlign w:val="superscript"/>
    </w:rPr>
  </w:style>
  <w:style w:type="paragraph" w:styleId="Footer">
    <w:name w:val="footer"/>
    <w:basedOn w:val="Normal"/>
    <w:link w:val="FooterChar"/>
    <w:uiPriority w:val="99"/>
    <w:unhideWhenUsed/>
    <w:rsid w:val="009A0144"/>
    <w:pPr>
      <w:tabs>
        <w:tab w:val="center" w:pos="4680"/>
        <w:tab w:val="right" w:pos="9360"/>
      </w:tabs>
      <w:spacing w:after="0"/>
    </w:pPr>
    <w:rPr>
      <w:rFonts w:asciiTheme="minorHAnsi" w:eastAsiaTheme="minorEastAsia" w:hAnsiTheme="minorHAnsi" w:cs="Times New Roman"/>
      <w:color w:val="auto"/>
      <w:sz w:val="22"/>
      <w:lang w:val="en-US"/>
    </w:rPr>
  </w:style>
  <w:style w:type="character" w:customStyle="1" w:styleId="FooterChar">
    <w:name w:val="Footer Char"/>
    <w:basedOn w:val="DefaultParagraphFont"/>
    <w:link w:val="Footer"/>
    <w:uiPriority w:val="99"/>
    <w:rsid w:val="009A0144"/>
    <w:rPr>
      <w:rFonts w:eastAsiaTheme="minorEastAsia" w:cs="Times New Roman"/>
      <w:lang w:val="en-US"/>
    </w:rPr>
  </w:style>
  <w:style w:type="paragraph" w:styleId="Header">
    <w:name w:val="header"/>
    <w:basedOn w:val="Normal"/>
    <w:link w:val="HeaderChar"/>
    <w:uiPriority w:val="99"/>
    <w:unhideWhenUsed/>
    <w:rsid w:val="009A0144"/>
    <w:pPr>
      <w:tabs>
        <w:tab w:val="center" w:pos="4513"/>
        <w:tab w:val="right" w:pos="9026"/>
      </w:tabs>
      <w:spacing w:after="0"/>
    </w:pPr>
  </w:style>
  <w:style w:type="character" w:customStyle="1" w:styleId="HeaderChar">
    <w:name w:val="Header Char"/>
    <w:basedOn w:val="DefaultParagraphFont"/>
    <w:link w:val="Header"/>
    <w:uiPriority w:val="99"/>
    <w:rsid w:val="009A0144"/>
    <w:rPr>
      <w:rFonts w:ascii="Arial" w:hAnsi="Arial"/>
      <w:color w:val="7F7F7F" w:themeColor="text1" w:themeTint="80"/>
      <w:sz w:val="20"/>
    </w:rPr>
  </w:style>
  <w:style w:type="table" w:customStyle="1" w:styleId="ListTable3-Accent21">
    <w:name w:val="List Table 3 - Accent 21"/>
    <w:basedOn w:val="TableNormal"/>
    <w:next w:val="ListTable3-Accent2"/>
    <w:uiPriority w:val="48"/>
    <w:rsid w:val="00161978"/>
    <w:pPr>
      <w:spacing w:after="0"/>
    </w:pPr>
    <w:rPr>
      <w:rFonts w:ascii="Calibri Light" w:eastAsia="Rockwell" w:hAnsi="Calibri Light" w:cs="Times New Roman"/>
      <w:color w:val="4D4D4D" w:themeColor="accent6"/>
    </w:rPr>
    <w:tblPr>
      <w:tblStyleRowBandSize w:val="1"/>
      <w:tblStyleColBandSize w:val="1"/>
      <w:tblInd w:w="0" w:type="nil"/>
      <w:tblBorders>
        <w:top w:val="single" w:sz="4" w:space="0" w:color="148A5D" w:themeColor="accent2"/>
        <w:bottom w:val="single" w:sz="4" w:space="0" w:color="148A5D" w:themeColor="accent2"/>
      </w:tblBorders>
    </w:tbl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148A5D" w:themeColor="accent2"/>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styleId="ListTable3-Accent2">
    <w:name w:val="List Table 3 Accent 2"/>
    <w:basedOn w:val="TableNormal"/>
    <w:uiPriority w:val="48"/>
    <w:rsid w:val="00F92F4D"/>
    <w:pPr>
      <w:spacing w:after="0"/>
    </w:pPr>
    <w:rPr>
      <w:rFonts w:ascii="Calibri Light" w:hAnsi="Calibri Light"/>
      <w:color w:val="4D4D4D" w:themeColor="accent6"/>
    </w:rPr>
    <w:tblPr>
      <w:tblStyleRowBandSize w:val="1"/>
      <w:tblStyleColBandSize w:val="1"/>
      <w:tblBorders>
        <w:top w:val="single" w:sz="4" w:space="0" w:color="148A5D" w:themeColor="accent2"/>
        <w:bottom w:val="single" w:sz="4" w:space="0" w:color="148A5D" w:themeColor="accent2"/>
      </w:tblBorders>
    </w:tblPr>
    <w:tblStylePr w:type="firstRow">
      <w:rPr>
        <w:rFonts w:ascii="Calibri Light" w:hAnsi="Calibri Light"/>
        <w:b/>
        <w:bCs/>
        <w:color w:val="FFFFFF" w:themeColor="background1"/>
        <w:sz w:val="22"/>
      </w:rPr>
      <w:tblPr/>
      <w:tcPr>
        <w:shd w:val="clear" w:color="auto" w:fill="148A5D" w:themeFill="accent2"/>
      </w:tcPr>
    </w:tblStylePr>
    <w:tblStylePr w:type="lastRow">
      <w:rPr>
        <w:b w:val="0"/>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character" w:customStyle="1" w:styleId="FootnoteChar">
    <w:name w:val="Footnote Char"/>
    <w:basedOn w:val="FootnoteTextChar"/>
    <w:link w:val="Footnote"/>
    <w:locked/>
    <w:rsid w:val="00255E32"/>
    <w:rPr>
      <w:rFonts w:ascii="Calibri Light" w:eastAsia="Rockwell" w:hAnsi="Calibri Light" w:cs="Calibri Light"/>
      <w:color w:val="4D4D4D" w:themeColor="accent6"/>
      <w:sz w:val="18"/>
      <w:szCs w:val="20"/>
    </w:rPr>
  </w:style>
  <w:style w:type="paragraph" w:customStyle="1" w:styleId="Footnote">
    <w:name w:val="Footnote"/>
    <w:basedOn w:val="FootnoteText"/>
    <w:link w:val="FootnoteChar"/>
    <w:rsid w:val="00255E32"/>
    <w:pPr>
      <w:ind w:left="181" w:right="-431" w:hanging="181"/>
      <w:contextualSpacing/>
      <w:jc w:val="left"/>
    </w:pPr>
    <w:rPr>
      <w:rFonts w:eastAsia="Rockwell" w:cs="Calibri Light"/>
    </w:rPr>
  </w:style>
  <w:style w:type="table" w:customStyle="1" w:styleId="ListTable3-Accent22">
    <w:name w:val="List Table 3 - Accent 22"/>
    <w:basedOn w:val="TableNormal"/>
    <w:next w:val="ListTable3-Accent2"/>
    <w:uiPriority w:val="48"/>
    <w:rsid w:val="009C02AE"/>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Bibliography">
    <w:name w:val="Bibliography"/>
    <w:basedOn w:val="Normal"/>
    <w:next w:val="Normal"/>
    <w:uiPriority w:val="37"/>
    <w:unhideWhenUsed/>
    <w:rsid w:val="005B7FEF"/>
    <w:pPr>
      <w:spacing w:after="0"/>
      <w:ind w:left="720" w:hanging="720"/>
    </w:pPr>
  </w:style>
  <w:style w:type="character" w:customStyle="1" w:styleId="VIRTHeading3Char">
    <w:name w:val="VIRT Heading 3 Char"/>
    <w:basedOn w:val="DefaultParagraphFont"/>
    <w:link w:val="VIRTHeading3"/>
    <w:locked/>
    <w:rsid w:val="005C6604"/>
    <w:rPr>
      <w:rFonts w:cs="Arial"/>
      <w:noProof/>
      <w:color w:val="0F6745" w:themeColor="accent2" w:themeShade="BF"/>
      <w:spacing w:val="20"/>
      <w:sz w:val="30"/>
      <w:lang w:val="en-US"/>
    </w:rPr>
  </w:style>
  <w:style w:type="character" w:customStyle="1" w:styleId="VIRTHeading4Char">
    <w:name w:val="VIRT Heading 4 Char"/>
    <w:basedOn w:val="VIRTHeading3Char"/>
    <w:link w:val="VIRTHeading4"/>
    <w:locked/>
    <w:rsid w:val="005C3030"/>
    <w:rPr>
      <w:rFonts w:ascii="Rockwell" w:hAnsi="Rockwell" w:cs="Arial"/>
      <w:noProof/>
      <w:color w:val="148A5D" w:themeColor="accent2"/>
      <w:spacing w:val="20"/>
      <w:sz w:val="26"/>
      <w:lang w:val="en-US"/>
    </w:rPr>
  </w:style>
  <w:style w:type="paragraph" w:customStyle="1" w:styleId="VIRTDotpoints">
    <w:name w:val="VIRT Dot points"/>
    <w:basedOn w:val="ListParagraph"/>
    <w:rsid w:val="005C6604"/>
    <w:pPr>
      <w:tabs>
        <w:tab w:val="num" w:pos="360"/>
      </w:tabs>
      <w:spacing w:before="120" w:after="120" w:line="276" w:lineRule="auto"/>
      <w:ind w:left="425" w:hanging="357"/>
      <w:contextualSpacing w:val="0"/>
      <w:jc w:val="both"/>
    </w:pPr>
    <w:rPr>
      <w:rFonts w:ascii="Calibri Light" w:hAnsi="Calibri Light" w:cs="Times New Roman (Body CS)"/>
      <w:color w:val="4D4D4D" w:themeColor="accent6"/>
      <w:sz w:val="26"/>
    </w:rPr>
  </w:style>
  <w:style w:type="character" w:customStyle="1" w:styleId="TableandfigurenotessourceChar">
    <w:name w:val="Table and figure notes/source Char"/>
    <w:basedOn w:val="DefaultParagraphFont"/>
    <w:link w:val="Tableandfigurenotessource"/>
    <w:locked/>
    <w:rsid w:val="005C6604"/>
    <w:rPr>
      <w:rFonts w:ascii="Calibri Light" w:hAnsi="Calibri Light" w:cs="Calibri Light"/>
      <w:color w:val="4D4D4D" w:themeColor="accent6"/>
      <w:sz w:val="18"/>
      <w:szCs w:val="30"/>
    </w:rPr>
  </w:style>
  <w:style w:type="paragraph" w:customStyle="1" w:styleId="Tableandfigurenotessource">
    <w:name w:val="Table and figure notes/source"/>
    <w:basedOn w:val="Normal"/>
    <w:link w:val="TableandfigurenotessourceChar"/>
    <w:autoRedefine/>
    <w:rsid w:val="005C6604"/>
    <w:pPr>
      <w:spacing w:after="480"/>
    </w:pPr>
    <w:rPr>
      <w:rFonts w:ascii="Calibri Light" w:hAnsi="Calibri Light" w:cs="Calibri Light"/>
      <w:color w:val="4D4D4D" w:themeColor="accent6"/>
      <w:sz w:val="18"/>
      <w:szCs w:val="30"/>
    </w:rPr>
  </w:style>
  <w:style w:type="numbering" w:customStyle="1" w:styleId="NoList1">
    <w:name w:val="No List1"/>
    <w:next w:val="NoList"/>
    <w:uiPriority w:val="99"/>
    <w:semiHidden/>
    <w:unhideWhenUsed/>
    <w:rsid w:val="00096A78"/>
  </w:style>
  <w:style w:type="character" w:customStyle="1" w:styleId="FollowedHyperlink1">
    <w:name w:val="FollowedHyperlink1"/>
    <w:basedOn w:val="DefaultParagraphFont"/>
    <w:uiPriority w:val="99"/>
    <w:semiHidden/>
    <w:unhideWhenUsed/>
    <w:rsid w:val="00096A78"/>
    <w:rPr>
      <w:color w:val="919191"/>
      <w:u w:val="single"/>
    </w:rPr>
  </w:style>
  <w:style w:type="paragraph" w:customStyle="1" w:styleId="msonormal0">
    <w:name w:val="msonormal"/>
    <w:basedOn w:val="Normal"/>
    <w:rsid w:val="00096A78"/>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CommentText1">
    <w:name w:val="Comment Text1"/>
    <w:basedOn w:val="Normal"/>
    <w:next w:val="CommentText"/>
    <w:link w:val="CommentTextChar"/>
    <w:uiPriority w:val="99"/>
    <w:semiHidden/>
    <w:unhideWhenUsed/>
    <w:rsid w:val="00096A78"/>
    <w:pPr>
      <w:spacing w:before="180" w:after="240"/>
      <w:jc w:val="both"/>
    </w:pPr>
    <w:rPr>
      <w:rFonts w:ascii="Calibri Light" w:eastAsia="Rockwell" w:hAnsi="Calibri Light" w:cs="Times New Roman"/>
      <w:color w:val="4D4D4D"/>
      <w:szCs w:val="20"/>
    </w:rPr>
  </w:style>
  <w:style w:type="character" w:customStyle="1" w:styleId="CommentTextChar">
    <w:name w:val="Comment Text Char"/>
    <w:basedOn w:val="DefaultParagraphFont"/>
    <w:link w:val="CommentText1"/>
    <w:rsid w:val="00096A78"/>
    <w:rPr>
      <w:rFonts w:ascii="Calibri Light" w:eastAsia="Rockwell" w:hAnsi="Calibri Light" w:cs="Times New Roman"/>
      <w:color w:val="4D4D4D"/>
      <w:sz w:val="20"/>
      <w:szCs w:val="20"/>
    </w:rPr>
  </w:style>
  <w:style w:type="paragraph" w:customStyle="1" w:styleId="TableofFigures1">
    <w:name w:val="Table of Figures1"/>
    <w:basedOn w:val="Normal"/>
    <w:next w:val="Normal"/>
    <w:uiPriority w:val="99"/>
    <w:semiHidden/>
    <w:unhideWhenUsed/>
    <w:rsid w:val="00096A78"/>
    <w:pPr>
      <w:spacing w:before="180" w:after="0" w:line="276" w:lineRule="auto"/>
      <w:jc w:val="both"/>
    </w:pPr>
    <w:rPr>
      <w:rFonts w:ascii="Calibri Light" w:eastAsia="Rockwell" w:hAnsi="Calibri Light" w:cs="Times New Roman"/>
      <w:color w:val="4D4D4D"/>
      <w:sz w:val="26"/>
    </w:rPr>
  </w:style>
  <w:style w:type="paragraph" w:customStyle="1" w:styleId="CommentSubject1">
    <w:name w:val="Comment Subject1"/>
    <w:basedOn w:val="CommentText"/>
    <w:next w:val="CommentText"/>
    <w:uiPriority w:val="99"/>
    <w:semiHidden/>
    <w:unhideWhenUsed/>
    <w:rsid w:val="00096A78"/>
    <w:pPr>
      <w:spacing w:before="180" w:after="240"/>
      <w:jc w:val="both"/>
    </w:pPr>
    <w:rPr>
      <w:rFonts w:ascii="Calibri Light" w:eastAsia="Rockwell" w:hAnsi="Calibri Light" w:cs="Times New Roman"/>
      <w:b/>
      <w:bCs/>
      <w:color w:val="4D4D4D"/>
    </w:rPr>
  </w:style>
  <w:style w:type="character" w:customStyle="1" w:styleId="CommentSubjectChar">
    <w:name w:val="Comment Subject Char"/>
    <w:basedOn w:val="CommentTextChar"/>
    <w:link w:val="CommentSubject"/>
    <w:semiHidden/>
    <w:rsid w:val="00096A78"/>
    <w:rPr>
      <w:rFonts w:ascii="Calibri Light" w:eastAsia="Rockwell" w:hAnsi="Calibri Light" w:cs="Times New Roman"/>
      <w:b/>
      <w:bCs/>
      <w:color w:val="4D4D4D"/>
      <w:sz w:val="20"/>
      <w:szCs w:val="20"/>
    </w:rPr>
  </w:style>
  <w:style w:type="paragraph" w:customStyle="1" w:styleId="Revision1">
    <w:name w:val="Revision1"/>
    <w:next w:val="Revision"/>
    <w:uiPriority w:val="99"/>
    <w:semiHidden/>
    <w:rsid w:val="00096A78"/>
    <w:pPr>
      <w:spacing w:after="0"/>
    </w:pPr>
    <w:rPr>
      <w:rFonts w:ascii="Calibri Light" w:eastAsia="Rockwell" w:hAnsi="Calibri Light" w:cs="Times New Roman"/>
      <w:color w:val="7F7F7F"/>
      <w:sz w:val="26"/>
    </w:rPr>
  </w:style>
  <w:style w:type="character" w:customStyle="1" w:styleId="VIRTBulletpointsChar">
    <w:name w:val="VIRT Bullet points Char"/>
    <w:basedOn w:val="DefaultParagraphFont"/>
    <w:link w:val="VIRTBulletpoints"/>
    <w:locked/>
    <w:rsid w:val="0046477F"/>
    <w:rPr>
      <w:rFonts w:ascii="Calibri Light" w:hAnsi="Calibri Light" w:cs="Arial"/>
      <w:color w:val="4D4D4D" w:themeColor="accent6"/>
      <w:sz w:val="26"/>
      <w:szCs w:val="20"/>
    </w:rPr>
  </w:style>
  <w:style w:type="paragraph" w:customStyle="1" w:styleId="VIRTbodyText0">
    <w:name w:val="VIRT body Text"/>
    <w:basedOn w:val="Normal"/>
    <w:rsid w:val="00096A78"/>
    <w:pPr>
      <w:spacing w:before="120" w:after="240" w:line="276" w:lineRule="auto"/>
      <w:jc w:val="both"/>
    </w:pPr>
    <w:rPr>
      <w:rFonts w:ascii="Calibri Light" w:eastAsia="Rockwell" w:hAnsi="Calibri Light" w:cs="Arial"/>
      <w:noProof/>
      <w:color w:val="4D4D4D"/>
      <w:sz w:val="26"/>
      <w:szCs w:val="20"/>
      <w:lang w:val="en-US"/>
    </w:rPr>
  </w:style>
  <w:style w:type="character" w:customStyle="1" w:styleId="VIRTContentsTitleChar">
    <w:name w:val="VIRT Contents Title Char"/>
    <w:basedOn w:val="ChapterHeadingChar0"/>
    <w:link w:val="VIRTContentsTitle"/>
    <w:locked/>
    <w:rsid w:val="00096A78"/>
    <w:rPr>
      <w:rFonts w:ascii="Times New Roman (Body CS)" w:hAnsi="Times New Roman (Body CS)" w:cs="Times New Roman (Body CS)"/>
      <w:noProof/>
      <w:color w:val="26664E" w:themeColor="accent1"/>
      <w:sz w:val="56"/>
      <w:szCs w:val="72"/>
      <w:lang w:val="en-US" w:eastAsia="en-AU"/>
    </w:rPr>
  </w:style>
  <w:style w:type="paragraph" w:customStyle="1" w:styleId="VIRTContentsTitle">
    <w:name w:val="VIRT Contents Title"/>
    <w:basedOn w:val="ChapterHeading0"/>
    <w:next w:val="Normal"/>
    <w:link w:val="VIRTContentsTitleChar"/>
    <w:rsid w:val="00096A78"/>
    <w:pPr>
      <w:outlineLvl w:val="9"/>
    </w:pPr>
    <w:rPr>
      <w:rFonts w:ascii="Times New Roman (Body CS)" w:hAnsi="Times New Roman (Body CS)"/>
      <w:lang w:eastAsia="en-AU"/>
    </w:rPr>
  </w:style>
  <w:style w:type="character" w:customStyle="1" w:styleId="TablebulletsChar">
    <w:name w:val="Table bullets Char"/>
    <w:basedOn w:val="DefaultParagraphFont"/>
    <w:link w:val="Tablebullets"/>
    <w:locked/>
    <w:rsid w:val="0007293B"/>
    <w:rPr>
      <w:rFonts w:ascii="Calibri Light" w:hAnsi="Calibri Light" w:cs="Times New Roman (Body CS)"/>
      <w:color w:val="4D4D4D" w:themeColor="accent6"/>
    </w:rPr>
  </w:style>
  <w:style w:type="character" w:customStyle="1" w:styleId="footnotesChar0">
    <w:name w:val="footnotes Char"/>
    <w:basedOn w:val="FootnoteTextChar"/>
    <w:link w:val="footnotes0"/>
    <w:locked/>
    <w:rsid w:val="00096A78"/>
    <w:rPr>
      <w:rFonts w:ascii="Calibri Light" w:eastAsia="Rockwell" w:hAnsi="Calibri Light" w:cs="Calibri Light"/>
      <w:color w:val="4D4D4D" w:themeColor="accent6"/>
      <w:sz w:val="18"/>
      <w:szCs w:val="20"/>
    </w:rPr>
  </w:style>
  <w:style w:type="paragraph" w:customStyle="1" w:styleId="footnotes0">
    <w:name w:val="footnotes"/>
    <w:basedOn w:val="FootnoteText"/>
    <w:link w:val="footnotesChar0"/>
    <w:autoRedefine/>
    <w:rsid w:val="00096A78"/>
    <w:pPr>
      <w:contextualSpacing/>
      <w:jc w:val="left"/>
    </w:pPr>
    <w:rPr>
      <w:rFonts w:eastAsia="Rockwell" w:cs="Calibri Light"/>
    </w:rPr>
  </w:style>
  <w:style w:type="character" w:styleId="CommentReference">
    <w:name w:val="annotation reference"/>
    <w:basedOn w:val="DefaultParagraphFont"/>
    <w:semiHidden/>
    <w:unhideWhenUsed/>
    <w:rsid w:val="00096A78"/>
    <w:rPr>
      <w:sz w:val="16"/>
      <w:szCs w:val="16"/>
    </w:rPr>
  </w:style>
  <w:style w:type="table" w:customStyle="1" w:styleId="TableGrid1">
    <w:name w:val="Table Grid1"/>
    <w:basedOn w:val="TableNormal"/>
    <w:next w:val="TableGrid"/>
    <w:uiPriority w:val="39"/>
    <w:rsid w:val="00096A78"/>
    <w:pPr>
      <w:spacing w:after="0"/>
    </w:pPr>
    <w:rPr>
      <w:rFonts w:ascii="Rockwell" w:eastAsia="Rockwell" w:hAnsi="Rockwel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semiHidden/>
    <w:unhideWhenUsed/>
    <w:rsid w:val="00096A78"/>
    <w:pPr>
      <w:spacing w:after="0"/>
    </w:pPr>
    <w:rPr>
      <w:rFonts w:ascii="Rockwell" w:eastAsia="Rockwell" w:hAnsi="Rockwell"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1">
    <w:name w:val="Grid Table 3 - Accent 31"/>
    <w:basedOn w:val="TableNormal"/>
    <w:next w:val="GridTable3-Accent3"/>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1">
    <w:name w:val="Grid Table 6 Colorful - Accent 31"/>
    <w:basedOn w:val="TableNormal"/>
    <w:next w:val="GridTable6Colorful-Accent3"/>
    <w:uiPriority w:val="51"/>
    <w:rsid w:val="00096A78"/>
    <w:pPr>
      <w:spacing w:after="0"/>
    </w:pPr>
    <w:rPr>
      <w:rFonts w:ascii="Rockwell" w:eastAsia="Rockwell" w:hAnsi="Rockwell" w:cs="Times New Roman"/>
      <w:color w:val="48965E"/>
    </w:rPr>
    <w:tblPr>
      <w:tblStyleRowBandSize w:val="1"/>
      <w:tblStyleColBandSize w:val="1"/>
      <w:tblInd w:w="0" w:type="nil"/>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23">
    <w:name w:val="List Table 3 - Accent 23"/>
    <w:basedOn w:val="TableNormal"/>
    <w:uiPriority w:val="48"/>
    <w:rsid w:val="00A5293A"/>
    <w:pPr>
      <w:spacing w:after="0"/>
      <w:jc w:val="right"/>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val="0"/>
        <w:bCs/>
      </w:rPr>
      <w:tblPr/>
      <w:tcPr>
        <w:tcBorders>
          <w:top w:val="double" w:sz="4" w:space="0" w:color="148A5D"/>
        </w:tcBorders>
        <w:shd w:val="clear" w:color="auto" w:fill="FFFFFF"/>
      </w:tcPr>
    </w:tblStylePr>
    <w:tblStylePr w:type="firstCol">
      <w:pPr>
        <w:jc w:val="left"/>
      </w:pPr>
      <w:rPr>
        <w:b w:val="0"/>
        <w:bCs/>
      </w:rPr>
      <w:tblPr/>
      <w:tcPr>
        <w:tcBorders>
          <w:right w:val="nil"/>
        </w:tcBorders>
        <w:shd w:val="clear" w:color="auto" w:fill="FFFFFF"/>
      </w:tcPr>
    </w:tblStylePr>
    <w:tblStylePr w:type="lastCol">
      <w:pPr>
        <w:wordWrap/>
        <w:jc w:val="right"/>
      </w:pPr>
      <w:rPr>
        <w:rFonts w:ascii="Calibri Light" w:hAnsi="Calibri Light"/>
        <w:b w:val="0"/>
        <w:bCs/>
        <w:i w:val="0"/>
        <w:sz w:val="22"/>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PlainTable111">
    <w:name w:val="Plain Table 1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
    <w:name w:val="Plain Table 3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MinionPro-Regular" w:eastAsia="Times New Roman" w:hAnsi="MinionPro-Regular" w:cs="Times New Roman" w:hint="default"/>
        <w:i/>
        <w:iCs/>
        <w:sz w:val="26"/>
        <w:szCs w:val="26"/>
      </w:rPr>
      <w:tblPr/>
      <w:tcPr>
        <w:tcBorders>
          <w:bottom w:val="single" w:sz="4" w:space="0" w:color="7F7F7F"/>
        </w:tcBorders>
        <w:shd w:val="clear" w:color="auto" w:fill="FFFFFF"/>
      </w:tcPr>
    </w:tblStylePr>
    <w:tblStylePr w:type="lastRow">
      <w:rPr>
        <w:rFonts w:ascii="MinionPro-Regular" w:eastAsia="Times New Roman" w:hAnsi="MinionPro-Regular" w:cs="Times New Roman" w:hint="default"/>
        <w:i/>
        <w:iCs/>
        <w:sz w:val="26"/>
        <w:szCs w:val="26"/>
      </w:rPr>
      <w:tblPr/>
      <w:tcPr>
        <w:tcBorders>
          <w:top w:val="single" w:sz="4" w:space="0" w:color="7F7F7F"/>
        </w:tcBorders>
        <w:shd w:val="clear" w:color="auto" w:fill="FFFFFF"/>
      </w:tcPr>
    </w:tblStylePr>
    <w:tblStylePr w:type="firstCol">
      <w:pPr>
        <w:jc w:val="right"/>
      </w:pPr>
      <w:rPr>
        <w:rFonts w:ascii="MinionPro-Regular" w:eastAsia="Times New Roman" w:hAnsi="MinionPro-Regular" w:cs="Times New Roman" w:hint="default"/>
        <w:i/>
        <w:iCs/>
        <w:sz w:val="26"/>
        <w:szCs w:val="26"/>
      </w:rPr>
      <w:tblPr/>
      <w:tcPr>
        <w:tcBorders>
          <w:right w:val="single" w:sz="4" w:space="0" w:color="7F7F7F"/>
        </w:tcBorders>
        <w:shd w:val="clear" w:color="auto" w:fill="FFFFFF"/>
      </w:tcPr>
    </w:tblStylePr>
    <w:tblStylePr w:type="lastCol">
      <w:rPr>
        <w:rFonts w:ascii="MinionPro-Regular" w:eastAsia="Times New Roman" w:hAnsi="MinionPro-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1">
    <w:name w:val="Grid Table 1 Light - Accent 2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1">
    <w:name w:val="Grid Table 2 - Accent 4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1">
    <w:name w:val="Grid Table 2 - Accent 211"/>
    <w:basedOn w:val="TableNormal"/>
    <w:uiPriority w:val="47"/>
    <w:rsid w:val="00096A78"/>
    <w:pPr>
      <w:spacing w:after="0"/>
    </w:pPr>
    <w:rPr>
      <w:rFonts w:ascii="Rockwell" w:eastAsia="Rockwell" w:hAnsi="Rockwell" w:cs="Times New Roman"/>
    </w:rPr>
    <w:tblPr>
      <w:tblStyleRowBandSize w:val="1"/>
      <w:tblStyleColBandSize w:val="1"/>
      <w:tblInd w:w="0" w:type="nil"/>
      <w:tblBorders>
        <w:top w:val="single" w:sz="2" w:space="0" w:color="46E4A7"/>
        <w:bottom w:val="single" w:sz="2" w:space="0" w:color="46E4A7"/>
        <w:insideH w:val="single" w:sz="2" w:space="0" w:color="46E4A7"/>
        <w:insideV w:val="single" w:sz="2" w:space="0" w:color="46E4A7"/>
      </w:tblBorders>
    </w:tblPr>
    <w:tblStylePr w:type="firstRow">
      <w:pPr>
        <w:wordWrap/>
        <w:spacing w:line="240" w:lineRule="auto"/>
        <w:ind w:leftChars="0" w:left="0" w:rightChars="0" w:right="0" w:firstLineChars="0" w:firstLine="0"/>
        <w:jc w:val="left"/>
      </w:pPr>
      <w:rPr>
        <w:rFonts w:ascii="Arial" w:hAnsi="Arial" w:cs="Arial" w:hint="default"/>
        <w:b/>
        <w:bCs/>
        <w:sz w:val="20"/>
        <w:szCs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1">
    <w:name w:val="Grid Table 4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1">
    <w:name w:val="Grid Table 4 - Accent 111"/>
    <w:basedOn w:val="TableNormal"/>
    <w:uiPriority w:val="49"/>
    <w:rsid w:val="00096A78"/>
    <w:pPr>
      <w:spacing w:after="0"/>
    </w:pPr>
    <w:rPr>
      <w:rFonts w:ascii="Rockwell" w:eastAsia="Rockwell" w:hAnsi="Rockwell" w:cs="Times New Roman"/>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1">
    <w:name w:val="Grid Table 3 - Accent 4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1">
    <w:name w:val="Grid Table 3 - Accent 211"/>
    <w:basedOn w:val="TableNormal"/>
    <w:uiPriority w:val="48"/>
    <w:rsid w:val="00096A78"/>
    <w:pPr>
      <w:spacing w:after="0"/>
    </w:pPr>
    <w:rPr>
      <w:rFonts w:ascii="Rockwell" w:eastAsia="Rockwell" w:hAnsi="Rockwell" w:cs="Times New Roman"/>
    </w:rPr>
    <w:tblPr>
      <w:tblStyleRowBandSize w:val="1"/>
      <w:tblStyleColBandSize w:val="1"/>
      <w:tblInd w:w="0" w:type="nil"/>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1">
    <w:name w:val="Grid Table 5 Dark - Accent 111"/>
    <w:basedOn w:val="TableNormal"/>
    <w:uiPriority w:val="50"/>
    <w:rsid w:val="00096A78"/>
    <w:pPr>
      <w:spacing w:after="0"/>
    </w:pPr>
    <w:rPr>
      <w:rFonts w:ascii="Rockwell" w:eastAsia="Rockwell" w:hAnsi="Rockwell"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1">
    <w:name w:val="Grid Table 6 Colorful - Accent 111"/>
    <w:basedOn w:val="TableNormal"/>
    <w:uiPriority w:val="51"/>
    <w:rsid w:val="00096A78"/>
    <w:pPr>
      <w:spacing w:after="0"/>
    </w:pPr>
    <w:rPr>
      <w:rFonts w:ascii="Rockwell" w:eastAsia="Rockwell" w:hAnsi="Rockwell" w:cs="Times New Roman"/>
      <w:color w:val="1C4C3A"/>
    </w:rPr>
    <w:tblPr>
      <w:tblStyleRowBandSize w:val="1"/>
      <w:tblStyleColBandSize w:val="1"/>
      <w:tblInd w:w="0" w:type="nil"/>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1">
    <w:name w:val="Grid Table 1 Light - Accent 1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table" w:customStyle="1" w:styleId="PlainTable211">
    <w:name w:val="Plain Table 211"/>
    <w:basedOn w:val="TableNormal"/>
    <w:uiPriority w:val="99"/>
    <w:rsid w:val="00096A78"/>
    <w:pPr>
      <w:spacing w:after="0"/>
    </w:pPr>
    <w:rPr>
      <w:rFonts w:ascii="Rockwell" w:eastAsia="Rockwell" w:hAnsi="Rockwell"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1">
    <w:name w:val="Grid Table 1 Light - Accent 611"/>
    <w:basedOn w:val="TableNormal"/>
    <w:uiPriority w:val="46"/>
    <w:rsid w:val="00096A78"/>
    <w:pPr>
      <w:spacing w:after="0"/>
    </w:pPr>
    <w:rPr>
      <w:rFonts w:ascii="Rockwell" w:eastAsia="Rockwell" w:hAnsi="Rockwell" w:cs="Times New Roman"/>
    </w:rPr>
    <w:tblPr>
      <w:tblStyleRowBandSize w:val="1"/>
      <w:tblStyleColBandSize w:val="1"/>
      <w:tblInd w:w="0" w:type="nil"/>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Style11">
    <w:name w:val="Style11"/>
    <w:basedOn w:val="TableNormal"/>
    <w:uiPriority w:val="99"/>
    <w:rsid w:val="00096A78"/>
    <w:pPr>
      <w:spacing w:after="0"/>
    </w:pPr>
    <w:rPr>
      <w:rFonts w:ascii="Rockwell" w:eastAsia="Rockwell" w:hAnsi="Rockwell" w:cs="Times New Roman"/>
    </w:rPr>
    <w:tblPr>
      <w:tblStyleRowBandSize w:val="1"/>
      <w:tblInd w:w="0" w:type="nil"/>
    </w:tblPr>
    <w:tblStylePr w:type="lastRow">
      <w:rPr>
        <w:rFonts w:ascii="Arial" w:hAnsi="Arial" w:cs="Arial" w:hint="default"/>
        <w:b/>
      </w:rPr>
    </w:tblStylePr>
    <w:tblStylePr w:type="band1Horz">
      <w:rPr>
        <w:rFonts w:ascii="Arial" w:hAnsi="Arial" w:cs="Arial" w:hint="default"/>
        <w:sz w:val="20"/>
        <w:szCs w:val="20"/>
      </w:rPr>
    </w:tblStylePr>
  </w:style>
  <w:style w:type="table" w:customStyle="1" w:styleId="TableGridLight11">
    <w:name w:val="Table Grid Light11"/>
    <w:basedOn w:val="TableNormal"/>
    <w:uiPriority w:val="99"/>
    <w:rsid w:val="00096A78"/>
    <w:pPr>
      <w:spacing w:after="0"/>
    </w:pPr>
    <w:rPr>
      <w:rFonts w:ascii="Rockwell" w:eastAsia="Rockwell" w:hAnsi="Rockwell"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1">
    <w:name w:val="Plain Table 411"/>
    <w:basedOn w:val="TableNormal"/>
    <w:uiPriority w:val="99"/>
    <w:rsid w:val="00096A78"/>
    <w:pPr>
      <w:spacing w:after="0"/>
    </w:pPr>
    <w:rPr>
      <w:rFonts w:ascii="Rockwell" w:eastAsia="Rockwell" w:hAnsi="Rockwell" w:cs="Times New Roman"/>
    </w:rPr>
    <w:tblPr>
      <w:tblStyleRowBandSize w:val="1"/>
      <w:tblStyleColBandSize w:val="1"/>
      <w:tblInd w:w="0" w:type="nil"/>
    </w:tblPr>
    <w:tblStylePr w:type="firstRow">
      <w:rPr>
        <w:rFonts w:ascii="Arial" w:hAnsi="Arial" w:cs="Arial" w:hint="default"/>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21">
    <w:name w:val="Style21"/>
    <w:basedOn w:val="TableNormal"/>
    <w:uiPriority w:val="99"/>
    <w:rsid w:val="00096A78"/>
    <w:pPr>
      <w:spacing w:after="0"/>
    </w:pPr>
    <w:rPr>
      <w:rFonts w:ascii="Arial" w:eastAsia="Rockwell" w:hAnsi="Arial" w:cs="Times New Roman"/>
      <w:sz w:val="20"/>
    </w:rPr>
    <w:tblPr>
      <w:tblInd w:w="0" w:type="nil"/>
    </w:tblPr>
  </w:style>
  <w:style w:type="table" w:customStyle="1" w:styleId="VIRTTablestyle1">
    <w:name w:val="VIRT Table style1"/>
    <w:basedOn w:val="TableNormal"/>
    <w:uiPriority w:val="99"/>
    <w:rsid w:val="00096A78"/>
    <w:pPr>
      <w:spacing w:after="0"/>
    </w:pPr>
    <w:rPr>
      <w:rFonts w:ascii="Arial" w:eastAsia="Rockwell" w:hAnsi="Arial" w:cs="Times New Roman"/>
      <w:sz w:val="20"/>
    </w:rPr>
    <w:tblPr>
      <w:tblStyleRowBandSize w:val="1"/>
      <w:tblInd w:w="0" w:type="nil"/>
      <w:tblBorders>
        <w:top w:val="single" w:sz="2" w:space="0" w:color="BFBFBF"/>
        <w:bottom w:val="single" w:sz="2" w:space="0" w:color="BFBFBF"/>
        <w:insideH w:val="single" w:sz="2" w:space="0" w:color="BFBFBF"/>
      </w:tblBorders>
    </w:tblPr>
    <w:tblStylePr w:type="firstRow">
      <w:pPr>
        <w:wordWrap/>
        <w:spacing w:line="240" w:lineRule="auto"/>
        <w:jc w:val="left"/>
      </w:pPr>
      <w:rPr>
        <w:rFonts w:ascii="Arial" w:hAnsi="Arial" w:cs="Arial" w:hint="default"/>
        <w:b/>
      </w:rPr>
    </w:tblStylePr>
    <w:tblStylePr w:type="firstCol">
      <w:rPr>
        <w:rFonts w:ascii="Arial" w:hAnsi="Arial" w:cs="Arial" w:hint="default"/>
        <w:b/>
      </w:rPr>
    </w:tblStylePr>
    <w:tblStylePr w:type="band1Horz">
      <w:tblPr/>
      <w:tcPr>
        <w:shd w:val="clear" w:color="auto" w:fill="F2F2F2"/>
      </w:tcPr>
    </w:tblStylePr>
  </w:style>
  <w:style w:type="table" w:customStyle="1" w:styleId="Style3">
    <w:name w:val="Style3"/>
    <w:basedOn w:val="TableNormal"/>
    <w:uiPriority w:val="99"/>
    <w:rsid w:val="00096A78"/>
    <w:pPr>
      <w:spacing w:after="0"/>
      <w:jc w:val="center"/>
    </w:pPr>
    <w:rPr>
      <w:rFonts w:ascii="Calibri Light" w:eastAsia="Rockwell" w:hAnsi="Calibri Light" w:cs="Times New Roman"/>
      <w:color w:val="4D4D4D"/>
    </w:rPr>
    <w:tblPr>
      <w:tblInd w:w="0" w:type="nil"/>
      <w:tblBorders>
        <w:insideH w:val="single" w:sz="4" w:space="0" w:color="148A5D"/>
      </w:tblBorders>
    </w:tblPr>
    <w:tblStylePr w:type="firstRow">
      <w:rPr>
        <w:rFonts w:ascii="Calibri Light" w:hAnsi="Calibri Light" w:cs="Calibri Light" w:hint="default"/>
        <w:color w:val="FFFFFF"/>
        <w:sz w:val="22"/>
        <w:szCs w:val="22"/>
      </w:rPr>
    </w:tblStylePr>
  </w:style>
  <w:style w:type="character" w:styleId="FollowedHyperlink">
    <w:name w:val="FollowedHyperlink"/>
    <w:basedOn w:val="DefaultParagraphFont"/>
    <w:uiPriority w:val="99"/>
    <w:unhideWhenUsed/>
    <w:rsid w:val="00096A78"/>
    <w:rPr>
      <w:color w:val="919191" w:themeColor="followedHyperlink"/>
      <w:u w:val="single"/>
    </w:rPr>
  </w:style>
  <w:style w:type="paragraph" w:styleId="CommentText">
    <w:name w:val="annotation text"/>
    <w:basedOn w:val="Normal"/>
    <w:link w:val="CommentTextChar1"/>
    <w:unhideWhenUsed/>
    <w:rsid w:val="00096A78"/>
    <w:rPr>
      <w:szCs w:val="20"/>
    </w:rPr>
  </w:style>
  <w:style w:type="character" w:customStyle="1" w:styleId="CommentTextChar1">
    <w:name w:val="Comment Text Char1"/>
    <w:basedOn w:val="DefaultParagraphFont"/>
    <w:link w:val="CommentText"/>
    <w:uiPriority w:val="99"/>
    <w:rsid w:val="00096A78"/>
    <w:rPr>
      <w:rFonts w:ascii="Arial" w:hAnsi="Arial"/>
      <w:color w:val="7F7F7F" w:themeColor="text1" w:themeTint="80"/>
      <w:sz w:val="20"/>
      <w:szCs w:val="20"/>
    </w:rPr>
  </w:style>
  <w:style w:type="paragraph" w:styleId="CommentSubject">
    <w:name w:val="annotation subject"/>
    <w:basedOn w:val="CommentText"/>
    <w:next w:val="CommentText"/>
    <w:link w:val="CommentSubjectChar"/>
    <w:semiHidden/>
    <w:unhideWhenUsed/>
    <w:rsid w:val="00096A78"/>
    <w:rPr>
      <w:rFonts w:ascii="Calibri Light" w:eastAsia="Rockwell" w:hAnsi="Calibri Light" w:cs="Times New Roman"/>
      <w:b/>
      <w:bCs/>
      <w:color w:val="4D4D4D"/>
    </w:rPr>
  </w:style>
  <w:style w:type="character" w:customStyle="1" w:styleId="CommentSubjectChar1">
    <w:name w:val="Comment Subject Char1"/>
    <w:basedOn w:val="CommentTextChar1"/>
    <w:uiPriority w:val="99"/>
    <w:semiHidden/>
    <w:rsid w:val="00096A78"/>
    <w:rPr>
      <w:rFonts w:ascii="Arial" w:hAnsi="Arial"/>
      <w:b/>
      <w:bCs/>
      <w:color w:val="7F7F7F" w:themeColor="text1" w:themeTint="80"/>
      <w:sz w:val="20"/>
      <w:szCs w:val="20"/>
    </w:rPr>
  </w:style>
  <w:style w:type="paragraph" w:styleId="Revision">
    <w:name w:val="Revision"/>
    <w:hidden/>
    <w:rsid w:val="00096A78"/>
    <w:pPr>
      <w:spacing w:after="0"/>
    </w:pPr>
    <w:rPr>
      <w:rFonts w:ascii="Arial" w:hAnsi="Arial"/>
      <w:color w:val="7F7F7F" w:themeColor="text1" w:themeTint="80"/>
      <w:sz w:val="20"/>
    </w:rPr>
  </w:style>
  <w:style w:type="table" w:styleId="MediumGrid3-Accent1">
    <w:name w:val="Medium Grid 3 Accent 1"/>
    <w:basedOn w:val="TableNormal"/>
    <w:uiPriority w:val="69"/>
    <w:semiHidden/>
    <w:unhideWhenUsed/>
    <w:rsid w:val="00096A7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66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66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D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DAD" w:themeFill="accent1" w:themeFillTint="7F"/>
      </w:tcPr>
    </w:tblStylePr>
  </w:style>
  <w:style w:type="table" w:styleId="GridTable3-Accent3">
    <w:name w:val="Grid Table 3 Accent 3"/>
    <w:basedOn w:val="TableNormal"/>
    <w:uiPriority w:val="48"/>
    <w:rsid w:val="00096A78"/>
    <w:pPr>
      <w:spacing w:after="0"/>
    </w:p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1E6" w:themeFill="accent3" w:themeFillTint="33"/>
      </w:tcPr>
    </w:tblStylePr>
    <w:tblStylePr w:type="band1Horz">
      <w:tblPr/>
      <w:tcPr>
        <w:shd w:val="clear" w:color="auto" w:fill="E2F1E6" w:themeFill="accent3" w:themeFillTint="33"/>
      </w:tcPr>
    </w:tblStylePr>
    <w:tblStylePr w:type="neCell">
      <w:tblPr/>
      <w:tcPr>
        <w:tcBorders>
          <w:bottom w:val="single" w:sz="4" w:space="0" w:color="A9D5B5" w:themeColor="accent3" w:themeTint="99"/>
        </w:tcBorders>
      </w:tcPr>
    </w:tblStylePr>
    <w:tblStylePr w:type="nwCell">
      <w:tblPr/>
      <w:tcPr>
        <w:tcBorders>
          <w:bottom w:val="single" w:sz="4" w:space="0" w:color="A9D5B5" w:themeColor="accent3" w:themeTint="99"/>
        </w:tcBorders>
      </w:tcPr>
    </w:tblStylePr>
    <w:tblStylePr w:type="seCell">
      <w:tblPr/>
      <w:tcPr>
        <w:tcBorders>
          <w:top w:val="single" w:sz="4" w:space="0" w:color="A9D5B5" w:themeColor="accent3" w:themeTint="99"/>
        </w:tcBorders>
      </w:tcPr>
    </w:tblStylePr>
    <w:tblStylePr w:type="swCell">
      <w:tblPr/>
      <w:tcPr>
        <w:tcBorders>
          <w:top w:val="single" w:sz="4" w:space="0" w:color="A9D5B5" w:themeColor="accent3" w:themeTint="99"/>
        </w:tcBorders>
      </w:tcPr>
    </w:tblStylePr>
  </w:style>
  <w:style w:type="table" w:styleId="GridTable6Colorful-Accent3">
    <w:name w:val="Grid Table 6 Colorful Accent 3"/>
    <w:basedOn w:val="TableNormal"/>
    <w:uiPriority w:val="51"/>
    <w:rsid w:val="00096A78"/>
    <w:pPr>
      <w:spacing w:after="0"/>
    </w:pPr>
    <w:rPr>
      <w:color w:val="48965E" w:themeColor="accent3" w:themeShade="BF"/>
    </w:r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bottom w:val="single" w:sz="12" w:space="0" w:color="A9D5B5" w:themeColor="accent3" w:themeTint="99"/>
        </w:tcBorders>
      </w:tcPr>
    </w:tblStylePr>
    <w:tblStylePr w:type="lastRow">
      <w:rPr>
        <w:b/>
        <w:bCs/>
      </w:rPr>
      <w:tblPr/>
      <w:tcPr>
        <w:tcBorders>
          <w:top w:val="doub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customStyle="1" w:styleId="ListTable3-Accent24">
    <w:name w:val="List Table 3 - Accent 24"/>
    <w:basedOn w:val="TableNormal"/>
    <w:next w:val="ListTable3-Accent2"/>
    <w:uiPriority w:val="48"/>
    <w:rsid w:val="00B469F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5">
    <w:name w:val="List Table 3 - Accent 25"/>
    <w:basedOn w:val="TableNormal"/>
    <w:next w:val="ListTable3-Accent2"/>
    <w:uiPriority w:val="48"/>
    <w:rsid w:val="00D209D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TableofFigures">
    <w:name w:val="table of figures"/>
    <w:basedOn w:val="Normal"/>
    <w:next w:val="Normal"/>
    <w:uiPriority w:val="99"/>
    <w:unhideWhenUsed/>
    <w:rsid w:val="004D4509"/>
    <w:pPr>
      <w:spacing w:after="0"/>
    </w:pPr>
  </w:style>
  <w:style w:type="character" w:customStyle="1" w:styleId="TablebulletlistsChar">
    <w:name w:val="Table bullet lists Char"/>
    <w:basedOn w:val="VIRTBulletpointsChar"/>
    <w:link w:val="Tablebulletlists"/>
    <w:locked/>
    <w:rsid w:val="00A726C6"/>
    <w:rPr>
      <w:rFonts w:ascii="Calibri Light" w:hAnsi="Calibri Light" w:cs="Arial"/>
      <w:color w:val="4D4D4D" w:themeColor="accent6"/>
      <w:sz w:val="26"/>
      <w:szCs w:val="20"/>
    </w:rPr>
  </w:style>
  <w:style w:type="paragraph" w:customStyle="1" w:styleId="Tablebulletlists">
    <w:name w:val="Table bullet lists"/>
    <w:basedOn w:val="VIRTBulletpoints"/>
    <w:link w:val="TablebulletlistsChar"/>
    <w:rsid w:val="00A726C6"/>
    <w:pPr>
      <w:numPr>
        <w:numId w:val="1"/>
      </w:numPr>
      <w:spacing w:line="240" w:lineRule="auto"/>
    </w:pPr>
  </w:style>
  <w:style w:type="paragraph" w:customStyle="1" w:styleId="Textinthetable">
    <w:name w:val="Text in the table"/>
    <w:link w:val="TextinthetableChar"/>
    <w:qFormat/>
    <w:rsid w:val="0013051E"/>
    <w:pPr>
      <w:spacing w:after="0"/>
      <w:contextualSpacing/>
    </w:pPr>
    <w:rPr>
      <w:rFonts w:ascii="Calibri Light" w:eastAsia="Rockwell" w:hAnsi="Calibri Light" w:cs="Arial"/>
      <w:color w:val="4D4D4D" w:themeColor="accent6"/>
      <w:lang w:val="en-US"/>
    </w:rPr>
  </w:style>
  <w:style w:type="character" w:customStyle="1" w:styleId="Heading2-VIRTChar">
    <w:name w:val="Heading 2 - VIRT Char"/>
    <w:basedOn w:val="DefaultParagraphFont"/>
    <w:link w:val="Heading2-VIRT"/>
    <w:locked/>
    <w:rsid w:val="00CC3488"/>
    <w:rPr>
      <w:rFonts w:ascii="Times New Roman (Body CS)" w:hAnsi="Times New Roman (Body CS)" w:cs="Times New Roman (Body CS)"/>
      <w:noProof/>
      <w:color w:val="007449"/>
      <w:sz w:val="44"/>
      <w:szCs w:val="44"/>
      <w:lang w:val="en-US"/>
    </w:rPr>
  </w:style>
  <w:style w:type="character" w:customStyle="1" w:styleId="TextinthetableChar">
    <w:name w:val="Text in the table Char"/>
    <w:basedOn w:val="DefaultParagraphFont"/>
    <w:link w:val="Textinthetable"/>
    <w:rsid w:val="0013051E"/>
    <w:rPr>
      <w:rFonts w:ascii="Calibri Light" w:eastAsia="Rockwell" w:hAnsi="Calibri Light" w:cs="Arial"/>
      <w:color w:val="4D4D4D" w:themeColor="accent6"/>
      <w:lang w:val="en-US"/>
    </w:rPr>
  </w:style>
  <w:style w:type="paragraph" w:customStyle="1" w:styleId="Heading2-VIRT">
    <w:name w:val="Heading 2 - VIRT"/>
    <w:basedOn w:val="Normal"/>
    <w:link w:val="Heading2-VIRTChar"/>
    <w:autoRedefine/>
    <w:rsid w:val="00CC3488"/>
    <w:pPr>
      <w:keepNext/>
      <w:spacing w:before="120" w:after="360"/>
      <w:ind w:left="720" w:hanging="720"/>
      <w:outlineLvl w:val="1"/>
    </w:pPr>
    <w:rPr>
      <w:rFonts w:ascii="Times New Roman (Body CS)" w:hAnsi="Times New Roman (Body CS)" w:cs="Times New Roman (Body CS)"/>
      <w:noProof/>
      <w:color w:val="007449"/>
      <w:sz w:val="44"/>
      <w:szCs w:val="44"/>
      <w:lang w:val="en-US"/>
    </w:rPr>
  </w:style>
  <w:style w:type="paragraph" w:customStyle="1" w:styleId="Heading3-VIRT">
    <w:name w:val="Heading 3 - VIRT"/>
    <w:basedOn w:val="Normal"/>
    <w:autoRedefine/>
    <w:rsid w:val="00CC3488"/>
    <w:pPr>
      <w:spacing w:before="120" w:after="240"/>
      <w:outlineLvl w:val="2"/>
    </w:pPr>
    <w:rPr>
      <w:rFonts w:asciiTheme="minorHAnsi" w:hAnsiTheme="minorHAnsi" w:cs="Arial"/>
      <w:noProof/>
      <w:color w:val="0F6745" w:themeColor="accent2" w:themeShade="BF"/>
      <w:sz w:val="30"/>
      <w:lang w:val="en-US"/>
    </w:rPr>
  </w:style>
  <w:style w:type="character" w:styleId="PlaceholderText">
    <w:name w:val="Placeholder Text"/>
    <w:basedOn w:val="DefaultParagraphFont"/>
    <w:semiHidden/>
    <w:rsid w:val="002A44A1"/>
    <w:rPr>
      <w:color w:val="808080"/>
    </w:rPr>
  </w:style>
  <w:style w:type="character" w:styleId="UnresolvedMention">
    <w:name w:val="Unresolved Mention"/>
    <w:basedOn w:val="DefaultParagraphFont"/>
    <w:uiPriority w:val="99"/>
    <w:semiHidden/>
    <w:unhideWhenUsed/>
    <w:rsid w:val="006239F5"/>
    <w:rPr>
      <w:color w:val="605E5C"/>
      <w:shd w:val="clear" w:color="auto" w:fill="E1DFDD"/>
    </w:rPr>
  </w:style>
  <w:style w:type="paragraph" w:customStyle="1" w:styleId="DPCbody">
    <w:name w:val="DPC body"/>
    <w:qFormat/>
    <w:rsid w:val="0096695A"/>
    <w:pPr>
      <w:spacing w:after="160" w:line="300" w:lineRule="atLeast"/>
    </w:pPr>
    <w:rPr>
      <w:rFonts w:ascii="Calibri" w:eastAsia="Times" w:hAnsi="Calibri" w:cs="Arial"/>
      <w:color w:val="000000" w:themeColor="text1"/>
    </w:rPr>
  </w:style>
  <w:style w:type="paragraph" w:styleId="EndnoteText">
    <w:name w:val="endnote text"/>
    <w:basedOn w:val="Normal"/>
    <w:link w:val="EndnoteTextChar"/>
    <w:semiHidden/>
    <w:rsid w:val="0096695A"/>
    <w:pPr>
      <w:spacing w:after="0"/>
    </w:pPr>
    <w:rPr>
      <w:rFonts w:ascii="Calibri" w:hAnsi="Calibri" w:cs="Calibri"/>
      <w:color w:val="auto"/>
      <w:sz w:val="24"/>
      <w:szCs w:val="24"/>
    </w:rPr>
  </w:style>
  <w:style w:type="character" w:customStyle="1" w:styleId="EndnoteTextChar">
    <w:name w:val="Endnote Text Char"/>
    <w:basedOn w:val="DefaultParagraphFont"/>
    <w:link w:val="EndnoteText"/>
    <w:semiHidden/>
    <w:rsid w:val="0096695A"/>
    <w:rPr>
      <w:rFonts w:ascii="Calibri" w:hAnsi="Calibri" w:cs="Calibri"/>
      <w:sz w:val="24"/>
      <w:szCs w:val="24"/>
    </w:rPr>
  </w:style>
  <w:style w:type="character" w:styleId="EndnoteReference">
    <w:name w:val="endnote reference"/>
    <w:semiHidden/>
    <w:rsid w:val="0096695A"/>
    <w:rPr>
      <w:vertAlign w:val="superscript"/>
    </w:rPr>
  </w:style>
  <w:style w:type="paragraph" w:customStyle="1" w:styleId="DPCbodynospace">
    <w:name w:val="DPC body no space"/>
    <w:basedOn w:val="DPCbody"/>
    <w:uiPriority w:val="1"/>
    <w:rsid w:val="0096695A"/>
    <w:pPr>
      <w:spacing w:after="0"/>
    </w:pPr>
  </w:style>
  <w:style w:type="paragraph" w:customStyle="1" w:styleId="DPCbullet1">
    <w:name w:val="DPC bullet 1"/>
    <w:basedOn w:val="DPCbody"/>
    <w:qFormat/>
    <w:rsid w:val="0096695A"/>
    <w:pPr>
      <w:numPr>
        <w:numId w:val="4"/>
      </w:numPr>
      <w:spacing w:before="120" w:after="120" w:line="240" w:lineRule="auto"/>
    </w:pPr>
    <w:rPr>
      <w:rFonts w:ascii="Calibri Light" w:hAnsi="Calibri Light"/>
      <w:sz w:val="26"/>
    </w:rPr>
  </w:style>
  <w:style w:type="paragraph" w:styleId="DocumentMap">
    <w:name w:val="Document Map"/>
    <w:basedOn w:val="Normal"/>
    <w:link w:val="DocumentMapChar"/>
    <w:uiPriority w:val="99"/>
    <w:semiHidden/>
    <w:unhideWhenUsed/>
    <w:rsid w:val="0096695A"/>
    <w:pPr>
      <w:spacing w:after="0"/>
    </w:pPr>
    <w:rPr>
      <w:rFonts w:ascii="Lucida Grande" w:hAnsi="Lucida Grande" w:cs="Lucida Grande"/>
      <w:color w:val="auto"/>
      <w:sz w:val="24"/>
      <w:szCs w:val="24"/>
    </w:rPr>
  </w:style>
  <w:style w:type="character" w:customStyle="1" w:styleId="DocumentMapChar">
    <w:name w:val="Document Map Char"/>
    <w:basedOn w:val="DefaultParagraphFont"/>
    <w:link w:val="DocumentMap"/>
    <w:uiPriority w:val="99"/>
    <w:semiHidden/>
    <w:rsid w:val="0096695A"/>
    <w:rPr>
      <w:rFonts w:ascii="Lucida Grande" w:hAnsi="Lucida Grande" w:cs="Lucida Grande"/>
      <w:sz w:val="24"/>
      <w:szCs w:val="24"/>
    </w:rPr>
  </w:style>
  <w:style w:type="paragraph" w:customStyle="1" w:styleId="DPCtabletext">
    <w:name w:val="DPC table text"/>
    <w:uiPriority w:val="3"/>
    <w:rsid w:val="0096695A"/>
    <w:pPr>
      <w:spacing w:before="60" w:after="40"/>
    </w:pPr>
    <w:rPr>
      <w:rFonts w:eastAsia="Times New Roman" w:cs="Times New Roman"/>
      <w:color w:val="000000" w:themeColor="text1"/>
      <w:sz w:val="20"/>
      <w:szCs w:val="20"/>
    </w:rPr>
  </w:style>
  <w:style w:type="paragraph" w:customStyle="1" w:styleId="DPCtablecaption">
    <w:name w:val="DPC table caption"/>
    <w:next w:val="DPCbody"/>
    <w:uiPriority w:val="3"/>
    <w:rsid w:val="0096695A"/>
    <w:pPr>
      <w:keepNext/>
      <w:keepLines/>
      <w:spacing w:before="240" w:after="120" w:line="270" w:lineRule="exact"/>
    </w:pPr>
    <w:rPr>
      <w:rFonts w:asciiTheme="majorHAnsi" w:eastAsia="Times New Roman" w:hAnsiTheme="majorHAnsi" w:cs="Times New Roman"/>
      <w:b/>
      <w:color w:val="000000" w:themeColor="text1"/>
    </w:rPr>
  </w:style>
  <w:style w:type="paragraph" w:customStyle="1" w:styleId="DPCmainheading">
    <w:name w:val="DPC main heading"/>
    <w:uiPriority w:val="8"/>
    <w:rsid w:val="0096695A"/>
    <w:pPr>
      <w:spacing w:after="0" w:line="600" w:lineRule="atLeast"/>
    </w:pPr>
    <w:rPr>
      <w:rFonts w:asciiTheme="majorHAnsi" w:eastAsia="Times New Roman" w:hAnsiTheme="majorHAnsi" w:cs="Times New Roman"/>
      <w:color w:val="53565A"/>
      <w:sz w:val="50"/>
      <w:szCs w:val="50"/>
    </w:rPr>
  </w:style>
  <w:style w:type="paragraph" w:customStyle="1" w:styleId="DPCfigurecaption">
    <w:name w:val="DPC figure caption"/>
    <w:next w:val="DPCbody"/>
    <w:uiPriority w:val="8"/>
    <w:rsid w:val="0096695A"/>
    <w:pPr>
      <w:keepNext/>
      <w:keepLines/>
      <w:spacing w:before="240" w:after="120"/>
    </w:pPr>
    <w:rPr>
      <w:rFonts w:eastAsia="Times New Roman" w:cs="Times New Roman"/>
      <w:b/>
      <w:color w:val="000000" w:themeColor="text1"/>
    </w:rPr>
  </w:style>
  <w:style w:type="paragraph" w:customStyle="1" w:styleId="DPCbullet2">
    <w:name w:val="DPC bullet 2"/>
    <w:basedOn w:val="DPCbody"/>
    <w:uiPriority w:val="2"/>
    <w:qFormat/>
    <w:rsid w:val="0096695A"/>
    <w:pPr>
      <w:numPr>
        <w:ilvl w:val="1"/>
        <w:numId w:val="4"/>
      </w:numPr>
      <w:spacing w:after="60"/>
    </w:pPr>
  </w:style>
  <w:style w:type="paragraph" w:customStyle="1" w:styleId="DPCtablebullet">
    <w:name w:val="DPC table bullet"/>
    <w:basedOn w:val="DPCtabletext"/>
    <w:uiPriority w:val="3"/>
    <w:rsid w:val="0096695A"/>
    <w:pPr>
      <w:numPr>
        <w:numId w:val="9"/>
      </w:numPr>
    </w:pPr>
  </w:style>
  <w:style w:type="paragraph" w:customStyle="1" w:styleId="DPCtablecolhead">
    <w:name w:val="DPC table col head"/>
    <w:uiPriority w:val="3"/>
    <w:rsid w:val="0096695A"/>
    <w:pPr>
      <w:spacing w:before="80" w:after="60"/>
    </w:pPr>
    <w:rPr>
      <w:rFonts w:asciiTheme="majorHAnsi" w:eastAsia="Times New Roman" w:hAnsiTheme="majorHAnsi" w:cs="Times New Roman"/>
      <w:b/>
      <w:color w:val="53565A"/>
      <w:sz w:val="20"/>
      <w:szCs w:val="20"/>
    </w:rPr>
  </w:style>
  <w:style w:type="paragraph" w:customStyle="1" w:styleId="DPCmainsubheading">
    <w:name w:val="DPC main subheading"/>
    <w:uiPriority w:val="8"/>
    <w:rsid w:val="0096695A"/>
    <w:pPr>
      <w:spacing w:after="0"/>
    </w:pPr>
    <w:rPr>
      <w:rFonts w:asciiTheme="majorHAnsi" w:eastAsia="Times New Roman" w:hAnsiTheme="majorHAnsi" w:cs="Times New Roman"/>
      <w:color w:val="53565A"/>
      <w:sz w:val="36"/>
      <w:szCs w:val="36"/>
    </w:rPr>
  </w:style>
  <w:style w:type="paragraph" w:customStyle="1" w:styleId="Spacerparatopoffirstpage">
    <w:name w:val="Spacer para top of first page"/>
    <w:basedOn w:val="DPCbodynospace"/>
    <w:rsid w:val="0096695A"/>
  </w:style>
  <w:style w:type="paragraph" w:customStyle="1" w:styleId="DPCnumberdigit">
    <w:name w:val="DPC number digit"/>
    <w:basedOn w:val="DPCbody"/>
    <w:uiPriority w:val="4"/>
    <w:rsid w:val="0096695A"/>
    <w:pPr>
      <w:numPr>
        <w:numId w:val="5"/>
      </w:numPr>
    </w:pPr>
  </w:style>
  <w:style w:type="paragraph" w:customStyle="1" w:styleId="DPCnumberloweralphaindent">
    <w:name w:val="DPC number lower alpha indent"/>
    <w:basedOn w:val="DPCbody"/>
    <w:uiPriority w:val="3"/>
    <w:rsid w:val="0096695A"/>
    <w:pPr>
      <w:numPr>
        <w:ilvl w:val="1"/>
        <w:numId w:val="6"/>
      </w:numPr>
    </w:pPr>
    <w:rPr>
      <w:rFonts w:ascii="Arial" w:hAnsi="Arial"/>
    </w:rPr>
  </w:style>
  <w:style w:type="paragraph" w:customStyle="1" w:styleId="DPCnumberdigitindent">
    <w:name w:val="DPC number digit indent"/>
    <w:basedOn w:val="Normal"/>
    <w:uiPriority w:val="4"/>
    <w:rsid w:val="0096695A"/>
    <w:pPr>
      <w:numPr>
        <w:ilvl w:val="1"/>
        <w:numId w:val="5"/>
      </w:numPr>
      <w:spacing w:after="160" w:line="300" w:lineRule="atLeast"/>
    </w:pPr>
    <w:rPr>
      <w:rFonts w:asciiTheme="minorHAnsi" w:eastAsia="Times" w:hAnsiTheme="minorHAnsi" w:cs="Arial"/>
      <w:color w:val="000000" w:themeColor="text1"/>
      <w:sz w:val="22"/>
    </w:rPr>
  </w:style>
  <w:style w:type="paragraph" w:customStyle="1" w:styleId="DPCnumberloweralpha">
    <w:name w:val="DPC number lower alpha"/>
    <w:basedOn w:val="DPCbody"/>
    <w:uiPriority w:val="3"/>
    <w:rsid w:val="0096695A"/>
    <w:pPr>
      <w:numPr>
        <w:numId w:val="6"/>
      </w:numPr>
    </w:pPr>
    <w:rPr>
      <w:rFonts w:ascii="Arial" w:hAnsi="Arial"/>
    </w:rPr>
  </w:style>
  <w:style w:type="paragraph" w:customStyle="1" w:styleId="DPCnumberlowerroman">
    <w:name w:val="DPC number lower roman"/>
    <w:basedOn w:val="DPCbody"/>
    <w:uiPriority w:val="4"/>
    <w:rsid w:val="0096695A"/>
    <w:pPr>
      <w:numPr>
        <w:numId w:val="7"/>
      </w:numPr>
    </w:pPr>
  </w:style>
  <w:style w:type="paragraph" w:customStyle="1" w:styleId="DPCnumberlowerromanindent">
    <w:name w:val="DPC number lower roman indent"/>
    <w:basedOn w:val="DPCbody"/>
    <w:uiPriority w:val="4"/>
    <w:rsid w:val="0096695A"/>
    <w:pPr>
      <w:numPr>
        <w:ilvl w:val="1"/>
        <w:numId w:val="7"/>
      </w:numPr>
    </w:pPr>
  </w:style>
  <w:style w:type="paragraph" w:customStyle="1" w:styleId="DPCquote">
    <w:name w:val="DPC quote"/>
    <w:basedOn w:val="DPCbody"/>
    <w:uiPriority w:val="3"/>
    <w:rsid w:val="0096695A"/>
    <w:pPr>
      <w:ind w:left="397"/>
    </w:pPr>
    <w:rPr>
      <w:szCs w:val="18"/>
    </w:rPr>
  </w:style>
  <w:style w:type="paragraph" w:customStyle="1" w:styleId="DPCtablefigurefootnote">
    <w:name w:val="DPC table/figure footnote"/>
    <w:uiPriority w:val="4"/>
    <w:rsid w:val="0096695A"/>
    <w:pPr>
      <w:spacing w:before="60" w:after="60"/>
    </w:pPr>
    <w:rPr>
      <w:rFonts w:eastAsia="Times New Roman" w:cs="Times New Roman"/>
      <w:color w:val="000000" w:themeColor="text1"/>
      <w:sz w:val="18"/>
      <w:szCs w:val="18"/>
    </w:rPr>
  </w:style>
  <w:style w:type="paragraph" w:customStyle="1" w:styleId="DPCbodyaftertablefigure">
    <w:name w:val="DPC body after table/figure"/>
    <w:basedOn w:val="DPCbody"/>
    <w:uiPriority w:val="1"/>
    <w:rsid w:val="0096695A"/>
    <w:pPr>
      <w:spacing w:before="240"/>
    </w:pPr>
  </w:style>
  <w:style w:type="paragraph" w:customStyle="1" w:styleId="DPCfooter">
    <w:name w:val="DPC footer"/>
    <w:uiPriority w:val="11"/>
    <w:rsid w:val="0096695A"/>
    <w:pPr>
      <w:tabs>
        <w:tab w:val="right" w:pos="9923"/>
      </w:tabs>
      <w:spacing w:after="0"/>
    </w:pPr>
    <w:rPr>
      <w:rFonts w:eastAsia="Times New Roman" w:cs="Times New Roman"/>
    </w:rPr>
  </w:style>
  <w:style w:type="paragraph" w:customStyle="1" w:styleId="DPCaccessibilitypara">
    <w:name w:val="DPC accessibility para"/>
    <w:uiPriority w:val="11"/>
    <w:rsid w:val="0096695A"/>
    <w:pPr>
      <w:spacing w:before="80" w:after="160" w:line="320" w:lineRule="atLeast"/>
    </w:pPr>
    <w:rPr>
      <w:rFonts w:eastAsia="Times" w:cs="Times New Roman"/>
      <w:color w:val="000000" w:themeColor="text1"/>
      <w:sz w:val="26"/>
      <w:szCs w:val="26"/>
    </w:rPr>
  </w:style>
  <w:style w:type="paragraph" w:customStyle="1" w:styleId="DPCbodyafterbullets">
    <w:name w:val="DPC body after bullets"/>
    <w:basedOn w:val="DPCbody"/>
    <w:uiPriority w:val="11"/>
    <w:rsid w:val="0096695A"/>
    <w:pPr>
      <w:spacing w:before="160"/>
    </w:pPr>
  </w:style>
  <w:style w:type="paragraph" w:customStyle="1" w:styleId="DPCbulletafternumbers1">
    <w:name w:val="DPC bullet after numbers 1"/>
    <w:basedOn w:val="DPCbody"/>
    <w:rsid w:val="0096695A"/>
    <w:pPr>
      <w:numPr>
        <w:ilvl w:val="2"/>
        <w:numId w:val="5"/>
      </w:numPr>
    </w:pPr>
  </w:style>
  <w:style w:type="paragraph" w:customStyle="1" w:styleId="DPCbulletafternumbers2">
    <w:name w:val="DPC bullet after numbers 2"/>
    <w:basedOn w:val="DPCbody"/>
    <w:rsid w:val="0096695A"/>
    <w:pPr>
      <w:numPr>
        <w:ilvl w:val="3"/>
        <w:numId w:val="5"/>
      </w:numPr>
    </w:pPr>
  </w:style>
  <w:style w:type="paragraph" w:customStyle="1" w:styleId="DPCquotebullet">
    <w:name w:val="DPC quote bullet"/>
    <w:basedOn w:val="DPCquote"/>
    <w:rsid w:val="0096695A"/>
    <w:pPr>
      <w:numPr>
        <w:numId w:val="8"/>
      </w:numPr>
    </w:pPr>
  </w:style>
  <w:style w:type="numbering" w:customStyle="1" w:styleId="ZZBullets">
    <w:name w:val="ZZ Bullets"/>
    <w:rsid w:val="0096695A"/>
  </w:style>
  <w:style w:type="numbering" w:customStyle="1" w:styleId="ZZNumbersloweralpha">
    <w:name w:val="ZZ Numbers lower alpha"/>
    <w:basedOn w:val="NoList"/>
    <w:rsid w:val="0096695A"/>
    <w:pPr>
      <w:numPr>
        <w:numId w:val="6"/>
      </w:numPr>
    </w:pPr>
  </w:style>
  <w:style w:type="numbering" w:customStyle="1" w:styleId="ZZNumberslowerroman">
    <w:name w:val="ZZ Numbers lower roman"/>
    <w:basedOn w:val="NoList"/>
    <w:uiPriority w:val="99"/>
    <w:rsid w:val="0096695A"/>
    <w:pPr>
      <w:numPr>
        <w:numId w:val="7"/>
      </w:numPr>
    </w:pPr>
  </w:style>
  <w:style w:type="numbering" w:customStyle="1" w:styleId="ZZQuotebullets">
    <w:name w:val="ZZ Quote bullets"/>
    <w:basedOn w:val="NoList"/>
    <w:uiPriority w:val="99"/>
    <w:rsid w:val="0096695A"/>
    <w:pPr>
      <w:numPr>
        <w:numId w:val="8"/>
      </w:numPr>
    </w:pPr>
  </w:style>
  <w:style w:type="numbering" w:customStyle="1" w:styleId="ZZTablebullets">
    <w:name w:val="ZZ Table bullets"/>
    <w:basedOn w:val="ZZBullets"/>
    <w:uiPriority w:val="99"/>
    <w:rsid w:val="0096695A"/>
    <w:pPr>
      <w:numPr>
        <w:numId w:val="9"/>
      </w:numPr>
    </w:pPr>
  </w:style>
  <w:style w:type="paragraph" w:customStyle="1" w:styleId="DPCtabletext6pt">
    <w:name w:val="DPC table text + 6pt"/>
    <w:basedOn w:val="DPCtabletext"/>
    <w:uiPriority w:val="11"/>
    <w:rsid w:val="0096695A"/>
    <w:pPr>
      <w:spacing w:after="120"/>
    </w:pPr>
  </w:style>
  <w:style w:type="table" w:styleId="ListTable6Colorful-Accent3">
    <w:name w:val="List Table 6 Colorful Accent 3"/>
    <w:basedOn w:val="TableNormal"/>
    <w:uiPriority w:val="51"/>
    <w:rsid w:val="0096695A"/>
    <w:pPr>
      <w:spacing w:after="0"/>
    </w:pPr>
    <w:rPr>
      <w:rFonts w:ascii="Times New Roman" w:eastAsia="Times New Roman" w:hAnsi="Times New Roman" w:cs="Times New Roman"/>
      <w:color w:val="48965E" w:themeColor="accent3" w:themeShade="BF"/>
      <w:sz w:val="20"/>
      <w:szCs w:val="20"/>
      <w:lang w:eastAsia="en-AU"/>
    </w:rPr>
    <w:tblPr>
      <w:tblStyleRowBandSize w:val="1"/>
      <w:tblStyleColBandSize w:val="1"/>
      <w:tblBorders>
        <w:top w:val="single" w:sz="4" w:space="0" w:color="70BA85" w:themeColor="accent3"/>
        <w:bottom w:val="single" w:sz="4" w:space="0" w:color="70BA85" w:themeColor="accent3"/>
      </w:tblBorders>
    </w:tblPr>
    <w:tblStylePr w:type="firstRow">
      <w:rPr>
        <w:b/>
        <w:bCs/>
      </w:rPr>
      <w:tblPr/>
      <w:tcPr>
        <w:tcBorders>
          <w:bottom w:val="single" w:sz="4" w:space="0" w:color="70BA85" w:themeColor="accent3"/>
        </w:tcBorders>
      </w:tcPr>
    </w:tblStylePr>
    <w:tblStylePr w:type="lastRow">
      <w:rPr>
        <w:b/>
        <w:bCs/>
      </w:rPr>
      <w:tblPr/>
      <w:tcPr>
        <w:tcBorders>
          <w:top w:val="double" w:sz="4" w:space="0" w:color="70BA85" w:themeColor="accent3"/>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ListTable3-Accent6">
    <w:name w:val="List Table 3 Accent 6"/>
    <w:basedOn w:val="TableNormal"/>
    <w:uiPriority w:val="48"/>
    <w:rsid w:val="0096695A"/>
    <w:pPr>
      <w:spacing w:after="0"/>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Sourcefortablesfigures">
    <w:name w:val="Source for tables/figures"/>
    <w:basedOn w:val="Sourcesfortablesfigures"/>
    <w:link w:val="SourcefortablesfiguresChar"/>
    <w:autoRedefine/>
    <w:qFormat/>
    <w:rsid w:val="00020206"/>
    <w:rPr>
      <w:rFonts w:cs="Calibri Light"/>
      <w:noProof/>
      <w:spacing w:val="20"/>
      <w:lang w:val="en-US"/>
    </w:rPr>
  </w:style>
  <w:style w:type="character" w:customStyle="1" w:styleId="SourcefortablesfiguresChar">
    <w:name w:val="Source for tables/figures Char"/>
    <w:basedOn w:val="SourcesfortablesfiguresChar"/>
    <w:link w:val="Sourcefortablesfigures"/>
    <w:rsid w:val="00020206"/>
    <w:rPr>
      <w:rFonts w:ascii="Calibri Light" w:eastAsia="Rockwell" w:hAnsi="Calibri Light" w:cs="Calibri Light"/>
      <w:bCs w:val="0"/>
      <w:noProof/>
      <w:color w:val="4D4D4D" w:themeColor="accent6"/>
      <w:spacing w:val="20"/>
      <w:sz w:val="18"/>
      <w:szCs w:val="20"/>
      <w:lang w:val="en-US"/>
    </w:rPr>
  </w:style>
  <w:style w:type="paragraph" w:customStyle="1" w:styleId="VIRTheading1">
    <w:name w:val="VIRT heading 1"/>
    <w:basedOn w:val="VIRTHeading2"/>
    <w:link w:val="VIRTheading1Char"/>
    <w:rsid w:val="00321A3D"/>
    <w:pPr>
      <w:spacing w:after="720"/>
      <w:ind w:left="720" w:hanging="720"/>
    </w:pPr>
    <w:rPr>
      <w:rFonts w:ascii="Rockwell" w:hAnsi="Rockwell"/>
      <w:sz w:val="56"/>
      <w:szCs w:val="72"/>
    </w:rPr>
  </w:style>
  <w:style w:type="character" w:customStyle="1" w:styleId="VIRTheading1Char">
    <w:name w:val="VIRT heading 1 Char"/>
    <w:basedOn w:val="VIRTHeading2Char"/>
    <w:link w:val="VIRTheading1"/>
    <w:rsid w:val="00321A3D"/>
    <w:rPr>
      <w:rFonts w:ascii="Rockwell" w:hAnsi="Rockwell" w:cs="Times New Roman (Body CS)"/>
      <w:noProof/>
      <w:color w:val="007449"/>
      <w:sz w:val="56"/>
      <w:szCs w:val="72"/>
      <w:lang w:val="en-US"/>
    </w:rPr>
  </w:style>
  <w:style w:type="paragraph" w:customStyle="1" w:styleId="DPCreporttitle">
    <w:name w:val="DPC report title"/>
    <w:uiPriority w:val="4"/>
    <w:rsid w:val="00C70E2A"/>
    <w:pPr>
      <w:keepLines/>
      <w:spacing w:after="240" w:line="276" w:lineRule="auto"/>
    </w:pPr>
    <w:rPr>
      <w:rFonts w:asciiTheme="majorHAnsi" w:eastAsiaTheme="minorEastAsia" w:hAnsiTheme="majorHAnsi"/>
      <w:bCs/>
      <w:color w:val="53565A"/>
      <w:sz w:val="64"/>
      <w:szCs w:val="64"/>
    </w:rPr>
  </w:style>
  <w:style w:type="paragraph" w:customStyle="1" w:styleId="DPCreportsubtitle">
    <w:name w:val="DPC report subtitle"/>
    <w:uiPriority w:val="4"/>
    <w:rsid w:val="00C70E2A"/>
    <w:pPr>
      <w:spacing w:after="120" w:line="276" w:lineRule="auto"/>
    </w:pPr>
    <w:rPr>
      <w:rFonts w:asciiTheme="majorHAnsi" w:eastAsiaTheme="minorEastAsia" w:hAnsiTheme="majorHAnsi"/>
      <w:bCs/>
      <w:color w:val="53565A"/>
      <w:sz w:val="40"/>
      <w:szCs w:val="40"/>
    </w:rPr>
  </w:style>
  <w:style w:type="paragraph" w:customStyle="1" w:styleId="DPCTOCheadingreport">
    <w:name w:val="DPC TOC heading report"/>
    <w:basedOn w:val="Heading1"/>
    <w:link w:val="DPCTOCheadingreportChar"/>
    <w:uiPriority w:val="5"/>
    <w:rsid w:val="00C70E2A"/>
    <w:pPr>
      <w:pageBreakBefore/>
      <w:spacing w:before="480" w:line="276" w:lineRule="auto"/>
      <w:jc w:val="both"/>
      <w:outlineLvl w:val="9"/>
    </w:pPr>
    <w:rPr>
      <w:rFonts w:asciiTheme="majorHAnsi" w:hAnsiTheme="majorHAnsi" w:cstheme="majorBidi"/>
      <w:b/>
      <w:color w:val="1C4C3A" w:themeColor="accent1" w:themeShade="BF"/>
      <w:spacing w:val="0"/>
      <w:sz w:val="28"/>
      <w:lang w:eastAsia="en-AU"/>
    </w:rPr>
  </w:style>
  <w:style w:type="character" w:customStyle="1" w:styleId="DPCTOCheadingreportChar">
    <w:name w:val="DPC TOC heading report Char"/>
    <w:link w:val="DPCTOCheadingreport"/>
    <w:uiPriority w:val="5"/>
    <w:rsid w:val="00C70E2A"/>
    <w:rPr>
      <w:rFonts w:asciiTheme="majorHAnsi" w:eastAsiaTheme="majorEastAsia" w:hAnsiTheme="majorHAnsi" w:cstheme="majorBidi"/>
      <w:b/>
      <w:bCs/>
      <w:color w:val="1C4C3A" w:themeColor="accent1" w:themeShade="BF"/>
      <w:sz w:val="28"/>
      <w:szCs w:val="28"/>
      <w:lang w:eastAsia="en-AU"/>
    </w:rPr>
  </w:style>
  <w:style w:type="paragraph" w:customStyle="1" w:styleId="TableParagraph">
    <w:name w:val="Table Paragraph"/>
    <w:basedOn w:val="Normal"/>
    <w:uiPriority w:val="1"/>
    <w:rsid w:val="00C70E2A"/>
    <w:pPr>
      <w:widowControl w:val="0"/>
      <w:spacing w:before="180" w:after="200" w:line="276" w:lineRule="auto"/>
      <w:jc w:val="both"/>
    </w:pPr>
    <w:rPr>
      <w:rFonts w:asciiTheme="minorHAnsi" w:hAnsiTheme="minorHAnsi"/>
      <w:color w:val="auto"/>
      <w:spacing w:val="-6"/>
      <w:sz w:val="26"/>
      <w:lang w:val="en-US" w:eastAsia="en-AU"/>
    </w:rPr>
  </w:style>
  <w:style w:type="paragraph" w:styleId="NormalWeb">
    <w:name w:val="Normal (Web)"/>
    <w:basedOn w:val="Normal"/>
    <w:uiPriority w:val="99"/>
    <w:semiHidden/>
    <w:unhideWhenUsed/>
    <w:rsid w:val="00C70E2A"/>
    <w:pPr>
      <w:spacing w:before="100" w:beforeAutospacing="1" w:after="100" w:afterAutospacing="1" w:line="276" w:lineRule="auto"/>
      <w:jc w:val="both"/>
    </w:pPr>
    <w:rPr>
      <w:rFonts w:ascii="Times New Roman" w:eastAsiaTheme="minorEastAsia" w:hAnsi="Times New Roman"/>
      <w:color w:val="auto"/>
      <w:spacing w:val="-6"/>
      <w:sz w:val="24"/>
      <w:szCs w:val="24"/>
      <w:lang w:eastAsia="en-AU"/>
    </w:rPr>
  </w:style>
  <w:style w:type="table" w:styleId="ListTable1Light-Accent3">
    <w:name w:val="List Table 1 Light Accent 3"/>
    <w:basedOn w:val="TableNormal"/>
    <w:uiPriority w:val="46"/>
    <w:rsid w:val="00C70E2A"/>
    <w:pPr>
      <w:spacing w:after="0" w:line="360" w:lineRule="auto"/>
    </w:pPr>
    <w:tblPr>
      <w:tblStyleRowBandSize w:val="1"/>
      <w:tblStyleColBandSize w:val="1"/>
    </w:tblPr>
    <w:tblStylePr w:type="firstRow">
      <w:rPr>
        <w:b/>
        <w:bCs/>
      </w:rPr>
      <w:tblPr/>
      <w:tcPr>
        <w:tcBorders>
          <w:bottom w:val="single" w:sz="4" w:space="0" w:color="A9D5B5" w:themeColor="accent3" w:themeTint="99"/>
        </w:tcBorders>
      </w:tcPr>
    </w:tblStylePr>
    <w:tblStylePr w:type="lastRow">
      <w:rPr>
        <w:b/>
        <w:bCs/>
      </w:rPr>
      <w:tblPr/>
      <w:tcPr>
        <w:tcBorders>
          <w:top w:val="sing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GridTable5Dark-Accent2">
    <w:name w:val="Grid Table 5 Dark Accent 2"/>
    <w:basedOn w:val="TableNormal"/>
    <w:uiPriority w:val="50"/>
    <w:rsid w:val="00C70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8A5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8A5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8A5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8A5D" w:themeFill="accent2"/>
      </w:tcPr>
    </w:tblStylePr>
    <w:tblStylePr w:type="band1Vert">
      <w:tblPr/>
      <w:tcPr>
        <w:shd w:val="clear" w:color="auto" w:fill="83EDC4" w:themeFill="accent2" w:themeFillTint="66"/>
      </w:tcPr>
    </w:tblStylePr>
    <w:tblStylePr w:type="band1Horz">
      <w:tblPr/>
      <w:tcPr>
        <w:shd w:val="clear" w:color="auto" w:fill="83EDC4" w:themeFill="accent2" w:themeFillTint="66"/>
      </w:tcPr>
    </w:tblStylePr>
  </w:style>
  <w:style w:type="table" w:customStyle="1" w:styleId="VIRTtable">
    <w:name w:val="VIRT table"/>
    <w:basedOn w:val="VIRTTablestyle1"/>
    <w:uiPriority w:val="99"/>
    <w:rsid w:val="00161978"/>
    <w:rPr>
      <w:rFonts w:ascii="Calibri Light" w:hAnsi="Calibri Light"/>
      <w:color w:val="4D4D4D" w:themeColor="accent6"/>
      <w:sz w:val="22"/>
    </w:rPr>
    <w:tblPr>
      <w:tblStyleColBandSize w:val="1"/>
      <w:tblBorders>
        <w:top w:val="single" w:sz="4" w:space="0" w:color="148A5D" w:themeColor="accent2"/>
        <w:bottom w:val="single" w:sz="4" w:space="0" w:color="148A5D" w:themeColor="accent2"/>
        <w:insideH w:val="single" w:sz="4" w:space="0" w:color="148A5D" w:themeColor="accent2"/>
      </w:tblBorders>
    </w:tblPr>
    <w:tcPr>
      <w:shd w:val="clear" w:color="auto" w:fill="auto"/>
    </w:tcPr>
    <w:tblStylePr w:type="firstRow">
      <w:pPr>
        <w:wordWrap/>
        <w:spacing w:line="240" w:lineRule="auto"/>
        <w:jc w:val="left"/>
      </w:pPr>
      <w:rPr>
        <w:rFonts w:ascii="Calibri Light" w:hAnsi="Calibri Light" w:cs="Arial" w:hint="default"/>
        <w:b/>
        <w:color w:val="FFFFFF" w:themeColor="background1"/>
        <w:sz w:val="22"/>
      </w:rPr>
      <w:tblPr/>
      <w:tcPr>
        <w:tcBorders>
          <w:top w:val="nil"/>
          <w:left w:val="nil"/>
          <w:bottom w:val="nil"/>
          <w:right w:val="nil"/>
          <w:insideH w:val="nil"/>
          <w:insideV w:val="nil"/>
          <w:tl2br w:val="nil"/>
          <w:tr2bl w:val="nil"/>
        </w:tcBorders>
        <w:shd w:val="clear" w:color="auto" w:fill="148A5D" w:themeFill="accent2"/>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errow">
    <w:name w:val="Table header row"/>
    <w:link w:val="TableheaderrowChar"/>
    <w:qFormat/>
    <w:rsid w:val="0040657F"/>
    <w:pPr>
      <w:spacing w:after="0"/>
      <w:jc w:val="center"/>
    </w:pPr>
    <w:rPr>
      <w:rFonts w:ascii="Calibri Light" w:eastAsia="Rockwell" w:hAnsi="Calibri Light" w:cs="Arial"/>
      <w:b/>
      <w:bCs/>
      <w:color w:val="FFFFFF" w:themeColor="background1"/>
    </w:rPr>
  </w:style>
  <w:style w:type="character" w:customStyle="1" w:styleId="TableheaderrowChar">
    <w:name w:val="Table header row Char"/>
    <w:basedOn w:val="DefaultParagraphFont"/>
    <w:link w:val="Tableheaderrow"/>
    <w:rsid w:val="0040657F"/>
    <w:rPr>
      <w:rFonts w:ascii="Calibri Light" w:eastAsia="Rockwell" w:hAnsi="Calibri Light" w:cs="Arial"/>
      <w:b/>
      <w:bCs/>
      <w:color w:val="FFFFFF" w:themeColor="background1"/>
    </w:rPr>
  </w:style>
  <w:style w:type="table" w:customStyle="1" w:styleId="ListTable3-Accent211">
    <w:name w:val="List Table 3 - Accent 211"/>
    <w:basedOn w:val="TableNormal"/>
    <w:next w:val="ListTable3-Accent2"/>
    <w:uiPriority w:val="48"/>
    <w:rsid w:val="001B279F"/>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FootnoteTextChar1">
    <w:name w:val="Footnote Text Char1"/>
    <w:basedOn w:val="DefaultParagraphFont"/>
    <w:uiPriority w:val="99"/>
    <w:rsid w:val="002D459C"/>
    <w:rPr>
      <w:sz w:val="20"/>
      <w:szCs w:val="20"/>
    </w:rPr>
  </w:style>
  <w:style w:type="paragraph" w:customStyle="1" w:styleId="Parapraphbeforeabulletlist">
    <w:name w:val="Parapraph before a bullet list"/>
    <w:basedOn w:val="Paragraph"/>
    <w:link w:val="ParapraphbeforeabulletlistChar"/>
    <w:autoRedefine/>
    <w:rsid w:val="005C3030"/>
    <w:pPr>
      <w:spacing w:before="240" w:after="0"/>
    </w:pPr>
    <w:rPr>
      <w:rFonts w:cs="Times New Roman (Body CS)"/>
      <w:bCs/>
      <w:szCs w:val="44"/>
    </w:rPr>
  </w:style>
  <w:style w:type="character" w:customStyle="1" w:styleId="ParapraphbeforeabulletlistChar">
    <w:name w:val="Parapraph before a bullet list Char"/>
    <w:basedOn w:val="DefaultParagraphFont"/>
    <w:link w:val="Parapraphbeforeabulletlist"/>
    <w:rsid w:val="005C3030"/>
    <w:rPr>
      <w:rFonts w:ascii="Calibri Light" w:hAnsi="Calibri Light" w:cs="Times New Roman (Body CS)"/>
      <w:color w:val="4D4D4D" w:themeColor="accent6"/>
      <w:sz w:val="26"/>
      <w:szCs w:val="44"/>
    </w:rPr>
  </w:style>
  <w:style w:type="paragraph" w:customStyle="1" w:styleId="Bulletsinatable">
    <w:name w:val="Bullets in a table"/>
    <w:link w:val="BulletsinatableChar"/>
    <w:autoRedefine/>
    <w:qFormat/>
    <w:rsid w:val="00452A54"/>
    <w:pPr>
      <w:spacing w:after="0"/>
      <w:ind w:left="357" w:hanging="357"/>
    </w:pPr>
    <w:rPr>
      <w:rFonts w:ascii="Calibri Light" w:hAnsi="Calibri Light" w:cs="Arial"/>
      <w:bCs/>
      <w:color w:val="4D4D4D" w:themeColor="accent6"/>
      <w:szCs w:val="20"/>
    </w:rPr>
  </w:style>
  <w:style w:type="character" w:customStyle="1" w:styleId="BulletsinatableChar">
    <w:name w:val="Bullets in a table Char"/>
    <w:basedOn w:val="DefaultParagraphFont"/>
    <w:link w:val="Bulletsinatable"/>
    <w:rsid w:val="00452A54"/>
    <w:rPr>
      <w:rFonts w:ascii="Calibri Light" w:hAnsi="Calibri Light" w:cs="Arial"/>
      <w:bCs/>
      <w:color w:val="4D4D4D" w:themeColor="accent6"/>
      <w:szCs w:val="20"/>
    </w:rPr>
  </w:style>
  <w:style w:type="paragraph" w:customStyle="1" w:styleId="VIRTheading40">
    <w:name w:val="VIRT heading 4"/>
    <w:link w:val="VIRTheading4Char0"/>
    <w:qFormat/>
    <w:rsid w:val="00FE02B8"/>
    <w:pPr>
      <w:keepNext/>
      <w:spacing w:before="120" w:after="120"/>
    </w:pPr>
    <w:rPr>
      <w:rFonts w:ascii="Calibri Light" w:hAnsi="Calibri Light" w:cs="Arial"/>
      <w:b/>
      <w:color w:val="148A5D" w:themeColor="accent2"/>
      <w:sz w:val="26"/>
      <w:szCs w:val="20"/>
    </w:rPr>
  </w:style>
  <w:style w:type="character" w:customStyle="1" w:styleId="VIRTheading4Char0">
    <w:name w:val="VIRT heading 4 Char"/>
    <w:basedOn w:val="DefaultParagraphFont"/>
    <w:link w:val="VIRTheading40"/>
    <w:rsid w:val="00FE02B8"/>
    <w:rPr>
      <w:rFonts w:ascii="Calibri Light" w:hAnsi="Calibri Light" w:cs="Arial"/>
      <w:b/>
      <w:color w:val="148A5D" w:themeColor="accent2"/>
      <w:sz w:val="26"/>
      <w:szCs w:val="20"/>
    </w:rPr>
  </w:style>
  <w:style w:type="character" w:customStyle="1" w:styleId="ChapterheadingChar">
    <w:name w:val="Chapter heading Char"/>
    <w:basedOn w:val="VIRTHeading2Char"/>
    <w:link w:val="Chapterheading"/>
    <w:rsid w:val="002C77F0"/>
    <w:rPr>
      <w:rFonts w:ascii="Rockwell" w:hAnsi="Rockwell" w:cs="Times New Roman (Body CS)"/>
      <w:noProof/>
      <w:color w:val="007449"/>
      <w:sz w:val="44"/>
      <w:szCs w:val="72"/>
      <w:lang w:val="en-US"/>
    </w:rPr>
  </w:style>
  <w:style w:type="paragraph" w:customStyle="1" w:styleId="Reportheading">
    <w:name w:val="Report heading"/>
    <w:basedOn w:val="Chapterheading"/>
    <w:link w:val="ReportheadingChar"/>
    <w:autoRedefine/>
    <w:rsid w:val="00452A54"/>
    <w:pPr>
      <w:keepNext w:val="0"/>
      <w:ind w:left="0" w:firstLine="0"/>
    </w:pPr>
    <w:rPr>
      <w:color w:val="FFFFFF" w:themeColor="background1"/>
      <w:spacing w:val="-6"/>
      <w:sz w:val="72"/>
    </w:rPr>
  </w:style>
  <w:style w:type="character" w:customStyle="1" w:styleId="ReportheadingChar">
    <w:name w:val="Report heading Char"/>
    <w:basedOn w:val="ChapterheadingChar"/>
    <w:link w:val="Reportheading"/>
    <w:rsid w:val="00452A54"/>
    <w:rPr>
      <w:rFonts w:ascii="Rockwell" w:hAnsi="Rockwell" w:cs="Times New Roman (Body CS)"/>
      <w:noProof/>
      <w:color w:val="FFFFFF" w:themeColor="background1"/>
      <w:spacing w:val="-6"/>
      <w:sz w:val="72"/>
      <w:szCs w:val="72"/>
      <w:lang w:val="en-US"/>
    </w:rPr>
  </w:style>
  <w:style w:type="paragraph" w:customStyle="1" w:styleId="Reportsubheading">
    <w:name w:val="Report subheading"/>
    <w:link w:val="ReportsubheadingChar"/>
    <w:autoRedefine/>
    <w:rsid w:val="00452A54"/>
    <w:pPr>
      <w:spacing w:after="160" w:line="259" w:lineRule="auto"/>
    </w:pPr>
    <w:rPr>
      <w:rFonts w:ascii="Rockwell" w:hAnsi="Rockwell" w:cs="Times New Roman (Body CS)"/>
      <w:color w:val="FFFFFF" w:themeColor="background1"/>
      <w:spacing w:val="-6"/>
      <w:sz w:val="44"/>
      <w:szCs w:val="72"/>
    </w:rPr>
  </w:style>
  <w:style w:type="character" w:customStyle="1" w:styleId="ReportsubheadingChar">
    <w:name w:val="Report subheading Char"/>
    <w:basedOn w:val="DefaultParagraphFont"/>
    <w:link w:val="Reportsubheading"/>
    <w:rsid w:val="00452A54"/>
    <w:rPr>
      <w:rFonts w:ascii="Rockwell" w:hAnsi="Rockwell" w:cs="Times New Roman (Body CS)"/>
      <w:color w:val="FFFFFF" w:themeColor="background1"/>
      <w:spacing w:val="-6"/>
      <w:sz w:val="44"/>
      <w:szCs w:val="72"/>
    </w:rPr>
  </w:style>
  <w:style w:type="paragraph" w:customStyle="1" w:styleId="Heading11">
    <w:name w:val="Heading 11"/>
    <w:basedOn w:val="Normal"/>
    <w:next w:val="Normal"/>
    <w:uiPriority w:val="9"/>
    <w:rsid w:val="00452A54"/>
    <w:pPr>
      <w:keepNext/>
      <w:keepLines/>
      <w:spacing w:before="360" w:after="0"/>
      <w:outlineLvl w:val="0"/>
    </w:pPr>
    <w:rPr>
      <w:rFonts w:ascii="Tahoma" w:eastAsia="HGPGothicE" w:hAnsi="Tahoma" w:cs="Times New Roman (Headings CS)"/>
      <w:bCs/>
      <w:color w:val="595959"/>
      <w:spacing w:val="20"/>
      <w:sz w:val="48"/>
      <w:szCs w:val="28"/>
    </w:rPr>
  </w:style>
  <w:style w:type="paragraph" w:customStyle="1" w:styleId="Heading21">
    <w:name w:val="Heading 21"/>
    <w:basedOn w:val="Normal"/>
    <w:next w:val="Normal"/>
    <w:uiPriority w:val="9"/>
    <w:unhideWhenUsed/>
    <w:rsid w:val="00452A54"/>
    <w:pPr>
      <w:keepNext/>
      <w:keepLines/>
      <w:spacing w:before="120" w:after="0"/>
      <w:outlineLvl w:val="1"/>
    </w:pPr>
    <w:rPr>
      <w:rFonts w:eastAsia="HGPGothicE" w:cs="Arial"/>
      <w:b/>
      <w:bCs/>
      <w:color w:val="26664E"/>
      <w:sz w:val="28"/>
      <w:szCs w:val="26"/>
    </w:rPr>
  </w:style>
  <w:style w:type="paragraph" w:customStyle="1" w:styleId="Heading31">
    <w:name w:val="Heading 31"/>
    <w:basedOn w:val="Normal"/>
    <w:next w:val="Normal"/>
    <w:uiPriority w:val="9"/>
    <w:unhideWhenUsed/>
    <w:rsid w:val="00452A54"/>
    <w:pPr>
      <w:keepNext/>
      <w:keepLines/>
      <w:spacing w:before="20" w:after="0"/>
      <w:outlineLvl w:val="2"/>
    </w:pPr>
    <w:rPr>
      <w:rFonts w:ascii="Tw Cen MT" w:eastAsia="HGPGothicE" w:hAnsi="Tw Cen MT" w:cs="Arial"/>
      <w:bCs/>
      <w:color w:val="000000"/>
      <w:spacing w:val="14"/>
      <w:sz w:val="24"/>
    </w:rPr>
  </w:style>
  <w:style w:type="paragraph" w:customStyle="1" w:styleId="Heading41">
    <w:name w:val="Heading 41"/>
    <w:basedOn w:val="Normal"/>
    <w:next w:val="Normal"/>
    <w:uiPriority w:val="9"/>
    <w:unhideWhenUsed/>
    <w:rsid w:val="00452A54"/>
    <w:pPr>
      <w:keepNext/>
      <w:keepLines/>
      <w:spacing w:before="200" w:after="0"/>
      <w:outlineLvl w:val="3"/>
    </w:pPr>
    <w:rPr>
      <w:rFonts w:eastAsia="HGPGothicE" w:cs="Arial"/>
      <w:b/>
      <w:bCs/>
      <w:i/>
      <w:iCs/>
      <w:color w:val="000000"/>
      <w:sz w:val="24"/>
    </w:rPr>
  </w:style>
  <w:style w:type="paragraph" w:customStyle="1" w:styleId="Heading51">
    <w:name w:val="Heading 51"/>
    <w:basedOn w:val="Normal"/>
    <w:next w:val="Normal"/>
    <w:uiPriority w:val="9"/>
    <w:unhideWhenUsed/>
    <w:rsid w:val="00452A54"/>
    <w:pPr>
      <w:keepNext/>
      <w:keepLines/>
      <w:spacing w:before="200" w:after="0"/>
      <w:outlineLvl w:val="4"/>
    </w:pPr>
    <w:rPr>
      <w:rFonts w:ascii="Tw Cen MT" w:eastAsia="HGPGothicE" w:hAnsi="Tw Cen MT" w:cs="Arial"/>
      <w:color w:val="000000"/>
      <w:sz w:val="22"/>
    </w:rPr>
  </w:style>
  <w:style w:type="paragraph" w:customStyle="1" w:styleId="Heading61">
    <w:name w:val="Heading 61"/>
    <w:basedOn w:val="Normal"/>
    <w:next w:val="Normal"/>
    <w:uiPriority w:val="9"/>
    <w:semiHidden/>
    <w:unhideWhenUsed/>
    <w:qFormat/>
    <w:rsid w:val="00452A54"/>
    <w:pPr>
      <w:keepNext/>
      <w:keepLines/>
      <w:spacing w:before="200" w:after="0"/>
      <w:outlineLvl w:val="5"/>
    </w:pPr>
    <w:rPr>
      <w:rFonts w:ascii="Tw Cen MT" w:eastAsia="HGPGothicE" w:hAnsi="Tw Cen MT" w:cs="Arial"/>
      <w:iCs/>
      <w:color w:val="26664E"/>
      <w:sz w:val="22"/>
    </w:rPr>
  </w:style>
  <w:style w:type="paragraph" w:customStyle="1" w:styleId="Heading71">
    <w:name w:val="Heading 71"/>
    <w:basedOn w:val="Normal"/>
    <w:next w:val="Normal"/>
    <w:uiPriority w:val="9"/>
    <w:semiHidden/>
    <w:unhideWhenUsed/>
    <w:qFormat/>
    <w:rsid w:val="00452A54"/>
    <w:pPr>
      <w:keepNext/>
      <w:keepLines/>
      <w:spacing w:before="200" w:after="0"/>
      <w:outlineLvl w:val="6"/>
    </w:pPr>
    <w:rPr>
      <w:rFonts w:ascii="Tw Cen MT" w:eastAsia="HGPGothicE" w:hAnsi="Tw Cen MT" w:cs="Arial"/>
      <w:i/>
      <w:iCs/>
      <w:color w:val="000000"/>
      <w:sz w:val="22"/>
    </w:rPr>
  </w:style>
  <w:style w:type="paragraph" w:customStyle="1" w:styleId="Heading81">
    <w:name w:val="Heading 81"/>
    <w:basedOn w:val="Normal"/>
    <w:next w:val="Normal"/>
    <w:uiPriority w:val="9"/>
    <w:semiHidden/>
    <w:unhideWhenUsed/>
    <w:qFormat/>
    <w:rsid w:val="00452A54"/>
    <w:pPr>
      <w:keepNext/>
      <w:keepLines/>
      <w:spacing w:before="200" w:after="0"/>
      <w:outlineLvl w:val="7"/>
    </w:pPr>
    <w:rPr>
      <w:rFonts w:ascii="Tw Cen MT" w:eastAsia="HGPGothicE" w:hAnsi="Tw Cen MT" w:cs="Arial"/>
      <w:color w:val="000000"/>
      <w:szCs w:val="20"/>
    </w:rPr>
  </w:style>
  <w:style w:type="paragraph" w:customStyle="1" w:styleId="Heading91">
    <w:name w:val="Heading 91"/>
    <w:basedOn w:val="Normal"/>
    <w:next w:val="Normal"/>
    <w:uiPriority w:val="9"/>
    <w:semiHidden/>
    <w:unhideWhenUsed/>
    <w:qFormat/>
    <w:rsid w:val="00452A54"/>
    <w:pPr>
      <w:keepNext/>
      <w:keepLines/>
      <w:spacing w:before="200" w:after="0"/>
      <w:outlineLvl w:val="8"/>
    </w:pPr>
    <w:rPr>
      <w:rFonts w:ascii="Tw Cen MT" w:eastAsia="HGPGothicE" w:hAnsi="Tw Cen MT" w:cs="Arial"/>
      <w:i/>
      <w:iCs/>
      <w:color w:val="000000"/>
      <w:szCs w:val="20"/>
    </w:rPr>
  </w:style>
  <w:style w:type="paragraph" w:customStyle="1" w:styleId="Title1">
    <w:name w:val="Title1"/>
    <w:basedOn w:val="Normal"/>
    <w:next w:val="Normal"/>
    <w:uiPriority w:val="10"/>
    <w:rsid w:val="00452A54"/>
    <w:pPr>
      <w:spacing w:after="120"/>
      <w:contextualSpacing/>
    </w:pPr>
    <w:rPr>
      <w:rFonts w:ascii="Tw Cen MT" w:eastAsia="HGPGothicE" w:hAnsi="Tw Cen MT" w:cs="Arial"/>
      <w:color w:val="000000"/>
      <w:spacing w:val="30"/>
      <w:kern w:val="28"/>
      <w:sz w:val="96"/>
      <w:szCs w:val="52"/>
    </w:rPr>
  </w:style>
  <w:style w:type="paragraph" w:customStyle="1" w:styleId="VIRTCaption1">
    <w:name w:val="VIRT Caption1"/>
    <w:basedOn w:val="Normal"/>
    <w:next w:val="Normal"/>
    <w:uiPriority w:val="35"/>
    <w:unhideWhenUsed/>
    <w:rsid w:val="00452A54"/>
    <w:rPr>
      <w:rFonts w:ascii="Tw Cen MT" w:eastAsia="HGMinchoB" w:hAnsi="Tw Cen MT"/>
      <w:bCs/>
      <w:smallCaps/>
      <w:color w:val="000000"/>
      <w:spacing w:val="6"/>
      <w:sz w:val="22"/>
      <w:szCs w:val="18"/>
    </w:rPr>
  </w:style>
  <w:style w:type="paragraph" w:customStyle="1" w:styleId="Subtitle1">
    <w:name w:val="Subtitle1"/>
    <w:basedOn w:val="Normal"/>
    <w:next w:val="Normal"/>
    <w:uiPriority w:val="11"/>
    <w:rsid w:val="00452A54"/>
    <w:pPr>
      <w:numPr>
        <w:ilvl w:val="1"/>
      </w:numPr>
    </w:pPr>
    <w:rPr>
      <w:rFonts w:eastAsia="HGPGothicE" w:cs="Arial"/>
      <w:iCs/>
      <w:color w:val="000000"/>
      <w:sz w:val="40"/>
      <w:szCs w:val="24"/>
    </w:rPr>
  </w:style>
  <w:style w:type="character" w:customStyle="1" w:styleId="Strong1">
    <w:name w:val="Strong1"/>
    <w:basedOn w:val="DefaultParagraphFont"/>
    <w:uiPriority w:val="22"/>
    <w:rsid w:val="00452A54"/>
    <w:rPr>
      <w:rFonts w:ascii="Arial" w:hAnsi="Arial"/>
      <w:b w:val="0"/>
      <w:bCs/>
      <w:i/>
      <w:color w:val="000000"/>
      <w:sz w:val="20"/>
    </w:rPr>
  </w:style>
  <w:style w:type="character" w:customStyle="1" w:styleId="Emphasis1">
    <w:name w:val="Emphasis1"/>
    <w:basedOn w:val="DefaultParagraphFont"/>
    <w:uiPriority w:val="20"/>
    <w:rsid w:val="00452A54"/>
    <w:rPr>
      <w:rFonts w:ascii="Arial" w:hAnsi="Arial"/>
      <w:b/>
      <w:i/>
      <w:iCs/>
      <w:color w:val="7F7F7F"/>
      <w:sz w:val="20"/>
    </w:rPr>
  </w:style>
  <w:style w:type="paragraph" w:customStyle="1" w:styleId="Quote1">
    <w:name w:val="Quote1"/>
    <w:basedOn w:val="Normal"/>
    <w:next w:val="Normal"/>
    <w:uiPriority w:val="29"/>
    <w:rsid w:val="00452A54"/>
    <w:pPr>
      <w:spacing w:after="0" w:line="360" w:lineRule="auto"/>
      <w:jc w:val="center"/>
    </w:pPr>
    <w:rPr>
      <w:rFonts w:eastAsia="HGMinchoB"/>
      <w:b/>
      <w:i/>
      <w:iCs/>
      <w:color w:val="26664E"/>
      <w:sz w:val="26"/>
    </w:rPr>
  </w:style>
  <w:style w:type="paragraph" w:customStyle="1" w:styleId="IntenseQuote1">
    <w:name w:val="Intense Quote1"/>
    <w:basedOn w:val="Normal"/>
    <w:next w:val="Normal"/>
    <w:uiPriority w:val="30"/>
    <w:rsid w:val="00452A54"/>
    <w:pPr>
      <w:pBdr>
        <w:top w:val="single" w:sz="36" w:space="8" w:color="26664E"/>
        <w:left w:val="single" w:sz="36" w:space="8" w:color="26664E"/>
        <w:bottom w:val="single" w:sz="36" w:space="8" w:color="26664E"/>
        <w:right w:val="single" w:sz="36" w:space="8" w:color="26664E"/>
      </w:pBdr>
      <w:shd w:val="clear" w:color="auto" w:fill="26664E"/>
      <w:spacing w:before="200" w:after="200" w:line="360" w:lineRule="auto"/>
      <w:ind w:left="259" w:right="259"/>
      <w:jc w:val="center"/>
    </w:pPr>
    <w:rPr>
      <w:rFonts w:ascii="Tw Cen MT" w:eastAsia="HGMinchoB" w:hAnsi="Tw Cen MT"/>
      <w:bCs/>
      <w:iCs/>
      <w:color w:val="FFFFFF"/>
      <w:sz w:val="28"/>
    </w:rPr>
  </w:style>
  <w:style w:type="character" w:customStyle="1" w:styleId="IntenseEmphasis1">
    <w:name w:val="Intense Emphasis1"/>
    <w:basedOn w:val="DefaultParagraphFont"/>
    <w:uiPriority w:val="21"/>
    <w:rsid w:val="00452A54"/>
    <w:rPr>
      <w:rFonts w:ascii="Arial" w:hAnsi="Arial"/>
      <w:b/>
      <w:bCs/>
      <w:i/>
      <w:iCs/>
      <w:color w:val="26664E"/>
      <w:sz w:val="20"/>
    </w:rPr>
  </w:style>
  <w:style w:type="character" w:customStyle="1" w:styleId="IntenseReference1">
    <w:name w:val="Intense Reference1"/>
    <w:basedOn w:val="DefaultParagraphFont"/>
    <w:uiPriority w:val="32"/>
    <w:rsid w:val="00452A54"/>
    <w:rPr>
      <w:rFonts w:ascii="Arial" w:hAnsi="Arial"/>
      <w:b w:val="0"/>
      <w:bCs/>
      <w:i w:val="0"/>
      <w:smallCaps/>
      <w:color w:val="26664E"/>
      <w:spacing w:val="5"/>
      <w:sz w:val="20"/>
      <w:u w:val="single"/>
    </w:rPr>
  </w:style>
  <w:style w:type="character" w:customStyle="1" w:styleId="BookTitle1">
    <w:name w:val="Book Title1"/>
    <w:basedOn w:val="DefaultParagraphFont"/>
    <w:uiPriority w:val="33"/>
    <w:rsid w:val="00452A54"/>
    <w:rPr>
      <w:rFonts w:ascii="Arial" w:hAnsi="Arial"/>
      <w:b/>
      <w:bCs/>
      <w:i w:val="0"/>
      <w:caps/>
      <w:smallCaps w:val="0"/>
      <w:color w:val="000000"/>
      <w:spacing w:val="10"/>
      <w:sz w:val="20"/>
    </w:rPr>
  </w:style>
  <w:style w:type="paragraph" w:customStyle="1" w:styleId="TOCHeading1">
    <w:name w:val="TOC Heading1"/>
    <w:basedOn w:val="Heading1"/>
    <w:next w:val="Normal"/>
    <w:uiPriority w:val="39"/>
    <w:unhideWhenUsed/>
    <w:rsid w:val="00452A54"/>
    <w:pPr>
      <w:spacing w:before="240" w:line="259" w:lineRule="auto"/>
    </w:pPr>
    <w:rPr>
      <w:rFonts w:eastAsia="HGPGothicE"/>
      <w:color w:val="595959"/>
    </w:rPr>
  </w:style>
  <w:style w:type="character" w:customStyle="1" w:styleId="PageNumber1">
    <w:name w:val="Page Number1"/>
    <w:basedOn w:val="DefaultParagraphFont"/>
    <w:semiHidden/>
    <w:unhideWhenUsed/>
    <w:rsid w:val="00452A54"/>
    <w:rPr>
      <w:rFonts w:ascii="Arial" w:hAnsi="Arial"/>
      <w:b w:val="0"/>
      <w:i w:val="0"/>
      <w:color w:val="7F7F7F"/>
      <w:sz w:val="20"/>
    </w:rPr>
  </w:style>
  <w:style w:type="paragraph" w:customStyle="1" w:styleId="TOC2VIRT1">
    <w:name w:val="TOC 2 VIRT1"/>
    <w:basedOn w:val="Normal"/>
    <w:next w:val="Normal"/>
    <w:autoRedefine/>
    <w:uiPriority w:val="39"/>
    <w:unhideWhenUsed/>
    <w:rsid w:val="00452A54"/>
    <w:pPr>
      <w:tabs>
        <w:tab w:val="left" w:pos="567"/>
        <w:tab w:val="left" w:pos="1000"/>
        <w:tab w:val="right" w:leader="dot" w:pos="8488"/>
      </w:tabs>
      <w:spacing w:before="120" w:after="0"/>
      <w:ind w:left="200"/>
    </w:pPr>
    <w:rPr>
      <w:rFonts w:ascii="Calibri Light" w:hAnsi="Calibri Light"/>
      <w:iCs/>
      <w:color w:val="4D4D4D"/>
      <w:sz w:val="22"/>
      <w:szCs w:val="20"/>
    </w:rPr>
  </w:style>
  <w:style w:type="paragraph" w:customStyle="1" w:styleId="TOC1VIRT1">
    <w:name w:val="TOC 1 VIRT1"/>
    <w:basedOn w:val="Normal"/>
    <w:next w:val="Normal"/>
    <w:autoRedefine/>
    <w:uiPriority w:val="39"/>
    <w:unhideWhenUsed/>
    <w:rsid w:val="00452A54"/>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1">
    <w:name w:val="TOC 3 VIRT1"/>
    <w:basedOn w:val="Normal"/>
    <w:next w:val="Normal"/>
    <w:autoRedefine/>
    <w:uiPriority w:val="39"/>
    <w:unhideWhenUsed/>
    <w:rsid w:val="00452A54"/>
    <w:pPr>
      <w:spacing w:after="0"/>
      <w:ind w:left="400"/>
    </w:pPr>
    <w:rPr>
      <w:rFonts w:asciiTheme="minorHAnsi" w:hAnsiTheme="minorHAnsi"/>
      <w:color w:val="7F7F7F"/>
      <w:szCs w:val="20"/>
    </w:rPr>
  </w:style>
  <w:style w:type="paragraph" w:customStyle="1" w:styleId="TOC41">
    <w:name w:val="TOC 41"/>
    <w:basedOn w:val="Normal"/>
    <w:next w:val="Normal"/>
    <w:autoRedefine/>
    <w:uiPriority w:val="39"/>
    <w:unhideWhenUsed/>
    <w:rsid w:val="00452A54"/>
    <w:pPr>
      <w:spacing w:after="0"/>
      <w:ind w:left="600"/>
    </w:pPr>
    <w:rPr>
      <w:rFonts w:asciiTheme="minorHAnsi" w:hAnsiTheme="minorHAnsi"/>
      <w:color w:val="7F7F7F"/>
      <w:szCs w:val="20"/>
    </w:rPr>
  </w:style>
  <w:style w:type="paragraph" w:customStyle="1" w:styleId="TOC51">
    <w:name w:val="TOC 51"/>
    <w:basedOn w:val="Normal"/>
    <w:next w:val="Normal"/>
    <w:autoRedefine/>
    <w:unhideWhenUsed/>
    <w:rsid w:val="00452A54"/>
    <w:pPr>
      <w:spacing w:after="0"/>
      <w:ind w:left="800"/>
    </w:pPr>
    <w:rPr>
      <w:rFonts w:asciiTheme="minorHAnsi" w:hAnsiTheme="minorHAnsi"/>
      <w:color w:val="7F7F7F"/>
      <w:szCs w:val="20"/>
    </w:rPr>
  </w:style>
  <w:style w:type="paragraph" w:customStyle="1" w:styleId="TOC61">
    <w:name w:val="TOC 61"/>
    <w:basedOn w:val="Normal"/>
    <w:next w:val="Normal"/>
    <w:autoRedefine/>
    <w:unhideWhenUsed/>
    <w:rsid w:val="00452A54"/>
    <w:pPr>
      <w:spacing w:after="0"/>
      <w:ind w:left="1000"/>
    </w:pPr>
    <w:rPr>
      <w:rFonts w:asciiTheme="minorHAnsi" w:hAnsiTheme="minorHAnsi"/>
      <w:color w:val="7F7F7F"/>
      <w:szCs w:val="20"/>
    </w:rPr>
  </w:style>
  <w:style w:type="paragraph" w:customStyle="1" w:styleId="TOC71">
    <w:name w:val="TOC 71"/>
    <w:basedOn w:val="Normal"/>
    <w:next w:val="Normal"/>
    <w:autoRedefine/>
    <w:unhideWhenUsed/>
    <w:rsid w:val="00452A54"/>
    <w:pPr>
      <w:spacing w:after="0"/>
      <w:ind w:left="1200"/>
    </w:pPr>
    <w:rPr>
      <w:rFonts w:asciiTheme="minorHAnsi" w:hAnsiTheme="minorHAnsi"/>
      <w:color w:val="7F7F7F"/>
      <w:szCs w:val="20"/>
    </w:rPr>
  </w:style>
  <w:style w:type="paragraph" w:customStyle="1" w:styleId="TOC81">
    <w:name w:val="TOC 81"/>
    <w:basedOn w:val="Normal"/>
    <w:next w:val="Normal"/>
    <w:autoRedefine/>
    <w:unhideWhenUsed/>
    <w:rsid w:val="00452A54"/>
    <w:pPr>
      <w:spacing w:after="0"/>
      <w:ind w:left="1400"/>
    </w:pPr>
    <w:rPr>
      <w:rFonts w:asciiTheme="minorHAnsi" w:hAnsiTheme="minorHAnsi"/>
      <w:color w:val="7F7F7F"/>
      <w:szCs w:val="20"/>
    </w:rPr>
  </w:style>
  <w:style w:type="paragraph" w:customStyle="1" w:styleId="TOC91">
    <w:name w:val="TOC 91"/>
    <w:basedOn w:val="Normal"/>
    <w:next w:val="Normal"/>
    <w:autoRedefine/>
    <w:unhideWhenUsed/>
    <w:rsid w:val="00452A54"/>
    <w:pPr>
      <w:spacing w:after="0"/>
      <w:ind w:left="1600"/>
    </w:pPr>
    <w:rPr>
      <w:rFonts w:asciiTheme="minorHAnsi" w:hAnsiTheme="minorHAnsi"/>
      <w:color w:val="7F7F7F"/>
      <w:szCs w:val="20"/>
    </w:rPr>
  </w:style>
  <w:style w:type="character" w:customStyle="1" w:styleId="Hyperlink1">
    <w:name w:val="Hyperlink1"/>
    <w:basedOn w:val="DefaultParagraphFont"/>
    <w:uiPriority w:val="99"/>
    <w:unhideWhenUsed/>
    <w:rsid w:val="00452A54"/>
    <w:rPr>
      <w:color w:val="5F5F5F"/>
      <w:u w:val="single"/>
    </w:rPr>
  </w:style>
  <w:style w:type="paragraph" w:customStyle="1" w:styleId="FootnoteText1">
    <w:name w:val="Footnote Text1"/>
    <w:basedOn w:val="Normal"/>
    <w:next w:val="FootnoteText"/>
    <w:uiPriority w:val="99"/>
    <w:unhideWhenUsed/>
    <w:rsid w:val="00452A54"/>
    <w:pPr>
      <w:spacing w:before="180" w:after="0"/>
      <w:jc w:val="both"/>
    </w:pPr>
    <w:rPr>
      <w:rFonts w:ascii="Calibri Light" w:hAnsi="Calibri Light"/>
      <w:color w:val="4D4D4D"/>
      <w:sz w:val="18"/>
      <w:szCs w:val="20"/>
    </w:rPr>
  </w:style>
  <w:style w:type="paragraph" w:customStyle="1" w:styleId="Footer1">
    <w:name w:val="Footer1"/>
    <w:basedOn w:val="Normal"/>
    <w:next w:val="Footer"/>
    <w:uiPriority w:val="99"/>
    <w:unhideWhenUsed/>
    <w:rsid w:val="00452A54"/>
    <w:pPr>
      <w:tabs>
        <w:tab w:val="center" w:pos="4680"/>
        <w:tab w:val="right" w:pos="9360"/>
      </w:tabs>
      <w:spacing w:after="0"/>
    </w:pPr>
    <w:rPr>
      <w:rFonts w:asciiTheme="minorHAnsi" w:eastAsia="HGMinchoB" w:hAnsiTheme="minorHAnsi" w:cs="Times New Roman"/>
      <w:color w:val="auto"/>
      <w:sz w:val="22"/>
      <w:lang w:val="en-US"/>
    </w:rPr>
  </w:style>
  <w:style w:type="table" w:customStyle="1" w:styleId="ListTable3-Accent221">
    <w:name w:val="List Table 3 - Accent 221"/>
    <w:basedOn w:val="TableNormal"/>
    <w:next w:val="ListTable3-Accent2"/>
    <w:uiPriority w:val="48"/>
    <w:rsid w:val="00452A54"/>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1">
    <w:name w:val="No List11"/>
    <w:next w:val="NoList"/>
    <w:uiPriority w:val="99"/>
    <w:semiHidden/>
    <w:unhideWhenUsed/>
    <w:rsid w:val="00452A54"/>
  </w:style>
  <w:style w:type="character" w:customStyle="1" w:styleId="FollowedHyperlink2">
    <w:name w:val="FollowedHyperlink2"/>
    <w:basedOn w:val="DefaultParagraphFont"/>
    <w:uiPriority w:val="99"/>
    <w:unhideWhenUsed/>
    <w:rsid w:val="00452A54"/>
    <w:rPr>
      <w:color w:val="919191"/>
      <w:u w:val="single"/>
    </w:rPr>
  </w:style>
  <w:style w:type="paragraph" w:customStyle="1" w:styleId="Revision2">
    <w:name w:val="Revision2"/>
    <w:next w:val="Revision"/>
    <w:hidden/>
    <w:uiPriority w:val="71"/>
    <w:rsid w:val="00452A54"/>
    <w:pPr>
      <w:spacing w:after="0"/>
    </w:pPr>
    <w:rPr>
      <w:rFonts w:ascii="Arial" w:hAnsi="Arial"/>
      <w:color w:val="7F7F7F"/>
      <w:sz w:val="20"/>
    </w:rPr>
  </w:style>
  <w:style w:type="table" w:customStyle="1" w:styleId="MediumGrid3-Accent12">
    <w:name w:val="Medium Grid 3 - Accent 12"/>
    <w:basedOn w:val="TableNormal"/>
    <w:next w:val="MediumGrid3-Accent1"/>
    <w:uiPriority w:val="69"/>
    <w:semiHidden/>
    <w:unhideWhenUsed/>
    <w:rsid w:val="00452A54"/>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6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666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666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666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666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CD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CDAD"/>
      </w:tcPr>
    </w:tblStylePr>
  </w:style>
  <w:style w:type="table" w:customStyle="1" w:styleId="GridTable3-Accent32">
    <w:name w:val="Grid Table 3 - Accent 32"/>
    <w:basedOn w:val="TableNormal"/>
    <w:next w:val="GridTable3-Accent3"/>
    <w:uiPriority w:val="48"/>
    <w:rsid w:val="00452A54"/>
    <w:pPr>
      <w:spacing w:after="0"/>
    </w:p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1E6"/>
      </w:tcPr>
    </w:tblStylePr>
    <w:tblStylePr w:type="band1Horz">
      <w:tblPr/>
      <w:tcPr>
        <w:shd w:val="clear" w:color="auto" w:fill="E2F1E6"/>
      </w:tcPr>
    </w:tblStylePr>
    <w:tblStylePr w:type="neCell">
      <w:tblPr/>
      <w:tcPr>
        <w:tcBorders>
          <w:bottom w:val="single" w:sz="4" w:space="0" w:color="A9D5B5"/>
        </w:tcBorders>
      </w:tcPr>
    </w:tblStylePr>
    <w:tblStylePr w:type="nwCell">
      <w:tblPr/>
      <w:tcPr>
        <w:tcBorders>
          <w:bottom w:val="single" w:sz="4" w:space="0" w:color="A9D5B5"/>
        </w:tcBorders>
      </w:tcPr>
    </w:tblStylePr>
    <w:tblStylePr w:type="seCell">
      <w:tblPr/>
      <w:tcPr>
        <w:tcBorders>
          <w:top w:val="single" w:sz="4" w:space="0" w:color="A9D5B5"/>
        </w:tcBorders>
      </w:tcPr>
    </w:tblStylePr>
    <w:tblStylePr w:type="swCell">
      <w:tblPr/>
      <w:tcPr>
        <w:tcBorders>
          <w:top w:val="single" w:sz="4" w:space="0" w:color="A9D5B5"/>
        </w:tcBorders>
      </w:tcPr>
    </w:tblStylePr>
  </w:style>
  <w:style w:type="table" w:customStyle="1" w:styleId="GridTable6Colorful-Accent32">
    <w:name w:val="Grid Table 6 Colorful - Accent 32"/>
    <w:basedOn w:val="TableNormal"/>
    <w:next w:val="GridTable6Colorful-Accent3"/>
    <w:uiPriority w:val="51"/>
    <w:rsid w:val="00452A54"/>
    <w:pPr>
      <w:spacing w:after="0"/>
    </w:pPr>
    <w:rPr>
      <w:color w:val="48965E"/>
    </w:rPr>
    <w:tblPr>
      <w:tblStyleRowBandSize w:val="1"/>
      <w:tblStyleColBandSize w:val="1"/>
      <w:tblBorders>
        <w:top w:val="single" w:sz="4" w:space="0" w:color="A9D5B5"/>
        <w:left w:val="single" w:sz="4" w:space="0" w:color="A9D5B5"/>
        <w:bottom w:val="single" w:sz="4" w:space="0" w:color="A9D5B5"/>
        <w:right w:val="single" w:sz="4" w:space="0" w:color="A9D5B5"/>
        <w:insideH w:val="single" w:sz="4" w:space="0" w:color="A9D5B5"/>
        <w:insideV w:val="single" w:sz="4" w:space="0" w:color="A9D5B5"/>
      </w:tblBorders>
    </w:tblPr>
    <w:tblStylePr w:type="firstRow">
      <w:rPr>
        <w:b/>
        <w:bCs/>
      </w:rPr>
      <w:tblPr/>
      <w:tcPr>
        <w:tcBorders>
          <w:bottom w:val="single" w:sz="12" w:space="0" w:color="A9D5B5"/>
        </w:tcBorders>
      </w:tcPr>
    </w:tblStylePr>
    <w:tblStylePr w:type="lastRow">
      <w:rPr>
        <w:b/>
        <w:bCs/>
      </w:rPr>
      <w:tblPr/>
      <w:tcPr>
        <w:tcBorders>
          <w:top w:val="doub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6Colorful-Accent31">
    <w:name w:val="List Table 6 Colorful - Accent 31"/>
    <w:basedOn w:val="TableNormal"/>
    <w:next w:val="ListTable6Colorful-Accent3"/>
    <w:uiPriority w:val="51"/>
    <w:rsid w:val="00452A54"/>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3-Accent61">
    <w:name w:val="List Table 3 - Accent 61"/>
    <w:basedOn w:val="TableNormal"/>
    <w:next w:val="ListTable3-Accent6"/>
    <w:uiPriority w:val="48"/>
    <w:rsid w:val="00452A54"/>
    <w:pPr>
      <w:spacing w:after="0"/>
    </w:p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NormalWeb1">
    <w:name w:val="Normal (Web)1"/>
    <w:basedOn w:val="Normal"/>
    <w:next w:val="NormalWeb"/>
    <w:uiPriority w:val="99"/>
    <w:semiHidden/>
    <w:unhideWhenUsed/>
    <w:rsid w:val="00452A54"/>
    <w:pPr>
      <w:spacing w:before="100" w:beforeAutospacing="1" w:after="100" w:afterAutospacing="1" w:line="276" w:lineRule="auto"/>
      <w:jc w:val="both"/>
    </w:pPr>
    <w:rPr>
      <w:rFonts w:ascii="Times New Roman" w:eastAsia="HGMinchoB" w:hAnsi="Times New Roman"/>
      <w:color w:val="auto"/>
      <w:spacing w:val="-6"/>
      <w:sz w:val="24"/>
      <w:szCs w:val="24"/>
      <w:lang w:eastAsia="en-AU"/>
    </w:rPr>
  </w:style>
  <w:style w:type="table" w:customStyle="1" w:styleId="ListTable1Light-Accent31">
    <w:name w:val="List Table 1 Light - Accent 31"/>
    <w:basedOn w:val="TableNormal"/>
    <w:next w:val="ListTable1Light-Accent3"/>
    <w:uiPriority w:val="46"/>
    <w:rsid w:val="00452A54"/>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GridTable5Dark-Accent21">
    <w:name w:val="Grid Table 5 Dark - Accent 21"/>
    <w:basedOn w:val="TableNormal"/>
    <w:next w:val="GridTable5Dark-Accent2"/>
    <w:uiPriority w:val="50"/>
    <w:rsid w:val="00452A54"/>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6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48A5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48A5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48A5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48A5D"/>
      </w:tcPr>
    </w:tblStylePr>
    <w:tblStylePr w:type="band1Vert">
      <w:tblPr/>
      <w:tcPr>
        <w:shd w:val="clear" w:color="auto" w:fill="83EDC4"/>
      </w:tcPr>
    </w:tblStylePr>
    <w:tblStylePr w:type="band1Horz">
      <w:tblPr/>
      <w:tcPr>
        <w:shd w:val="clear" w:color="auto" w:fill="83EDC4"/>
      </w:tcPr>
    </w:tblStylePr>
  </w:style>
  <w:style w:type="table" w:customStyle="1" w:styleId="VIRTtable1">
    <w:name w:val="VIRT table1"/>
    <w:basedOn w:val="VIRTTablestyle1"/>
    <w:uiPriority w:val="99"/>
    <w:rsid w:val="00452A54"/>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character" w:customStyle="1" w:styleId="TitleChar1">
    <w:name w:val="Title Char1"/>
    <w:basedOn w:val="DefaultParagraphFont"/>
    <w:uiPriority w:val="10"/>
    <w:rsid w:val="00452A54"/>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452A54"/>
    <w:rPr>
      <w:rFonts w:asciiTheme="majorHAnsi" w:eastAsiaTheme="majorEastAsia" w:hAnsiTheme="majorHAnsi" w:cstheme="majorBidi"/>
      <w:color w:val="1C4C3A" w:themeColor="accent1" w:themeShade="BF"/>
      <w:sz w:val="32"/>
      <w:szCs w:val="32"/>
    </w:rPr>
  </w:style>
  <w:style w:type="character" w:customStyle="1" w:styleId="Heading2Char1">
    <w:name w:val="Heading 2 Char1"/>
    <w:basedOn w:val="DefaultParagraphFont"/>
    <w:uiPriority w:val="9"/>
    <w:semiHidden/>
    <w:rsid w:val="00452A54"/>
    <w:rPr>
      <w:rFonts w:asciiTheme="majorHAnsi" w:eastAsiaTheme="majorEastAsia" w:hAnsiTheme="majorHAnsi" w:cstheme="majorBidi"/>
      <w:color w:val="1C4C3A" w:themeColor="accent1" w:themeShade="BF"/>
      <w:sz w:val="26"/>
      <w:szCs w:val="26"/>
    </w:rPr>
  </w:style>
  <w:style w:type="character" w:customStyle="1" w:styleId="Heading3Char1">
    <w:name w:val="Heading 3 Char1"/>
    <w:basedOn w:val="DefaultParagraphFont"/>
    <w:uiPriority w:val="9"/>
    <w:semiHidden/>
    <w:rsid w:val="00452A54"/>
    <w:rPr>
      <w:rFonts w:asciiTheme="majorHAnsi" w:eastAsiaTheme="majorEastAsia" w:hAnsiTheme="majorHAnsi" w:cstheme="majorBidi"/>
      <w:color w:val="133226" w:themeColor="accent1" w:themeShade="7F"/>
      <w:sz w:val="24"/>
      <w:szCs w:val="24"/>
    </w:rPr>
  </w:style>
  <w:style w:type="character" w:customStyle="1" w:styleId="Heading4Char1">
    <w:name w:val="Heading 4 Char1"/>
    <w:basedOn w:val="DefaultParagraphFont"/>
    <w:uiPriority w:val="9"/>
    <w:semiHidden/>
    <w:rsid w:val="00452A54"/>
    <w:rPr>
      <w:rFonts w:asciiTheme="majorHAnsi" w:eastAsiaTheme="majorEastAsia" w:hAnsiTheme="majorHAnsi" w:cstheme="majorBidi"/>
      <w:i/>
      <w:iCs/>
      <w:color w:val="1C4C3A" w:themeColor="accent1" w:themeShade="BF"/>
    </w:rPr>
  </w:style>
  <w:style w:type="character" w:customStyle="1" w:styleId="Heading5Char1">
    <w:name w:val="Heading 5 Char1"/>
    <w:basedOn w:val="DefaultParagraphFont"/>
    <w:uiPriority w:val="9"/>
    <w:semiHidden/>
    <w:rsid w:val="00452A54"/>
    <w:rPr>
      <w:rFonts w:asciiTheme="majorHAnsi" w:eastAsiaTheme="majorEastAsia" w:hAnsiTheme="majorHAnsi" w:cstheme="majorBidi"/>
      <w:color w:val="1C4C3A" w:themeColor="accent1" w:themeShade="BF"/>
    </w:rPr>
  </w:style>
  <w:style w:type="character" w:customStyle="1" w:styleId="Heading6Char1">
    <w:name w:val="Heading 6 Char1"/>
    <w:basedOn w:val="DefaultParagraphFont"/>
    <w:uiPriority w:val="9"/>
    <w:semiHidden/>
    <w:rsid w:val="00452A54"/>
    <w:rPr>
      <w:rFonts w:asciiTheme="majorHAnsi" w:eastAsiaTheme="majorEastAsia" w:hAnsiTheme="majorHAnsi" w:cstheme="majorBidi"/>
      <w:color w:val="133226" w:themeColor="accent1" w:themeShade="7F"/>
    </w:rPr>
  </w:style>
  <w:style w:type="character" w:customStyle="1" w:styleId="Heading7Char1">
    <w:name w:val="Heading 7 Char1"/>
    <w:basedOn w:val="DefaultParagraphFont"/>
    <w:uiPriority w:val="9"/>
    <w:semiHidden/>
    <w:rsid w:val="00452A54"/>
    <w:rPr>
      <w:rFonts w:asciiTheme="majorHAnsi" w:eastAsiaTheme="majorEastAsia" w:hAnsiTheme="majorHAnsi" w:cstheme="majorBidi"/>
      <w:i/>
      <w:iCs/>
      <w:color w:val="133226" w:themeColor="accent1" w:themeShade="7F"/>
    </w:rPr>
  </w:style>
  <w:style w:type="character" w:customStyle="1" w:styleId="Heading8Char1">
    <w:name w:val="Heading 8 Char1"/>
    <w:basedOn w:val="DefaultParagraphFont"/>
    <w:uiPriority w:val="9"/>
    <w:semiHidden/>
    <w:rsid w:val="00452A5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52A54"/>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452A54"/>
    <w:rPr>
      <w:rFonts w:eastAsiaTheme="minorEastAsia"/>
      <w:color w:val="5A5A5A" w:themeColor="text1" w:themeTint="A5"/>
      <w:spacing w:val="15"/>
    </w:rPr>
  </w:style>
  <w:style w:type="character" w:customStyle="1" w:styleId="QuoteChar1">
    <w:name w:val="Quote Char1"/>
    <w:basedOn w:val="DefaultParagraphFont"/>
    <w:uiPriority w:val="29"/>
    <w:rsid w:val="00452A54"/>
    <w:rPr>
      <w:i/>
      <w:iCs/>
      <w:color w:val="404040" w:themeColor="text1" w:themeTint="BF"/>
    </w:rPr>
  </w:style>
  <w:style w:type="character" w:customStyle="1" w:styleId="IntenseQuoteChar1">
    <w:name w:val="Intense Quote Char1"/>
    <w:basedOn w:val="DefaultParagraphFont"/>
    <w:uiPriority w:val="30"/>
    <w:rsid w:val="00452A54"/>
    <w:rPr>
      <w:i/>
      <w:iCs/>
      <w:color w:val="26664E" w:themeColor="accent1"/>
    </w:rPr>
  </w:style>
  <w:style w:type="character" w:customStyle="1" w:styleId="FooterChar1">
    <w:name w:val="Footer Char1"/>
    <w:basedOn w:val="DefaultParagraphFont"/>
    <w:uiPriority w:val="99"/>
    <w:rsid w:val="00452A54"/>
  </w:style>
  <w:style w:type="character" w:customStyle="1" w:styleId="ParabeforeabulletlistChar">
    <w:name w:val="Para before a bullet list Char"/>
    <w:basedOn w:val="ParapraphbeforeabulletlistChar"/>
    <w:link w:val="Parabeforeabulletlist"/>
    <w:locked/>
    <w:rsid w:val="002D15CC"/>
    <w:rPr>
      <w:rFonts w:ascii="Calibri Light" w:eastAsia="Rockwell" w:hAnsi="Calibri Light" w:cs="Times New Roman (Body CS)"/>
      <w:bCs/>
      <w:color w:val="4D4D4D" w:themeColor="accent6"/>
      <w:sz w:val="26"/>
      <w:szCs w:val="44"/>
      <w:lang w:val="en-US"/>
    </w:rPr>
  </w:style>
  <w:style w:type="paragraph" w:customStyle="1" w:styleId="Parabeforeabulletlist">
    <w:name w:val="Para before a bullet list"/>
    <w:basedOn w:val="Parapraphbeforeabulletlist"/>
    <w:link w:val="ParabeforeabulletlistChar"/>
    <w:qFormat/>
    <w:rsid w:val="002D15CC"/>
    <w:pPr>
      <w:spacing w:before="180" w:after="120"/>
    </w:pPr>
  </w:style>
  <w:style w:type="paragraph" w:customStyle="1" w:styleId="Listinatable">
    <w:name w:val="List in a table"/>
    <w:link w:val="ListinatableChar"/>
    <w:qFormat/>
    <w:rsid w:val="00996415"/>
    <w:pPr>
      <w:numPr>
        <w:numId w:val="10"/>
      </w:numPr>
    </w:pPr>
    <w:rPr>
      <w:rFonts w:ascii="Calibri Light" w:eastAsia="Rockwell" w:hAnsi="Calibri Light" w:cs="Arial"/>
      <w:bCs/>
      <w:color w:val="4D4D4D" w:themeColor="accent6"/>
      <w:lang w:val="en-US"/>
    </w:rPr>
  </w:style>
  <w:style w:type="numbering" w:customStyle="1" w:styleId="NoList2">
    <w:name w:val="No List2"/>
    <w:next w:val="NoList"/>
    <w:uiPriority w:val="99"/>
    <w:semiHidden/>
    <w:unhideWhenUsed/>
    <w:rsid w:val="00F65785"/>
  </w:style>
  <w:style w:type="character" w:customStyle="1" w:styleId="ListinatableChar">
    <w:name w:val="List in a table Char"/>
    <w:basedOn w:val="TextinthetableChar"/>
    <w:link w:val="Listinatable"/>
    <w:rsid w:val="00996415"/>
    <w:rPr>
      <w:rFonts w:ascii="Calibri Light" w:eastAsia="Rockwell" w:hAnsi="Calibri Light" w:cs="Arial"/>
      <w:bCs/>
      <w:color w:val="4D4D4D" w:themeColor="accent6"/>
      <w:lang w:val="en-US"/>
    </w:rPr>
  </w:style>
  <w:style w:type="paragraph" w:customStyle="1" w:styleId="VIRTCaption2">
    <w:name w:val="VIRT Caption2"/>
    <w:basedOn w:val="Normal"/>
    <w:next w:val="Normal"/>
    <w:uiPriority w:val="35"/>
    <w:unhideWhenUsed/>
    <w:rsid w:val="00F65785"/>
    <w:rPr>
      <w:rFonts w:ascii="Tw Cen MT" w:eastAsia="HGMinchoB" w:hAnsi="Tw Cen MT"/>
      <w:bCs/>
      <w:smallCaps/>
      <w:color w:val="000000"/>
      <w:spacing w:val="6"/>
      <w:sz w:val="22"/>
      <w:szCs w:val="18"/>
    </w:rPr>
  </w:style>
  <w:style w:type="paragraph" w:customStyle="1" w:styleId="TOCHeading2">
    <w:name w:val="TOC Heading2"/>
    <w:basedOn w:val="Heading1"/>
    <w:next w:val="Normal"/>
    <w:uiPriority w:val="39"/>
    <w:unhideWhenUsed/>
    <w:rsid w:val="00F65785"/>
    <w:pPr>
      <w:spacing w:before="480" w:line="276" w:lineRule="auto"/>
      <w:outlineLvl w:val="9"/>
    </w:pPr>
    <w:rPr>
      <w:rFonts w:ascii="Tw Cen MT" w:eastAsia="HGPGothicE" w:hAnsi="Tw Cen MT" w:cs="Arial"/>
      <w:b/>
      <w:color w:val="1C4C3A"/>
      <w:spacing w:val="0"/>
      <w:sz w:val="28"/>
      <w:lang w:val="en-US"/>
    </w:rPr>
  </w:style>
  <w:style w:type="table" w:customStyle="1" w:styleId="PlainTable112">
    <w:name w:val="Plain Table 112"/>
    <w:basedOn w:val="TableNormal"/>
    <w:uiPriority w:val="99"/>
    <w:rsid w:val="00F65785"/>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2">
    <w:name w:val="Plain Table 312"/>
    <w:basedOn w:val="TableNormal"/>
    <w:uiPriority w:val="99"/>
    <w:rsid w:val="00F65785"/>
    <w:pPr>
      <w:spacing w:after="0"/>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99"/>
    <w:rsid w:val="00F65785"/>
    <w:pPr>
      <w:spacing w:after="0"/>
    </w:pPr>
    <w:tblPr>
      <w:tblStyleRowBandSize w:val="1"/>
      <w:tblStyleColBandSize w:val="1"/>
    </w:tblPr>
    <w:tblStylePr w:type="firstRow">
      <w:rPr>
        <w:rFonts w:ascii="MinionPro-Regular" w:eastAsia="MinionPro-Regular" w:hAnsi="MinionPro-Regular" w:cs="Arial"/>
        <w:i/>
        <w:iCs/>
        <w:sz w:val="26"/>
      </w:rPr>
      <w:tblPr/>
      <w:tcPr>
        <w:tcBorders>
          <w:bottom w:val="single" w:sz="4" w:space="0" w:color="7F7F7F"/>
        </w:tcBorders>
        <w:shd w:val="clear" w:color="auto" w:fill="FFFFFF"/>
      </w:tcPr>
    </w:tblStylePr>
    <w:tblStylePr w:type="lastRow">
      <w:rPr>
        <w:rFonts w:ascii="MinionPro-Regular" w:eastAsia="MinionPro-Regular" w:hAnsi="MinionPro-Regular" w:cs="Arial"/>
        <w:i/>
        <w:iCs/>
        <w:sz w:val="26"/>
      </w:rPr>
      <w:tblPr/>
      <w:tcPr>
        <w:tcBorders>
          <w:top w:val="single" w:sz="4" w:space="0" w:color="7F7F7F"/>
        </w:tcBorders>
        <w:shd w:val="clear" w:color="auto" w:fill="FFFFFF"/>
      </w:tcPr>
    </w:tblStylePr>
    <w:tblStylePr w:type="firstCol">
      <w:pPr>
        <w:jc w:val="right"/>
      </w:pPr>
      <w:rPr>
        <w:rFonts w:ascii="MinionPro-Regular" w:eastAsia="MinionPro-Regular" w:hAnsi="MinionPro-Regular" w:cs="Arial"/>
        <w:i/>
        <w:iCs/>
        <w:sz w:val="26"/>
      </w:rPr>
      <w:tblPr/>
      <w:tcPr>
        <w:tcBorders>
          <w:right w:val="single" w:sz="4" w:space="0" w:color="7F7F7F"/>
        </w:tcBorders>
        <w:shd w:val="clear" w:color="auto" w:fill="FFFFFF"/>
      </w:tcPr>
    </w:tblStylePr>
    <w:tblStylePr w:type="lastCol">
      <w:rPr>
        <w:rFonts w:ascii="MinionPro-Regular" w:eastAsia="MinionPro-Regular" w:hAnsi="MinionPro-Regular"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2">
    <w:name w:val="Grid Table 1 Light - Accent 212"/>
    <w:basedOn w:val="TableNormal"/>
    <w:uiPriority w:val="46"/>
    <w:rsid w:val="00F65785"/>
    <w:pPr>
      <w:spacing w:after="0"/>
    </w:pPr>
    <w:tblPr>
      <w:tblStyleRowBandSize w:val="1"/>
      <w:tblStyleColBandSize w:val="1"/>
      <w:tblBorders>
        <w:top w:val="single" w:sz="4" w:space="0" w:color="83EDC4"/>
        <w:left w:val="single" w:sz="4" w:space="0" w:color="83EDC4"/>
        <w:bottom w:val="single" w:sz="4" w:space="0" w:color="83EDC4"/>
        <w:right w:val="single" w:sz="4" w:space="0" w:color="83EDC4"/>
        <w:insideH w:val="single" w:sz="4" w:space="0" w:color="83EDC4"/>
        <w:insideV w:val="single" w:sz="4" w:space="0" w:color="83EDC4"/>
      </w:tblBorders>
    </w:tblPr>
    <w:tblStylePr w:type="firstRow">
      <w:rPr>
        <w:b/>
        <w:bCs/>
      </w:rPr>
      <w:tblPr/>
      <w:tcPr>
        <w:tcBorders>
          <w:bottom w:val="single" w:sz="12" w:space="0" w:color="46E4A7"/>
        </w:tcBorders>
      </w:tcPr>
    </w:tblStylePr>
    <w:tblStylePr w:type="lastRow">
      <w:rPr>
        <w:b/>
        <w:bCs/>
      </w:rPr>
      <w:tblPr/>
      <w:tcPr>
        <w:tcBorders>
          <w:top w:val="double" w:sz="2" w:space="0" w:color="46E4A7"/>
        </w:tcBorders>
      </w:tcPr>
    </w:tblStylePr>
    <w:tblStylePr w:type="firstCol">
      <w:rPr>
        <w:b/>
        <w:bCs/>
      </w:rPr>
    </w:tblStylePr>
    <w:tblStylePr w:type="lastCol">
      <w:rPr>
        <w:b/>
        <w:bCs/>
      </w:rPr>
    </w:tblStylePr>
  </w:style>
  <w:style w:type="table" w:customStyle="1" w:styleId="GridTable2-Accent112">
    <w:name w:val="Grid Table 2 - Accent 112"/>
    <w:basedOn w:val="TableNormal"/>
    <w:uiPriority w:val="47"/>
    <w:rsid w:val="00F65785"/>
    <w:pPr>
      <w:spacing w:after="0"/>
    </w:pPr>
    <w:tblPr>
      <w:tblStyleRowBandSize w:val="1"/>
      <w:tblStyleColBandSize w:val="1"/>
      <w:tblBorders>
        <w:top w:val="single" w:sz="2" w:space="0" w:color="5DC29C"/>
        <w:bottom w:val="single" w:sz="2" w:space="0" w:color="5DC29C"/>
        <w:insideH w:val="single" w:sz="2" w:space="0" w:color="5DC29C"/>
        <w:insideV w:val="single" w:sz="2" w:space="0" w:color="5DC29C"/>
      </w:tblBorders>
    </w:tblPr>
    <w:tblStylePr w:type="firstRow">
      <w:rPr>
        <w:b/>
        <w:bCs/>
      </w:rPr>
      <w:tblPr/>
      <w:tcPr>
        <w:tcBorders>
          <w:top w:val="nil"/>
          <w:bottom w:val="single" w:sz="12" w:space="0" w:color="5DC29C"/>
          <w:insideH w:val="nil"/>
          <w:insideV w:val="nil"/>
        </w:tcBorders>
        <w:shd w:val="clear" w:color="auto" w:fill="FFFFFF"/>
      </w:tcPr>
    </w:tblStylePr>
    <w:tblStylePr w:type="lastRow">
      <w:rPr>
        <w:b/>
        <w:bCs/>
      </w:rPr>
      <w:tblPr/>
      <w:tcPr>
        <w:tcBorders>
          <w:top w:val="double" w:sz="2" w:space="0" w:color="5DC2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2-Accent412">
    <w:name w:val="Grid Table 2 - Accent 412"/>
    <w:basedOn w:val="TableNormal"/>
    <w:uiPriority w:val="47"/>
    <w:rsid w:val="00F65785"/>
    <w:pPr>
      <w:spacing w:after="0"/>
    </w:pPr>
    <w:tblPr>
      <w:tblStyleRowBandSize w:val="1"/>
      <w:tblStyleColBandSize w:val="1"/>
      <w:tblBorders>
        <w:top w:val="single" w:sz="2" w:space="0" w:color="9DB5AF"/>
        <w:bottom w:val="single" w:sz="2" w:space="0" w:color="9DB5AF"/>
        <w:insideH w:val="single" w:sz="2" w:space="0" w:color="9DB5AF"/>
        <w:insideV w:val="single" w:sz="2" w:space="0" w:color="9DB5AF"/>
      </w:tblBorders>
    </w:tblPr>
    <w:tblStylePr w:type="firstRow">
      <w:rPr>
        <w:b/>
        <w:bCs/>
      </w:rPr>
      <w:tblPr/>
      <w:tcPr>
        <w:tcBorders>
          <w:top w:val="nil"/>
          <w:bottom w:val="single" w:sz="12" w:space="0" w:color="9DB5AF"/>
          <w:insideH w:val="nil"/>
          <w:insideV w:val="nil"/>
        </w:tcBorders>
        <w:shd w:val="clear" w:color="auto" w:fill="FFFFFF"/>
      </w:tcPr>
    </w:tblStylePr>
    <w:tblStylePr w:type="lastRow">
      <w:rPr>
        <w:b/>
        <w:bCs/>
      </w:rPr>
      <w:tblPr/>
      <w:tcPr>
        <w:tcBorders>
          <w:top w:val="double" w:sz="2" w:space="0" w:color="9DB5A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6E4"/>
      </w:tcPr>
    </w:tblStylePr>
    <w:tblStylePr w:type="band1Horz">
      <w:tblPr/>
      <w:tcPr>
        <w:shd w:val="clear" w:color="auto" w:fill="DEE6E4"/>
      </w:tcPr>
    </w:tblStylePr>
  </w:style>
  <w:style w:type="table" w:customStyle="1" w:styleId="GridTable2-Accent212">
    <w:name w:val="Grid Table 2 - Accent 212"/>
    <w:basedOn w:val="TableNormal"/>
    <w:uiPriority w:val="47"/>
    <w:rsid w:val="00F65785"/>
    <w:pPr>
      <w:spacing w:after="0"/>
    </w:pPr>
    <w:tblPr>
      <w:tblStyleRowBandSize w:val="1"/>
      <w:tblStyleColBandSize w:val="1"/>
      <w:tblBorders>
        <w:top w:val="single" w:sz="2" w:space="0" w:color="46E4A7"/>
        <w:bottom w:val="single" w:sz="2" w:space="0" w:color="46E4A7"/>
        <w:insideH w:val="single" w:sz="2" w:space="0" w:color="46E4A7"/>
        <w:insideV w:val="single" w:sz="2" w:space="0" w:color="46E4A7"/>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insideH w:val="nil"/>
          <w:insideV w:val="nil"/>
        </w:tcBorders>
        <w:shd w:val="clear" w:color="auto" w:fill="FFFFFF"/>
      </w:tcPr>
    </w:tblStylePr>
    <w:tblStylePr w:type="lastRow">
      <w:rPr>
        <w:b/>
        <w:bCs/>
      </w:rPr>
      <w:tblPr/>
      <w:tcPr>
        <w:tcBorders>
          <w:top w:val="double" w:sz="2" w:space="0" w:color="46E4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6E1"/>
      </w:tcPr>
    </w:tblStylePr>
    <w:tblStylePr w:type="band1Horz">
      <w:tblPr/>
      <w:tcPr>
        <w:shd w:val="clear" w:color="auto" w:fill="C1F6E1"/>
      </w:tcPr>
    </w:tblStylePr>
  </w:style>
  <w:style w:type="table" w:customStyle="1" w:styleId="GridTable412">
    <w:name w:val="Grid Table 412"/>
    <w:basedOn w:val="TableNormal"/>
    <w:uiPriority w:val="49"/>
    <w:rsid w:val="00F65785"/>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2">
    <w:name w:val="Grid Table 4 - Accent 112"/>
    <w:basedOn w:val="TableNormal"/>
    <w:uiPriority w:val="49"/>
    <w:rsid w:val="00F65785"/>
    <w:pPr>
      <w:spacing w:after="0"/>
    </w:p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color w:val="FFFFFF"/>
      </w:rPr>
      <w:tblPr/>
      <w:tcPr>
        <w:tcBorders>
          <w:top w:val="single" w:sz="4" w:space="0" w:color="26664E"/>
          <w:left w:val="single" w:sz="4" w:space="0" w:color="26664E"/>
          <w:bottom w:val="single" w:sz="4" w:space="0" w:color="26664E"/>
          <w:right w:val="single" w:sz="4" w:space="0" w:color="26664E"/>
          <w:insideH w:val="nil"/>
          <w:insideV w:val="nil"/>
        </w:tcBorders>
        <w:shd w:val="clear" w:color="auto" w:fill="26664E"/>
      </w:tcPr>
    </w:tblStylePr>
    <w:tblStylePr w:type="lastRow">
      <w:rPr>
        <w:b/>
        <w:bCs/>
      </w:rPr>
      <w:tblPr/>
      <w:tcPr>
        <w:tcBorders>
          <w:top w:val="double" w:sz="4" w:space="0" w:color="26664E"/>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3-Accent412">
    <w:name w:val="Grid Table 3 - Accent 412"/>
    <w:basedOn w:val="TableNormal"/>
    <w:uiPriority w:val="48"/>
    <w:rsid w:val="00F65785"/>
    <w:pPr>
      <w:spacing w:after="0"/>
    </w:pPr>
    <w:tblPr>
      <w:tblStyleRowBandSize w:val="1"/>
      <w:tblStyleColBandSize w:val="1"/>
      <w:tblBorders>
        <w:top w:val="single" w:sz="4" w:space="0" w:color="9DB5AF"/>
        <w:left w:val="single" w:sz="4" w:space="0" w:color="9DB5AF"/>
        <w:bottom w:val="single" w:sz="4" w:space="0" w:color="9DB5AF"/>
        <w:right w:val="single" w:sz="4" w:space="0" w:color="9DB5AF"/>
        <w:insideH w:val="single" w:sz="4" w:space="0" w:color="9DB5AF"/>
        <w:insideV w:val="single" w:sz="4" w:space="0" w:color="9DB5A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6E4"/>
      </w:tcPr>
    </w:tblStylePr>
    <w:tblStylePr w:type="band1Horz">
      <w:tblPr/>
      <w:tcPr>
        <w:shd w:val="clear" w:color="auto" w:fill="DEE6E4"/>
      </w:tcPr>
    </w:tblStylePr>
    <w:tblStylePr w:type="neCell">
      <w:tblPr/>
      <w:tcPr>
        <w:tcBorders>
          <w:bottom w:val="single" w:sz="4" w:space="0" w:color="9DB5AF"/>
        </w:tcBorders>
      </w:tcPr>
    </w:tblStylePr>
    <w:tblStylePr w:type="nwCell">
      <w:tblPr/>
      <w:tcPr>
        <w:tcBorders>
          <w:bottom w:val="single" w:sz="4" w:space="0" w:color="9DB5AF"/>
        </w:tcBorders>
      </w:tcPr>
    </w:tblStylePr>
    <w:tblStylePr w:type="seCell">
      <w:tblPr/>
      <w:tcPr>
        <w:tcBorders>
          <w:top w:val="single" w:sz="4" w:space="0" w:color="9DB5AF"/>
        </w:tcBorders>
      </w:tcPr>
    </w:tblStylePr>
    <w:tblStylePr w:type="swCell">
      <w:tblPr/>
      <w:tcPr>
        <w:tcBorders>
          <w:top w:val="single" w:sz="4" w:space="0" w:color="9DB5AF"/>
        </w:tcBorders>
      </w:tcPr>
    </w:tblStylePr>
  </w:style>
  <w:style w:type="table" w:customStyle="1" w:styleId="GridTable3-Accent212">
    <w:name w:val="Grid Table 3 - Accent 212"/>
    <w:basedOn w:val="TableNormal"/>
    <w:uiPriority w:val="48"/>
    <w:rsid w:val="00F65785"/>
    <w:pPr>
      <w:spacing w:after="0"/>
    </w:pPr>
    <w:tblPr>
      <w:tblStyleRowBandSize w:val="1"/>
      <w:tblStyleColBandSize w:val="1"/>
      <w:tblBorders>
        <w:top w:val="single" w:sz="4" w:space="0" w:color="46E4A7"/>
        <w:left w:val="single" w:sz="4" w:space="0" w:color="46E4A7"/>
        <w:bottom w:val="single" w:sz="4" w:space="0" w:color="46E4A7"/>
        <w:right w:val="single" w:sz="4" w:space="0" w:color="46E4A7"/>
        <w:insideH w:val="single" w:sz="4" w:space="0" w:color="46E4A7"/>
        <w:insideV w:val="single" w:sz="4" w:space="0" w:color="46E4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6E1"/>
      </w:tcPr>
    </w:tblStylePr>
    <w:tblStylePr w:type="band1Horz">
      <w:tblPr/>
      <w:tcPr>
        <w:shd w:val="clear" w:color="auto" w:fill="C1F6E1"/>
      </w:tcPr>
    </w:tblStylePr>
    <w:tblStylePr w:type="neCell">
      <w:tblPr/>
      <w:tcPr>
        <w:tcBorders>
          <w:bottom w:val="single" w:sz="4" w:space="0" w:color="46E4A7"/>
        </w:tcBorders>
      </w:tcPr>
    </w:tblStylePr>
    <w:tblStylePr w:type="nwCell">
      <w:tblPr/>
      <w:tcPr>
        <w:tcBorders>
          <w:bottom w:val="single" w:sz="4" w:space="0" w:color="46E4A7"/>
        </w:tcBorders>
      </w:tcPr>
    </w:tblStylePr>
    <w:tblStylePr w:type="seCell">
      <w:tblPr/>
      <w:tcPr>
        <w:tcBorders>
          <w:top w:val="single" w:sz="4" w:space="0" w:color="46E4A7"/>
        </w:tcBorders>
      </w:tcPr>
    </w:tblStylePr>
    <w:tblStylePr w:type="swCell">
      <w:tblPr/>
      <w:tcPr>
        <w:tcBorders>
          <w:top w:val="single" w:sz="4" w:space="0" w:color="46E4A7"/>
        </w:tcBorders>
      </w:tcPr>
    </w:tblStylePr>
  </w:style>
  <w:style w:type="table" w:customStyle="1" w:styleId="GridTable5Dark-Accent112">
    <w:name w:val="Grid Table 5 Dark - Accent 112"/>
    <w:basedOn w:val="TableNormal"/>
    <w:uiPriority w:val="50"/>
    <w:rsid w:val="00F65785"/>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B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66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66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66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664E"/>
      </w:tcPr>
    </w:tblStylePr>
    <w:tblStylePr w:type="band1Vert">
      <w:tblPr/>
      <w:tcPr>
        <w:shd w:val="clear" w:color="auto" w:fill="93D6BD"/>
      </w:tcPr>
    </w:tblStylePr>
    <w:tblStylePr w:type="band1Horz">
      <w:tblPr/>
      <w:tcPr>
        <w:shd w:val="clear" w:color="auto" w:fill="93D6BD"/>
      </w:tcPr>
    </w:tblStylePr>
  </w:style>
  <w:style w:type="table" w:customStyle="1" w:styleId="GridTable6Colorful-Accent112">
    <w:name w:val="Grid Table 6 Colorful - Accent 112"/>
    <w:basedOn w:val="TableNormal"/>
    <w:uiPriority w:val="51"/>
    <w:rsid w:val="00F65785"/>
    <w:pPr>
      <w:spacing w:after="0"/>
    </w:pPr>
    <w:rPr>
      <w:color w:val="1C4C3A"/>
    </w:rPr>
    <w:tblPr>
      <w:tblStyleRowBandSize w:val="1"/>
      <w:tblStyleColBandSize w:val="1"/>
      <w:tblBorders>
        <w:top w:val="single" w:sz="4" w:space="0" w:color="5DC29C"/>
        <w:left w:val="single" w:sz="4" w:space="0" w:color="5DC29C"/>
        <w:bottom w:val="single" w:sz="4" w:space="0" w:color="5DC29C"/>
        <w:right w:val="single" w:sz="4" w:space="0" w:color="5DC29C"/>
        <w:insideH w:val="single" w:sz="4" w:space="0" w:color="5DC29C"/>
        <w:insideV w:val="single" w:sz="4" w:space="0" w:color="5DC29C"/>
      </w:tblBorders>
    </w:tblPr>
    <w:tblStylePr w:type="firstRow">
      <w:rPr>
        <w:b/>
        <w:bCs/>
      </w:rPr>
      <w:tblPr/>
      <w:tcPr>
        <w:tcBorders>
          <w:bottom w:val="single" w:sz="12" w:space="0" w:color="5DC29C"/>
        </w:tcBorders>
      </w:tcPr>
    </w:tblStylePr>
    <w:tblStylePr w:type="lastRow">
      <w:rPr>
        <w:b/>
        <w:bCs/>
      </w:rPr>
      <w:tblPr/>
      <w:tcPr>
        <w:tcBorders>
          <w:top w:val="double" w:sz="4" w:space="0" w:color="5DC29C"/>
        </w:tcBorders>
      </w:tcPr>
    </w:tblStylePr>
    <w:tblStylePr w:type="firstCol">
      <w:rPr>
        <w:b/>
        <w:bCs/>
      </w:rPr>
    </w:tblStylePr>
    <w:tblStylePr w:type="lastCol">
      <w:rPr>
        <w:b/>
        <w:bCs/>
      </w:rPr>
    </w:tblStylePr>
    <w:tblStylePr w:type="band1Vert">
      <w:tblPr/>
      <w:tcPr>
        <w:shd w:val="clear" w:color="auto" w:fill="C9EBDE"/>
      </w:tcPr>
    </w:tblStylePr>
    <w:tblStylePr w:type="band1Horz">
      <w:tblPr/>
      <w:tcPr>
        <w:shd w:val="clear" w:color="auto" w:fill="C9EBDE"/>
      </w:tcPr>
    </w:tblStylePr>
  </w:style>
  <w:style w:type="table" w:customStyle="1" w:styleId="GridTable1Light-Accent112">
    <w:name w:val="Grid Table 1 Light - Accent 112"/>
    <w:basedOn w:val="TableNormal"/>
    <w:uiPriority w:val="46"/>
    <w:rsid w:val="00F65785"/>
    <w:pPr>
      <w:spacing w:after="0"/>
    </w:pPr>
    <w:tblPr>
      <w:tblStyleRowBandSize w:val="1"/>
      <w:tblStyleColBandSize w:val="1"/>
      <w:tblBorders>
        <w:top w:val="single" w:sz="4" w:space="0" w:color="93D6BD"/>
        <w:left w:val="single" w:sz="4" w:space="0" w:color="93D6BD"/>
        <w:bottom w:val="single" w:sz="4" w:space="0" w:color="93D6BD"/>
        <w:right w:val="single" w:sz="4" w:space="0" w:color="93D6BD"/>
        <w:insideH w:val="single" w:sz="4" w:space="0" w:color="93D6BD"/>
        <w:insideV w:val="single" w:sz="4" w:space="0" w:color="93D6BD"/>
      </w:tblBorders>
    </w:tblPr>
    <w:tblStylePr w:type="firstRow">
      <w:rPr>
        <w:b/>
        <w:bCs/>
      </w:rPr>
      <w:tblPr/>
      <w:tcPr>
        <w:tcBorders>
          <w:bottom w:val="single" w:sz="12" w:space="0" w:color="5DC29C"/>
        </w:tcBorders>
      </w:tcPr>
    </w:tblStylePr>
    <w:tblStylePr w:type="lastRow">
      <w:rPr>
        <w:b/>
        <w:bCs/>
      </w:rPr>
      <w:tblPr/>
      <w:tcPr>
        <w:tcBorders>
          <w:top w:val="double" w:sz="2" w:space="0" w:color="5DC29C"/>
        </w:tcBorders>
      </w:tcPr>
    </w:tblStylePr>
    <w:tblStylePr w:type="firstCol">
      <w:rPr>
        <w:b/>
        <w:bCs/>
      </w:rPr>
    </w:tblStylePr>
    <w:tblStylePr w:type="lastCol">
      <w:rPr>
        <w:b/>
        <w:bCs/>
      </w:rPr>
    </w:tblStylePr>
  </w:style>
  <w:style w:type="paragraph" w:customStyle="1" w:styleId="TOC2VIRT2">
    <w:name w:val="TOC 2 VIRT2"/>
    <w:basedOn w:val="Normal"/>
    <w:next w:val="Normal"/>
    <w:autoRedefine/>
    <w:uiPriority w:val="39"/>
    <w:unhideWhenUsed/>
    <w:rsid w:val="00F65785"/>
    <w:pPr>
      <w:tabs>
        <w:tab w:val="left" w:pos="567"/>
        <w:tab w:val="left" w:pos="1000"/>
        <w:tab w:val="right" w:leader="dot" w:pos="8488"/>
      </w:tabs>
      <w:spacing w:before="120" w:after="0"/>
      <w:ind w:left="200"/>
    </w:pPr>
    <w:rPr>
      <w:rFonts w:ascii="Calibri Light" w:hAnsi="Calibri Light"/>
      <w:iCs/>
      <w:color w:val="4D4D4D"/>
      <w:sz w:val="22"/>
      <w:szCs w:val="20"/>
    </w:rPr>
  </w:style>
  <w:style w:type="table" w:customStyle="1" w:styleId="PlainTable212">
    <w:name w:val="Plain Table 212"/>
    <w:basedOn w:val="TableNormal"/>
    <w:uiPriority w:val="99"/>
    <w:rsid w:val="00F65785"/>
    <w:pPr>
      <w:spacing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2">
    <w:name w:val="Grid Table 1 Light - Accent 612"/>
    <w:basedOn w:val="TableNormal"/>
    <w:uiPriority w:val="46"/>
    <w:rsid w:val="00F65785"/>
    <w:pPr>
      <w:spacing w:after="0"/>
    </w:p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b/>
        <w:bCs/>
      </w:rPr>
      <w:tblPr/>
      <w:tcPr>
        <w:tcBorders>
          <w:bottom w:val="single" w:sz="12" w:space="0" w:color="949494"/>
        </w:tcBorders>
      </w:tcPr>
    </w:tblStylePr>
    <w:tblStylePr w:type="lastRow">
      <w:rPr>
        <w:b/>
        <w:bCs/>
      </w:rPr>
      <w:tblPr/>
      <w:tcPr>
        <w:tcBorders>
          <w:top w:val="double" w:sz="2" w:space="0" w:color="949494"/>
        </w:tcBorders>
      </w:tcPr>
    </w:tblStylePr>
    <w:tblStylePr w:type="firstCol">
      <w:rPr>
        <w:b/>
        <w:bCs/>
      </w:rPr>
    </w:tblStylePr>
    <w:tblStylePr w:type="lastCol">
      <w:rPr>
        <w:b/>
        <w:bCs/>
      </w:rPr>
    </w:tblStylePr>
  </w:style>
  <w:style w:type="table" w:customStyle="1" w:styleId="TableGridLight12">
    <w:name w:val="Table Grid Light12"/>
    <w:basedOn w:val="TableNormal"/>
    <w:uiPriority w:val="99"/>
    <w:rsid w:val="00F65785"/>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2">
    <w:name w:val="Plain Table 412"/>
    <w:basedOn w:val="TableNormal"/>
    <w:uiPriority w:val="99"/>
    <w:rsid w:val="00F65785"/>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IRTTablestyle2">
    <w:name w:val="VIRT Table style2"/>
    <w:basedOn w:val="TableNormal"/>
    <w:uiPriority w:val="99"/>
    <w:rsid w:val="00F65785"/>
    <w:pPr>
      <w:spacing w:after="0"/>
    </w:pPr>
    <w:rPr>
      <w:rFonts w:ascii="Arial" w:hAnsi="Arial"/>
      <w:sz w:val="20"/>
    </w:rPr>
    <w:tblPr>
      <w:tblStyleRowBandSize w:val="1"/>
      <w:tblBorders>
        <w:top w:val="single" w:sz="2" w:space="0" w:color="BFBFBF"/>
        <w:bottom w:val="single" w:sz="2" w:space="0" w:color="BFBFBF"/>
        <w:insideH w:val="single" w:sz="2" w:space="0" w:color="BFBF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cPr>
    </w:tblStylePr>
  </w:style>
  <w:style w:type="paragraph" w:customStyle="1" w:styleId="TOC1VIRT2">
    <w:name w:val="TOC 1 VIRT2"/>
    <w:basedOn w:val="Normal"/>
    <w:next w:val="Normal"/>
    <w:autoRedefine/>
    <w:uiPriority w:val="39"/>
    <w:unhideWhenUsed/>
    <w:rsid w:val="00F65785"/>
    <w:pPr>
      <w:tabs>
        <w:tab w:val="left" w:pos="400"/>
        <w:tab w:val="right" w:leader="dot" w:pos="8488"/>
      </w:tabs>
      <w:spacing w:before="240" w:after="120"/>
    </w:pPr>
    <w:rPr>
      <w:rFonts w:ascii="Calibri Light" w:hAnsi="Calibri Light"/>
      <w:b/>
      <w:bCs/>
      <w:noProof/>
      <w:color w:val="4D4D4D"/>
      <w:sz w:val="22"/>
      <w:szCs w:val="20"/>
    </w:rPr>
  </w:style>
  <w:style w:type="paragraph" w:customStyle="1" w:styleId="TOC3VIRT2">
    <w:name w:val="TOC 3 VIRT2"/>
    <w:basedOn w:val="Normal"/>
    <w:next w:val="Normal"/>
    <w:autoRedefine/>
    <w:uiPriority w:val="39"/>
    <w:unhideWhenUsed/>
    <w:rsid w:val="00F65785"/>
    <w:pPr>
      <w:spacing w:after="0"/>
      <w:ind w:left="400"/>
    </w:pPr>
    <w:rPr>
      <w:rFonts w:asciiTheme="minorHAnsi" w:hAnsiTheme="minorHAnsi"/>
      <w:color w:val="7F7F7F"/>
      <w:szCs w:val="20"/>
    </w:rPr>
  </w:style>
  <w:style w:type="paragraph" w:customStyle="1" w:styleId="TOC42">
    <w:name w:val="TOC 42"/>
    <w:basedOn w:val="Normal"/>
    <w:next w:val="Normal"/>
    <w:autoRedefine/>
    <w:uiPriority w:val="39"/>
    <w:unhideWhenUsed/>
    <w:rsid w:val="00F65785"/>
    <w:pPr>
      <w:spacing w:after="0"/>
      <w:ind w:left="600"/>
    </w:pPr>
    <w:rPr>
      <w:rFonts w:asciiTheme="minorHAnsi" w:hAnsiTheme="minorHAnsi"/>
      <w:color w:val="7F7F7F"/>
      <w:szCs w:val="20"/>
    </w:rPr>
  </w:style>
  <w:style w:type="paragraph" w:customStyle="1" w:styleId="TOC52">
    <w:name w:val="TOC 52"/>
    <w:basedOn w:val="Normal"/>
    <w:next w:val="Normal"/>
    <w:autoRedefine/>
    <w:unhideWhenUsed/>
    <w:rsid w:val="00F65785"/>
    <w:pPr>
      <w:spacing w:after="0"/>
      <w:ind w:left="800"/>
    </w:pPr>
    <w:rPr>
      <w:rFonts w:asciiTheme="minorHAnsi" w:hAnsiTheme="minorHAnsi"/>
      <w:color w:val="7F7F7F"/>
      <w:szCs w:val="20"/>
    </w:rPr>
  </w:style>
  <w:style w:type="paragraph" w:customStyle="1" w:styleId="TOC62">
    <w:name w:val="TOC 62"/>
    <w:basedOn w:val="Normal"/>
    <w:next w:val="Normal"/>
    <w:autoRedefine/>
    <w:unhideWhenUsed/>
    <w:rsid w:val="00F65785"/>
    <w:pPr>
      <w:spacing w:after="0"/>
      <w:ind w:left="1000"/>
    </w:pPr>
    <w:rPr>
      <w:rFonts w:asciiTheme="minorHAnsi" w:hAnsiTheme="minorHAnsi"/>
      <w:color w:val="7F7F7F"/>
      <w:szCs w:val="20"/>
    </w:rPr>
  </w:style>
  <w:style w:type="paragraph" w:customStyle="1" w:styleId="TOC72">
    <w:name w:val="TOC 72"/>
    <w:basedOn w:val="Normal"/>
    <w:next w:val="Normal"/>
    <w:autoRedefine/>
    <w:unhideWhenUsed/>
    <w:rsid w:val="00F65785"/>
    <w:pPr>
      <w:spacing w:after="0"/>
      <w:ind w:left="1200"/>
    </w:pPr>
    <w:rPr>
      <w:rFonts w:asciiTheme="minorHAnsi" w:hAnsiTheme="minorHAnsi"/>
      <w:color w:val="7F7F7F"/>
      <w:szCs w:val="20"/>
    </w:rPr>
  </w:style>
  <w:style w:type="paragraph" w:customStyle="1" w:styleId="TOC82">
    <w:name w:val="TOC 82"/>
    <w:basedOn w:val="Normal"/>
    <w:next w:val="Normal"/>
    <w:autoRedefine/>
    <w:unhideWhenUsed/>
    <w:rsid w:val="00F65785"/>
    <w:pPr>
      <w:spacing w:after="0"/>
      <w:ind w:left="1400"/>
    </w:pPr>
    <w:rPr>
      <w:rFonts w:asciiTheme="minorHAnsi" w:hAnsiTheme="minorHAnsi"/>
      <w:color w:val="7F7F7F"/>
      <w:szCs w:val="20"/>
    </w:rPr>
  </w:style>
  <w:style w:type="paragraph" w:customStyle="1" w:styleId="TOC92">
    <w:name w:val="TOC 92"/>
    <w:basedOn w:val="Normal"/>
    <w:next w:val="Normal"/>
    <w:autoRedefine/>
    <w:unhideWhenUsed/>
    <w:rsid w:val="00F65785"/>
    <w:pPr>
      <w:spacing w:after="0"/>
      <w:ind w:left="1600"/>
    </w:pPr>
    <w:rPr>
      <w:rFonts w:asciiTheme="minorHAnsi" w:hAnsiTheme="minorHAnsi"/>
      <w:color w:val="7F7F7F"/>
      <w:szCs w:val="20"/>
    </w:rPr>
  </w:style>
  <w:style w:type="table" w:customStyle="1" w:styleId="ListTable3-Accent26">
    <w:name w:val="List Table 3 - Accent 26"/>
    <w:basedOn w:val="TableNormal"/>
    <w:next w:val="ListTable3-Accent2"/>
    <w:uiPriority w:val="48"/>
    <w:rsid w:val="00F65785"/>
    <w:pPr>
      <w:spacing w:after="0"/>
    </w:pPr>
    <w:rPr>
      <w:rFonts w:ascii="Calibri Light" w:hAnsi="Calibri Light"/>
      <w:color w:val="4D4D4D"/>
    </w:rPr>
    <w:tblPr>
      <w:tblStyleRowBandSize w:val="1"/>
      <w:tblStyleColBandSize w:val="1"/>
      <w:tblBorders>
        <w:top w:val="single" w:sz="4" w:space="0" w:color="148A5D"/>
        <w:bottom w:val="single" w:sz="4" w:space="0" w:color="148A5D"/>
      </w:tblBorders>
    </w:tblPr>
    <w:tblStylePr w:type="firstRow">
      <w:rPr>
        <w:rFonts w:ascii="Calibri Light" w:hAnsi="Calibri Light"/>
        <w:b/>
        <w:bCs/>
        <w:color w:val="FFFFFF"/>
        <w:sz w:val="22"/>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22">
    <w:name w:val="List Table 3 - Accent 222"/>
    <w:basedOn w:val="TableNormal"/>
    <w:next w:val="ListTable3-Accent2"/>
    <w:uiPriority w:val="48"/>
    <w:rsid w:val="00F65785"/>
    <w:pPr>
      <w:spacing w:after="0"/>
    </w:pPr>
    <w:rPr>
      <w:rFonts w:ascii="Calibri Light" w:eastAsia="Rockwell" w:hAnsi="Calibri Light" w:cs="Times New Roman"/>
      <w:color w:val="FFFFFF"/>
    </w:rPr>
    <w:tblPr>
      <w:tblStyleRowBandSize w:val="1"/>
      <w:tblStyleColBandSize w:val="1"/>
      <w:tblInd w:w="0" w:type="nil"/>
      <w:tblBorders>
        <w:top w:val="single" w:sz="4" w:space="0" w:color="148A5D"/>
        <w:bottom w:val="single" w:sz="4" w:space="0" w:color="148A5D"/>
      </w:tblBorders>
    </w:tblPr>
    <w:tcPr>
      <w:vAlign w:val="center"/>
    </w:tc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26664E"/>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2">
    <w:name w:val="No List12"/>
    <w:next w:val="NoList"/>
    <w:uiPriority w:val="99"/>
    <w:semiHidden/>
    <w:unhideWhenUsed/>
    <w:rsid w:val="00F65785"/>
  </w:style>
  <w:style w:type="numbering" w:customStyle="1" w:styleId="ZZBullets1">
    <w:name w:val="ZZ Bullets1"/>
    <w:rsid w:val="00F65785"/>
  </w:style>
  <w:style w:type="numbering" w:customStyle="1" w:styleId="ZZNumbersdigit1">
    <w:name w:val="ZZ Numbers digit1"/>
    <w:basedOn w:val="NoList"/>
    <w:uiPriority w:val="99"/>
    <w:rsid w:val="00F65785"/>
    <w:pPr>
      <w:numPr>
        <w:numId w:val="2"/>
      </w:numPr>
    </w:pPr>
  </w:style>
  <w:style w:type="numbering" w:customStyle="1" w:styleId="ZZNumbersloweralpha1">
    <w:name w:val="ZZ Numbers lower alpha1"/>
    <w:basedOn w:val="NoList"/>
    <w:rsid w:val="00F65785"/>
    <w:pPr>
      <w:numPr>
        <w:numId w:val="3"/>
      </w:numPr>
    </w:pPr>
  </w:style>
  <w:style w:type="numbering" w:customStyle="1" w:styleId="ZZNumberslowerroman1">
    <w:name w:val="ZZ Numbers lower roman1"/>
    <w:basedOn w:val="NoList"/>
    <w:uiPriority w:val="99"/>
    <w:rsid w:val="00F65785"/>
  </w:style>
  <w:style w:type="numbering" w:customStyle="1" w:styleId="ZZQuotebullets1">
    <w:name w:val="ZZ Quote bullets1"/>
    <w:basedOn w:val="NoList"/>
    <w:uiPriority w:val="99"/>
    <w:rsid w:val="00F65785"/>
    <w:pPr>
      <w:numPr>
        <w:numId w:val="5"/>
      </w:numPr>
    </w:pPr>
  </w:style>
  <w:style w:type="numbering" w:customStyle="1" w:styleId="ZZTablebullets1">
    <w:name w:val="ZZ Table bullets1"/>
    <w:basedOn w:val="ZZBullets"/>
    <w:uiPriority w:val="99"/>
    <w:rsid w:val="00F65785"/>
    <w:pPr>
      <w:numPr>
        <w:numId w:val="4"/>
      </w:numPr>
    </w:pPr>
  </w:style>
  <w:style w:type="table" w:customStyle="1" w:styleId="ListTable6Colorful-Accent32">
    <w:name w:val="List Table 6 Colorful - Accent 32"/>
    <w:basedOn w:val="TableNormal"/>
    <w:next w:val="ListTable6Colorful-Accent3"/>
    <w:uiPriority w:val="51"/>
    <w:rsid w:val="00F65785"/>
    <w:pPr>
      <w:spacing w:after="0"/>
    </w:pPr>
    <w:rPr>
      <w:rFonts w:ascii="Times New Roman" w:eastAsia="Times New Roman" w:hAnsi="Times New Roman" w:cs="Times New Roman"/>
      <w:color w:val="48965E"/>
      <w:sz w:val="20"/>
      <w:szCs w:val="20"/>
      <w:lang w:eastAsia="en-AU"/>
    </w:rPr>
    <w:tblPr>
      <w:tblStyleRowBandSize w:val="1"/>
      <w:tblStyleColBandSize w:val="1"/>
      <w:tblBorders>
        <w:top w:val="single" w:sz="4" w:space="0" w:color="70BA85"/>
        <w:bottom w:val="single" w:sz="4" w:space="0" w:color="70BA85"/>
      </w:tblBorders>
    </w:tblPr>
    <w:tblStylePr w:type="firstRow">
      <w:rPr>
        <w:b/>
        <w:bCs/>
      </w:rPr>
      <w:tblPr/>
      <w:tcPr>
        <w:tcBorders>
          <w:bottom w:val="single" w:sz="4" w:space="0" w:color="70BA85"/>
        </w:tcBorders>
      </w:tcPr>
    </w:tblStylePr>
    <w:tblStylePr w:type="lastRow">
      <w:rPr>
        <w:b/>
        <w:bCs/>
      </w:rPr>
      <w:tblPr/>
      <w:tcPr>
        <w:tcBorders>
          <w:top w:val="double" w:sz="4" w:space="0" w:color="70BA8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ListTable1Light-Accent32">
    <w:name w:val="List Table 1 Light - Accent 32"/>
    <w:basedOn w:val="TableNormal"/>
    <w:next w:val="ListTable1Light-Accent3"/>
    <w:uiPriority w:val="46"/>
    <w:rsid w:val="00F65785"/>
    <w:pPr>
      <w:spacing w:after="0" w:line="360" w:lineRule="auto"/>
    </w:pPr>
    <w:tblPr>
      <w:tblStyleRowBandSize w:val="1"/>
      <w:tblStyleColBandSize w:val="1"/>
    </w:tblPr>
    <w:tblStylePr w:type="firstRow">
      <w:rPr>
        <w:b/>
        <w:bCs/>
      </w:rPr>
      <w:tblPr/>
      <w:tcPr>
        <w:tcBorders>
          <w:bottom w:val="single" w:sz="4" w:space="0" w:color="A9D5B5"/>
        </w:tcBorders>
      </w:tcPr>
    </w:tblStylePr>
    <w:tblStylePr w:type="lastRow">
      <w:rPr>
        <w:b/>
        <w:bCs/>
      </w:rPr>
      <w:tblPr/>
      <w:tcPr>
        <w:tcBorders>
          <w:top w:val="single" w:sz="4" w:space="0" w:color="A9D5B5"/>
        </w:tcBorders>
      </w:tcPr>
    </w:tblStylePr>
    <w:tblStylePr w:type="firstCol">
      <w:rPr>
        <w:b/>
        <w:bCs/>
      </w:rPr>
    </w:tblStylePr>
    <w:tblStylePr w:type="lastCol">
      <w:rPr>
        <w:b/>
        <w:bCs/>
      </w:rPr>
    </w:tblStylePr>
    <w:tblStylePr w:type="band1Vert">
      <w:tblPr/>
      <w:tcPr>
        <w:shd w:val="clear" w:color="auto" w:fill="E2F1E6"/>
      </w:tcPr>
    </w:tblStylePr>
    <w:tblStylePr w:type="band1Horz">
      <w:tblPr/>
      <w:tcPr>
        <w:shd w:val="clear" w:color="auto" w:fill="E2F1E6"/>
      </w:tcPr>
    </w:tblStylePr>
  </w:style>
  <w:style w:type="table" w:customStyle="1" w:styleId="VIRTtable2">
    <w:name w:val="VIRT table2"/>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numbering" w:customStyle="1" w:styleId="NoList111">
    <w:name w:val="No List111"/>
    <w:next w:val="NoList"/>
    <w:uiPriority w:val="99"/>
    <w:semiHidden/>
    <w:unhideWhenUsed/>
    <w:rsid w:val="00F65785"/>
  </w:style>
  <w:style w:type="table" w:customStyle="1" w:styleId="VIRTtable11">
    <w:name w:val="VIRT table11"/>
    <w:basedOn w:val="VIRTTablestyle1"/>
    <w:uiPriority w:val="99"/>
    <w:rsid w:val="00F65785"/>
    <w:rPr>
      <w:rFonts w:ascii="Calibri Light" w:hAnsi="Calibri Light"/>
      <w:color w:val="4D4D4D"/>
      <w:sz w:val="22"/>
    </w:rPr>
    <w:tblPr>
      <w:tblStyleColBandSize w:val="1"/>
      <w:tblBorders>
        <w:top w:val="single" w:sz="4" w:space="0" w:color="148A5D"/>
        <w:bottom w:val="single" w:sz="4" w:space="0" w:color="148A5D"/>
        <w:insideH w:val="single" w:sz="4" w:space="0" w:color="148A5D"/>
      </w:tblBorders>
    </w:tblPr>
    <w:tcPr>
      <w:shd w:val="clear" w:color="auto" w:fill="auto"/>
    </w:tcPr>
    <w:tblStylePr w:type="firstRow">
      <w:pPr>
        <w:wordWrap/>
        <w:spacing w:line="240" w:lineRule="auto"/>
        <w:jc w:val="left"/>
      </w:pPr>
      <w:rPr>
        <w:rFonts w:ascii="Calibri Light" w:hAnsi="Calibri Light" w:cs="Arial" w:hint="default"/>
        <w:b/>
        <w:color w:val="FFFFFF"/>
        <w:sz w:val="22"/>
      </w:rPr>
      <w:tblPr/>
      <w:tcPr>
        <w:tcBorders>
          <w:top w:val="nil"/>
          <w:left w:val="nil"/>
          <w:bottom w:val="nil"/>
          <w:right w:val="nil"/>
          <w:insideH w:val="nil"/>
          <w:insideV w:val="nil"/>
          <w:tl2br w:val="nil"/>
          <w:tr2bl w:val="nil"/>
        </w:tcBorders>
        <w:shd w:val="clear" w:color="auto" w:fill="148A5D"/>
      </w:tcPr>
    </w:tblStylePr>
    <w:tblStylePr w:type="firstCol">
      <w:rPr>
        <w:rFonts w:ascii="Arial" w:hAnsi="Arial" w:cs="Arial" w:hint="default"/>
        <w:b/>
      </w:rPr>
    </w:tblStylePr>
    <w:tblStylePr w:type="band1Horz">
      <w:tblPr/>
      <w:tcPr>
        <w:shd w:val="clear" w:color="auto" w:fill="F2F2F2"/>
      </w:tcPr>
    </w:tblStylePr>
  </w:style>
  <w:style w:type="paragraph" w:customStyle="1" w:styleId="Tableheadingrightaligned">
    <w:name w:val="Table heading right aligned"/>
    <w:link w:val="TableheadingrightalignedChar"/>
    <w:rsid w:val="00FE02B8"/>
    <w:pPr>
      <w:spacing w:after="0"/>
      <w:jc w:val="right"/>
    </w:pPr>
    <w:rPr>
      <w:rFonts w:ascii="Calibri Light" w:hAnsi="Calibri Light" w:cs="Times New Roman (Body CS)"/>
      <w:b/>
      <w:color w:val="FFFFFF" w:themeColor="background1"/>
      <w:szCs w:val="44"/>
    </w:rPr>
  </w:style>
  <w:style w:type="character" w:customStyle="1" w:styleId="TableheadingrightalignedChar">
    <w:name w:val="Table heading right aligned Char"/>
    <w:basedOn w:val="DefaultParagraphFont"/>
    <w:link w:val="Tableheadingrightaligned"/>
    <w:rsid w:val="00FE02B8"/>
    <w:rPr>
      <w:rFonts w:ascii="Calibri Light" w:hAnsi="Calibri Light" w:cs="Times New Roman (Body CS)"/>
      <w:b/>
      <w:color w:val="FFFFFF" w:themeColor="background1"/>
      <w:szCs w:val="44"/>
    </w:rPr>
  </w:style>
  <w:style w:type="paragraph" w:customStyle="1" w:styleId="VIRTalphanumericallist">
    <w:name w:val="VIRT alphanumerical list"/>
    <w:basedOn w:val="Normal"/>
    <w:qFormat/>
    <w:rsid w:val="0072611B"/>
    <w:pPr>
      <w:numPr>
        <w:numId w:val="11"/>
      </w:numPr>
      <w:spacing w:after="240" w:line="276" w:lineRule="auto"/>
      <w:contextualSpacing/>
      <w:jc w:val="both"/>
    </w:pPr>
    <w:rPr>
      <w:rFonts w:ascii="Calibri Light" w:hAnsi="Calibri Light" w:cs="Arial"/>
      <w:noProof/>
      <w:color w:val="4D4D4D" w:themeColor="accent6"/>
      <w:sz w:val="26"/>
      <w:szCs w:val="20"/>
      <w:lang w:val="en-US"/>
    </w:rPr>
  </w:style>
  <w:style w:type="table" w:customStyle="1" w:styleId="ListTable3-Accent27">
    <w:name w:val="List Table 3 - Accent 27"/>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8">
    <w:name w:val="List Table 3 - Accent 28"/>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9">
    <w:name w:val="List Table 3 - Accent 29"/>
    <w:basedOn w:val="TableNormal"/>
    <w:next w:val="ListTable3-Accent2"/>
    <w:uiPriority w:val="48"/>
    <w:rsid w:val="007D6ED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Default">
    <w:name w:val="Default"/>
    <w:rsid w:val="00CA724F"/>
    <w:pPr>
      <w:autoSpaceDE w:val="0"/>
      <w:autoSpaceDN w:val="0"/>
      <w:adjustRightInd w:val="0"/>
      <w:spacing w:after="0"/>
    </w:pPr>
    <w:rPr>
      <w:rFonts w:ascii="Arial" w:hAnsi="Arial" w:cs="Arial"/>
      <w:color w:val="000000"/>
      <w:sz w:val="24"/>
      <w:szCs w:val="24"/>
    </w:rPr>
  </w:style>
  <w:style w:type="table" w:customStyle="1" w:styleId="ListTable3-Accent212">
    <w:name w:val="List Table 3 - Accent 212"/>
    <w:basedOn w:val="TableNormal"/>
    <w:uiPriority w:val="48"/>
    <w:locked/>
    <w:rsid w:val="00F95E01"/>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3">
    <w:name w:val="List Table 3 - Accent 213"/>
    <w:basedOn w:val="TableNormal"/>
    <w:uiPriority w:val="48"/>
    <w:locked/>
    <w:rsid w:val="00F655AC"/>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Paragraphbeforeabulletlist">
    <w:name w:val="Paragraph before a bullet list"/>
    <w:basedOn w:val="Paragraph"/>
    <w:link w:val="ParagraphbeforeabulletlistChar"/>
    <w:locked/>
    <w:rsid w:val="00E962CC"/>
    <w:rPr>
      <w:rFonts w:eastAsiaTheme="minorEastAsia" w:cs="Times New Roman (Body CS)"/>
      <w:szCs w:val="44"/>
    </w:rPr>
  </w:style>
  <w:style w:type="character" w:customStyle="1" w:styleId="ParagraphbeforeabulletlistChar">
    <w:name w:val="Paragraph before a bullet list Char"/>
    <w:basedOn w:val="DefaultParagraphFont"/>
    <w:link w:val="Paragraphbeforeabulletlist"/>
    <w:rsid w:val="00E962CC"/>
    <w:rPr>
      <w:rFonts w:ascii="Calibri Light" w:eastAsiaTheme="minorEastAsia" w:hAnsi="Calibri Light" w:cs="Times New Roman (Body CS)"/>
      <w:color w:val="4D4D4D" w:themeColor="accent6"/>
      <w:sz w:val="26"/>
      <w:szCs w:val="44"/>
    </w:rPr>
  </w:style>
  <w:style w:type="paragraph" w:customStyle="1" w:styleId="paragraph0">
    <w:name w:val="paragraph"/>
    <w:basedOn w:val="Normal"/>
    <w:rsid w:val="00490216"/>
    <w:pPr>
      <w:spacing w:after="0"/>
    </w:pPr>
    <w:rPr>
      <w:rFonts w:ascii="Times New Roman" w:eastAsia="Times New Roman" w:hAnsi="Times New Roman" w:cs="Times New Roman"/>
      <w:color w:val="auto"/>
      <w:sz w:val="24"/>
      <w:szCs w:val="24"/>
      <w:lang w:eastAsia="en-AU"/>
    </w:rPr>
  </w:style>
  <w:style w:type="character" w:customStyle="1" w:styleId="textrun">
    <w:name w:val="textrun"/>
    <w:basedOn w:val="DefaultParagraphFont"/>
    <w:rsid w:val="00490216"/>
  </w:style>
  <w:style w:type="character" w:customStyle="1" w:styleId="normaltextrun1">
    <w:name w:val="normaltextrun1"/>
    <w:basedOn w:val="DefaultParagraphFont"/>
    <w:rsid w:val="00490216"/>
  </w:style>
  <w:style w:type="character" w:customStyle="1" w:styleId="eop">
    <w:name w:val="eop"/>
    <w:basedOn w:val="DefaultParagraphFont"/>
    <w:rsid w:val="00490216"/>
  </w:style>
  <w:style w:type="table" w:customStyle="1" w:styleId="ListTable3-Accent210">
    <w:name w:val="List Table 3 - Accent 210"/>
    <w:basedOn w:val="TableNormal"/>
    <w:next w:val="ListTable3-Accent2"/>
    <w:uiPriority w:val="48"/>
    <w:locked/>
    <w:rsid w:val="00E26DC5"/>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normaltextrun">
    <w:name w:val="normaltextrun"/>
    <w:basedOn w:val="DefaultParagraphFont"/>
    <w:rsid w:val="00A12F86"/>
  </w:style>
  <w:style w:type="character" w:customStyle="1" w:styleId="findhit">
    <w:name w:val="findhit"/>
    <w:basedOn w:val="DefaultParagraphFont"/>
    <w:rsid w:val="00A12F86"/>
  </w:style>
  <w:style w:type="character" w:customStyle="1" w:styleId="Sub-parabulletsChar">
    <w:name w:val="Sub-para bullets Char"/>
    <w:basedOn w:val="DefaultParagraphFont"/>
    <w:link w:val="Sub-parabullets"/>
    <w:locked/>
    <w:rsid w:val="00677C1D"/>
    <w:rPr>
      <w:rFonts w:ascii="Calibri Light" w:hAnsi="Calibri Light" w:cs="Arial"/>
      <w:color w:val="4D4D4D" w:themeColor="accent6"/>
      <w:sz w:val="26"/>
      <w:szCs w:val="20"/>
    </w:rPr>
  </w:style>
  <w:style w:type="paragraph" w:customStyle="1" w:styleId="Sub-parabullets">
    <w:name w:val="Sub-para bullets"/>
    <w:link w:val="Sub-parabulletsChar"/>
    <w:rsid w:val="00677C1D"/>
    <w:pPr>
      <w:spacing w:after="120" w:line="276" w:lineRule="auto"/>
    </w:pPr>
    <w:rPr>
      <w:rFonts w:ascii="Calibri Light" w:hAnsi="Calibri Light" w:cs="Arial"/>
      <w:color w:val="4D4D4D" w:themeColor="accent6"/>
      <w:sz w:val="26"/>
      <w:szCs w:val="20"/>
    </w:rPr>
  </w:style>
  <w:style w:type="paragraph" w:customStyle="1" w:styleId="Reference">
    <w:name w:val="Reference"/>
    <w:basedOn w:val="Normal"/>
    <w:qFormat/>
    <w:rsid w:val="00562281"/>
    <w:pPr>
      <w:spacing w:after="120"/>
    </w:pPr>
    <w:rPr>
      <w:rFonts w:ascii="Helvetica Neue" w:eastAsia="Cambria" w:hAnsi="Helvetica Neue" w:cs="Times New Roman"/>
      <w:i/>
      <w:color w:val="auto"/>
      <w:sz w:val="12"/>
      <w:szCs w:val="24"/>
    </w:rPr>
  </w:style>
  <w:style w:type="paragraph" w:customStyle="1" w:styleId="BasicParagraph">
    <w:name w:val="[Basic Paragraph]"/>
    <w:basedOn w:val="Normal"/>
    <w:uiPriority w:val="99"/>
    <w:rsid w:val="00562281"/>
    <w:pPr>
      <w:widowControl w:val="0"/>
      <w:autoSpaceDE w:val="0"/>
      <w:autoSpaceDN w:val="0"/>
      <w:adjustRightInd w:val="0"/>
      <w:spacing w:after="0" w:line="288" w:lineRule="auto"/>
      <w:textAlignment w:val="center"/>
    </w:pPr>
    <w:rPr>
      <w:rFonts w:ascii="MinionPro-Regular" w:hAnsi="MinionPro-Regular" w:cs="MinionPro-Regular"/>
      <w:color w:val="000000"/>
      <w:szCs w:val="24"/>
      <w:lang w:val="en-GB"/>
    </w:rPr>
  </w:style>
  <w:style w:type="paragraph" w:customStyle="1" w:styleId="VirtHeading30">
    <w:name w:val="Virt Heading 3"/>
    <w:basedOn w:val="ListParagraph"/>
    <w:link w:val="VirtHeading3Char0"/>
    <w:rsid w:val="00562281"/>
    <w:pPr>
      <w:spacing w:before="480" w:after="240"/>
      <w:ind w:left="0" w:firstLine="0"/>
    </w:pPr>
    <w:rPr>
      <w:rFonts w:ascii="Rockwell" w:hAnsi="Rockwell" w:cs="Times New Roman (Body CS)"/>
      <w:noProof/>
      <w:color w:val="007449"/>
      <w:sz w:val="30"/>
      <w:szCs w:val="32"/>
      <w:lang w:val="en-US"/>
    </w:rPr>
  </w:style>
  <w:style w:type="character" w:customStyle="1" w:styleId="VirtHeading3Char0">
    <w:name w:val="Virt Heading 3 Char"/>
    <w:basedOn w:val="ListParagraphChar"/>
    <w:link w:val="VirtHeading30"/>
    <w:rsid w:val="00562281"/>
    <w:rPr>
      <w:rFonts w:ascii="Rockwell" w:hAnsi="Rockwell" w:cs="Times New Roman (Body CS)"/>
      <w:noProof/>
      <w:color w:val="007449"/>
      <w:sz w:val="30"/>
      <w:szCs w:val="32"/>
      <w:lang w:val="en-US"/>
    </w:rPr>
  </w:style>
  <w:style w:type="table" w:styleId="TableGridLight">
    <w:name w:val="Grid Table Light"/>
    <w:basedOn w:val="TableNormal"/>
    <w:rsid w:val="00562281"/>
    <w:pPr>
      <w:spacing w:after="0"/>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
    <w:name w:val="No List3"/>
    <w:next w:val="NoList"/>
    <w:uiPriority w:val="99"/>
    <w:semiHidden/>
    <w:unhideWhenUsed/>
    <w:rsid w:val="000B718F"/>
  </w:style>
  <w:style w:type="table" w:customStyle="1" w:styleId="ListTable3-Accent214">
    <w:name w:val="List Table 3 - Accent 214"/>
    <w:basedOn w:val="TableNormal"/>
    <w:next w:val="ListTable3-Accent2"/>
    <w:uiPriority w:val="48"/>
    <w:rsid w:val="000B718F"/>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Bullets2">
    <w:name w:val="ZZ Bullets2"/>
    <w:rsid w:val="000B718F"/>
  </w:style>
  <w:style w:type="table" w:customStyle="1" w:styleId="TableGridLight2">
    <w:name w:val="Table Grid Light2"/>
    <w:basedOn w:val="TableNormal"/>
    <w:next w:val="TableGridLight"/>
    <w:rsid w:val="000B718F"/>
    <w:pPr>
      <w:spacing w:after="0"/>
    </w:pPr>
    <w:rPr>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691">
      <w:bodyDiv w:val="1"/>
      <w:marLeft w:val="0"/>
      <w:marRight w:val="0"/>
      <w:marTop w:val="0"/>
      <w:marBottom w:val="0"/>
      <w:divBdr>
        <w:top w:val="none" w:sz="0" w:space="0" w:color="auto"/>
        <w:left w:val="none" w:sz="0" w:space="0" w:color="auto"/>
        <w:bottom w:val="none" w:sz="0" w:space="0" w:color="auto"/>
        <w:right w:val="none" w:sz="0" w:space="0" w:color="auto"/>
      </w:divBdr>
    </w:div>
    <w:div w:id="55401741">
      <w:bodyDiv w:val="1"/>
      <w:marLeft w:val="0"/>
      <w:marRight w:val="0"/>
      <w:marTop w:val="0"/>
      <w:marBottom w:val="0"/>
      <w:divBdr>
        <w:top w:val="none" w:sz="0" w:space="0" w:color="auto"/>
        <w:left w:val="none" w:sz="0" w:space="0" w:color="auto"/>
        <w:bottom w:val="none" w:sz="0" w:space="0" w:color="auto"/>
        <w:right w:val="none" w:sz="0" w:space="0" w:color="auto"/>
      </w:divBdr>
    </w:div>
    <w:div w:id="74472166">
      <w:bodyDiv w:val="1"/>
      <w:marLeft w:val="0"/>
      <w:marRight w:val="0"/>
      <w:marTop w:val="0"/>
      <w:marBottom w:val="0"/>
      <w:divBdr>
        <w:top w:val="none" w:sz="0" w:space="0" w:color="auto"/>
        <w:left w:val="none" w:sz="0" w:space="0" w:color="auto"/>
        <w:bottom w:val="none" w:sz="0" w:space="0" w:color="auto"/>
        <w:right w:val="none" w:sz="0" w:space="0" w:color="auto"/>
      </w:divBdr>
    </w:div>
    <w:div w:id="83962789">
      <w:bodyDiv w:val="1"/>
      <w:marLeft w:val="0"/>
      <w:marRight w:val="0"/>
      <w:marTop w:val="0"/>
      <w:marBottom w:val="0"/>
      <w:divBdr>
        <w:top w:val="none" w:sz="0" w:space="0" w:color="auto"/>
        <w:left w:val="none" w:sz="0" w:space="0" w:color="auto"/>
        <w:bottom w:val="none" w:sz="0" w:space="0" w:color="auto"/>
        <w:right w:val="none" w:sz="0" w:space="0" w:color="auto"/>
      </w:divBdr>
      <w:divsChild>
        <w:div w:id="1220508888">
          <w:marLeft w:val="446"/>
          <w:marRight w:val="0"/>
          <w:marTop w:val="0"/>
          <w:marBottom w:val="0"/>
          <w:divBdr>
            <w:top w:val="none" w:sz="0" w:space="0" w:color="auto"/>
            <w:left w:val="none" w:sz="0" w:space="0" w:color="auto"/>
            <w:bottom w:val="none" w:sz="0" w:space="0" w:color="auto"/>
            <w:right w:val="none" w:sz="0" w:space="0" w:color="auto"/>
          </w:divBdr>
        </w:div>
      </w:divsChild>
    </w:div>
    <w:div w:id="91165822">
      <w:bodyDiv w:val="1"/>
      <w:marLeft w:val="0"/>
      <w:marRight w:val="0"/>
      <w:marTop w:val="0"/>
      <w:marBottom w:val="0"/>
      <w:divBdr>
        <w:top w:val="none" w:sz="0" w:space="0" w:color="auto"/>
        <w:left w:val="none" w:sz="0" w:space="0" w:color="auto"/>
        <w:bottom w:val="none" w:sz="0" w:space="0" w:color="auto"/>
        <w:right w:val="none" w:sz="0" w:space="0" w:color="auto"/>
      </w:divBdr>
    </w:div>
    <w:div w:id="120152004">
      <w:bodyDiv w:val="1"/>
      <w:marLeft w:val="0"/>
      <w:marRight w:val="0"/>
      <w:marTop w:val="0"/>
      <w:marBottom w:val="0"/>
      <w:divBdr>
        <w:top w:val="none" w:sz="0" w:space="0" w:color="auto"/>
        <w:left w:val="none" w:sz="0" w:space="0" w:color="auto"/>
        <w:bottom w:val="none" w:sz="0" w:space="0" w:color="auto"/>
        <w:right w:val="none" w:sz="0" w:space="0" w:color="auto"/>
      </w:divBdr>
      <w:divsChild>
        <w:div w:id="1328022899">
          <w:marLeft w:val="446"/>
          <w:marRight w:val="0"/>
          <w:marTop w:val="0"/>
          <w:marBottom w:val="0"/>
          <w:divBdr>
            <w:top w:val="none" w:sz="0" w:space="0" w:color="auto"/>
            <w:left w:val="none" w:sz="0" w:space="0" w:color="auto"/>
            <w:bottom w:val="none" w:sz="0" w:space="0" w:color="auto"/>
            <w:right w:val="none" w:sz="0" w:space="0" w:color="auto"/>
          </w:divBdr>
        </w:div>
      </w:divsChild>
    </w:div>
    <w:div w:id="125046674">
      <w:bodyDiv w:val="1"/>
      <w:marLeft w:val="0"/>
      <w:marRight w:val="0"/>
      <w:marTop w:val="0"/>
      <w:marBottom w:val="0"/>
      <w:divBdr>
        <w:top w:val="none" w:sz="0" w:space="0" w:color="auto"/>
        <w:left w:val="none" w:sz="0" w:space="0" w:color="auto"/>
        <w:bottom w:val="none" w:sz="0" w:space="0" w:color="auto"/>
        <w:right w:val="none" w:sz="0" w:space="0" w:color="auto"/>
      </w:divBdr>
    </w:div>
    <w:div w:id="162742493">
      <w:bodyDiv w:val="1"/>
      <w:marLeft w:val="0"/>
      <w:marRight w:val="0"/>
      <w:marTop w:val="0"/>
      <w:marBottom w:val="0"/>
      <w:divBdr>
        <w:top w:val="none" w:sz="0" w:space="0" w:color="auto"/>
        <w:left w:val="none" w:sz="0" w:space="0" w:color="auto"/>
        <w:bottom w:val="none" w:sz="0" w:space="0" w:color="auto"/>
        <w:right w:val="none" w:sz="0" w:space="0" w:color="auto"/>
      </w:divBdr>
    </w:div>
    <w:div w:id="192575075">
      <w:bodyDiv w:val="1"/>
      <w:marLeft w:val="0"/>
      <w:marRight w:val="0"/>
      <w:marTop w:val="0"/>
      <w:marBottom w:val="0"/>
      <w:divBdr>
        <w:top w:val="none" w:sz="0" w:space="0" w:color="auto"/>
        <w:left w:val="none" w:sz="0" w:space="0" w:color="auto"/>
        <w:bottom w:val="none" w:sz="0" w:space="0" w:color="auto"/>
        <w:right w:val="none" w:sz="0" w:space="0" w:color="auto"/>
      </w:divBdr>
      <w:divsChild>
        <w:div w:id="88743979">
          <w:marLeft w:val="446"/>
          <w:marRight w:val="0"/>
          <w:marTop w:val="0"/>
          <w:marBottom w:val="0"/>
          <w:divBdr>
            <w:top w:val="none" w:sz="0" w:space="0" w:color="auto"/>
            <w:left w:val="none" w:sz="0" w:space="0" w:color="auto"/>
            <w:bottom w:val="none" w:sz="0" w:space="0" w:color="auto"/>
            <w:right w:val="none" w:sz="0" w:space="0" w:color="auto"/>
          </w:divBdr>
        </w:div>
        <w:div w:id="2068068489">
          <w:marLeft w:val="446"/>
          <w:marRight w:val="0"/>
          <w:marTop w:val="0"/>
          <w:marBottom w:val="0"/>
          <w:divBdr>
            <w:top w:val="none" w:sz="0" w:space="0" w:color="auto"/>
            <w:left w:val="none" w:sz="0" w:space="0" w:color="auto"/>
            <w:bottom w:val="none" w:sz="0" w:space="0" w:color="auto"/>
            <w:right w:val="none" w:sz="0" w:space="0" w:color="auto"/>
          </w:divBdr>
        </w:div>
      </w:divsChild>
    </w:div>
    <w:div w:id="214389471">
      <w:bodyDiv w:val="1"/>
      <w:marLeft w:val="0"/>
      <w:marRight w:val="0"/>
      <w:marTop w:val="0"/>
      <w:marBottom w:val="0"/>
      <w:divBdr>
        <w:top w:val="none" w:sz="0" w:space="0" w:color="auto"/>
        <w:left w:val="none" w:sz="0" w:space="0" w:color="auto"/>
        <w:bottom w:val="none" w:sz="0" w:space="0" w:color="auto"/>
        <w:right w:val="none" w:sz="0" w:space="0" w:color="auto"/>
      </w:divBdr>
    </w:div>
    <w:div w:id="228343094">
      <w:bodyDiv w:val="1"/>
      <w:marLeft w:val="0"/>
      <w:marRight w:val="0"/>
      <w:marTop w:val="0"/>
      <w:marBottom w:val="0"/>
      <w:divBdr>
        <w:top w:val="none" w:sz="0" w:space="0" w:color="auto"/>
        <w:left w:val="none" w:sz="0" w:space="0" w:color="auto"/>
        <w:bottom w:val="none" w:sz="0" w:space="0" w:color="auto"/>
        <w:right w:val="none" w:sz="0" w:space="0" w:color="auto"/>
      </w:divBdr>
      <w:divsChild>
        <w:div w:id="647057420">
          <w:marLeft w:val="446"/>
          <w:marRight w:val="0"/>
          <w:marTop w:val="0"/>
          <w:marBottom w:val="0"/>
          <w:divBdr>
            <w:top w:val="none" w:sz="0" w:space="0" w:color="auto"/>
            <w:left w:val="none" w:sz="0" w:space="0" w:color="auto"/>
            <w:bottom w:val="none" w:sz="0" w:space="0" w:color="auto"/>
            <w:right w:val="none" w:sz="0" w:space="0" w:color="auto"/>
          </w:divBdr>
        </w:div>
      </w:divsChild>
    </w:div>
    <w:div w:id="246497836">
      <w:bodyDiv w:val="1"/>
      <w:marLeft w:val="0"/>
      <w:marRight w:val="0"/>
      <w:marTop w:val="0"/>
      <w:marBottom w:val="0"/>
      <w:divBdr>
        <w:top w:val="none" w:sz="0" w:space="0" w:color="auto"/>
        <w:left w:val="none" w:sz="0" w:space="0" w:color="auto"/>
        <w:bottom w:val="none" w:sz="0" w:space="0" w:color="auto"/>
        <w:right w:val="none" w:sz="0" w:space="0" w:color="auto"/>
      </w:divBdr>
    </w:div>
    <w:div w:id="255285834">
      <w:bodyDiv w:val="1"/>
      <w:marLeft w:val="0"/>
      <w:marRight w:val="0"/>
      <w:marTop w:val="0"/>
      <w:marBottom w:val="0"/>
      <w:divBdr>
        <w:top w:val="none" w:sz="0" w:space="0" w:color="auto"/>
        <w:left w:val="none" w:sz="0" w:space="0" w:color="auto"/>
        <w:bottom w:val="none" w:sz="0" w:space="0" w:color="auto"/>
        <w:right w:val="none" w:sz="0" w:space="0" w:color="auto"/>
      </w:divBdr>
    </w:div>
    <w:div w:id="275646467">
      <w:bodyDiv w:val="1"/>
      <w:marLeft w:val="0"/>
      <w:marRight w:val="0"/>
      <w:marTop w:val="0"/>
      <w:marBottom w:val="0"/>
      <w:divBdr>
        <w:top w:val="none" w:sz="0" w:space="0" w:color="auto"/>
        <w:left w:val="none" w:sz="0" w:space="0" w:color="auto"/>
        <w:bottom w:val="none" w:sz="0" w:space="0" w:color="auto"/>
        <w:right w:val="none" w:sz="0" w:space="0" w:color="auto"/>
      </w:divBdr>
    </w:div>
    <w:div w:id="279386098">
      <w:bodyDiv w:val="1"/>
      <w:marLeft w:val="0"/>
      <w:marRight w:val="0"/>
      <w:marTop w:val="0"/>
      <w:marBottom w:val="0"/>
      <w:divBdr>
        <w:top w:val="none" w:sz="0" w:space="0" w:color="auto"/>
        <w:left w:val="none" w:sz="0" w:space="0" w:color="auto"/>
        <w:bottom w:val="none" w:sz="0" w:space="0" w:color="auto"/>
        <w:right w:val="none" w:sz="0" w:space="0" w:color="auto"/>
      </w:divBdr>
      <w:divsChild>
        <w:div w:id="607664406">
          <w:marLeft w:val="446"/>
          <w:marRight w:val="0"/>
          <w:marTop w:val="0"/>
          <w:marBottom w:val="0"/>
          <w:divBdr>
            <w:top w:val="none" w:sz="0" w:space="0" w:color="auto"/>
            <w:left w:val="none" w:sz="0" w:space="0" w:color="auto"/>
            <w:bottom w:val="none" w:sz="0" w:space="0" w:color="auto"/>
            <w:right w:val="none" w:sz="0" w:space="0" w:color="auto"/>
          </w:divBdr>
        </w:div>
      </w:divsChild>
    </w:div>
    <w:div w:id="327638454">
      <w:bodyDiv w:val="1"/>
      <w:marLeft w:val="0"/>
      <w:marRight w:val="0"/>
      <w:marTop w:val="0"/>
      <w:marBottom w:val="0"/>
      <w:divBdr>
        <w:top w:val="none" w:sz="0" w:space="0" w:color="auto"/>
        <w:left w:val="none" w:sz="0" w:space="0" w:color="auto"/>
        <w:bottom w:val="none" w:sz="0" w:space="0" w:color="auto"/>
        <w:right w:val="none" w:sz="0" w:space="0" w:color="auto"/>
      </w:divBdr>
    </w:div>
    <w:div w:id="360664082">
      <w:bodyDiv w:val="1"/>
      <w:marLeft w:val="0"/>
      <w:marRight w:val="0"/>
      <w:marTop w:val="0"/>
      <w:marBottom w:val="0"/>
      <w:divBdr>
        <w:top w:val="none" w:sz="0" w:space="0" w:color="auto"/>
        <w:left w:val="none" w:sz="0" w:space="0" w:color="auto"/>
        <w:bottom w:val="none" w:sz="0" w:space="0" w:color="auto"/>
        <w:right w:val="none" w:sz="0" w:space="0" w:color="auto"/>
      </w:divBdr>
      <w:divsChild>
        <w:div w:id="297999162">
          <w:marLeft w:val="547"/>
          <w:marRight w:val="0"/>
          <w:marTop w:val="120"/>
          <w:marBottom w:val="120"/>
          <w:divBdr>
            <w:top w:val="none" w:sz="0" w:space="0" w:color="auto"/>
            <w:left w:val="none" w:sz="0" w:space="0" w:color="auto"/>
            <w:bottom w:val="none" w:sz="0" w:space="0" w:color="auto"/>
            <w:right w:val="none" w:sz="0" w:space="0" w:color="auto"/>
          </w:divBdr>
        </w:div>
        <w:div w:id="1638990753">
          <w:marLeft w:val="547"/>
          <w:marRight w:val="0"/>
          <w:marTop w:val="120"/>
          <w:marBottom w:val="120"/>
          <w:divBdr>
            <w:top w:val="none" w:sz="0" w:space="0" w:color="auto"/>
            <w:left w:val="none" w:sz="0" w:space="0" w:color="auto"/>
            <w:bottom w:val="none" w:sz="0" w:space="0" w:color="auto"/>
            <w:right w:val="none" w:sz="0" w:space="0" w:color="auto"/>
          </w:divBdr>
        </w:div>
        <w:div w:id="1838882488">
          <w:marLeft w:val="547"/>
          <w:marRight w:val="0"/>
          <w:marTop w:val="120"/>
          <w:marBottom w:val="120"/>
          <w:divBdr>
            <w:top w:val="none" w:sz="0" w:space="0" w:color="auto"/>
            <w:left w:val="none" w:sz="0" w:space="0" w:color="auto"/>
            <w:bottom w:val="none" w:sz="0" w:space="0" w:color="auto"/>
            <w:right w:val="none" w:sz="0" w:space="0" w:color="auto"/>
          </w:divBdr>
        </w:div>
      </w:divsChild>
    </w:div>
    <w:div w:id="412706025">
      <w:bodyDiv w:val="1"/>
      <w:marLeft w:val="0"/>
      <w:marRight w:val="0"/>
      <w:marTop w:val="0"/>
      <w:marBottom w:val="0"/>
      <w:divBdr>
        <w:top w:val="none" w:sz="0" w:space="0" w:color="auto"/>
        <w:left w:val="none" w:sz="0" w:space="0" w:color="auto"/>
        <w:bottom w:val="none" w:sz="0" w:space="0" w:color="auto"/>
        <w:right w:val="none" w:sz="0" w:space="0" w:color="auto"/>
      </w:divBdr>
    </w:div>
    <w:div w:id="475686926">
      <w:bodyDiv w:val="1"/>
      <w:marLeft w:val="0"/>
      <w:marRight w:val="0"/>
      <w:marTop w:val="0"/>
      <w:marBottom w:val="0"/>
      <w:divBdr>
        <w:top w:val="none" w:sz="0" w:space="0" w:color="auto"/>
        <w:left w:val="none" w:sz="0" w:space="0" w:color="auto"/>
        <w:bottom w:val="none" w:sz="0" w:space="0" w:color="auto"/>
        <w:right w:val="none" w:sz="0" w:space="0" w:color="auto"/>
      </w:divBdr>
      <w:divsChild>
        <w:div w:id="99641288">
          <w:marLeft w:val="0"/>
          <w:marRight w:val="0"/>
          <w:marTop w:val="0"/>
          <w:marBottom w:val="0"/>
          <w:divBdr>
            <w:top w:val="none" w:sz="0" w:space="0" w:color="auto"/>
            <w:left w:val="none" w:sz="0" w:space="0" w:color="auto"/>
            <w:bottom w:val="none" w:sz="0" w:space="0" w:color="auto"/>
            <w:right w:val="none" w:sz="0" w:space="0" w:color="auto"/>
          </w:divBdr>
        </w:div>
      </w:divsChild>
    </w:div>
    <w:div w:id="509567083">
      <w:bodyDiv w:val="1"/>
      <w:marLeft w:val="0"/>
      <w:marRight w:val="0"/>
      <w:marTop w:val="0"/>
      <w:marBottom w:val="0"/>
      <w:divBdr>
        <w:top w:val="none" w:sz="0" w:space="0" w:color="auto"/>
        <w:left w:val="none" w:sz="0" w:space="0" w:color="auto"/>
        <w:bottom w:val="none" w:sz="0" w:space="0" w:color="auto"/>
        <w:right w:val="none" w:sz="0" w:space="0" w:color="auto"/>
      </w:divBdr>
      <w:divsChild>
        <w:div w:id="1984890037">
          <w:marLeft w:val="446"/>
          <w:marRight w:val="0"/>
          <w:marTop w:val="0"/>
          <w:marBottom w:val="0"/>
          <w:divBdr>
            <w:top w:val="none" w:sz="0" w:space="0" w:color="auto"/>
            <w:left w:val="none" w:sz="0" w:space="0" w:color="auto"/>
            <w:bottom w:val="none" w:sz="0" w:space="0" w:color="auto"/>
            <w:right w:val="none" w:sz="0" w:space="0" w:color="auto"/>
          </w:divBdr>
        </w:div>
      </w:divsChild>
    </w:div>
    <w:div w:id="535966096">
      <w:bodyDiv w:val="1"/>
      <w:marLeft w:val="0"/>
      <w:marRight w:val="0"/>
      <w:marTop w:val="0"/>
      <w:marBottom w:val="0"/>
      <w:divBdr>
        <w:top w:val="none" w:sz="0" w:space="0" w:color="auto"/>
        <w:left w:val="none" w:sz="0" w:space="0" w:color="auto"/>
        <w:bottom w:val="none" w:sz="0" w:space="0" w:color="auto"/>
        <w:right w:val="none" w:sz="0" w:space="0" w:color="auto"/>
      </w:divBdr>
    </w:div>
    <w:div w:id="543949949">
      <w:bodyDiv w:val="1"/>
      <w:marLeft w:val="0"/>
      <w:marRight w:val="0"/>
      <w:marTop w:val="0"/>
      <w:marBottom w:val="0"/>
      <w:divBdr>
        <w:top w:val="none" w:sz="0" w:space="0" w:color="auto"/>
        <w:left w:val="none" w:sz="0" w:space="0" w:color="auto"/>
        <w:bottom w:val="none" w:sz="0" w:space="0" w:color="auto"/>
        <w:right w:val="none" w:sz="0" w:space="0" w:color="auto"/>
      </w:divBdr>
    </w:div>
    <w:div w:id="556278172">
      <w:bodyDiv w:val="1"/>
      <w:marLeft w:val="0"/>
      <w:marRight w:val="0"/>
      <w:marTop w:val="0"/>
      <w:marBottom w:val="0"/>
      <w:divBdr>
        <w:top w:val="none" w:sz="0" w:space="0" w:color="auto"/>
        <w:left w:val="none" w:sz="0" w:space="0" w:color="auto"/>
        <w:bottom w:val="none" w:sz="0" w:space="0" w:color="auto"/>
        <w:right w:val="none" w:sz="0" w:space="0" w:color="auto"/>
      </w:divBdr>
    </w:div>
    <w:div w:id="584073947">
      <w:bodyDiv w:val="1"/>
      <w:marLeft w:val="0"/>
      <w:marRight w:val="0"/>
      <w:marTop w:val="0"/>
      <w:marBottom w:val="0"/>
      <w:divBdr>
        <w:top w:val="none" w:sz="0" w:space="0" w:color="auto"/>
        <w:left w:val="none" w:sz="0" w:space="0" w:color="auto"/>
        <w:bottom w:val="none" w:sz="0" w:space="0" w:color="auto"/>
        <w:right w:val="none" w:sz="0" w:space="0" w:color="auto"/>
      </w:divBdr>
    </w:div>
    <w:div w:id="599802915">
      <w:bodyDiv w:val="1"/>
      <w:marLeft w:val="0"/>
      <w:marRight w:val="0"/>
      <w:marTop w:val="0"/>
      <w:marBottom w:val="0"/>
      <w:divBdr>
        <w:top w:val="none" w:sz="0" w:space="0" w:color="auto"/>
        <w:left w:val="none" w:sz="0" w:space="0" w:color="auto"/>
        <w:bottom w:val="none" w:sz="0" w:space="0" w:color="auto"/>
        <w:right w:val="none" w:sz="0" w:space="0" w:color="auto"/>
      </w:divBdr>
    </w:div>
    <w:div w:id="603460371">
      <w:bodyDiv w:val="1"/>
      <w:marLeft w:val="0"/>
      <w:marRight w:val="0"/>
      <w:marTop w:val="0"/>
      <w:marBottom w:val="0"/>
      <w:divBdr>
        <w:top w:val="none" w:sz="0" w:space="0" w:color="auto"/>
        <w:left w:val="none" w:sz="0" w:space="0" w:color="auto"/>
        <w:bottom w:val="none" w:sz="0" w:space="0" w:color="auto"/>
        <w:right w:val="none" w:sz="0" w:space="0" w:color="auto"/>
      </w:divBdr>
      <w:divsChild>
        <w:div w:id="1415082901">
          <w:marLeft w:val="446"/>
          <w:marRight w:val="0"/>
          <w:marTop w:val="0"/>
          <w:marBottom w:val="0"/>
          <w:divBdr>
            <w:top w:val="none" w:sz="0" w:space="0" w:color="auto"/>
            <w:left w:val="none" w:sz="0" w:space="0" w:color="auto"/>
            <w:bottom w:val="none" w:sz="0" w:space="0" w:color="auto"/>
            <w:right w:val="none" w:sz="0" w:space="0" w:color="auto"/>
          </w:divBdr>
        </w:div>
        <w:div w:id="1487551263">
          <w:marLeft w:val="446"/>
          <w:marRight w:val="0"/>
          <w:marTop w:val="0"/>
          <w:marBottom w:val="0"/>
          <w:divBdr>
            <w:top w:val="none" w:sz="0" w:space="0" w:color="auto"/>
            <w:left w:val="none" w:sz="0" w:space="0" w:color="auto"/>
            <w:bottom w:val="none" w:sz="0" w:space="0" w:color="auto"/>
            <w:right w:val="none" w:sz="0" w:space="0" w:color="auto"/>
          </w:divBdr>
        </w:div>
      </w:divsChild>
    </w:div>
    <w:div w:id="626813102">
      <w:bodyDiv w:val="1"/>
      <w:marLeft w:val="0"/>
      <w:marRight w:val="0"/>
      <w:marTop w:val="0"/>
      <w:marBottom w:val="0"/>
      <w:divBdr>
        <w:top w:val="none" w:sz="0" w:space="0" w:color="auto"/>
        <w:left w:val="none" w:sz="0" w:space="0" w:color="auto"/>
        <w:bottom w:val="none" w:sz="0" w:space="0" w:color="auto"/>
        <w:right w:val="none" w:sz="0" w:space="0" w:color="auto"/>
      </w:divBdr>
    </w:div>
    <w:div w:id="627473622">
      <w:bodyDiv w:val="1"/>
      <w:marLeft w:val="0"/>
      <w:marRight w:val="0"/>
      <w:marTop w:val="0"/>
      <w:marBottom w:val="0"/>
      <w:divBdr>
        <w:top w:val="none" w:sz="0" w:space="0" w:color="auto"/>
        <w:left w:val="none" w:sz="0" w:space="0" w:color="auto"/>
        <w:bottom w:val="none" w:sz="0" w:space="0" w:color="auto"/>
        <w:right w:val="none" w:sz="0" w:space="0" w:color="auto"/>
      </w:divBdr>
    </w:div>
    <w:div w:id="628781033">
      <w:bodyDiv w:val="1"/>
      <w:marLeft w:val="0"/>
      <w:marRight w:val="0"/>
      <w:marTop w:val="0"/>
      <w:marBottom w:val="0"/>
      <w:divBdr>
        <w:top w:val="none" w:sz="0" w:space="0" w:color="auto"/>
        <w:left w:val="none" w:sz="0" w:space="0" w:color="auto"/>
        <w:bottom w:val="none" w:sz="0" w:space="0" w:color="auto"/>
        <w:right w:val="none" w:sz="0" w:space="0" w:color="auto"/>
      </w:divBdr>
    </w:div>
    <w:div w:id="629242828">
      <w:bodyDiv w:val="1"/>
      <w:marLeft w:val="0"/>
      <w:marRight w:val="0"/>
      <w:marTop w:val="0"/>
      <w:marBottom w:val="0"/>
      <w:divBdr>
        <w:top w:val="none" w:sz="0" w:space="0" w:color="auto"/>
        <w:left w:val="none" w:sz="0" w:space="0" w:color="auto"/>
        <w:bottom w:val="none" w:sz="0" w:space="0" w:color="auto"/>
        <w:right w:val="none" w:sz="0" w:space="0" w:color="auto"/>
      </w:divBdr>
      <w:divsChild>
        <w:div w:id="309292771">
          <w:marLeft w:val="446"/>
          <w:marRight w:val="0"/>
          <w:marTop w:val="0"/>
          <w:marBottom w:val="0"/>
          <w:divBdr>
            <w:top w:val="none" w:sz="0" w:space="0" w:color="auto"/>
            <w:left w:val="none" w:sz="0" w:space="0" w:color="auto"/>
            <w:bottom w:val="none" w:sz="0" w:space="0" w:color="auto"/>
            <w:right w:val="none" w:sz="0" w:space="0" w:color="auto"/>
          </w:divBdr>
        </w:div>
      </w:divsChild>
    </w:div>
    <w:div w:id="648095003">
      <w:bodyDiv w:val="1"/>
      <w:marLeft w:val="0"/>
      <w:marRight w:val="0"/>
      <w:marTop w:val="0"/>
      <w:marBottom w:val="0"/>
      <w:divBdr>
        <w:top w:val="none" w:sz="0" w:space="0" w:color="auto"/>
        <w:left w:val="none" w:sz="0" w:space="0" w:color="auto"/>
        <w:bottom w:val="none" w:sz="0" w:space="0" w:color="auto"/>
        <w:right w:val="none" w:sz="0" w:space="0" w:color="auto"/>
      </w:divBdr>
    </w:div>
    <w:div w:id="667750283">
      <w:bodyDiv w:val="1"/>
      <w:marLeft w:val="0"/>
      <w:marRight w:val="0"/>
      <w:marTop w:val="0"/>
      <w:marBottom w:val="0"/>
      <w:divBdr>
        <w:top w:val="none" w:sz="0" w:space="0" w:color="auto"/>
        <w:left w:val="none" w:sz="0" w:space="0" w:color="auto"/>
        <w:bottom w:val="none" w:sz="0" w:space="0" w:color="auto"/>
        <w:right w:val="none" w:sz="0" w:space="0" w:color="auto"/>
      </w:divBdr>
    </w:div>
    <w:div w:id="668144474">
      <w:bodyDiv w:val="1"/>
      <w:marLeft w:val="0"/>
      <w:marRight w:val="0"/>
      <w:marTop w:val="0"/>
      <w:marBottom w:val="0"/>
      <w:divBdr>
        <w:top w:val="none" w:sz="0" w:space="0" w:color="auto"/>
        <w:left w:val="none" w:sz="0" w:space="0" w:color="auto"/>
        <w:bottom w:val="none" w:sz="0" w:space="0" w:color="auto"/>
        <w:right w:val="none" w:sz="0" w:space="0" w:color="auto"/>
      </w:divBdr>
    </w:div>
    <w:div w:id="697894335">
      <w:bodyDiv w:val="1"/>
      <w:marLeft w:val="0"/>
      <w:marRight w:val="0"/>
      <w:marTop w:val="0"/>
      <w:marBottom w:val="0"/>
      <w:divBdr>
        <w:top w:val="none" w:sz="0" w:space="0" w:color="auto"/>
        <w:left w:val="none" w:sz="0" w:space="0" w:color="auto"/>
        <w:bottom w:val="none" w:sz="0" w:space="0" w:color="auto"/>
        <w:right w:val="none" w:sz="0" w:space="0" w:color="auto"/>
      </w:divBdr>
      <w:divsChild>
        <w:div w:id="378087494">
          <w:marLeft w:val="446"/>
          <w:marRight w:val="0"/>
          <w:marTop w:val="0"/>
          <w:marBottom w:val="0"/>
          <w:divBdr>
            <w:top w:val="none" w:sz="0" w:space="0" w:color="auto"/>
            <w:left w:val="none" w:sz="0" w:space="0" w:color="auto"/>
            <w:bottom w:val="none" w:sz="0" w:space="0" w:color="auto"/>
            <w:right w:val="none" w:sz="0" w:space="0" w:color="auto"/>
          </w:divBdr>
        </w:div>
        <w:div w:id="1072392423">
          <w:marLeft w:val="446"/>
          <w:marRight w:val="0"/>
          <w:marTop w:val="0"/>
          <w:marBottom w:val="0"/>
          <w:divBdr>
            <w:top w:val="none" w:sz="0" w:space="0" w:color="auto"/>
            <w:left w:val="none" w:sz="0" w:space="0" w:color="auto"/>
            <w:bottom w:val="none" w:sz="0" w:space="0" w:color="auto"/>
            <w:right w:val="none" w:sz="0" w:space="0" w:color="auto"/>
          </w:divBdr>
        </w:div>
      </w:divsChild>
    </w:div>
    <w:div w:id="701437788">
      <w:bodyDiv w:val="1"/>
      <w:marLeft w:val="0"/>
      <w:marRight w:val="0"/>
      <w:marTop w:val="0"/>
      <w:marBottom w:val="0"/>
      <w:divBdr>
        <w:top w:val="none" w:sz="0" w:space="0" w:color="auto"/>
        <w:left w:val="none" w:sz="0" w:space="0" w:color="auto"/>
        <w:bottom w:val="none" w:sz="0" w:space="0" w:color="auto"/>
        <w:right w:val="none" w:sz="0" w:space="0" w:color="auto"/>
      </w:divBdr>
    </w:div>
    <w:div w:id="724062199">
      <w:bodyDiv w:val="1"/>
      <w:marLeft w:val="0"/>
      <w:marRight w:val="0"/>
      <w:marTop w:val="0"/>
      <w:marBottom w:val="0"/>
      <w:divBdr>
        <w:top w:val="none" w:sz="0" w:space="0" w:color="auto"/>
        <w:left w:val="none" w:sz="0" w:space="0" w:color="auto"/>
        <w:bottom w:val="none" w:sz="0" w:space="0" w:color="auto"/>
        <w:right w:val="none" w:sz="0" w:space="0" w:color="auto"/>
      </w:divBdr>
    </w:div>
    <w:div w:id="743726601">
      <w:bodyDiv w:val="1"/>
      <w:marLeft w:val="0"/>
      <w:marRight w:val="0"/>
      <w:marTop w:val="0"/>
      <w:marBottom w:val="0"/>
      <w:divBdr>
        <w:top w:val="none" w:sz="0" w:space="0" w:color="auto"/>
        <w:left w:val="none" w:sz="0" w:space="0" w:color="auto"/>
        <w:bottom w:val="none" w:sz="0" w:space="0" w:color="auto"/>
        <w:right w:val="none" w:sz="0" w:space="0" w:color="auto"/>
      </w:divBdr>
      <w:divsChild>
        <w:div w:id="508642717">
          <w:marLeft w:val="446"/>
          <w:marRight w:val="0"/>
          <w:marTop w:val="0"/>
          <w:marBottom w:val="0"/>
          <w:divBdr>
            <w:top w:val="none" w:sz="0" w:space="0" w:color="auto"/>
            <w:left w:val="none" w:sz="0" w:space="0" w:color="auto"/>
            <w:bottom w:val="none" w:sz="0" w:space="0" w:color="auto"/>
            <w:right w:val="none" w:sz="0" w:space="0" w:color="auto"/>
          </w:divBdr>
        </w:div>
        <w:div w:id="850874880">
          <w:marLeft w:val="446"/>
          <w:marRight w:val="0"/>
          <w:marTop w:val="0"/>
          <w:marBottom w:val="0"/>
          <w:divBdr>
            <w:top w:val="none" w:sz="0" w:space="0" w:color="auto"/>
            <w:left w:val="none" w:sz="0" w:space="0" w:color="auto"/>
            <w:bottom w:val="none" w:sz="0" w:space="0" w:color="auto"/>
            <w:right w:val="none" w:sz="0" w:space="0" w:color="auto"/>
          </w:divBdr>
        </w:div>
        <w:div w:id="1364941868">
          <w:marLeft w:val="446"/>
          <w:marRight w:val="0"/>
          <w:marTop w:val="0"/>
          <w:marBottom w:val="0"/>
          <w:divBdr>
            <w:top w:val="none" w:sz="0" w:space="0" w:color="auto"/>
            <w:left w:val="none" w:sz="0" w:space="0" w:color="auto"/>
            <w:bottom w:val="none" w:sz="0" w:space="0" w:color="auto"/>
            <w:right w:val="none" w:sz="0" w:space="0" w:color="auto"/>
          </w:divBdr>
        </w:div>
      </w:divsChild>
    </w:div>
    <w:div w:id="746611975">
      <w:bodyDiv w:val="1"/>
      <w:marLeft w:val="0"/>
      <w:marRight w:val="0"/>
      <w:marTop w:val="0"/>
      <w:marBottom w:val="0"/>
      <w:divBdr>
        <w:top w:val="none" w:sz="0" w:space="0" w:color="auto"/>
        <w:left w:val="none" w:sz="0" w:space="0" w:color="auto"/>
        <w:bottom w:val="none" w:sz="0" w:space="0" w:color="auto"/>
        <w:right w:val="none" w:sz="0" w:space="0" w:color="auto"/>
      </w:divBdr>
      <w:divsChild>
        <w:div w:id="1202938424">
          <w:marLeft w:val="446"/>
          <w:marRight w:val="0"/>
          <w:marTop w:val="0"/>
          <w:marBottom w:val="0"/>
          <w:divBdr>
            <w:top w:val="none" w:sz="0" w:space="0" w:color="auto"/>
            <w:left w:val="none" w:sz="0" w:space="0" w:color="auto"/>
            <w:bottom w:val="none" w:sz="0" w:space="0" w:color="auto"/>
            <w:right w:val="none" w:sz="0" w:space="0" w:color="auto"/>
          </w:divBdr>
        </w:div>
      </w:divsChild>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775952456">
      <w:bodyDiv w:val="1"/>
      <w:marLeft w:val="0"/>
      <w:marRight w:val="0"/>
      <w:marTop w:val="0"/>
      <w:marBottom w:val="0"/>
      <w:divBdr>
        <w:top w:val="none" w:sz="0" w:space="0" w:color="auto"/>
        <w:left w:val="none" w:sz="0" w:space="0" w:color="auto"/>
        <w:bottom w:val="none" w:sz="0" w:space="0" w:color="auto"/>
        <w:right w:val="none" w:sz="0" w:space="0" w:color="auto"/>
      </w:divBdr>
      <w:divsChild>
        <w:div w:id="1222792626">
          <w:marLeft w:val="446"/>
          <w:marRight w:val="0"/>
          <w:marTop w:val="0"/>
          <w:marBottom w:val="0"/>
          <w:divBdr>
            <w:top w:val="none" w:sz="0" w:space="0" w:color="auto"/>
            <w:left w:val="none" w:sz="0" w:space="0" w:color="auto"/>
            <w:bottom w:val="none" w:sz="0" w:space="0" w:color="auto"/>
            <w:right w:val="none" w:sz="0" w:space="0" w:color="auto"/>
          </w:divBdr>
        </w:div>
      </w:divsChild>
    </w:div>
    <w:div w:id="798765700">
      <w:bodyDiv w:val="1"/>
      <w:marLeft w:val="0"/>
      <w:marRight w:val="0"/>
      <w:marTop w:val="0"/>
      <w:marBottom w:val="0"/>
      <w:divBdr>
        <w:top w:val="none" w:sz="0" w:space="0" w:color="auto"/>
        <w:left w:val="none" w:sz="0" w:space="0" w:color="auto"/>
        <w:bottom w:val="none" w:sz="0" w:space="0" w:color="auto"/>
        <w:right w:val="none" w:sz="0" w:space="0" w:color="auto"/>
      </w:divBdr>
      <w:divsChild>
        <w:div w:id="1459181842">
          <w:marLeft w:val="0"/>
          <w:marRight w:val="0"/>
          <w:marTop w:val="0"/>
          <w:marBottom w:val="0"/>
          <w:divBdr>
            <w:top w:val="none" w:sz="0" w:space="0" w:color="auto"/>
            <w:left w:val="none" w:sz="0" w:space="0" w:color="auto"/>
            <w:bottom w:val="none" w:sz="0" w:space="0" w:color="auto"/>
            <w:right w:val="none" w:sz="0" w:space="0" w:color="auto"/>
          </w:divBdr>
          <w:divsChild>
            <w:div w:id="647516355">
              <w:marLeft w:val="0"/>
              <w:marRight w:val="0"/>
              <w:marTop w:val="0"/>
              <w:marBottom w:val="0"/>
              <w:divBdr>
                <w:top w:val="none" w:sz="0" w:space="0" w:color="auto"/>
                <w:left w:val="none" w:sz="0" w:space="0" w:color="auto"/>
                <w:bottom w:val="none" w:sz="0" w:space="0" w:color="auto"/>
                <w:right w:val="none" w:sz="0" w:space="0" w:color="auto"/>
              </w:divBdr>
              <w:divsChild>
                <w:div w:id="738863348">
                  <w:marLeft w:val="0"/>
                  <w:marRight w:val="0"/>
                  <w:marTop w:val="0"/>
                  <w:marBottom w:val="0"/>
                  <w:divBdr>
                    <w:top w:val="none" w:sz="0" w:space="0" w:color="auto"/>
                    <w:left w:val="none" w:sz="0" w:space="0" w:color="auto"/>
                    <w:bottom w:val="none" w:sz="0" w:space="0" w:color="auto"/>
                    <w:right w:val="none" w:sz="0" w:space="0" w:color="auto"/>
                  </w:divBdr>
                  <w:divsChild>
                    <w:div w:id="1555123386">
                      <w:marLeft w:val="0"/>
                      <w:marRight w:val="0"/>
                      <w:marTop w:val="0"/>
                      <w:marBottom w:val="0"/>
                      <w:divBdr>
                        <w:top w:val="none" w:sz="0" w:space="0" w:color="auto"/>
                        <w:left w:val="none" w:sz="0" w:space="0" w:color="auto"/>
                        <w:bottom w:val="none" w:sz="0" w:space="0" w:color="auto"/>
                        <w:right w:val="none" w:sz="0" w:space="0" w:color="auto"/>
                      </w:divBdr>
                      <w:divsChild>
                        <w:div w:id="622274692">
                          <w:marLeft w:val="0"/>
                          <w:marRight w:val="0"/>
                          <w:marTop w:val="0"/>
                          <w:marBottom w:val="0"/>
                          <w:divBdr>
                            <w:top w:val="none" w:sz="0" w:space="0" w:color="auto"/>
                            <w:left w:val="none" w:sz="0" w:space="0" w:color="auto"/>
                            <w:bottom w:val="none" w:sz="0" w:space="0" w:color="auto"/>
                            <w:right w:val="none" w:sz="0" w:space="0" w:color="auto"/>
                          </w:divBdr>
                          <w:divsChild>
                            <w:div w:id="222301946">
                              <w:marLeft w:val="0"/>
                              <w:marRight w:val="0"/>
                              <w:marTop w:val="0"/>
                              <w:marBottom w:val="0"/>
                              <w:divBdr>
                                <w:top w:val="none" w:sz="0" w:space="0" w:color="auto"/>
                                <w:left w:val="none" w:sz="0" w:space="0" w:color="auto"/>
                                <w:bottom w:val="none" w:sz="0" w:space="0" w:color="auto"/>
                                <w:right w:val="none" w:sz="0" w:space="0" w:color="auto"/>
                              </w:divBdr>
                              <w:divsChild>
                                <w:div w:id="145707087">
                                  <w:marLeft w:val="0"/>
                                  <w:marRight w:val="0"/>
                                  <w:marTop w:val="0"/>
                                  <w:marBottom w:val="0"/>
                                  <w:divBdr>
                                    <w:top w:val="none" w:sz="0" w:space="0" w:color="auto"/>
                                    <w:left w:val="none" w:sz="0" w:space="0" w:color="auto"/>
                                    <w:bottom w:val="none" w:sz="0" w:space="0" w:color="auto"/>
                                    <w:right w:val="none" w:sz="0" w:space="0" w:color="auto"/>
                                  </w:divBdr>
                                  <w:divsChild>
                                    <w:div w:id="497310780">
                                      <w:marLeft w:val="0"/>
                                      <w:marRight w:val="0"/>
                                      <w:marTop w:val="0"/>
                                      <w:marBottom w:val="0"/>
                                      <w:divBdr>
                                        <w:top w:val="none" w:sz="0" w:space="0" w:color="auto"/>
                                        <w:left w:val="none" w:sz="0" w:space="0" w:color="auto"/>
                                        <w:bottom w:val="none" w:sz="0" w:space="0" w:color="auto"/>
                                        <w:right w:val="none" w:sz="0" w:space="0" w:color="auto"/>
                                      </w:divBdr>
                                      <w:divsChild>
                                        <w:div w:id="888347944">
                                          <w:marLeft w:val="0"/>
                                          <w:marRight w:val="0"/>
                                          <w:marTop w:val="0"/>
                                          <w:marBottom w:val="0"/>
                                          <w:divBdr>
                                            <w:top w:val="none" w:sz="0" w:space="0" w:color="auto"/>
                                            <w:left w:val="none" w:sz="0" w:space="0" w:color="auto"/>
                                            <w:bottom w:val="none" w:sz="0" w:space="0" w:color="auto"/>
                                            <w:right w:val="none" w:sz="0" w:space="0" w:color="auto"/>
                                          </w:divBdr>
                                          <w:divsChild>
                                            <w:div w:id="20400248">
                                              <w:marLeft w:val="0"/>
                                              <w:marRight w:val="0"/>
                                              <w:marTop w:val="0"/>
                                              <w:marBottom w:val="0"/>
                                              <w:divBdr>
                                                <w:top w:val="none" w:sz="0" w:space="0" w:color="auto"/>
                                                <w:left w:val="none" w:sz="0" w:space="0" w:color="auto"/>
                                                <w:bottom w:val="none" w:sz="0" w:space="0" w:color="auto"/>
                                                <w:right w:val="none" w:sz="0" w:space="0" w:color="auto"/>
                                              </w:divBdr>
                                              <w:divsChild>
                                                <w:div w:id="1414476733">
                                                  <w:marLeft w:val="0"/>
                                                  <w:marRight w:val="0"/>
                                                  <w:marTop w:val="0"/>
                                                  <w:marBottom w:val="0"/>
                                                  <w:divBdr>
                                                    <w:top w:val="none" w:sz="0" w:space="0" w:color="auto"/>
                                                    <w:left w:val="none" w:sz="0" w:space="0" w:color="auto"/>
                                                    <w:bottom w:val="none" w:sz="0" w:space="0" w:color="auto"/>
                                                    <w:right w:val="none" w:sz="0" w:space="0" w:color="auto"/>
                                                  </w:divBdr>
                                                  <w:divsChild>
                                                    <w:div w:id="125241914">
                                                      <w:marLeft w:val="0"/>
                                                      <w:marRight w:val="0"/>
                                                      <w:marTop w:val="0"/>
                                                      <w:marBottom w:val="0"/>
                                                      <w:divBdr>
                                                        <w:top w:val="single" w:sz="6" w:space="0" w:color="auto"/>
                                                        <w:left w:val="none" w:sz="0" w:space="0" w:color="auto"/>
                                                        <w:bottom w:val="single" w:sz="6" w:space="0" w:color="auto"/>
                                                        <w:right w:val="none" w:sz="0" w:space="0" w:color="auto"/>
                                                      </w:divBdr>
                                                      <w:divsChild>
                                                        <w:div w:id="788820106">
                                                          <w:marLeft w:val="0"/>
                                                          <w:marRight w:val="0"/>
                                                          <w:marTop w:val="0"/>
                                                          <w:marBottom w:val="0"/>
                                                          <w:divBdr>
                                                            <w:top w:val="none" w:sz="0" w:space="0" w:color="auto"/>
                                                            <w:left w:val="none" w:sz="0" w:space="0" w:color="auto"/>
                                                            <w:bottom w:val="none" w:sz="0" w:space="0" w:color="auto"/>
                                                            <w:right w:val="none" w:sz="0" w:space="0" w:color="auto"/>
                                                          </w:divBdr>
                                                          <w:divsChild>
                                                            <w:div w:id="1356688519">
                                                              <w:marLeft w:val="0"/>
                                                              <w:marRight w:val="0"/>
                                                              <w:marTop w:val="0"/>
                                                              <w:marBottom w:val="0"/>
                                                              <w:divBdr>
                                                                <w:top w:val="none" w:sz="0" w:space="0" w:color="auto"/>
                                                                <w:left w:val="none" w:sz="0" w:space="0" w:color="auto"/>
                                                                <w:bottom w:val="none" w:sz="0" w:space="0" w:color="auto"/>
                                                                <w:right w:val="none" w:sz="0" w:space="0" w:color="auto"/>
                                                              </w:divBdr>
                                                              <w:divsChild>
                                                                <w:div w:id="750203666">
                                                                  <w:marLeft w:val="0"/>
                                                                  <w:marRight w:val="0"/>
                                                                  <w:marTop w:val="0"/>
                                                                  <w:marBottom w:val="0"/>
                                                                  <w:divBdr>
                                                                    <w:top w:val="none" w:sz="0" w:space="0" w:color="auto"/>
                                                                    <w:left w:val="none" w:sz="0" w:space="0" w:color="auto"/>
                                                                    <w:bottom w:val="none" w:sz="0" w:space="0" w:color="auto"/>
                                                                    <w:right w:val="none" w:sz="0" w:space="0" w:color="auto"/>
                                                                  </w:divBdr>
                                                                  <w:divsChild>
                                                                    <w:div w:id="1167670721">
                                                                      <w:marLeft w:val="0"/>
                                                                      <w:marRight w:val="0"/>
                                                                      <w:marTop w:val="0"/>
                                                                      <w:marBottom w:val="0"/>
                                                                      <w:divBdr>
                                                                        <w:top w:val="none" w:sz="0" w:space="0" w:color="auto"/>
                                                                        <w:left w:val="none" w:sz="0" w:space="0" w:color="auto"/>
                                                                        <w:bottom w:val="none" w:sz="0" w:space="0" w:color="auto"/>
                                                                        <w:right w:val="none" w:sz="0" w:space="0" w:color="auto"/>
                                                                      </w:divBdr>
                                                                      <w:divsChild>
                                                                        <w:div w:id="543561551">
                                                                          <w:marLeft w:val="0"/>
                                                                          <w:marRight w:val="0"/>
                                                                          <w:marTop w:val="0"/>
                                                                          <w:marBottom w:val="0"/>
                                                                          <w:divBdr>
                                                                            <w:top w:val="none" w:sz="0" w:space="0" w:color="auto"/>
                                                                            <w:left w:val="none" w:sz="0" w:space="0" w:color="auto"/>
                                                                            <w:bottom w:val="none" w:sz="0" w:space="0" w:color="auto"/>
                                                                            <w:right w:val="none" w:sz="0" w:space="0" w:color="auto"/>
                                                                          </w:divBdr>
                                                                          <w:divsChild>
                                                                            <w:div w:id="983923431">
                                                                              <w:marLeft w:val="0"/>
                                                                              <w:marRight w:val="0"/>
                                                                              <w:marTop w:val="0"/>
                                                                              <w:marBottom w:val="0"/>
                                                                              <w:divBdr>
                                                                                <w:top w:val="none" w:sz="0" w:space="0" w:color="auto"/>
                                                                                <w:left w:val="none" w:sz="0" w:space="0" w:color="auto"/>
                                                                                <w:bottom w:val="none" w:sz="0" w:space="0" w:color="auto"/>
                                                                                <w:right w:val="none" w:sz="0" w:space="0" w:color="auto"/>
                                                                              </w:divBdr>
                                                                              <w:divsChild>
                                                                                <w:div w:id="130441741">
                                                                                  <w:marLeft w:val="0"/>
                                                                                  <w:marRight w:val="0"/>
                                                                                  <w:marTop w:val="0"/>
                                                                                  <w:marBottom w:val="0"/>
                                                                                  <w:divBdr>
                                                                                    <w:top w:val="none" w:sz="0" w:space="0" w:color="auto"/>
                                                                                    <w:left w:val="none" w:sz="0" w:space="0" w:color="auto"/>
                                                                                    <w:bottom w:val="none" w:sz="0" w:space="0" w:color="auto"/>
                                                                                    <w:right w:val="none" w:sz="0" w:space="0" w:color="auto"/>
                                                                                  </w:divBdr>
                                                                                </w:div>
                                                                                <w:div w:id="706300805">
                                                                                  <w:marLeft w:val="0"/>
                                                                                  <w:marRight w:val="0"/>
                                                                                  <w:marTop w:val="0"/>
                                                                                  <w:marBottom w:val="0"/>
                                                                                  <w:divBdr>
                                                                                    <w:top w:val="none" w:sz="0" w:space="0" w:color="auto"/>
                                                                                    <w:left w:val="none" w:sz="0" w:space="0" w:color="auto"/>
                                                                                    <w:bottom w:val="none" w:sz="0" w:space="0" w:color="auto"/>
                                                                                    <w:right w:val="none" w:sz="0" w:space="0" w:color="auto"/>
                                                                                  </w:divBdr>
                                                                                </w:div>
                                                                                <w:div w:id="11400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64113">
      <w:bodyDiv w:val="1"/>
      <w:marLeft w:val="0"/>
      <w:marRight w:val="0"/>
      <w:marTop w:val="0"/>
      <w:marBottom w:val="0"/>
      <w:divBdr>
        <w:top w:val="none" w:sz="0" w:space="0" w:color="auto"/>
        <w:left w:val="none" w:sz="0" w:space="0" w:color="auto"/>
        <w:bottom w:val="none" w:sz="0" w:space="0" w:color="auto"/>
        <w:right w:val="none" w:sz="0" w:space="0" w:color="auto"/>
      </w:divBdr>
    </w:div>
    <w:div w:id="816413401">
      <w:bodyDiv w:val="1"/>
      <w:marLeft w:val="0"/>
      <w:marRight w:val="0"/>
      <w:marTop w:val="0"/>
      <w:marBottom w:val="0"/>
      <w:divBdr>
        <w:top w:val="none" w:sz="0" w:space="0" w:color="auto"/>
        <w:left w:val="none" w:sz="0" w:space="0" w:color="auto"/>
        <w:bottom w:val="none" w:sz="0" w:space="0" w:color="auto"/>
        <w:right w:val="none" w:sz="0" w:space="0" w:color="auto"/>
      </w:divBdr>
    </w:div>
    <w:div w:id="843013692">
      <w:bodyDiv w:val="1"/>
      <w:marLeft w:val="0"/>
      <w:marRight w:val="0"/>
      <w:marTop w:val="0"/>
      <w:marBottom w:val="0"/>
      <w:divBdr>
        <w:top w:val="none" w:sz="0" w:space="0" w:color="auto"/>
        <w:left w:val="none" w:sz="0" w:space="0" w:color="auto"/>
        <w:bottom w:val="none" w:sz="0" w:space="0" w:color="auto"/>
        <w:right w:val="none" w:sz="0" w:space="0" w:color="auto"/>
      </w:divBdr>
    </w:div>
    <w:div w:id="854995990">
      <w:bodyDiv w:val="1"/>
      <w:marLeft w:val="0"/>
      <w:marRight w:val="0"/>
      <w:marTop w:val="0"/>
      <w:marBottom w:val="0"/>
      <w:divBdr>
        <w:top w:val="none" w:sz="0" w:space="0" w:color="auto"/>
        <w:left w:val="none" w:sz="0" w:space="0" w:color="auto"/>
        <w:bottom w:val="none" w:sz="0" w:space="0" w:color="auto"/>
        <w:right w:val="none" w:sz="0" w:space="0" w:color="auto"/>
      </w:divBdr>
      <w:divsChild>
        <w:div w:id="845288267">
          <w:marLeft w:val="446"/>
          <w:marRight w:val="0"/>
          <w:marTop w:val="0"/>
          <w:marBottom w:val="0"/>
          <w:divBdr>
            <w:top w:val="none" w:sz="0" w:space="0" w:color="auto"/>
            <w:left w:val="none" w:sz="0" w:space="0" w:color="auto"/>
            <w:bottom w:val="none" w:sz="0" w:space="0" w:color="auto"/>
            <w:right w:val="none" w:sz="0" w:space="0" w:color="auto"/>
          </w:divBdr>
        </w:div>
      </w:divsChild>
    </w:div>
    <w:div w:id="864253118">
      <w:bodyDiv w:val="1"/>
      <w:marLeft w:val="0"/>
      <w:marRight w:val="0"/>
      <w:marTop w:val="0"/>
      <w:marBottom w:val="0"/>
      <w:divBdr>
        <w:top w:val="none" w:sz="0" w:space="0" w:color="auto"/>
        <w:left w:val="none" w:sz="0" w:space="0" w:color="auto"/>
        <w:bottom w:val="none" w:sz="0" w:space="0" w:color="auto"/>
        <w:right w:val="none" w:sz="0" w:space="0" w:color="auto"/>
      </w:divBdr>
    </w:div>
    <w:div w:id="937760438">
      <w:bodyDiv w:val="1"/>
      <w:marLeft w:val="0"/>
      <w:marRight w:val="0"/>
      <w:marTop w:val="0"/>
      <w:marBottom w:val="0"/>
      <w:divBdr>
        <w:top w:val="none" w:sz="0" w:space="0" w:color="auto"/>
        <w:left w:val="none" w:sz="0" w:space="0" w:color="auto"/>
        <w:bottom w:val="none" w:sz="0" w:space="0" w:color="auto"/>
        <w:right w:val="none" w:sz="0" w:space="0" w:color="auto"/>
      </w:divBdr>
    </w:div>
    <w:div w:id="976489881">
      <w:bodyDiv w:val="1"/>
      <w:marLeft w:val="0"/>
      <w:marRight w:val="0"/>
      <w:marTop w:val="0"/>
      <w:marBottom w:val="0"/>
      <w:divBdr>
        <w:top w:val="none" w:sz="0" w:space="0" w:color="auto"/>
        <w:left w:val="none" w:sz="0" w:space="0" w:color="auto"/>
        <w:bottom w:val="none" w:sz="0" w:space="0" w:color="auto"/>
        <w:right w:val="none" w:sz="0" w:space="0" w:color="auto"/>
      </w:divBdr>
      <w:divsChild>
        <w:div w:id="645283873">
          <w:marLeft w:val="446"/>
          <w:marRight w:val="0"/>
          <w:marTop w:val="120"/>
          <w:marBottom w:val="120"/>
          <w:divBdr>
            <w:top w:val="none" w:sz="0" w:space="0" w:color="auto"/>
            <w:left w:val="none" w:sz="0" w:space="0" w:color="auto"/>
            <w:bottom w:val="none" w:sz="0" w:space="0" w:color="auto"/>
            <w:right w:val="none" w:sz="0" w:space="0" w:color="auto"/>
          </w:divBdr>
        </w:div>
        <w:div w:id="1741827443">
          <w:marLeft w:val="446"/>
          <w:marRight w:val="0"/>
          <w:marTop w:val="120"/>
          <w:marBottom w:val="120"/>
          <w:divBdr>
            <w:top w:val="none" w:sz="0" w:space="0" w:color="auto"/>
            <w:left w:val="none" w:sz="0" w:space="0" w:color="auto"/>
            <w:bottom w:val="none" w:sz="0" w:space="0" w:color="auto"/>
            <w:right w:val="none" w:sz="0" w:space="0" w:color="auto"/>
          </w:divBdr>
        </w:div>
      </w:divsChild>
    </w:div>
    <w:div w:id="986057111">
      <w:bodyDiv w:val="1"/>
      <w:marLeft w:val="0"/>
      <w:marRight w:val="0"/>
      <w:marTop w:val="0"/>
      <w:marBottom w:val="0"/>
      <w:divBdr>
        <w:top w:val="none" w:sz="0" w:space="0" w:color="auto"/>
        <w:left w:val="none" w:sz="0" w:space="0" w:color="auto"/>
        <w:bottom w:val="none" w:sz="0" w:space="0" w:color="auto"/>
        <w:right w:val="none" w:sz="0" w:space="0" w:color="auto"/>
      </w:divBdr>
    </w:div>
    <w:div w:id="1008293337">
      <w:bodyDiv w:val="1"/>
      <w:marLeft w:val="0"/>
      <w:marRight w:val="0"/>
      <w:marTop w:val="0"/>
      <w:marBottom w:val="0"/>
      <w:divBdr>
        <w:top w:val="none" w:sz="0" w:space="0" w:color="auto"/>
        <w:left w:val="none" w:sz="0" w:space="0" w:color="auto"/>
        <w:bottom w:val="none" w:sz="0" w:space="0" w:color="auto"/>
        <w:right w:val="none" w:sz="0" w:space="0" w:color="auto"/>
      </w:divBdr>
    </w:div>
    <w:div w:id="1018236567">
      <w:bodyDiv w:val="1"/>
      <w:marLeft w:val="0"/>
      <w:marRight w:val="0"/>
      <w:marTop w:val="0"/>
      <w:marBottom w:val="0"/>
      <w:divBdr>
        <w:top w:val="none" w:sz="0" w:space="0" w:color="auto"/>
        <w:left w:val="none" w:sz="0" w:space="0" w:color="auto"/>
        <w:bottom w:val="none" w:sz="0" w:space="0" w:color="auto"/>
        <w:right w:val="none" w:sz="0" w:space="0" w:color="auto"/>
      </w:divBdr>
      <w:divsChild>
        <w:div w:id="621690149">
          <w:marLeft w:val="446"/>
          <w:marRight w:val="0"/>
          <w:marTop w:val="0"/>
          <w:marBottom w:val="0"/>
          <w:divBdr>
            <w:top w:val="none" w:sz="0" w:space="0" w:color="auto"/>
            <w:left w:val="none" w:sz="0" w:space="0" w:color="auto"/>
            <w:bottom w:val="none" w:sz="0" w:space="0" w:color="auto"/>
            <w:right w:val="none" w:sz="0" w:space="0" w:color="auto"/>
          </w:divBdr>
        </w:div>
      </w:divsChild>
    </w:div>
    <w:div w:id="1057318610">
      <w:bodyDiv w:val="1"/>
      <w:marLeft w:val="0"/>
      <w:marRight w:val="0"/>
      <w:marTop w:val="0"/>
      <w:marBottom w:val="0"/>
      <w:divBdr>
        <w:top w:val="none" w:sz="0" w:space="0" w:color="auto"/>
        <w:left w:val="none" w:sz="0" w:space="0" w:color="auto"/>
        <w:bottom w:val="none" w:sz="0" w:space="0" w:color="auto"/>
        <w:right w:val="none" w:sz="0" w:space="0" w:color="auto"/>
      </w:divBdr>
    </w:div>
    <w:div w:id="1059013276">
      <w:bodyDiv w:val="1"/>
      <w:marLeft w:val="0"/>
      <w:marRight w:val="0"/>
      <w:marTop w:val="0"/>
      <w:marBottom w:val="0"/>
      <w:divBdr>
        <w:top w:val="none" w:sz="0" w:space="0" w:color="auto"/>
        <w:left w:val="none" w:sz="0" w:space="0" w:color="auto"/>
        <w:bottom w:val="none" w:sz="0" w:space="0" w:color="auto"/>
        <w:right w:val="none" w:sz="0" w:space="0" w:color="auto"/>
      </w:divBdr>
    </w:div>
    <w:div w:id="1066684116">
      <w:bodyDiv w:val="1"/>
      <w:marLeft w:val="0"/>
      <w:marRight w:val="0"/>
      <w:marTop w:val="0"/>
      <w:marBottom w:val="0"/>
      <w:divBdr>
        <w:top w:val="none" w:sz="0" w:space="0" w:color="auto"/>
        <w:left w:val="none" w:sz="0" w:space="0" w:color="auto"/>
        <w:bottom w:val="none" w:sz="0" w:space="0" w:color="auto"/>
        <w:right w:val="none" w:sz="0" w:space="0" w:color="auto"/>
      </w:divBdr>
    </w:div>
    <w:div w:id="1116868467">
      <w:bodyDiv w:val="1"/>
      <w:marLeft w:val="0"/>
      <w:marRight w:val="0"/>
      <w:marTop w:val="0"/>
      <w:marBottom w:val="0"/>
      <w:divBdr>
        <w:top w:val="none" w:sz="0" w:space="0" w:color="auto"/>
        <w:left w:val="none" w:sz="0" w:space="0" w:color="auto"/>
        <w:bottom w:val="none" w:sz="0" w:space="0" w:color="auto"/>
        <w:right w:val="none" w:sz="0" w:space="0" w:color="auto"/>
      </w:divBdr>
    </w:div>
    <w:div w:id="1121997059">
      <w:bodyDiv w:val="1"/>
      <w:marLeft w:val="0"/>
      <w:marRight w:val="0"/>
      <w:marTop w:val="0"/>
      <w:marBottom w:val="0"/>
      <w:divBdr>
        <w:top w:val="none" w:sz="0" w:space="0" w:color="auto"/>
        <w:left w:val="none" w:sz="0" w:space="0" w:color="auto"/>
        <w:bottom w:val="none" w:sz="0" w:space="0" w:color="auto"/>
        <w:right w:val="none" w:sz="0" w:space="0" w:color="auto"/>
      </w:divBdr>
    </w:div>
    <w:div w:id="1140152040">
      <w:bodyDiv w:val="1"/>
      <w:marLeft w:val="0"/>
      <w:marRight w:val="0"/>
      <w:marTop w:val="0"/>
      <w:marBottom w:val="0"/>
      <w:divBdr>
        <w:top w:val="none" w:sz="0" w:space="0" w:color="auto"/>
        <w:left w:val="none" w:sz="0" w:space="0" w:color="auto"/>
        <w:bottom w:val="none" w:sz="0" w:space="0" w:color="auto"/>
        <w:right w:val="none" w:sz="0" w:space="0" w:color="auto"/>
      </w:divBdr>
    </w:div>
    <w:div w:id="1142119922">
      <w:bodyDiv w:val="1"/>
      <w:marLeft w:val="0"/>
      <w:marRight w:val="0"/>
      <w:marTop w:val="0"/>
      <w:marBottom w:val="0"/>
      <w:divBdr>
        <w:top w:val="none" w:sz="0" w:space="0" w:color="auto"/>
        <w:left w:val="none" w:sz="0" w:space="0" w:color="auto"/>
        <w:bottom w:val="none" w:sz="0" w:space="0" w:color="auto"/>
        <w:right w:val="none" w:sz="0" w:space="0" w:color="auto"/>
      </w:divBdr>
      <w:divsChild>
        <w:div w:id="365060728">
          <w:marLeft w:val="0"/>
          <w:marRight w:val="0"/>
          <w:marTop w:val="0"/>
          <w:marBottom w:val="0"/>
          <w:divBdr>
            <w:top w:val="none" w:sz="0" w:space="0" w:color="auto"/>
            <w:left w:val="none" w:sz="0" w:space="0" w:color="auto"/>
            <w:bottom w:val="none" w:sz="0" w:space="0" w:color="auto"/>
            <w:right w:val="none" w:sz="0" w:space="0" w:color="auto"/>
          </w:divBdr>
        </w:div>
        <w:div w:id="1550915503">
          <w:marLeft w:val="0"/>
          <w:marRight w:val="0"/>
          <w:marTop w:val="0"/>
          <w:marBottom w:val="0"/>
          <w:divBdr>
            <w:top w:val="none" w:sz="0" w:space="0" w:color="auto"/>
            <w:left w:val="none" w:sz="0" w:space="0" w:color="auto"/>
            <w:bottom w:val="none" w:sz="0" w:space="0" w:color="auto"/>
            <w:right w:val="none" w:sz="0" w:space="0" w:color="auto"/>
          </w:divBdr>
        </w:div>
      </w:divsChild>
    </w:div>
    <w:div w:id="1144353390">
      <w:bodyDiv w:val="1"/>
      <w:marLeft w:val="0"/>
      <w:marRight w:val="0"/>
      <w:marTop w:val="0"/>
      <w:marBottom w:val="0"/>
      <w:divBdr>
        <w:top w:val="none" w:sz="0" w:space="0" w:color="auto"/>
        <w:left w:val="none" w:sz="0" w:space="0" w:color="auto"/>
        <w:bottom w:val="none" w:sz="0" w:space="0" w:color="auto"/>
        <w:right w:val="none" w:sz="0" w:space="0" w:color="auto"/>
      </w:divBdr>
    </w:div>
    <w:div w:id="1148203263">
      <w:bodyDiv w:val="1"/>
      <w:marLeft w:val="0"/>
      <w:marRight w:val="0"/>
      <w:marTop w:val="0"/>
      <w:marBottom w:val="0"/>
      <w:divBdr>
        <w:top w:val="none" w:sz="0" w:space="0" w:color="auto"/>
        <w:left w:val="none" w:sz="0" w:space="0" w:color="auto"/>
        <w:bottom w:val="none" w:sz="0" w:space="0" w:color="auto"/>
        <w:right w:val="none" w:sz="0" w:space="0" w:color="auto"/>
      </w:divBdr>
    </w:div>
    <w:div w:id="1163467822">
      <w:bodyDiv w:val="1"/>
      <w:marLeft w:val="0"/>
      <w:marRight w:val="0"/>
      <w:marTop w:val="0"/>
      <w:marBottom w:val="0"/>
      <w:divBdr>
        <w:top w:val="none" w:sz="0" w:space="0" w:color="auto"/>
        <w:left w:val="none" w:sz="0" w:space="0" w:color="auto"/>
        <w:bottom w:val="none" w:sz="0" w:space="0" w:color="auto"/>
        <w:right w:val="none" w:sz="0" w:space="0" w:color="auto"/>
      </w:divBdr>
      <w:divsChild>
        <w:div w:id="1945916036">
          <w:marLeft w:val="0"/>
          <w:marRight w:val="0"/>
          <w:marTop w:val="90"/>
          <w:marBottom w:val="0"/>
          <w:divBdr>
            <w:top w:val="none" w:sz="0" w:space="0" w:color="auto"/>
            <w:left w:val="none" w:sz="0" w:space="0" w:color="auto"/>
            <w:bottom w:val="none" w:sz="0" w:space="0" w:color="auto"/>
            <w:right w:val="none" w:sz="0" w:space="0" w:color="auto"/>
          </w:divBdr>
          <w:divsChild>
            <w:div w:id="957296573">
              <w:marLeft w:val="0"/>
              <w:marRight w:val="0"/>
              <w:marTop w:val="0"/>
              <w:marBottom w:val="420"/>
              <w:divBdr>
                <w:top w:val="none" w:sz="0" w:space="0" w:color="auto"/>
                <w:left w:val="none" w:sz="0" w:space="0" w:color="auto"/>
                <w:bottom w:val="none" w:sz="0" w:space="0" w:color="auto"/>
                <w:right w:val="none" w:sz="0" w:space="0" w:color="auto"/>
              </w:divBdr>
              <w:divsChild>
                <w:div w:id="2003462359">
                  <w:marLeft w:val="0"/>
                  <w:marRight w:val="0"/>
                  <w:marTop w:val="0"/>
                  <w:marBottom w:val="0"/>
                  <w:divBdr>
                    <w:top w:val="none" w:sz="0" w:space="0" w:color="auto"/>
                    <w:left w:val="none" w:sz="0" w:space="0" w:color="auto"/>
                    <w:bottom w:val="none" w:sz="0" w:space="0" w:color="auto"/>
                    <w:right w:val="none" w:sz="0" w:space="0" w:color="auto"/>
                  </w:divBdr>
                  <w:divsChild>
                    <w:div w:id="1666325589">
                      <w:marLeft w:val="0"/>
                      <w:marRight w:val="0"/>
                      <w:marTop w:val="0"/>
                      <w:marBottom w:val="0"/>
                      <w:divBdr>
                        <w:top w:val="none" w:sz="0" w:space="0" w:color="auto"/>
                        <w:left w:val="none" w:sz="0" w:space="0" w:color="auto"/>
                        <w:bottom w:val="none" w:sz="0" w:space="0" w:color="auto"/>
                        <w:right w:val="none" w:sz="0" w:space="0" w:color="auto"/>
                      </w:divBdr>
                      <w:divsChild>
                        <w:div w:id="550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18504">
      <w:bodyDiv w:val="1"/>
      <w:marLeft w:val="0"/>
      <w:marRight w:val="0"/>
      <w:marTop w:val="0"/>
      <w:marBottom w:val="0"/>
      <w:divBdr>
        <w:top w:val="none" w:sz="0" w:space="0" w:color="auto"/>
        <w:left w:val="none" w:sz="0" w:space="0" w:color="auto"/>
        <w:bottom w:val="none" w:sz="0" w:space="0" w:color="auto"/>
        <w:right w:val="none" w:sz="0" w:space="0" w:color="auto"/>
      </w:divBdr>
    </w:div>
    <w:div w:id="1207839386">
      <w:bodyDiv w:val="1"/>
      <w:marLeft w:val="0"/>
      <w:marRight w:val="0"/>
      <w:marTop w:val="0"/>
      <w:marBottom w:val="0"/>
      <w:divBdr>
        <w:top w:val="none" w:sz="0" w:space="0" w:color="auto"/>
        <w:left w:val="none" w:sz="0" w:space="0" w:color="auto"/>
        <w:bottom w:val="none" w:sz="0" w:space="0" w:color="auto"/>
        <w:right w:val="none" w:sz="0" w:space="0" w:color="auto"/>
      </w:divBdr>
    </w:div>
    <w:div w:id="1214462065">
      <w:bodyDiv w:val="1"/>
      <w:marLeft w:val="0"/>
      <w:marRight w:val="0"/>
      <w:marTop w:val="0"/>
      <w:marBottom w:val="0"/>
      <w:divBdr>
        <w:top w:val="none" w:sz="0" w:space="0" w:color="auto"/>
        <w:left w:val="none" w:sz="0" w:space="0" w:color="auto"/>
        <w:bottom w:val="none" w:sz="0" w:space="0" w:color="auto"/>
        <w:right w:val="none" w:sz="0" w:space="0" w:color="auto"/>
      </w:divBdr>
    </w:div>
    <w:div w:id="1220558784">
      <w:bodyDiv w:val="1"/>
      <w:marLeft w:val="0"/>
      <w:marRight w:val="0"/>
      <w:marTop w:val="0"/>
      <w:marBottom w:val="0"/>
      <w:divBdr>
        <w:top w:val="none" w:sz="0" w:space="0" w:color="auto"/>
        <w:left w:val="none" w:sz="0" w:space="0" w:color="auto"/>
        <w:bottom w:val="none" w:sz="0" w:space="0" w:color="auto"/>
        <w:right w:val="none" w:sz="0" w:space="0" w:color="auto"/>
      </w:divBdr>
      <w:divsChild>
        <w:div w:id="973019810">
          <w:marLeft w:val="0"/>
          <w:marRight w:val="0"/>
          <w:marTop w:val="0"/>
          <w:marBottom w:val="0"/>
          <w:divBdr>
            <w:top w:val="none" w:sz="0" w:space="0" w:color="auto"/>
            <w:left w:val="none" w:sz="0" w:space="0" w:color="auto"/>
            <w:bottom w:val="none" w:sz="0" w:space="0" w:color="auto"/>
            <w:right w:val="none" w:sz="0" w:space="0" w:color="auto"/>
          </w:divBdr>
        </w:div>
      </w:divsChild>
    </w:div>
    <w:div w:id="1236933834">
      <w:bodyDiv w:val="1"/>
      <w:marLeft w:val="0"/>
      <w:marRight w:val="0"/>
      <w:marTop w:val="0"/>
      <w:marBottom w:val="0"/>
      <w:divBdr>
        <w:top w:val="none" w:sz="0" w:space="0" w:color="auto"/>
        <w:left w:val="none" w:sz="0" w:space="0" w:color="auto"/>
        <w:bottom w:val="none" w:sz="0" w:space="0" w:color="auto"/>
        <w:right w:val="none" w:sz="0" w:space="0" w:color="auto"/>
      </w:divBdr>
    </w:div>
    <w:div w:id="1254820047">
      <w:bodyDiv w:val="1"/>
      <w:marLeft w:val="0"/>
      <w:marRight w:val="0"/>
      <w:marTop w:val="0"/>
      <w:marBottom w:val="0"/>
      <w:divBdr>
        <w:top w:val="none" w:sz="0" w:space="0" w:color="auto"/>
        <w:left w:val="none" w:sz="0" w:space="0" w:color="auto"/>
        <w:bottom w:val="none" w:sz="0" w:space="0" w:color="auto"/>
        <w:right w:val="none" w:sz="0" w:space="0" w:color="auto"/>
      </w:divBdr>
    </w:div>
    <w:div w:id="1256016162">
      <w:bodyDiv w:val="1"/>
      <w:marLeft w:val="0"/>
      <w:marRight w:val="0"/>
      <w:marTop w:val="0"/>
      <w:marBottom w:val="0"/>
      <w:divBdr>
        <w:top w:val="none" w:sz="0" w:space="0" w:color="auto"/>
        <w:left w:val="none" w:sz="0" w:space="0" w:color="auto"/>
        <w:bottom w:val="none" w:sz="0" w:space="0" w:color="auto"/>
        <w:right w:val="none" w:sz="0" w:space="0" w:color="auto"/>
      </w:divBdr>
    </w:div>
    <w:div w:id="1270628961">
      <w:bodyDiv w:val="1"/>
      <w:marLeft w:val="0"/>
      <w:marRight w:val="0"/>
      <w:marTop w:val="0"/>
      <w:marBottom w:val="0"/>
      <w:divBdr>
        <w:top w:val="none" w:sz="0" w:space="0" w:color="auto"/>
        <w:left w:val="none" w:sz="0" w:space="0" w:color="auto"/>
        <w:bottom w:val="none" w:sz="0" w:space="0" w:color="auto"/>
        <w:right w:val="none" w:sz="0" w:space="0" w:color="auto"/>
      </w:divBdr>
    </w:div>
    <w:div w:id="1356274116">
      <w:bodyDiv w:val="1"/>
      <w:marLeft w:val="0"/>
      <w:marRight w:val="0"/>
      <w:marTop w:val="0"/>
      <w:marBottom w:val="0"/>
      <w:divBdr>
        <w:top w:val="none" w:sz="0" w:space="0" w:color="auto"/>
        <w:left w:val="none" w:sz="0" w:space="0" w:color="auto"/>
        <w:bottom w:val="none" w:sz="0" w:space="0" w:color="auto"/>
        <w:right w:val="none" w:sz="0" w:space="0" w:color="auto"/>
      </w:divBdr>
      <w:divsChild>
        <w:div w:id="925192009">
          <w:marLeft w:val="446"/>
          <w:marRight w:val="0"/>
          <w:marTop w:val="0"/>
          <w:marBottom w:val="0"/>
          <w:divBdr>
            <w:top w:val="none" w:sz="0" w:space="0" w:color="auto"/>
            <w:left w:val="none" w:sz="0" w:space="0" w:color="auto"/>
            <w:bottom w:val="none" w:sz="0" w:space="0" w:color="auto"/>
            <w:right w:val="none" w:sz="0" w:space="0" w:color="auto"/>
          </w:divBdr>
        </w:div>
        <w:div w:id="1971206794">
          <w:marLeft w:val="446"/>
          <w:marRight w:val="0"/>
          <w:marTop w:val="0"/>
          <w:marBottom w:val="0"/>
          <w:divBdr>
            <w:top w:val="none" w:sz="0" w:space="0" w:color="auto"/>
            <w:left w:val="none" w:sz="0" w:space="0" w:color="auto"/>
            <w:bottom w:val="none" w:sz="0" w:space="0" w:color="auto"/>
            <w:right w:val="none" w:sz="0" w:space="0" w:color="auto"/>
          </w:divBdr>
        </w:div>
      </w:divsChild>
    </w:div>
    <w:div w:id="1413312670">
      <w:bodyDiv w:val="1"/>
      <w:marLeft w:val="0"/>
      <w:marRight w:val="0"/>
      <w:marTop w:val="0"/>
      <w:marBottom w:val="0"/>
      <w:divBdr>
        <w:top w:val="none" w:sz="0" w:space="0" w:color="auto"/>
        <w:left w:val="none" w:sz="0" w:space="0" w:color="auto"/>
        <w:bottom w:val="none" w:sz="0" w:space="0" w:color="auto"/>
        <w:right w:val="none" w:sz="0" w:space="0" w:color="auto"/>
      </w:divBdr>
    </w:div>
    <w:div w:id="1429883742">
      <w:bodyDiv w:val="1"/>
      <w:marLeft w:val="0"/>
      <w:marRight w:val="0"/>
      <w:marTop w:val="0"/>
      <w:marBottom w:val="0"/>
      <w:divBdr>
        <w:top w:val="none" w:sz="0" w:space="0" w:color="auto"/>
        <w:left w:val="none" w:sz="0" w:space="0" w:color="auto"/>
        <w:bottom w:val="none" w:sz="0" w:space="0" w:color="auto"/>
        <w:right w:val="none" w:sz="0" w:space="0" w:color="auto"/>
      </w:divBdr>
    </w:div>
    <w:div w:id="1432043889">
      <w:bodyDiv w:val="1"/>
      <w:marLeft w:val="0"/>
      <w:marRight w:val="0"/>
      <w:marTop w:val="0"/>
      <w:marBottom w:val="0"/>
      <w:divBdr>
        <w:top w:val="none" w:sz="0" w:space="0" w:color="auto"/>
        <w:left w:val="none" w:sz="0" w:space="0" w:color="auto"/>
        <w:bottom w:val="none" w:sz="0" w:space="0" w:color="auto"/>
        <w:right w:val="none" w:sz="0" w:space="0" w:color="auto"/>
      </w:divBdr>
    </w:div>
    <w:div w:id="1434325841">
      <w:bodyDiv w:val="1"/>
      <w:marLeft w:val="0"/>
      <w:marRight w:val="0"/>
      <w:marTop w:val="0"/>
      <w:marBottom w:val="0"/>
      <w:divBdr>
        <w:top w:val="none" w:sz="0" w:space="0" w:color="auto"/>
        <w:left w:val="none" w:sz="0" w:space="0" w:color="auto"/>
        <w:bottom w:val="none" w:sz="0" w:space="0" w:color="auto"/>
        <w:right w:val="none" w:sz="0" w:space="0" w:color="auto"/>
      </w:divBdr>
      <w:divsChild>
        <w:div w:id="425813685">
          <w:marLeft w:val="446"/>
          <w:marRight w:val="0"/>
          <w:marTop w:val="0"/>
          <w:marBottom w:val="0"/>
          <w:divBdr>
            <w:top w:val="none" w:sz="0" w:space="0" w:color="auto"/>
            <w:left w:val="none" w:sz="0" w:space="0" w:color="auto"/>
            <w:bottom w:val="none" w:sz="0" w:space="0" w:color="auto"/>
            <w:right w:val="none" w:sz="0" w:space="0" w:color="auto"/>
          </w:divBdr>
        </w:div>
        <w:div w:id="889996394">
          <w:marLeft w:val="446"/>
          <w:marRight w:val="0"/>
          <w:marTop w:val="0"/>
          <w:marBottom w:val="0"/>
          <w:divBdr>
            <w:top w:val="none" w:sz="0" w:space="0" w:color="auto"/>
            <w:left w:val="none" w:sz="0" w:space="0" w:color="auto"/>
            <w:bottom w:val="none" w:sz="0" w:space="0" w:color="auto"/>
            <w:right w:val="none" w:sz="0" w:space="0" w:color="auto"/>
          </w:divBdr>
        </w:div>
        <w:div w:id="920216482">
          <w:marLeft w:val="446"/>
          <w:marRight w:val="0"/>
          <w:marTop w:val="0"/>
          <w:marBottom w:val="0"/>
          <w:divBdr>
            <w:top w:val="none" w:sz="0" w:space="0" w:color="auto"/>
            <w:left w:val="none" w:sz="0" w:space="0" w:color="auto"/>
            <w:bottom w:val="none" w:sz="0" w:space="0" w:color="auto"/>
            <w:right w:val="none" w:sz="0" w:space="0" w:color="auto"/>
          </w:divBdr>
        </w:div>
        <w:div w:id="1143812243">
          <w:marLeft w:val="446"/>
          <w:marRight w:val="0"/>
          <w:marTop w:val="0"/>
          <w:marBottom w:val="0"/>
          <w:divBdr>
            <w:top w:val="none" w:sz="0" w:space="0" w:color="auto"/>
            <w:left w:val="none" w:sz="0" w:space="0" w:color="auto"/>
            <w:bottom w:val="none" w:sz="0" w:space="0" w:color="auto"/>
            <w:right w:val="none" w:sz="0" w:space="0" w:color="auto"/>
          </w:divBdr>
        </w:div>
        <w:div w:id="2118133611">
          <w:marLeft w:val="446"/>
          <w:marRight w:val="0"/>
          <w:marTop w:val="0"/>
          <w:marBottom w:val="0"/>
          <w:divBdr>
            <w:top w:val="none" w:sz="0" w:space="0" w:color="auto"/>
            <w:left w:val="none" w:sz="0" w:space="0" w:color="auto"/>
            <w:bottom w:val="none" w:sz="0" w:space="0" w:color="auto"/>
            <w:right w:val="none" w:sz="0" w:space="0" w:color="auto"/>
          </w:divBdr>
        </w:div>
      </w:divsChild>
    </w:div>
    <w:div w:id="1460606371">
      <w:bodyDiv w:val="1"/>
      <w:marLeft w:val="0"/>
      <w:marRight w:val="0"/>
      <w:marTop w:val="0"/>
      <w:marBottom w:val="0"/>
      <w:divBdr>
        <w:top w:val="none" w:sz="0" w:space="0" w:color="auto"/>
        <w:left w:val="none" w:sz="0" w:space="0" w:color="auto"/>
        <w:bottom w:val="none" w:sz="0" w:space="0" w:color="auto"/>
        <w:right w:val="none" w:sz="0" w:space="0" w:color="auto"/>
      </w:divBdr>
      <w:divsChild>
        <w:div w:id="185337825">
          <w:marLeft w:val="446"/>
          <w:marRight w:val="0"/>
          <w:marTop w:val="0"/>
          <w:marBottom w:val="0"/>
          <w:divBdr>
            <w:top w:val="none" w:sz="0" w:space="0" w:color="auto"/>
            <w:left w:val="none" w:sz="0" w:space="0" w:color="auto"/>
            <w:bottom w:val="none" w:sz="0" w:space="0" w:color="auto"/>
            <w:right w:val="none" w:sz="0" w:space="0" w:color="auto"/>
          </w:divBdr>
        </w:div>
      </w:divsChild>
    </w:div>
    <w:div w:id="1485775699">
      <w:bodyDiv w:val="1"/>
      <w:marLeft w:val="0"/>
      <w:marRight w:val="0"/>
      <w:marTop w:val="0"/>
      <w:marBottom w:val="0"/>
      <w:divBdr>
        <w:top w:val="none" w:sz="0" w:space="0" w:color="auto"/>
        <w:left w:val="none" w:sz="0" w:space="0" w:color="auto"/>
        <w:bottom w:val="none" w:sz="0" w:space="0" w:color="auto"/>
        <w:right w:val="none" w:sz="0" w:space="0" w:color="auto"/>
      </w:divBdr>
    </w:div>
    <w:div w:id="1500803249">
      <w:bodyDiv w:val="1"/>
      <w:marLeft w:val="0"/>
      <w:marRight w:val="0"/>
      <w:marTop w:val="0"/>
      <w:marBottom w:val="0"/>
      <w:divBdr>
        <w:top w:val="none" w:sz="0" w:space="0" w:color="auto"/>
        <w:left w:val="none" w:sz="0" w:space="0" w:color="auto"/>
        <w:bottom w:val="none" w:sz="0" w:space="0" w:color="auto"/>
        <w:right w:val="none" w:sz="0" w:space="0" w:color="auto"/>
      </w:divBdr>
      <w:divsChild>
        <w:div w:id="2081362727">
          <w:marLeft w:val="0"/>
          <w:marRight w:val="0"/>
          <w:marTop w:val="0"/>
          <w:marBottom w:val="0"/>
          <w:divBdr>
            <w:top w:val="none" w:sz="0" w:space="0" w:color="auto"/>
            <w:left w:val="none" w:sz="0" w:space="0" w:color="auto"/>
            <w:bottom w:val="none" w:sz="0" w:space="0" w:color="auto"/>
            <w:right w:val="none" w:sz="0" w:space="0" w:color="auto"/>
          </w:divBdr>
        </w:div>
      </w:divsChild>
    </w:div>
    <w:div w:id="1520047200">
      <w:bodyDiv w:val="1"/>
      <w:marLeft w:val="0"/>
      <w:marRight w:val="0"/>
      <w:marTop w:val="0"/>
      <w:marBottom w:val="0"/>
      <w:divBdr>
        <w:top w:val="none" w:sz="0" w:space="0" w:color="auto"/>
        <w:left w:val="none" w:sz="0" w:space="0" w:color="auto"/>
        <w:bottom w:val="none" w:sz="0" w:space="0" w:color="auto"/>
        <w:right w:val="none" w:sz="0" w:space="0" w:color="auto"/>
      </w:divBdr>
      <w:divsChild>
        <w:div w:id="1324971043">
          <w:marLeft w:val="446"/>
          <w:marRight w:val="0"/>
          <w:marTop w:val="0"/>
          <w:marBottom w:val="0"/>
          <w:divBdr>
            <w:top w:val="none" w:sz="0" w:space="0" w:color="auto"/>
            <w:left w:val="none" w:sz="0" w:space="0" w:color="auto"/>
            <w:bottom w:val="none" w:sz="0" w:space="0" w:color="auto"/>
            <w:right w:val="none" w:sz="0" w:space="0" w:color="auto"/>
          </w:divBdr>
        </w:div>
        <w:div w:id="2048334992">
          <w:marLeft w:val="446"/>
          <w:marRight w:val="0"/>
          <w:marTop w:val="0"/>
          <w:marBottom w:val="0"/>
          <w:divBdr>
            <w:top w:val="none" w:sz="0" w:space="0" w:color="auto"/>
            <w:left w:val="none" w:sz="0" w:space="0" w:color="auto"/>
            <w:bottom w:val="none" w:sz="0" w:space="0" w:color="auto"/>
            <w:right w:val="none" w:sz="0" w:space="0" w:color="auto"/>
          </w:divBdr>
        </w:div>
      </w:divsChild>
    </w:div>
    <w:div w:id="1523474624">
      <w:bodyDiv w:val="1"/>
      <w:marLeft w:val="0"/>
      <w:marRight w:val="0"/>
      <w:marTop w:val="0"/>
      <w:marBottom w:val="0"/>
      <w:divBdr>
        <w:top w:val="none" w:sz="0" w:space="0" w:color="auto"/>
        <w:left w:val="none" w:sz="0" w:space="0" w:color="auto"/>
        <w:bottom w:val="none" w:sz="0" w:space="0" w:color="auto"/>
        <w:right w:val="none" w:sz="0" w:space="0" w:color="auto"/>
      </w:divBdr>
    </w:div>
    <w:div w:id="1529683536">
      <w:bodyDiv w:val="1"/>
      <w:marLeft w:val="0"/>
      <w:marRight w:val="0"/>
      <w:marTop w:val="0"/>
      <w:marBottom w:val="0"/>
      <w:divBdr>
        <w:top w:val="none" w:sz="0" w:space="0" w:color="auto"/>
        <w:left w:val="none" w:sz="0" w:space="0" w:color="auto"/>
        <w:bottom w:val="none" w:sz="0" w:space="0" w:color="auto"/>
        <w:right w:val="none" w:sz="0" w:space="0" w:color="auto"/>
      </w:divBdr>
      <w:divsChild>
        <w:div w:id="469443535">
          <w:marLeft w:val="446"/>
          <w:marRight w:val="0"/>
          <w:marTop w:val="0"/>
          <w:marBottom w:val="0"/>
          <w:divBdr>
            <w:top w:val="none" w:sz="0" w:space="0" w:color="auto"/>
            <w:left w:val="none" w:sz="0" w:space="0" w:color="auto"/>
            <w:bottom w:val="none" w:sz="0" w:space="0" w:color="auto"/>
            <w:right w:val="none" w:sz="0" w:space="0" w:color="auto"/>
          </w:divBdr>
        </w:div>
      </w:divsChild>
    </w:div>
    <w:div w:id="1535998562">
      <w:bodyDiv w:val="1"/>
      <w:marLeft w:val="0"/>
      <w:marRight w:val="0"/>
      <w:marTop w:val="0"/>
      <w:marBottom w:val="0"/>
      <w:divBdr>
        <w:top w:val="none" w:sz="0" w:space="0" w:color="auto"/>
        <w:left w:val="none" w:sz="0" w:space="0" w:color="auto"/>
        <w:bottom w:val="none" w:sz="0" w:space="0" w:color="auto"/>
        <w:right w:val="none" w:sz="0" w:space="0" w:color="auto"/>
      </w:divBdr>
    </w:div>
    <w:div w:id="1538077767">
      <w:bodyDiv w:val="1"/>
      <w:marLeft w:val="0"/>
      <w:marRight w:val="0"/>
      <w:marTop w:val="0"/>
      <w:marBottom w:val="0"/>
      <w:divBdr>
        <w:top w:val="none" w:sz="0" w:space="0" w:color="auto"/>
        <w:left w:val="none" w:sz="0" w:space="0" w:color="auto"/>
        <w:bottom w:val="none" w:sz="0" w:space="0" w:color="auto"/>
        <w:right w:val="none" w:sz="0" w:space="0" w:color="auto"/>
      </w:divBdr>
      <w:divsChild>
        <w:div w:id="605038047">
          <w:marLeft w:val="446"/>
          <w:marRight w:val="0"/>
          <w:marTop w:val="0"/>
          <w:marBottom w:val="0"/>
          <w:divBdr>
            <w:top w:val="none" w:sz="0" w:space="0" w:color="auto"/>
            <w:left w:val="none" w:sz="0" w:space="0" w:color="auto"/>
            <w:bottom w:val="none" w:sz="0" w:space="0" w:color="auto"/>
            <w:right w:val="none" w:sz="0" w:space="0" w:color="auto"/>
          </w:divBdr>
        </w:div>
        <w:div w:id="1027409841">
          <w:marLeft w:val="446"/>
          <w:marRight w:val="0"/>
          <w:marTop w:val="0"/>
          <w:marBottom w:val="0"/>
          <w:divBdr>
            <w:top w:val="none" w:sz="0" w:space="0" w:color="auto"/>
            <w:left w:val="none" w:sz="0" w:space="0" w:color="auto"/>
            <w:bottom w:val="none" w:sz="0" w:space="0" w:color="auto"/>
            <w:right w:val="none" w:sz="0" w:space="0" w:color="auto"/>
          </w:divBdr>
        </w:div>
        <w:div w:id="1370452615">
          <w:marLeft w:val="446"/>
          <w:marRight w:val="0"/>
          <w:marTop w:val="0"/>
          <w:marBottom w:val="0"/>
          <w:divBdr>
            <w:top w:val="none" w:sz="0" w:space="0" w:color="auto"/>
            <w:left w:val="none" w:sz="0" w:space="0" w:color="auto"/>
            <w:bottom w:val="none" w:sz="0" w:space="0" w:color="auto"/>
            <w:right w:val="none" w:sz="0" w:space="0" w:color="auto"/>
          </w:divBdr>
        </w:div>
        <w:div w:id="1395857048">
          <w:marLeft w:val="446"/>
          <w:marRight w:val="0"/>
          <w:marTop w:val="0"/>
          <w:marBottom w:val="0"/>
          <w:divBdr>
            <w:top w:val="none" w:sz="0" w:space="0" w:color="auto"/>
            <w:left w:val="none" w:sz="0" w:space="0" w:color="auto"/>
            <w:bottom w:val="none" w:sz="0" w:space="0" w:color="auto"/>
            <w:right w:val="none" w:sz="0" w:space="0" w:color="auto"/>
          </w:divBdr>
        </w:div>
        <w:div w:id="1504929036">
          <w:marLeft w:val="446"/>
          <w:marRight w:val="0"/>
          <w:marTop w:val="0"/>
          <w:marBottom w:val="0"/>
          <w:divBdr>
            <w:top w:val="none" w:sz="0" w:space="0" w:color="auto"/>
            <w:left w:val="none" w:sz="0" w:space="0" w:color="auto"/>
            <w:bottom w:val="none" w:sz="0" w:space="0" w:color="auto"/>
            <w:right w:val="none" w:sz="0" w:space="0" w:color="auto"/>
          </w:divBdr>
        </w:div>
        <w:div w:id="1510169565">
          <w:marLeft w:val="446"/>
          <w:marRight w:val="0"/>
          <w:marTop w:val="0"/>
          <w:marBottom w:val="0"/>
          <w:divBdr>
            <w:top w:val="none" w:sz="0" w:space="0" w:color="auto"/>
            <w:left w:val="none" w:sz="0" w:space="0" w:color="auto"/>
            <w:bottom w:val="none" w:sz="0" w:space="0" w:color="auto"/>
            <w:right w:val="none" w:sz="0" w:space="0" w:color="auto"/>
          </w:divBdr>
        </w:div>
        <w:div w:id="1899365276">
          <w:marLeft w:val="446"/>
          <w:marRight w:val="0"/>
          <w:marTop w:val="0"/>
          <w:marBottom w:val="0"/>
          <w:divBdr>
            <w:top w:val="none" w:sz="0" w:space="0" w:color="auto"/>
            <w:left w:val="none" w:sz="0" w:space="0" w:color="auto"/>
            <w:bottom w:val="none" w:sz="0" w:space="0" w:color="auto"/>
            <w:right w:val="none" w:sz="0" w:space="0" w:color="auto"/>
          </w:divBdr>
        </w:div>
        <w:div w:id="1987708883">
          <w:marLeft w:val="446"/>
          <w:marRight w:val="0"/>
          <w:marTop w:val="0"/>
          <w:marBottom w:val="0"/>
          <w:divBdr>
            <w:top w:val="none" w:sz="0" w:space="0" w:color="auto"/>
            <w:left w:val="none" w:sz="0" w:space="0" w:color="auto"/>
            <w:bottom w:val="none" w:sz="0" w:space="0" w:color="auto"/>
            <w:right w:val="none" w:sz="0" w:space="0" w:color="auto"/>
          </w:divBdr>
        </w:div>
      </w:divsChild>
    </w:div>
    <w:div w:id="1542932933">
      <w:bodyDiv w:val="1"/>
      <w:marLeft w:val="0"/>
      <w:marRight w:val="0"/>
      <w:marTop w:val="0"/>
      <w:marBottom w:val="0"/>
      <w:divBdr>
        <w:top w:val="none" w:sz="0" w:space="0" w:color="auto"/>
        <w:left w:val="none" w:sz="0" w:space="0" w:color="auto"/>
        <w:bottom w:val="none" w:sz="0" w:space="0" w:color="auto"/>
        <w:right w:val="none" w:sz="0" w:space="0" w:color="auto"/>
      </w:divBdr>
      <w:divsChild>
        <w:div w:id="27342488">
          <w:marLeft w:val="446"/>
          <w:marRight w:val="0"/>
          <w:marTop w:val="0"/>
          <w:marBottom w:val="0"/>
          <w:divBdr>
            <w:top w:val="none" w:sz="0" w:space="0" w:color="auto"/>
            <w:left w:val="none" w:sz="0" w:space="0" w:color="auto"/>
            <w:bottom w:val="none" w:sz="0" w:space="0" w:color="auto"/>
            <w:right w:val="none" w:sz="0" w:space="0" w:color="auto"/>
          </w:divBdr>
        </w:div>
        <w:div w:id="256256585">
          <w:marLeft w:val="446"/>
          <w:marRight w:val="0"/>
          <w:marTop w:val="0"/>
          <w:marBottom w:val="0"/>
          <w:divBdr>
            <w:top w:val="none" w:sz="0" w:space="0" w:color="auto"/>
            <w:left w:val="none" w:sz="0" w:space="0" w:color="auto"/>
            <w:bottom w:val="none" w:sz="0" w:space="0" w:color="auto"/>
            <w:right w:val="none" w:sz="0" w:space="0" w:color="auto"/>
          </w:divBdr>
        </w:div>
        <w:div w:id="1038775003">
          <w:marLeft w:val="446"/>
          <w:marRight w:val="0"/>
          <w:marTop w:val="0"/>
          <w:marBottom w:val="0"/>
          <w:divBdr>
            <w:top w:val="none" w:sz="0" w:space="0" w:color="auto"/>
            <w:left w:val="none" w:sz="0" w:space="0" w:color="auto"/>
            <w:bottom w:val="none" w:sz="0" w:space="0" w:color="auto"/>
            <w:right w:val="none" w:sz="0" w:space="0" w:color="auto"/>
          </w:divBdr>
        </w:div>
        <w:div w:id="1102455883">
          <w:marLeft w:val="446"/>
          <w:marRight w:val="0"/>
          <w:marTop w:val="0"/>
          <w:marBottom w:val="0"/>
          <w:divBdr>
            <w:top w:val="none" w:sz="0" w:space="0" w:color="auto"/>
            <w:left w:val="none" w:sz="0" w:space="0" w:color="auto"/>
            <w:bottom w:val="none" w:sz="0" w:space="0" w:color="auto"/>
            <w:right w:val="none" w:sz="0" w:space="0" w:color="auto"/>
          </w:divBdr>
        </w:div>
        <w:div w:id="2062556807">
          <w:marLeft w:val="446"/>
          <w:marRight w:val="0"/>
          <w:marTop w:val="0"/>
          <w:marBottom w:val="0"/>
          <w:divBdr>
            <w:top w:val="none" w:sz="0" w:space="0" w:color="auto"/>
            <w:left w:val="none" w:sz="0" w:space="0" w:color="auto"/>
            <w:bottom w:val="none" w:sz="0" w:space="0" w:color="auto"/>
            <w:right w:val="none" w:sz="0" w:space="0" w:color="auto"/>
          </w:divBdr>
        </w:div>
      </w:divsChild>
    </w:div>
    <w:div w:id="1542939197">
      <w:bodyDiv w:val="1"/>
      <w:marLeft w:val="0"/>
      <w:marRight w:val="0"/>
      <w:marTop w:val="0"/>
      <w:marBottom w:val="0"/>
      <w:divBdr>
        <w:top w:val="none" w:sz="0" w:space="0" w:color="auto"/>
        <w:left w:val="none" w:sz="0" w:space="0" w:color="auto"/>
        <w:bottom w:val="none" w:sz="0" w:space="0" w:color="auto"/>
        <w:right w:val="none" w:sz="0" w:space="0" w:color="auto"/>
      </w:divBdr>
      <w:divsChild>
        <w:div w:id="176509510">
          <w:marLeft w:val="446"/>
          <w:marRight w:val="0"/>
          <w:marTop w:val="0"/>
          <w:marBottom w:val="0"/>
          <w:divBdr>
            <w:top w:val="none" w:sz="0" w:space="0" w:color="auto"/>
            <w:left w:val="none" w:sz="0" w:space="0" w:color="auto"/>
            <w:bottom w:val="none" w:sz="0" w:space="0" w:color="auto"/>
            <w:right w:val="none" w:sz="0" w:space="0" w:color="auto"/>
          </w:divBdr>
        </w:div>
        <w:div w:id="1906526818">
          <w:marLeft w:val="446"/>
          <w:marRight w:val="0"/>
          <w:marTop w:val="0"/>
          <w:marBottom w:val="0"/>
          <w:divBdr>
            <w:top w:val="none" w:sz="0" w:space="0" w:color="auto"/>
            <w:left w:val="none" w:sz="0" w:space="0" w:color="auto"/>
            <w:bottom w:val="none" w:sz="0" w:space="0" w:color="auto"/>
            <w:right w:val="none" w:sz="0" w:space="0" w:color="auto"/>
          </w:divBdr>
        </w:div>
      </w:divsChild>
    </w:div>
    <w:div w:id="1559130994">
      <w:bodyDiv w:val="1"/>
      <w:marLeft w:val="0"/>
      <w:marRight w:val="0"/>
      <w:marTop w:val="0"/>
      <w:marBottom w:val="0"/>
      <w:divBdr>
        <w:top w:val="none" w:sz="0" w:space="0" w:color="auto"/>
        <w:left w:val="none" w:sz="0" w:space="0" w:color="auto"/>
        <w:bottom w:val="none" w:sz="0" w:space="0" w:color="auto"/>
        <w:right w:val="none" w:sz="0" w:space="0" w:color="auto"/>
      </w:divBdr>
      <w:divsChild>
        <w:div w:id="894439214">
          <w:marLeft w:val="446"/>
          <w:marRight w:val="0"/>
          <w:marTop w:val="0"/>
          <w:marBottom w:val="0"/>
          <w:divBdr>
            <w:top w:val="none" w:sz="0" w:space="0" w:color="auto"/>
            <w:left w:val="none" w:sz="0" w:space="0" w:color="auto"/>
            <w:bottom w:val="none" w:sz="0" w:space="0" w:color="auto"/>
            <w:right w:val="none" w:sz="0" w:space="0" w:color="auto"/>
          </w:divBdr>
        </w:div>
      </w:divsChild>
    </w:div>
    <w:div w:id="1561138001">
      <w:bodyDiv w:val="1"/>
      <w:marLeft w:val="0"/>
      <w:marRight w:val="0"/>
      <w:marTop w:val="0"/>
      <w:marBottom w:val="0"/>
      <w:divBdr>
        <w:top w:val="none" w:sz="0" w:space="0" w:color="auto"/>
        <w:left w:val="none" w:sz="0" w:space="0" w:color="auto"/>
        <w:bottom w:val="none" w:sz="0" w:space="0" w:color="auto"/>
        <w:right w:val="none" w:sz="0" w:space="0" w:color="auto"/>
      </w:divBdr>
    </w:div>
    <w:div w:id="1585263895">
      <w:bodyDiv w:val="1"/>
      <w:marLeft w:val="0"/>
      <w:marRight w:val="0"/>
      <w:marTop w:val="0"/>
      <w:marBottom w:val="0"/>
      <w:divBdr>
        <w:top w:val="none" w:sz="0" w:space="0" w:color="auto"/>
        <w:left w:val="none" w:sz="0" w:space="0" w:color="auto"/>
        <w:bottom w:val="none" w:sz="0" w:space="0" w:color="auto"/>
        <w:right w:val="none" w:sz="0" w:space="0" w:color="auto"/>
      </w:divBdr>
    </w:div>
    <w:div w:id="1603026436">
      <w:bodyDiv w:val="1"/>
      <w:marLeft w:val="0"/>
      <w:marRight w:val="0"/>
      <w:marTop w:val="0"/>
      <w:marBottom w:val="0"/>
      <w:divBdr>
        <w:top w:val="none" w:sz="0" w:space="0" w:color="auto"/>
        <w:left w:val="none" w:sz="0" w:space="0" w:color="auto"/>
        <w:bottom w:val="none" w:sz="0" w:space="0" w:color="auto"/>
        <w:right w:val="none" w:sz="0" w:space="0" w:color="auto"/>
      </w:divBdr>
    </w:div>
    <w:div w:id="1605189853">
      <w:bodyDiv w:val="1"/>
      <w:marLeft w:val="0"/>
      <w:marRight w:val="0"/>
      <w:marTop w:val="0"/>
      <w:marBottom w:val="0"/>
      <w:divBdr>
        <w:top w:val="none" w:sz="0" w:space="0" w:color="auto"/>
        <w:left w:val="none" w:sz="0" w:space="0" w:color="auto"/>
        <w:bottom w:val="none" w:sz="0" w:space="0" w:color="auto"/>
        <w:right w:val="none" w:sz="0" w:space="0" w:color="auto"/>
      </w:divBdr>
      <w:divsChild>
        <w:div w:id="955450314">
          <w:marLeft w:val="0"/>
          <w:marRight w:val="0"/>
          <w:marTop w:val="0"/>
          <w:marBottom w:val="0"/>
          <w:divBdr>
            <w:top w:val="none" w:sz="0" w:space="0" w:color="auto"/>
            <w:left w:val="none" w:sz="0" w:space="0" w:color="auto"/>
            <w:bottom w:val="none" w:sz="0" w:space="0" w:color="auto"/>
            <w:right w:val="none" w:sz="0" w:space="0" w:color="auto"/>
          </w:divBdr>
          <w:divsChild>
            <w:div w:id="1908759987">
              <w:marLeft w:val="0"/>
              <w:marRight w:val="0"/>
              <w:marTop w:val="0"/>
              <w:marBottom w:val="0"/>
              <w:divBdr>
                <w:top w:val="none" w:sz="0" w:space="0" w:color="auto"/>
                <w:left w:val="none" w:sz="0" w:space="0" w:color="auto"/>
                <w:bottom w:val="none" w:sz="0" w:space="0" w:color="auto"/>
                <w:right w:val="none" w:sz="0" w:space="0" w:color="auto"/>
              </w:divBdr>
              <w:divsChild>
                <w:div w:id="1271862056">
                  <w:marLeft w:val="0"/>
                  <w:marRight w:val="0"/>
                  <w:marTop w:val="0"/>
                  <w:marBottom w:val="0"/>
                  <w:divBdr>
                    <w:top w:val="none" w:sz="0" w:space="0" w:color="auto"/>
                    <w:left w:val="none" w:sz="0" w:space="0" w:color="auto"/>
                    <w:bottom w:val="none" w:sz="0" w:space="0" w:color="auto"/>
                    <w:right w:val="none" w:sz="0" w:space="0" w:color="auto"/>
                  </w:divBdr>
                  <w:divsChild>
                    <w:div w:id="1638030101">
                      <w:marLeft w:val="0"/>
                      <w:marRight w:val="0"/>
                      <w:marTop w:val="0"/>
                      <w:marBottom w:val="0"/>
                      <w:divBdr>
                        <w:top w:val="none" w:sz="0" w:space="0" w:color="auto"/>
                        <w:left w:val="none" w:sz="0" w:space="0" w:color="auto"/>
                        <w:bottom w:val="none" w:sz="0" w:space="0" w:color="auto"/>
                        <w:right w:val="none" w:sz="0" w:space="0" w:color="auto"/>
                      </w:divBdr>
                      <w:divsChild>
                        <w:div w:id="690837065">
                          <w:marLeft w:val="0"/>
                          <w:marRight w:val="0"/>
                          <w:marTop w:val="0"/>
                          <w:marBottom w:val="0"/>
                          <w:divBdr>
                            <w:top w:val="none" w:sz="0" w:space="0" w:color="auto"/>
                            <w:left w:val="none" w:sz="0" w:space="0" w:color="auto"/>
                            <w:bottom w:val="none" w:sz="0" w:space="0" w:color="auto"/>
                            <w:right w:val="none" w:sz="0" w:space="0" w:color="auto"/>
                          </w:divBdr>
                          <w:divsChild>
                            <w:div w:id="583102863">
                              <w:marLeft w:val="0"/>
                              <w:marRight w:val="0"/>
                              <w:marTop w:val="0"/>
                              <w:marBottom w:val="0"/>
                              <w:divBdr>
                                <w:top w:val="none" w:sz="0" w:space="0" w:color="auto"/>
                                <w:left w:val="none" w:sz="0" w:space="0" w:color="auto"/>
                                <w:bottom w:val="none" w:sz="0" w:space="0" w:color="auto"/>
                                <w:right w:val="none" w:sz="0" w:space="0" w:color="auto"/>
                              </w:divBdr>
                              <w:divsChild>
                                <w:div w:id="1216627070">
                                  <w:marLeft w:val="0"/>
                                  <w:marRight w:val="0"/>
                                  <w:marTop w:val="0"/>
                                  <w:marBottom w:val="0"/>
                                  <w:divBdr>
                                    <w:top w:val="none" w:sz="0" w:space="0" w:color="auto"/>
                                    <w:left w:val="none" w:sz="0" w:space="0" w:color="auto"/>
                                    <w:bottom w:val="none" w:sz="0" w:space="0" w:color="auto"/>
                                    <w:right w:val="none" w:sz="0" w:space="0" w:color="auto"/>
                                  </w:divBdr>
                                  <w:divsChild>
                                    <w:div w:id="1137184711">
                                      <w:marLeft w:val="0"/>
                                      <w:marRight w:val="0"/>
                                      <w:marTop w:val="0"/>
                                      <w:marBottom w:val="0"/>
                                      <w:divBdr>
                                        <w:top w:val="none" w:sz="0" w:space="0" w:color="auto"/>
                                        <w:left w:val="none" w:sz="0" w:space="0" w:color="auto"/>
                                        <w:bottom w:val="none" w:sz="0" w:space="0" w:color="auto"/>
                                        <w:right w:val="none" w:sz="0" w:space="0" w:color="auto"/>
                                      </w:divBdr>
                                      <w:divsChild>
                                        <w:div w:id="1240596565">
                                          <w:marLeft w:val="0"/>
                                          <w:marRight w:val="0"/>
                                          <w:marTop w:val="0"/>
                                          <w:marBottom w:val="0"/>
                                          <w:divBdr>
                                            <w:top w:val="none" w:sz="0" w:space="0" w:color="auto"/>
                                            <w:left w:val="none" w:sz="0" w:space="0" w:color="auto"/>
                                            <w:bottom w:val="none" w:sz="0" w:space="0" w:color="auto"/>
                                            <w:right w:val="none" w:sz="0" w:space="0" w:color="auto"/>
                                          </w:divBdr>
                                          <w:divsChild>
                                            <w:div w:id="1830556675">
                                              <w:marLeft w:val="0"/>
                                              <w:marRight w:val="0"/>
                                              <w:marTop w:val="0"/>
                                              <w:marBottom w:val="0"/>
                                              <w:divBdr>
                                                <w:top w:val="none" w:sz="0" w:space="0" w:color="auto"/>
                                                <w:left w:val="none" w:sz="0" w:space="0" w:color="auto"/>
                                                <w:bottom w:val="none" w:sz="0" w:space="0" w:color="auto"/>
                                                <w:right w:val="none" w:sz="0" w:space="0" w:color="auto"/>
                                              </w:divBdr>
                                              <w:divsChild>
                                                <w:div w:id="278531319">
                                                  <w:marLeft w:val="0"/>
                                                  <w:marRight w:val="0"/>
                                                  <w:marTop w:val="0"/>
                                                  <w:marBottom w:val="0"/>
                                                  <w:divBdr>
                                                    <w:top w:val="none" w:sz="0" w:space="0" w:color="auto"/>
                                                    <w:left w:val="none" w:sz="0" w:space="0" w:color="auto"/>
                                                    <w:bottom w:val="none" w:sz="0" w:space="0" w:color="auto"/>
                                                    <w:right w:val="none" w:sz="0" w:space="0" w:color="auto"/>
                                                  </w:divBdr>
                                                  <w:divsChild>
                                                    <w:div w:id="1647129817">
                                                      <w:marLeft w:val="0"/>
                                                      <w:marRight w:val="0"/>
                                                      <w:marTop w:val="0"/>
                                                      <w:marBottom w:val="0"/>
                                                      <w:divBdr>
                                                        <w:top w:val="single" w:sz="6" w:space="0" w:color="auto"/>
                                                        <w:left w:val="none" w:sz="0" w:space="0" w:color="auto"/>
                                                        <w:bottom w:val="single" w:sz="6" w:space="0" w:color="auto"/>
                                                        <w:right w:val="none" w:sz="0" w:space="0" w:color="auto"/>
                                                      </w:divBdr>
                                                      <w:divsChild>
                                                        <w:div w:id="1112817864">
                                                          <w:marLeft w:val="0"/>
                                                          <w:marRight w:val="0"/>
                                                          <w:marTop w:val="0"/>
                                                          <w:marBottom w:val="0"/>
                                                          <w:divBdr>
                                                            <w:top w:val="none" w:sz="0" w:space="0" w:color="auto"/>
                                                            <w:left w:val="none" w:sz="0" w:space="0" w:color="auto"/>
                                                            <w:bottom w:val="none" w:sz="0" w:space="0" w:color="auto"/>
                                                            <w:right w:val="none" w:sz="0" w:space="0" w:color="auto"/>
                                                          </w:divBdr>
                                                          <w:divsChild>
                                                            <w:div w:id="1936547254">
                                                              <w:marLeft w:val="0"/>
                                                              <w:marRight w:val="0"/>
                                                              <w:marTop w:val="0"/>
                                                              <w:marBottom w:val="0"/>
                                                              <w:divBdr>
                                                                <w:top w:val="none" w:sz="0" w:space="0" w:color="auto"/>
                                                                <w:left w:val="none" w:sz="0" w:space="0" w:color="auto"/>
                                                                <w:bottom w:val="none" w:sz="0" w:space="0" w:color="auto"/>
                                                                <w:right w:val="none" w:sz="0" w:space="0" w:color="auto"/>
                                                              </w:divBdr>
                                                              <w:divsChild>
                                                                <w:div w:id="2009281796">
                                                                  <w:marLeft w:val="0"/>
                                                                  <w:marRight w:val="0"/>
                                                                  <w:marTop w:val="0"/>
                                                                  <w:marBottom w:val="0"/>
                                                                  <w:divBdr>
                                                                    <w:top w:val="none" w:sz="0" w:space="0" w:color="auto"/>
                                                                    <w:left w:val="none" w:sz="0" w:space="0" w:color="auto"/>
                                                                    <w:bottom w:val="none" w:sz="0" w:space="0" w:color="auto"/>
                                                                    <w:right w:val="none" w:sz="0" w:space="0" w:color="auto"/>
                                                                  </w:divBdr>
                                                                  <w:divsChild>
                                                                    <w:div w:id="1159885188">
                                                                      <w:marLeft w:val="0"/>
                                                                      <w:marRight w:val="0"/>
                                                                      <w:marTop w:val="0"/>
                                                                      <w:marBottom w:val="0"/>
                                                                      <w:divBdr>
                                                                        <w:top w:val="none" w:sz="0" w:space="0" w:color="auto"/>
                                                                        <w:left w:val="none" w:sz="0" w:space="0" w:color="auto"/>
                                                                        <w:bottom w:val="none" w:sz="0" w:space="0" w:color="auto"/>
                                                                        <w:right w:val="none" w:sz="0" w:space="0" w:color="auto"/>
                                                                      </w:divBdr>
                                                                      <w:divsChild>
                                                                        <w:div w:id="898515878">
                                                                          <w:marLeft w:val="0"/>
                                                                          <w:marRight w:val="0"/>
                                                                          <w:marTop w:val="0"/>
                                                                          <w:marBottom w:val="0"/>
                                                                          <w:divBdr>
                                                                            <w:top w:val="none" w:sz="0" w:space="0" w:color="auto"/>
                                                                            <w:left w:val="none" w:sz="0" w:space="0" w:color="auto"/>
                                                                            <w:bottom w:val="none" w:sz="0" w:space="0" w:color="auto"/>
                                                                            <w:right w:val="none" w:sz="0" w:space="0" w:color="auto"/>
                                                                          </w:divBdr>
                                                                          <w:divsChild>
                                                                            <w:div w:id="880244042">
                                                                              <w:marLeft w:val="0"/>
                                                                              <w:marRight w:val="0"/>
                                                                              <w:marTop w:val="0"/>
                                                                              <w:marBottom w:val="0"/>
                                                                              <w:divBdr>
                                                                                <w:top w:val="none" w:sz="0" w:space="0" w:color="auto"/>
                                                                                <w:left w:val="none" w:sz="0" w:space="0" w:color="auto"/>
                                                                                <w:bottom w:val="none" w:sz="0" w:space="0" w:color="auto"/>
                                                                                <w:right w:val="none" w:sz="0" w:space="0" w:color="auto"/>
                                                                              </w:divBdr>
                                                                              <w:divsChild>
                                                                                <w:div w:id="617486629">
                                                                                  <w:marLeft w:val="0"/>
                                                                                  <w:marRight w:val="0"/>
                                                                                  <w:marTop w:val="0"/>
                                                                                  <w:marBottom w:val="0"/>
                                                                                  <w:divBdr>
                                                                                    <w:top w:val="none" w:sz="0" w:space="0" w:color="auto"/>
                                                                                    <w:left w:val="none" w:sz="0" w:space="0" w:color="auto"/>
                                                                                    <w:bottom w:val="none" w:sz="0" w:space="0" w:color="auto"/>
                                                                                    <w:right w:val="none" w:sz="0" w:space="0" w:color="auto"/>
                                                                                  </w:divBdr>
                                                                                </w:div>
                                                                                <w:div w:id="1373575598">
                                                                                  <w:marLeft w:val="0"/>
                                                                                  <w:marRight w:val="0"/>
                                                                                  <w:marTop w:val="0"/>
                                                                                  <w:marBottom w:val="0"/>
                                                                                  <w:divBdr>
                                                                                    <w:top w:val="none" w:sz="0" w:space="0" w:color="auto"/>
                                                                                    <w:left w:val="none" w:sz="0" w:space="0" w:color="auto"/>
                                                                                    <w:bottom w:val="none" w:sz="0" w:space="0" w:color="auto"/>
                                                                                    <w:right w:val="none" w:sz="0" w:space="0" w:color="auto"/>
                                                                                  </w:divBdr>
                                                                                </w:div>
                                                                                <w:div w:id="17087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632842">
      <w:bodyDiv w:val="1"/>
      <w:marLeft w:val="0"/>
      <w:marRight w:val="0"/>
      <w:marTop w:val="0"/>
      <w:marBottom w:val="0"/>
      <w:divBdr>
        <w:top w:val="none" w:sz="0" w:space="0" w:color="auto"/>
        <w:left w:val="none" w:sz="0" w:space="0" w:color="auto"/>
        <w:bottom w:val="none" w:sz="0" w:space="0" w:color="auto"/>
        <w:right w:val="none" w:sz="0" w:space="0" w:color="auto"/>
      </w:divBdr>
    </w:div>
    <w:div w:id="1615400841">
      <w:bodyDiv w:val="1"/>
      <w:marLeft w:val="0"/>
      <w:marRight w:val="0"/>
      <w:marTop w:val="0"/>
      <w:marBottom w:val="0"/>
      <w:divBdr>
        <w:top w:val="none" w:sz="0" w:space="0" w:color="auto"/>
        <w:left w:val="none" w:sz="0" w:space="0" w:color="auto"/>
        <w:bottom w:val="none" w:sz="0" w:space="0" w:color="auto"/>
        <w:right w:val="none" w:sz="0" w:space="0" w:color="auto"/>
      </w:divBdr>
    </w:div>
    <w:div w:id="1617063382">
      <w:bodyDiv w:val="1"/>
      <w:marLeft w:val="0"/>
      <w:marRight w:val="0"/>
      <w:marTop w:val="0"/>
      <w:marBottom w:val="0"/>
      <w:divBdr>
        <w:top w:val="none" w:sz="0" w:space="0" w:color="auto"/>
        <w:left w:val="none" w:sz="0" w:space="0" w:color="auto"/>
        <w:bottom w:val="none" w:sz="0" w:space="0" w:color="auto"/>
        <w:right w:val="none" w:sz="0" w:space="0" w:color="auto"/>
      </w:divBdr>
      <w:divsChild>
        <w:div w:id="1850900471">
          <w:marLeft w:val="0"/>
          <w:marRight w:val="0"/>
          <w:marTop w:val="0"/>
          <w:marBottom w:val="0"/>
          <w:divBdr>
            <w:top w:val="none" w:sz="0" w:space="0" w:color="auto"/>
            <w:left w:val="none" w:sz="0" w:space="0" w:color="auto"/>
            <w:bottom w:val="none" w:sz="0" w:space="0" w:color="auto"/>
            <w:right w:val="none" w:sz="0" w:space="0" w:color="auto"/>
          </w:divBdr>
        </w:div>
      </w:divsChild>
    </w:div>
    <w:div w:id="1653635482">
      <w:bodyDiv w:val="1"/>
      <w:marLeft w:val="0"/>
      <w:marRight w:val="0"/>
      <w:marTop w:val="0"/>
      <w:marBottom w:val="0"/>
      <w:divBdr>
        <w:top w:val="none" w:sz="0" w:space="0" w:color="auto"/>
        <w:left w:val="none" w:sz="0" w:space="0" w:color="auto"/>
        <w:bottom w:val="none" w:sz="0" w:space="0" w:color="auto"/>
        <w:right w:val="none" w:sz="0" w:space="0" w:color="auto"/>
      </w:divBdr>
    </w:div>
    <w:div w:id="1661347590">
      <w:bodyDiv w:val="1"/>
      <w:marLeft w:val="0"/>
      <w:marRight w:val="0"/>
      <w:marTop w:val="0"/>
      <w:marBottom w:val="0"/>
      <w:divBdr>
        <w:top w:val="none" w:sz="0" w:space="0" w:color="auto"/>
        <w:left w:val="none" w:sz="0" w:space="0" w:color="auto"/>
        <w:bottom w:val="none" w:sz="0" w:space="0" w:color="auto"/>
        <w:right w:val="none" w:sz="0" w:space="0" w:color="auto"/>
      </w:divBdr>
      <w:divsChild>
        <w:div w:id="524253763">
          <w:marLeft w:val="1166"/>
          <w:marRight w:val="0"/>
          <w:marTop w:val="67"/>
          <w:marBottom w:val="0"/>
          <w:divBdr>
            <w:top w:val="none" w:sz="0" w:space="0" w:color="auto"/>
            <w:left w:val="none" w:sz="0" w:space="0" w:color="auto"/>
            <w:bottom w:val="none" w:sz="0" w:space="0" w:color="auto"/>
            <w:right w:val="none" w:sz="0" w:space="0" w:color="auto"/>
          </w:divBdr>
        </w:div>
        <w:div w:id="613630926">
          <w:marLeft w:val="1166"/>
          <w:marRight w:val="0"/>
          <w:marTop w:val="67"/>
          <w:marBottom w:val="0"/>
          <w:divBdr>
            <w:top w:val="none" w:sz="0" w:space="0" w:color="auto"/>
            <w:left w:val="none" w:sz="0" w:space="0" w:color="auto"/>
            <w:bottom w:val="none" w:sz="0" w:space="0" w:color="auto"/>
            <w:right w:val="none" w:sz="0" w:space="0" w:color="auto"/>
          </w:divBdr>
        </w:div>
        <w:div w:id="1022517555">
          <w:marLeft w:val="1166"/>
          <w:marRight w:val="0"/>
          <w:marTop w:val="67"/>
          <w:marBottom w:val="0"/>
          <w:divBdr>
            <w:top w:val="none" w:sz="0" w:space="0" w:color="auto"/>
            <w:left w:val="none" w:sz="0" w:space="0" w:color="auto"/>
            <w:bottom w:val="none" w:sz="0" w:space="0" w:color="auto"/>
            <w:right w:val="none" w:sz="0" w:space="0" w:color="auto"/>
          </w:divBdr>
        </w:div>
        <w:div w:id="1710255762">
          <w:marLeft w:val="1166"/>
          <w:marRight w:val="0"/>
          <w:marTop w:val="67"/>
          <w:marBottom w:val="0"/>
          <w:divBdr>
            <w:top w:val="none" w:sz="0" w:space="0" w:color="auto"/>
            <w:left w:val="none" w:sz="0" w:space="0" w:color="auto"/>
            <w:bottom w:val="none" w:sz="0" w:space="0" w:color="auto"/>
            <w:right w:val="none" w:sz="0" w:space="0" w:color="auto"/>
          </w:divBdr>
        </w:div>
      </w:divsChild>
    </w:div>
    <w:div w:id="1664964864">
      <w:bodyDiv w:val="1"/>
      <w:marLeft w:val="0"/>
      <w:marRight w:val="0"/>
      <w:marTop w:val="0"/>
      <w:marBottom w:val="0"/>
      <w:divBdr>
        <w:top w:val="none" w:sz="0" w:space="0" w:color="auto"/>
        <w:left w:val="none" w:sz="0" w:space="0" w:color="auto"/>
        <w:bottom w:val="none" w:sz="0" w:space="0" w:color="auto"/>
        <w:right w:val="none" w:sz="0" w:space="0" w:color="auto"/>
      </w:divBdr>
      <w:divsChild>
        <w:div w:id="171117204">
          <w:marLeft w:val="446"/>
          <w:marRight w:val="0"/>
          <w:marTop w:val="0"/>
          <w:marBottom w:val="0"/>
          <w:divBdr>
            <w:top w:val="none" w:sz="0" w:space="0" w:color="auto"/>
            <w:left w:val="none" w:sz="0" w:space="0" w:color="auto"/>
            <w:bottom w:val="none" w:sz="0" w:space="0" w:color="auto"/>
            <w:right w:val="none" w:sz="0" w:space="0" w:color="auto"/>
          </w:divBdr>
        </w:div>
      </w:divsChild>
    </w:div>
    <w:div w:id="1688288242">
      <w:bodyDiv w:val="1"/>
      <w:marLeft w:val="0"/>
      <w:marRight w:val="0"/>
      <w:marTop w:val="0"/>
      <w:marBottom w:val="0"/>
      <w:divBdr>
        <w:top w:val="none" w:sz="0" w:space="0" w:color="auto"/>
        <w:left w:val="none" w:sz="0" w:space="0" w:color="auto"/>
        <w:bottom w:val="none" w:sz="0" w:space="0" w:color="auto"/>
        <w:right w:val="none" w:sz="0" w:space="0" w:color="auto"/>
      </w:divBdr>
      <w:divsChild>
        <w:div w:id="943347654">
          <w:marLeft w:val="446"/>
          <w:marRight w:val="0"/>
          <w:marTop w:val="0"/>
          <w:marBottom w:val="0"/>
          <w:divBdr>
            <w:top w:val="none" w:sz="0" w:space="0" w:color="auto"/>
            <w:left w:val="none" w:sz="0" w:space="0" w:color="auto"/>
            <w:bottom w:val="none" w:sz="0" w:space="0" w:color="auto"/>
            <w:right w:val="none" w:sz="0" w:space="0" w:color="auto"/>
          </w:divBdr>
        </w:div>
      </w:divsChild>
    </w:div>
    <w:div w:id="1703094139">
      <w:bodyDiv w:val="1"/>
      <w:marLeft w:val="0"/>
      <w:marRight w:val="0"/>
      <w:marTop w:val="0"/>
      <w:marBottom w:val="0"/>
      <w:divBdr>
        <w:top w:val="none" w:sz="0" w:space="0" w:color="auto"/>
        <w:left w:val="none" w:sz="0" w:space="0" w:color="auto"/>
        <w:bottom w:val="none" w:sz="0" w:space="0" w:color="auto"/>
        <w:right w:val="none" w:sz="0" w:space="0" w:color="auto"/>
      </w:divBdr>
    </w:div>
    <w:div w:id="1704086660">
      <w:bodyDiv w:val="1"/>
      <w:marLeft w:val="0"/>
      <w:marRight w:val="0"/>
      <w:marTop w:val="0"/>
      <w:marBottom w:val="0"/>
      <w:divBdr>
        <w:top w:val="none" w:sz="0" w:space="0" w:color="auto"/>
        <w:left w:val="none" w:sz="0" w:space="0" w:color="auto"/>
        <w:bottom w:val="none" w:sz="0" w:space="0" w:color="auto"/>
        <w:right w:val="none" w:sz="0" w:space="0" w:color="auto"/>
      </w:divBdr>
    </w:div>
    <w:div w:id="1747340761">
      <w:bodyDiv w:val="1"/>
      <w:marLeft w:val="0"/>
      <w:marRight w:val="0"/>
      <w:marTop w:val="0"/>
      <w:marBottom w:val="0"/>
      <w:divBdr>
        <w:top w:val="none" w:sz="0" w:space="0" w:color="auto"/>
        <w:left w:val="none" w:sz="0" w:space="0" w:color="auto"/>
        <w:bottom w:val="none" w:sz="0" w:space="0" w:color="auto"/>
        <w:right w:val="none" w:sz="0" w:space="0" w:color="auto"/>
      </w:divBdr>
    </w:div>
    <w:div w:id="1747457651">
      <w:bodyDiv w:val="1"/>
      <w:marLeft w:val="0"/>
      <w:marRight w:val="0"/>
      <w:marTop w:val="0"/>
      <w:marBottom w:val="0"/>
      <w:divBdr>
        <w:top w:val="none" w:sz="0" w:space="0" w:color="auto"/>
        <w:left w:val="none" w:sz="0" w:space="0" w:color="auto"/>
        <w:bottom w:val="none" w:sz="0" w:space="0" w:color="auto"/>
        <w:right w:val="none" w:sz="0" w:space="0" w:color="auto"/>
      </w:divBdr>
    </w:div>
    <w:div w:id="1763599121">
      <w:bodyDiv w:val="1"/>
      <w:marLeft w:val="0"/>
      <w:marRight w:val="0"/>
      <w:marTop w:val="0"/>
      <w:marBottom w:val="0"/>
      <w:divBdr>
        <w:top w:val="none" w:sz="0" w:space="0" w:color="auto"/>
        <w:left w:val="none" w:sz="0" w:space="0" w:color="auto"/>
        <w:bottom w:val="none" w:sz="0" w:space="0" w:color="auto"/>
        <w:right w:val="none" w:sz="0" w:space="0" w:color="auto"/>
      </w:divBdr>
      <w:divsChild>
        <w:div w:id="671756102">
          <w:marLeft w:val="446"/>
          <w:marRight w:val="0"/>
          <w:marTop w:val="0"/>
          <w:marBottom w:val="0"/>
          <w:divBdr>
            <w:top w:val="none" w:sz="0" w:space="0" w:color="auto"/>
            <w:left w:val="none" w:sz="0" w:space="0" w:color="auto"/>
            <w:bottom w:val="none" w:sz="0" w:space="0" w:color="auto"/>
            <w:right w:val="none" w:sz="0" w:space="0" w:color="auto"/>
          </w:divBdr>
        </w:div>
        <w:div w:id="755788230">
          <w:marLeft w:val="446"/>
          <w:marRight w:val="0"/>
          <w:marTop w:val="0"/>
          <w:marBottom w:val="0"/>
          <w:divBdr>
            <w:top w:val="none" w:sz="0" w:space="0" w:color="auto"/>
            <w:left w:val="none" w:sz="0" w:space="0" w:color="auto"/>
            <w:bottom w:val="none" w:sz="0" w:space="0" w:color="auto"/>
            <w:right w:val="none" w:sz="0" w:space="0" w:color="auto"/>
          </w:divBdr>
        </w:div>
        <w:div w:id="1748842236">
          <w:marLeft w:val="446"/>
          <w:marRight w:val="0"/>
          <w:marTop w:val="0"/>
          <w:marBottom w:val="0"/>
          <w:divBdr>
            <w:top w:val="none" w:sz="0" w:space="0" w:color="auto"/>
            <w:left w:val="none" w:sz="0" w:space="0" w:color="auto"/>
            <w:bottom w:val="none" w:sz="0" w:space="0" w:color="auto"/>
            <w:right w:val="none" w:sz="0" w:space="0" w:color="auto"/>
          </w:divBdr>
        </w:div>
      </w:divsChild>
    </w:div>
    <w:div w:id="1766801537">
      <w:bodyDiv w:val="1"/>
      <w:marLeft w:val="0"/>
      <w:marRight w:val="0"/>
      <w:marTop w:val="0"/>
      <w:marBottom w:val="0"/>
      <w:divBdr>
        <w:top w:val="none" w:sz="0" w:space="0" w:color="auto"/>
        <w:left w:val="none" w:sz="0" w:space="0" w:color="auto"/>
        <w:bottom w:val="none" w:sz="0" w:space="0" w:color="auto"/>
        <w:right w:val="none" w:sz="0" w:space="0" w:color="auto"/>
      </w:divBdr>
    </w:div>
    <w:div w:id="1841314689">
      <w:bodyDiv w:val="1"/>
      <w:marLeft w:val="0"/>
      <w:marRight w:val="0"/>
      <w:marTop w:val="0"/>
      <w:marBottom w:val="0"/>
      <w:divBdr>
        <w:top w:val="none" w:sz="0" w:space="0" w:color="auto"/>
        <w:left w:val="none" w:sz="0" w:space="0" w:color="auto"/>
        <w:bottom w:val="none" w:sz="0" w:space="0" w:color="auto"/>
        <w:right w:val="none" w:sz="0" w:space="0" w:color="auto"/>
      </w:divBdr>
    </w:div>
    <w:div w:id="1856730032">
      <w:bodyDiv w:val="1"/>
      <w:marLeft w:val="0"/>
      <w:marRight w:val="0"/>
      <w:marTop w:val="0"/>
      <w:marBottom w:val="0"/>
      <w:divBdr>
        <w:top w:val="none" w:sz="0" w:space="0" w:color="auto"/>
        <w:left w:val="none" w:sz="0" w:space="0" w:color="auto"/>
        <w:bottom w:val="none" w:sz="0" w:space="0" w:color="auto"/>
        <w:right w:val="none" w:sz="0" w:space="0" w:color="auto"/>
      </w:divBdr>
      <w:divsChild>
        <w:div w:id="971013248">
          <w:marLeft w:val="446"/>
          <w:marRight w:val="0"/>
          <w:marTop w:val="0"/>
          <w:marBottom w:val="0"/>
          <w:divBdr>
            <w:top w:val="none" w:sz="0" w:space="0" w:color="auto"/>
            <w:left w:val="none" w:sz="0" w:space="0" w:color="auto"/>
            <w:bottom w:val="none" w:sz="0" w:space="0" w:color="auto"/>
            <w:right w:val="none" w:sz="0" w:space="0" w:color="auto"/>
          </w:divBdr>
        </w:div>
        <w:div w:id="2115518872">
          <w:marLeft w:val="446"/>
          <w:marRight w:val="0"/>
          <w:marTop w:val="0"/>
          <w:marBottom w:val="0"/>
          <w:divBdr>
            <w:top w:val="none" w:sz="0" w:space="0" w:color="auto"/>
            <w:left w:val="none" w:sz="0" w:space="0" w:color="auto"/>
            <w:bottom w:val="none" w:sz="0" w:space="0" w:color="auto"/>
            <w:right w:val="none" w:sz="0" w:space="0" w:color="auto"/>
          </w:divBdr>
        </w:div>
      </w:divsChild>
    </w:div>
    <w:div w:id="1864705066">
      <w:bodyDiv w:val="1"/>
      <w:marLeft w:val="0"/>
      <w:marRight w:val="0"/>
      <w:marTop w:val="0"/>
      <w:marBottom w:val="0"/>
      <w:divBdr>
        <w:top w:val="none" w:sz="0" w:space="0" w:color="auto"/>
        <w:left w:val="none" w:sz="0" w:space="0" w:color="auto"/>
        <w:bottom w:val="none" w:sz="0" w:space="0" w:color="auto"/>
        <w:right w:val="none" w:sz="0" w:space="0" w:color="auto"/>
      </w:divBdr>
    </w:div>
    <w:div w:id="1892492763">
      <w:bodyDiv w:val="1"/>
      <w:marLeft w:val="0"/>
      <w:marRight w:val="0"/>
      <w:marTop w:val="0"/>
      <w:marBottom w:val="0"/>
      <w:divBdr>
        <w:top w:val="none" w:sz="0" w:space="0" w:color="auto"/>
        <w:left w:val="none" w:sz="0" w:space="0" w:color="auto"/>
        <w:bottom w:val="none" w:sz="0" w:space="0" w:color="auto"/>
        <w:right w:val="none" w:sz="0" w:space="0" w:color="auto"/>
      </w:divBdr>
    </w:div>
    <w:div w:id="1902861875">
      <w:bodyDiv w:val="1"/>
      <w:marLeft w:val="0"/>
      <w:marRight w:val="0"/>
      <w:marTop w:val="0"/>
      <w:marBottom w:val="0"/>
      <w:divBdr>
        <w:top w:val="none" w:sz="0" w:space="0" w:color="auto"/>
        <w:left w:val="none" w:sz="0" w:space="0" w:color="auto"/>
        <w:bottom w:val="none" w:sz="0" w:space="0" w:color="auto"/>
        <w:right w:val="none" w:sz="0" w:space="0" w:color="auto"/>
      </w:divBdr>
    </w:div>
    <w:div w:id="1951358174">
      <w:bodyDiv w:val="1"/>
      <w:marLeft w:val="0"/>
      <w:marRight w:val="0"/>
      <w:marTop w:val="0"/>
      <w:marBottom w:val="0"/>
      <w:divBdr>
        <w:top w:val="none" w:sz="0" w:space="0" w:color="auto"/>
        <w:left w:val="none" w:sz="0" w:space="0" w:color="auto"/>
        <w:bottom w:val="none" w:sz="0" w:space="0" w:color="auto"/>
        <w:right w:val="none" w:sz="0" w:space="0" w:color="auto"/>
      </w:divBdr>
      <w:divsChild>
        <w:div w:id="639073768">
          <w:marLeft w:val="446"/>
          <w:marRight w:val="0"/>
          <w:marTop w:val="0"/>
          <w:marBottom w:val="0"/>
          <w:divBdr>
            <w:top w:val="none" w:sz="0" w:space="0" w:color="auto"/>
            <w:left w:val="none" w:sz="0" w:space="0" w:color="auto"/>
            <w:bottom w:val="none" w:sz="0" w:space="0" w:color="auto"/>
            <w:right w:val="none" w:sz="0" w:space="0" w:color="auto"/>
          </w:divBdr>
        </w:div>
        <w:div w:id="953755344">
          <w:marLeft w:val="446"/>
          <w:marRight w:val="0"/>
          <w:marTop w:val="0"/>
          <w:marBottom w:val="0"/>
          <w:divBdr>
            <w:top w:val="none" w:sz="0" w:space="0" w:color="auto"/>
            <w:left w:val="none" w:sz="0" w:space="0" w:color="auto"/>
            <w:bottom w:val="none" w:sz="0" w:space="0" w:color="auto"/>
            <w:right w:val="none" w:sz="0" w:space="0" w:color="auto"/>
          </w:divBdr>
        </w:div>
        <w:div w:id="975258930">
          <w:marLeft w:val="446"/>
          <w:marRight w:val="0"/>
          <w:marTop w:val="0"/>
          <w:marBottom w:val="0"/>
          <w:divBdr>
            <w:top w:val="none" w:sz="0" w:space="0" w:color="auto"/>
            <w:left w:val="none" w:sz="0" w:space="0" w:color="auto"/>
            <w:bottom w:val="none" w:sz="0" w:space="0" w:color="auto"/>
            <w:right w:val="none" w:sz="0" w:space="0" w:color="auto"/>
          </w:divBdr>
        </w:div>
        <w:div w:id="1673139037">
          <w:marLeft w:val="446"/>
          <w:marRight w:val="0"/>
          <w:marTop w:val="0"/>
          <w:marBottom w:val="0"/>
          <w:divBdr>
            <w:top w:val="none" w:sz="0" w:space="0" w:color="auto"/>
            <w:left w:val="none" w:sz="0" w:space="0" w:color="auto"/>
            <w:bottom w:val="none" w:sz="0" w:space="0" w:color="auto"/>
            <w:right w:val="none" w:sz="0" w:space="0" w:color="auto"/>
          </w:divBdr>
        </w:div>
      </w:divsChild>
    </w:div>
    <w:div w:id="1990398154">
      <w:bodyDiv w:val="1"/>
      <w:marLeft w:val="0"/>
      <w:marRight w:val="0"/>
      <w:marTop w:val="0"/>
      <w:marBottom w:val="0"/>
      <w:divBdr>
        <w:top w:val="none" w:sz="0" w:space="0" w:color="auto"/>
        <w:left w:val="none" w:sz="0" w:space="0" w:color="auto"/>
        <w:bottom w:val="none" w:sz="0" w:space="0" w:color="auto"/>
        <w:right w:val="none" w:sz="0" w:space="0" w:color="auto"/>
      </w:divBdr>
    </w:div>
    <w:div w:id="2010521529">
      <w:bodyDiv w:val="1"/>
      <w:marLeft w:val="0"/>
      <w:marRight w:val="0"/>
      <w:marTop w:val="0"/>
      <w:marBottom w:val="0"/>
      <w:divBdr>
        <w:top w:val="none" w:sz="0" w:space="0" w:color="auto"/>
        <w:left w:val="none" w:sz="0" w:space="0" w:color="auto"/>
        <w:bottom w:val="none" w:sz="0" w:space="0" w:color="auto"/>
        <w:right w:val="none" w:sz="0" w:space="0" w:color="auto"/>
      </w:divBdr>
      <w:divsChild>
        <w:div w:id="332950786">
          <w:marLeft w:val="446"/>
          <w:marRight w:val="0"/>
          <w:marTop w:val="0"/>
          <w:marBottom w:val="0"/>
          <w:divBdr>
            <w:top w:val="none" w:sz="0" w:space="0" w:color="auto"/>
            <w:left w:val="none" w:sz="0" w:space="0" w:color="auto"/>
            <w:bottom w:val="none" w:sz="0" w:space="0" w:color="auto"/>
            <w:right w:val="none" w:sz="0" w:space="0" w:color="auto"/>
          </w:divBdr>
        </w:div>
        <w:div w:id="352190475">
          <w:marLeft w:val="446"/>
          <w:marRight w:val="0"/>
          <w:marTop w:val="0"/>
          <w:marBottom w:val="0"/>
          <w:divBdr>
            <w:top w:val="none" w:sz="0" w:space="0" w:color="auto"/>
            <w:left w:val="none" w:sz="0" w:space="0" w:color="auto"/>
            <w:bottom w:val="none" w:sz="0" w:space="0" w:color="auto"/>
            <w:right w:val="none" w:sz="0" w:space="0" w:color="auto"/>
          </w:divBdr>
        </w:div>
        <w:div w:id="364720560">
          <w:marLeft w:val="446"/>
          <w:marRight w:val="0"/>
          <w:marTop w:val="0"/>
          <w:marBottom w:val="0"/>
          <w:divBdr>
            <w:top w:val="none" w:sz="0" w:space="0" w:color="auto"/>
            <w:left w:val="none" w:sz="0" w:space="0" w:color="auto"/>
            <w:bottom w:val="none" w:sz="0" w:space="0" w:color="auto"/>
            <w:right w:val="none" w:sz="0" w:space="0" w:color="auto"/>
          </w:divBdr>
        </w:div>
        <w:div w:id="460156123">
          <w:marLeft w:val="446"/>
          <w:marRight w:val="0"/>
          <w:marTop w:val="0"/>
          <w:marBottom w:val="0"/>
          <w:divBdr>
            <w:top w:val="none" w:sz="0" w:space="0" w:color="auto"/>
            <w:left w:val="none" w:sz="0" w:space="0" w:color="auto"/>
            <w:bottom w:val="none" w:sz="0" w:space="0" w:color="auto"/>
            <w:right w:val="none" w:sz="0" w:space="0" w:color="auto"/>
          </w:divBdr>
        </w:div>
        <w:div w:id="538783917">
          <w:marLeft w:val="446"/>
          <w:marRight w:val="0"/>
          <w:marTop w:val="0"/>
          <w:marBottom w:val="0"/>
          <w:divBdr>
            <w:top w:val="none" w:sz="0" w:space="0" w:color="auto"/>
            <w:left w:val="none" w:sz="0" w:space="0" w:color="auto"/>
            <w:bottom w:val="none" w:sz="0" w:space="0" w:color="auto"/>
            <w:right w:val="none" w:sz="0" w:space="0" w:color="auto"/>
          </w:divBdr>
        </w:div>
        <w:div w:id="606356236">
          <w:marLeft w:val="446"/>
          <w:marRight w:val="0"/>
          <w:marTop w:val="0"/>
          <w:marBottom w:val="0"/>
          <w:divBdr>
            <w:top w:val="none" w:sz="0" w:space="0" w:color="auto"/>
            <w:left w:val="none" w:sz="0" w:space="0" w:color="auto"/>
            <w:bottom w:val="none" w:sz="0" w:space="0" w:color="auto"/>
            <w:right w:val="none" w:sz="0" w:space="0" w:color="auto"/>
          </w:divBdr>
        </w:div>
        <w:div w:id="747844840">
          <w:marLeft w:val="446"/>
          <w:marRight w:val="0"/>
          <w:marTop w:val="0"/>
          <w:marBottom w:val="0"/>
          <w:divBdr>
            <w:top w:val="none" w:sz="0" w:space="0" w:color="auto"/>
            <w:left w:val="none" w:sz="0" w:space="0" w:color="auto"/>
            <w:bottom w:val="none" w:sz="0" w:space="0" w:color="auto"/>
            <w:right w:val="none" w:sz="0" w:space="0" w:color="auto"/>
          </w:divBdr>
        </w:div>
        <w:div w:id="1989167997">
          <w:marLeft w:val="446"/>
          <w:marRight w:val="0"/>
          <w:marTop w:val="0"/>
          <w:marBottom w:val="0"/>
          <w:divBdr>
            <w:top w:val="none" w:sz="0" w:space="0" w:color="auto"/>
            <w:left w:val="none" w:sz="0" w:space="0" w:color="auto"/>
            <w:bottom w:val="none" w:sz="0" w:space="0" w:color="auto"/>
            <w:right w:val="none" w:sz="0" w:space="0" w:color="auto"/>
          </w:divBdr>
        </w:div>
      </w:divsChild>
    </w:div>
    <w:div w:id="2013070795">
      <w:bodyDiv w:val="1"/>
      <w:marLeft w:val="0"/>
      <w:marRight w:val="0"/>
      <w:marTop w:val="0"/>
      <w:marBottom w:val="0"/>
      <w:divBdr>
        <w:top w:val="none" w:sz="0" w:space="0" w:color="auto"/>
        <w:left w:val="none" w:sz="0" w:space="0" w:color="auto"/>
        <w:bottom w:val="none" w:sz="0" w:space="0" w:color="auto"/>
        <w:right w:val="none" w:sz="0" w:space="0" w:color="auto"/>
      </w:divBdr>
    </w:div>
    <w:div w:id="2049528774">
      <w:bodyDiv w:val="1"/>
      <w:marLeft w:val="0"/>
      <w:marRight w:val="0"/>
      <w:marTop w:val="0"/>
      <w:marBottom w:val="0"/>
      <w:divBdr>
        <w:top w:val="none" w:sz="0" w:space="0" w:color="auto"/>
        <w:left w:val="none" w:sz="0" w:space="0" w:color="auto"/>
        <w:bottom w:val="none" w:sz="0" w:space="0" w:color="auto"/>
        <w:right w:val="none" w:sz="0" w:space="0" w:color="auto"/>
      </w:divBdr>
    </w:div>
    <w:div w:id="2074542181">
      <w:bodyDiv w:val="1"/>
      <w:marLeft w:val="0"/>
      <w:marRight w:val="0"/>
      <w:marTop w:val="0"/>
      <w:marBottom w:val="0"/>
      <w:divBdr>
        <w:top w:val="none" w:sz="0" w:space="0" w:color="auto"/>
        <w:left w:val="none" w:sz="0" w:space="0" w:color="auto"/>
        <w:bottom w:val="none" w:sz="0" w:space="0" w:color="auto"/>
        <w:right w:val="none" w:sz="0" w:space="0" w:color="auto"/>
      </w:divBdr>
    </w:div>
    <w:div w:id="2110393719">
      <w:bodyDiv w:val="1"/>
      <w:marLeft w:val="0"/>
      <w:marRight w:val="0"/>
      <w:marTop w:val="0"/>
      <w:marBottom w:val="0"/>
      <w:divBdr>
        <w:top w:val="none" w:sz="0" w:space="0" w:color="auto"/>
        <w:left w:val="none" w:sz="0" w:space="0" w:color="auto"/>
        <w:bottom w:val="none" w:sz="0" w:space="0" w:color="auto"/>
        <w:right w:val="none" w:sz="0" w:space="0" w:color="auto"/>
      </w:divBdr>
    </w:div>
    <w:div w:id="2110536738">
      <w:bodyDiv w:val="1"/>
      <w:marLeft w:val="0"/>
      <w:marRight w:val="0"/>
      <w:marTop w:val="0"/>
      <w:marBottom w:val="0"/>
      <w:divBdr>
        <w:top w:val="none" w:sz="0" w:space="0" w:color="auto"/>
        <w:left w:val="none" w:sz="0" w:space="0" w:color="auto"/>
        <w:bottom w:val="none" w:sz="0" w:space="0" w:color="auto"/>
        <w:right w:val="none" w:sz="0" w:space="0" w:color="auto"/>
      </w:divBdr>
      <w:divsChild>
        <w:div w:id="1643776737">
          <w:marLeft w:val="446"/>
          <w:marRight w:val="0"/>
          <w:marTop w:val="0"/>
          <w:marBottom w:val="0"/>
          <w:divBdr>
            <w:top w:val="none" w:sz="0" w:space="0" w:color="auto"/>
            <w:left w:val="none" w:sz="0" w:space="0" w:color="auto"/>
            <w:bottom w:val="none" w:sz="0" w:space="0" w:color="auto"/>
            <w:right w:val="none" w:sz="0" w:space="0" w:color="auto"/>
          </w:divBdr>
        </w:div>
        <w:div w:id="1759593717">
          <w:marLeft w:val="446"/>
          <w:marRight w:val="0"/>
          <w:marTop w:val="0"/>
          <w:marBottom w:val="0"/>
          <w:divBdr>
            <w:top w:val="none" w:sz="0" w:space="0" w:color="auto"/>
            <w:left w:val="none" w:sz="0" w:space="0" w:color="auto"/>
            <w:bottom w:val="none" w:sz="0" w:space="0" w:color="auto"/>
            <w:right w:val="none" w:sz="0" w:space="0" w:color="auto"/>
          </w:divBdr>
        </w:div>
      </w:divsChild>
    </w:div>
    <w:div w:id="2133208850">
      <w:bodyDiv w:val="1"/>
      <w:marLeft w:val="0"/>
      <w:marRight w:val="0"/>
      <w:marTop w:val="0"/>
      <w:marBottom w:val="0"/>
      <w:divBdr>
        <w:top w:val="none" w:sz="0" w:space="0" w:color="auto"/>
        <w:left w:val="none" w:sz="0" w:space="0" w:color="auto"/>
        <w:bottom w:val="none" w:sz="0" w:space="0" w:color="auto"/>
        <w:right w:val="none" w:sz="0" w:space="0" w:color="auto"/>
      </w:divBdr>
    </w:div>
    <w:div w:id="2139689192">
      <w:bodyDiv w:val="1"/>
      <w:marLeft w:val="0"/>
      <w:marRight w:val="0"/>
      <w:marTop w:val="0"/>
      <w:marBottom w:val="0"/>
      <w:divBdr>
        <w:top w:val="none" w:sz="0" w:space="0" w:color="auto"/>
        <w:left w:val="none" w:sz="0" w:space="0" w:color="auto"/>
        <w:bottom w:val="none" w:sz="0" w:space="0" w:color="auto"/>
        <w:right w:val="none" w:sz="0" w:space="0" w:color="auto"/>
      </w:divBdr>
      <w:divsChild>
        <w:div w:id="114740481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footer" Target="footer10.xml"/><Relationship Id="rId47" Type="http://schemas.openxmlformats.org/officeDocument/2006/relationships/image" Target="media/image15.png"/><Relationship Id="rId50" Type="http://schemas.openxmlformats.org/officeDocument/2006/relationships/image" Target="media/image160.png"/><Relationship Id="rId55" Type="http://schemas.microsoft.com/office/2007/relationships/diagramDrawing" Target="diagrams/drawing1.xml"/><Relationship Id="rId63" Type="http://schemas.openxmlformats.org/officeDocument/2006/relationships/image" Target="media/image17.png"/><Relationship Id="rId68" Type="http://schemas.openxmlformats.org/officeDocument/2006/relationships/header" Target="header13.xml"/><Relationship Id="rId7" Type="http://schemas.openxmlformats.org/officeDocument/2006/relationships/styles" Target="style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13.png"/><Relationship Id="rId53" Type="http://schemas.openxmlformats.org/officeDocument/2006/relationships/diagramQuickStyle" Target="diagrams/quickStyle1.xml"/><Relationship Id="rId58" Type="http://schemas.openxmlformats.org/officeDocument/2006/relationships/diagramLayout" Target="diagrams/layout2.xml"/><Relationship Id="rId66" Type="http://schemas.openxmlformats.org/officeDocument/2006/relationships/image" Target="media/image22.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image" Target="media/image16.emf"/><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diagramLayout" Target="diagrams/layout1.xml"/><Relationship Id="rId60" Type="http://schemas.openxmlformats.org/officeDocument/2006/relationships/diagramColors" Target="diagrams/colors2.xml"/><Relationship Id="rId65" Type="http://schemas.openxmlformats.org/officeDocument/2006/relationships/image" Target="media/image21.png"/><Relationship Id="rId73"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footer" Target="footer11.xml"/><Relationship Id="rId48" Type="http://schemas.openxmlformats.org/officeDocument/2006/relationships/image" Target="media/image16.png"/><Relationship Id="rId56" Type="http://schemas.openxmlformats.org/officeDocument/2006/relationships/image" Target="media/image18.png"/><Relationship Id="rId64" Type="http://schemas.openxmlformats.org/officeDocument/2006/relationships/image" Target="media/image20.png"/><Relationship Id="rId69"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diagramData" Target="diagrams/data1.xml"/><Relationship Id="rId72"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8.emf"/><Relationship Id="rId38" Type="http://schemas.openxmlformats.org/officeDocument/2006/relationships/header" Target="header11.xml"/><Relationship Id="rId46" Type="http://schemas.openxmlformats.org/officeDocument/2006/relationships/image" Target="media/image14.emf"/><Relationship Id="rId59" Type="http://schemas.openxmlformats.org/officeDocument/2006/relationships/diagramQuickStyle" Target="diagrams/quickStyle2.xml"/><Relationship Id="rId67"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footer" Target="footer9.xml"/><Relationship Id="rId54" Type="http://schemas.openxmlformats.org/officeDocument/2006/relationships/diagramColors" Target="diagrams/colors1.xml"/><Relationship Id="rId62" Type="http://schemas.openxmlformats.org/officeDocument/2006/relationships/image" Target="media/image19.png"/><Relationship Id="rId70" Type="http://schemas.openxmlformats.org/officeDocument/2006/relationships/footer" Target="footer1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er12.xml.rels><?xml version="1.0" encoding="UTF-8" standalone="yes"?>
<Relationships xmlns="http://schemas.openxmlformats.org/package/2006/relationships"><Relationship Id="rId1" Type="http://schemas.openxmlformats.org/officeDocument/2006/relationships/image" Target="media/image12.png"/></Relationships>
</file>

<file path=word/_rels/footer15.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E487FD-E391-4088-8A15-D61BB5632C3B}" type="doc">
      <dgm:prSet loTypeId="urn:microsoft.com/office/officeart/2005/8/layout/chevron1" loCatId="process" qsTypeId="urn:microsoft.com/office/officeart/2005/8/quickstyle/simple1" qsCatId="simple" csTypeId="urn:microsoft.com/office/officeart/2005/8/colors/accent1_2" csCatId="accent1" phldr="1"/>
      <dgm:spPr/>
    </dgm:pt>
    <dgm:pt modelId="{BA17701E-F0C9-42EC-94DC-87A99AE5DC1F}">
      <dgm:prSet phldrT="[Text]" custT="1"/>
      <dgm:spPr>
        <a:xfrm>
          <a:off x="2055" y="5882"/>
          <a:ext cx="1975335" cy="616803"/>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300">
              <a:solidFill>
                <a:sysClr val="window" lastClr="FFFFFF"/>
              </a:solidFill>
              <a:latin typeface="Rockwell" panose="02060603020205020403"/>
              <a:ea typeface="+mn-ea"/>
              <a:cs typeface="+mn-cs"/>
            </a:rPr>
            <a:t>Stage 1: tax on contributions</a:t>
          </a:r>
        </a:p>
      </dgm:t>
    </dgm:pt>
    <dgm:pt modelId="{AC3B4CC2-F4AA-43D8-8CFB-8B774BA55B25}" type="parTrans" cxnId="{AD7EB3D7-46A7-41ED-BF67-B37748F53E26}">
      <dgm:prSet/>
      <dgm:spPr/>
      <dgm:t>
        <a:bodyPr/>
        <a:lstStyle/>
        <a:p>
          <a:endParaRPr lang="en-AU"/>
        </a:p>
      </dgm:t>
    </dgm:pt>
    <dgm:pt modelId="{27A920F3-0B2B-4CB9-9B64-657B5F6D5338}" type="sibTrans" cxnId="{AD7EB3D7-46A7-41ED-BF67-B37748F53E26}">
      <dgm:prSet/>
      <dgm:spPr/>
      <dgm:t>
        <a:bodyPr/>
        <a:lstStyle/>
        <a:p>
          <a:endParaRPr lang="en-AU"/>
        </a:p>
      </dgm:t>
    </dgm:pt>
    <dgm:pt modelId="{B3D2ECFA-FC34-4ABA-918F-F35CAB5FB60A}">
      <dgm:prSet phldrT="[Text]" custT="1"/>
      <dgm:spPr>
        <a:xfrm>
          <a:off x="1789682" y="5882"/>
          <a:ext cx="1865581" cy="616803"/>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300">
              <a:solidFill>
                <a:sysClr val="window" lastClr="FFFFFF"/>
              </a:solidFill>
              <a:latin typeface="Rockwell" panose="02060603020205020403"/>
              <a:ea typeface="+mn-ea"/>
              <a:cs typeface="+mn-cs"/>
            </a:rPr>
            <a:t>Stage 2: tax on earnings</a:t>
          </a:r>
        </a:p>
      </dgm:t>
    </dgm:pt>
    <dgm:pt modelId="{CE8DA883-D7DB-44F7-9FF1-92B96C25ABF9}" type="parTrans" cxnId="{8297FC36-3202-49CC-9D7D-09251623E394}">
      <dgm:prSet/>
      <dgm:spPr/>
      <dgm:t>
        <a:bodyPr/>
        <a:lstStyle/>
        <a:p>
          <a:endParaRPr lang="en-AU"/>
        </a:p>
      </dgm:t>
    </dgm:pt>
    <dgm:pt modelId="{AB4B3048-9537-4535-AF79-D78B7223211C}" type="sibTrans" cxnId="{8297FC36-3202-49CC-9D7D-09251623E394}">
      <dgm:prSet/>
      <dgm:spPr/>
      <dgm:t>
        <a:bodyPr/>
        <a:lstStyle/>
        <a:p>
          <a:endParaRPr lang="en-AU"/>
        </a:p>
      </dgm:t>
    </dgm:pt>
    <dgm:pt modelId="{ECE6FA1D-6296-4A3D-BDCE-62F2F36891D9}">
      <dgm:prSet phldrT="[Text]" custT="1"/>
      <dgm:spPr>
        <a:xfrm>
          <a:off x="3467555" y="5882"/>
          <a:ext cx="1877088" cy="616803"/>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300">
              <a:solidFill>
                <a:sysClr val="window" lastClr="FFFFFF"/>
              </a:solidFill>
              <a:latin typeface="Rockwell" panose="02060603020205020403"/>
              <a:ea typeface="+mn-ea"/>
              <a:cs typeface="+mn-cs"/>
            </a:rPr>
            <a:t>Stage 3: tax on benefits</a:t>
          </a:r>
        </a:p>
      </dgm:t>
    </dgm:pt>
    <dgm:pt modelId="{2FC18D02-BD6F-41B1-AD2A-1EAF64F43484}" type="parTrans" cxnId="{A5AF9A92-A114-4484-BF27-4FB79091470F}">
      <dgm:prSet/>
      <dgm:spPr/>
      <dgm:t>
        <a:bodyPr/>
        <a:lstStyle/>
        <a:p>
          <a:endParaRPr lang="en-AU"/>
        </a:p>
      </dgm:t>
    </dgm:pt>
    <dgm:pt modelId="{A4C06E16-3CB6-47F8-BB4C-C7F227F1BEF0}" type="sibTrans" cxnId="{A5AF9A92-A114-4484-BF27-4FB79091470F}">
      <dgm:prSet/>
      <dgm:spPr/>
      <dgm:t>
        <a:bodyPr/>
        <a:lstStyle/>
        <a:p>
          <a:endParaRPr lang="en-AU"/>
        </a:p>
      </dgm:t>
    </dgm:pt>
    <dgm:pt modelId="{BE3A7929-F899-480A-B732-7F466D1F218E}" type="pres">
      <dgm:prSet presAssocID="{98E487FD-E391-4088-8A15-D61BB5632C3B}" presName="Name0" presStyleCnt="0">
        <dgm:presLayoutVars>
          <dgm:dir/>
          <dgm:animLvl val="lvl"/>
          <dgm:resizeHandles val="exact"/>
        </dgm:presLayoutVars>
      </dgm:prSet>
      <dgm:spPr/>
    </dgm:pt>
    <dgm:pt modelId="{6CAF09E7-BE59-4A64-8EA6-56AE856CBEDE}" type="pres">
      <dgm:prSet presAssocID="{BA17701E-F0C9-42EC-94DC-87A99AE5DC1F}" presName="parTxOnly" presStyleLbl="node1" presStyleIdx="0" presStyleCnt="3" custScaleX="105234" custScaleY="82149">
        <dgm:presLayoutVars>
          <dgm:chMax val="0"/>
          <dgm:chPref val="0"/>
          <dgm:bulletEnabled val="1"/>
        </dgm:presLayoutVars>
      </dgm:prSet>
      <dgm:spPr/>
    </dgm:pt>
    <dgm:pt modelId="{0C87C3A6-8AB1-4E84-9A9B-C8AB1FB64BE9}" type="pres">
      <dgm:prSet presAssocID="{27A920F3-0B2B-4CB9-9B64-657B5F6D5338}" presName="parTxOnlySpace" presStyleCnt="0"/>
      <dgm:spPr/>
    </dgm:pt>
    <dgm:pt modelId="{21771136-F400-4AF9-AEA0-75F026E6AEC2}" type="pres">
      <dgm:prSet presAssocID="{B3D2ECFA-FC34-4ABA-918F-F35CAB5FB60A}" presName="parTxOnly" presStyleLbl="node1" presStyleIdx="1" presStyleCnt="3" custScaleX="99387" custScaleY="82149">
        <dgm:presLayoutVars>
          <dgm:chMax val="0"/>
          <dgm:chPref val="0"/>
          <dgm:bulletEnabled val="1"/>
        </dgm:presLayoutVars>
      </dgm:prSet>
      <dgm:spPr/>
    </dgm:pt>
    <dgm:pt modelId="{47557184-C1EF-4845-9B12-9612BEC0074E}" type="pres">
      <dgm:prSet presAssocID="{AB4B3048-9537-4535-AF79-D78B7223211C}" presName="parTxOnlySpace" presStyleCnt="0"/>
      <dgm:spPr/>
    </dgm:pt>
    <dgm:pt modelId="{A9588244-53FE-4428-A9B8-13223FB33E32}" type="pres">
      <dgm:prSet presAssocID="{ECE6FA1D-6296-4A3D-BDCE-62F2F36891D9}" presName="parTxOnly" presStyleLbl="node1" presStyleIdx="2" presStyleCnt="3" custScaleY="82149">
        <dgm:presLayoutVars>
          <dgm:chMax val="0"/>
          <dgm:chPref val="0"/>
          <dgm:bulletEnabled val="1"/>
        </dgm:presLayoutVars>
      </dgm:prSet>
      <dgm:spPr/>
    </dgm:pt>
  </dgm:ptLst>
  <dgm:cxnLst>
    <dgm:cxn modelId="{8297FC36-3202-49CC-9D7D-09251623E394}" srcId="{98E487FD-E391-4088-8A15-D61BB5632C3B}" destId="{B3D2ECFA-FC34-4ABA-918F-F35CAB5FB60A}" srcOrd="1" destOrd="0" parTransId="{CE8DA883-D7DB-44F7-9FF1-92B96C25ABF9}" sibTransId="{AB4B3048-9537-4535-AF79-D78B7223211C}"/>
    <dgm:cxn modelId="{2513804E-3411-4A7C-A5D6-65D3C3CB360B}" type="presOf" srcId="{BA17701E-F0C9-42EC-94DC-87A99AE5DC1F}" destId="{6CAF09E7-BE59-4A64-8EA6-56AE856CBEDE}" srcOrd="0" destOrd="0" presId="urn:microsoft.com/office/officeart/2005/8/layout/chevron1"/>
    <dgm:cxn modelId="{18C8594F-F6A7-4733-9A08-FE91406C4F75}" type="presOf" srcId="{B3D2ECFA-FC34-4ABA-918F-F35CAB5FB60A}" destId="{21771136-F400-4AF9-AEA0-75F026E6AEC2}" srcOrd="0" destOrd="0" presId="urn:microsoft.com/office/officeart/2005/8/layout/chevron1"/>
    <dgm:cxn modelId="{A5AF9A92-A114-4484-BF27-4FB79091470F}" srcId="{98E487FD-E391-4088-8A15-D61BB5632C3B}" destId="{ECE6FA1D-6296-4A3D-BDCE-62F2F36891D9}" srcOrd="2" destOrd="0" parTransId="{2FC18D02-BD6F-41B1-AD2A-1EAF64F43484}" sibTransId="{A4C06E16-3CB6-47F8-BB4C-C7F227F1BEF0}"/>
    <dgm:cxn modelId="{AD7EB3D7-46A7-41ED-BF67-B37748F53E26}" srcId="{98E487FD-E391-4088-8A15-D61BB5632C3B}" destId="{BA17701E-F0C9-42EC-94DC-87A99AE5DC1F}" srcOrd="0" destOrd="0" parTransId="{AC3B4CC2-F4AA-43D8-8CFB-8B774BA55B25}" sibTransId="{27A920F3-0B2B-4CB9-9B64-657B5F6D5338}"/>
    <dgm:cxn modelId="{F2E152F2-F6A3-49B9-8603-B71D4F6EF017}" type="presOf" srcId="{ECE6FA1D-6296-4A3D-BDCE-62F2F36891D9}" destId="{A9588244-53FE-4428-A9B8-13223FB33E32}" srcOrd="0" destOrd="0" presId="urn:microsoft.com/office/officeart/2005/8/layout/chevron1"/>
    <dgm:cxn modelId="{FEEBBADC-C4FC-4D14-85A9-9AA1B83F3F1F}" type="presOf" srcId="{98E487FD-E391-4088-8A15-D61BB5632C3B}" destId="{BE3A7929-F899-480A-B732-7F466D1F218E}" srcOrd="0" destOrd="0" presId="urn:microsoft.com/office/officeart/2005/8/layout/chevron1"/>
    <dgm:cxn modelId="{02B37605-8B1F-4EE1-B8C2-D4E6EC2DABBD}" type="presParOf" srcId="{BE3A7929-F899-480A-B732-7F466D1F218E}" destId="{6CAF09E7-BE59-4A64-8EA6-56AE856CBEDE}" srcOrd="0" destOrd="0" presId="urn:microsoft.com/office/officeart/2005/8/layout/chevron1"/>
    <dgm:cxn modelId="{030916DA-C4F0-40E8-8F54-4094B469416E}" type="presParOf" srcId="{BE3A7929-F899-480A-B732-7F466D1F218E}" destId="{0C87C3A6-8AB1-4E84-9A9B-C8AB1FB64BE9}" srcOrd="1" destOrd="0" presId="urn:microsoft.com/office/officeart/2005/8/layout/chevron1"/>
    <dgm:cxn modelId="{40CC5A41-E548-4976-B1EA-A20367BF8EE6}" type="presParOf" srcId="{BE3A7929-F899-480A-B732-7F466D1F218E}" destId="{21771136-F400-4AF9-AEA0-75F026E6AEC2}" srcOrd="2" destOrd="0" presId="urn:microsoft.com/office/officeart/2005/8/layout/chevron1"/>
    <dgm:cxn modelId="{18CC88B3-1E87-40F7-936C-BE2A7A40AADB}" type="presParOf" srcId="{BE3A7929-F899-480A-B732-7F466D1F218E}" destId="{47557184-C1EF-4845-9B12-9612BEC0074E}" srcOrd="3" destOrd="0" presId="urn:microsoft.com/office/officeart/2005/8/layout/chevron1"/>
    <dgm:cxn modelId="{480FDEA1-D554-449B-B720-9002C0544820}" type="presParOf" srcId="{BE3A7929-F899-480A-B732-7F466D1F218E}" destId="{A9588244-53FE-4428-A9B8-13223FB33E32}" srcOrd="4"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E487FD-E391-4088-8A15-D61BB5632C3B}" type="doc">
      <dgm:prSet loTypeId="urn:microsoft.com/office/officeart/2005/8/layout/chevron1" loCatId="process" qsTypeId="urn:microsoft.com/office/officeart/2005/8/quickstyle/simple1" qsCatId="simple" csTypeId="urn:microsoft.com/office/officeart/2005/8/colors/accent1_2" csCatId="accent1" phldr="1"/>
      <dgm:spPr/>
    </dgm:pt>
    <dgm:pt modelId="{BA17701E-F0C9-42EC-94DC-87A99AE5DC1F}">
      <dgm:prSet phldrT="[Text]" custT="1"/>
      <dgm:spPr/>
      <dgm:t>
        <a:bodyPr/>
        <a:lstStyle/>
        <a:p>
          <a:r>
            <a:rPr lang="en-AU" sz="1300"/>
            <a:t>Stage 1: tax on contributions</a:t>
          </a:r>
        </a:p>
      </dgm:t>
    </dgm:pt>
    <dgm:pt modelId="{AC3B4CC2-F4AA-43D8-8CFB-8B774BA55B25}" type="parTrans" cxnId="{AD7EB3D7-46A7-41ED-BF67-B37748F53E26}">
      <dgm:prSet/>
      <dgm:spPr/>
      <dgm:t>
        <a:bodyPr/>
        <a:lstStyle/>
        <a:p>
          <a:endParaRPr lang="en-AU"/>
        </a:p>
      </dgm:t>
    </dgm:pt>
    <dgm:pt modelId="{27A920F3-0B2B-4CB9-9B64-657B5F6D5338}" type="sibTrans" cxnId="{AD7EB3D7-46A7-41ED-BF67-B37748F53E26}">
      <dgm:prSet/>
      <dgm:spPr/>
      <dgm:t>
        <a:bodyPr/>
        <a:lstStyle/>
        <a:p>
          <a:endParaRPr lang="en-AU"/>
        </a:p>
      </dgm:t>
    </dgm:pt>
    <dgm:pt modelId="{B3D2ECFA-FC34-4ABA-918F-F35CAB5FB60A}">
      <dgm:prSet phldrT="[Text]" custT="1"/>
      <dgm:spPr/>
      <dgm:t>
        <a:bodyPr/>
        <a:lstStyle/>
        <a:p>
          <a:r>
            <a:rPr lang="en-AU" sz="1300"/>
            <a:t>Stage 2: tax on earnings</a:t>
          </a:r>
        </a:p>
      </dgm:t>
    </dgm:pt>
    <dgm:pt modelId="{CE8DA883-D7DB-44F7-9FF1-92B96C25ABF9}" type="parTrans" cxnId="{8297FC36-3202-49CC-9D7D-09251623E394}">
      <dgm:prSet/>
      <dgm:spPr/>
      <dgm:t>
        <a:bodyPr/>
        <a:lstStyle/>
        <a:p>
          <a:endParaRPr lang="en-AU"/>
        </a:p>
      </dgm:t>
    </dgm:pt>
    <dgm:pt modelId="{AB4B3048-9537-4535-AF79-D78B7223211C}" type="sibTrans" cxnId="{8297FC36-3202-49CC-9D7D-09251623E394}">
      <dgm:prSet/>
      <dgm:spPr/>
      <dgm:t>
        <a:bodyPr/>
        <a:lstStyle/>
        <a:p>
          <a:endParaRPr lang="en-AU"/>
        </a:p>
      </dgm:t>
    </dgm:pt>
    <dgm:pt modelId="{ECE6FA1D-6296-4A3D-BDCE-62F2F36891D9}">
      <dgm:prSet phldrT="[Text]" custT="1"/>
      <dgm:spPr/>
      <dgm:t>
        <a:bodyPr/>
        <a:lstStyle/>
        <a:p>
          <a:r>
            <a:rPr lang="en-AU" sz="1300"/>
            <a:t>Stage 3: tax on benefits</a:t>
          </a:r>
        </a:p>
      </dgm:t>
    </dgm:pt>
    <dgm:pt modelId="{2FC18D02-BD6F-41B1-AD2A-1EAF64F43484}" type="parTrans" cxnId="{A5AF9A92-A114-4484-BF27-4FB79091470F}">
      <dgm:prSet/>
      <dgm:spPr/>
      <dgm:t>
        <a:bodyPr/>
        <a:lstStyle/>
        <a:p>
          <a:endParaRPr lang="en-AU"/>
        </a:p>
      </dgm:t>
    </dgm:pt>
    <dgm:pt modelId="{A4C06E16-3CB6-47F8-BB4C-C7F227F1BEF0}" type="sibTrans" cxnId="{A5AF9A92-A114-4484-BF27-4FB79091470F}">
      <dgm:prSet/>
      <dgm:spPr/>
      <dgm:t>
        <a:bodyPr/>
        <a:lstStyle/>
        <a:p>
          <a:endParaRPr lang="en-AU"/>
        </a:p>
      </dgm:t>
    </dgm:pt>
    <dgm:pt modelId="{BE3A7929-F899-480A-B732-7F466D1F218E}" type="pres">
      <dgm:prSet presAssocID="{98E487FD-E391-4088-8A15-D61BB5632C3B}" presName="Name0" presStyleCnt="0">
        <dgm:presLayoutVars>
          <dgm:dir/>
          <dgm:animLvl val="lvl"/>
          <dgm:resizeHandles val="exact"/>
        </dgm:presLayoutVars>
      </dgm:prSet>
      <dgm:spPr/>
    </dgm:pt>
    <dgm:pt modelId="{6CAF09E7-BE59-4A64-8EA6-56AE856CBEDE}" type="pres">
      <dgm:prSet presAssocID="{BA17701E-F0C9-42EC-94DC-87A99AE5DC1F}" presName="parTxOnly" presStyleLbl="node1" presStyleIdx="0" presStyleCnt="3" custScaleX="105234" custScaleY="82149">
        <dgm:presLayoutVars>
          <dgm:chMax val="0"/>
          <dgm:chPref val="0"/>
          <dgm:bulletEnabled val="1"/>
        </dgm:presLayoutVars>
      </dgm:prSet>
      <dgm:spPr/>
    </dgm:pt>
    <dgm:pt modelId="{0C87C3A6-8AB1-4E84-9A9B-C8AB1FB64BE9}" type="pres">
      <dgm:prSet presAssocID="{27A920F3-0B2B-4CB9-9B64-657B5F6D5338}" presName="parTxOnlySpace" presStyleCnt="0"/>
      <dgm:spPr/>
    </dgm:pt>
    <dgm:pt modelId="{21771136-F400-4AF9-AEA0-75F026E6AEC2}" type="pres">
      <dgm:prSet presAssocID="{B3D2ECFA-FC34-4ABA-918F-F35CAB5FB60A}" presName="parTxOnly" presStyleLbl="node1" presStyleIdx="1" presStyleCnt="3" custScaleX="99387" custScaleY="82149">
        <dgm:presLayoutVars>
          <dgm:chMax val="0"/>
          <dgm:chPref val="0"/>
          <dgm:bulletEnabled val="1"/>
        </dgm:presLayoutVars>
      </dgm:prSet>
      <dgm:spPr/>
    </dgm:pt>
    <dgm:pt modelId="{47557184-C1EF-4845-9B12-9612BEC0074E}" type="pres">
      <dgm:prSet presAssocID="{AB4B3048-9537-4535-AF79-D78B7223211C}" presName="parTxOnlySpace" presStyleCnt="0"/>
      <dgm:spPr/>
    </dgm:pt>
    <dgm:pt modelId="{A9588244-53FE-4428-A9B8-13223FB33E32}" type="pres">
      <dgm:prSet presAssocID="{ECE6FA1D-6296-4A3D-BDCE-62F2F36891D9}" presName="parTxOnly" presStyleLbl="node1" presStyleIdx="2" presStyleCnt="3" custScaleY="82149">
        <dgm:presLayoutVars>
          <dgm:chMax val="0"/>
          <dgm:chPref val="0"/>
          <dgm:bulletEnabled val="1"/>
        </dgm:presLayoutVars>
      </dgm:prSet>
      <dgm:spPr/>
    </dgm:pt>
  </dgm:ptLst>
  <dgm:cxnLst>
    <dgm:cxn modelId="{8297FC36-3202-49CC-9D7D-09251623E394}" srcId="{98E487FD-E391-4088-8A15-D61BB5632C3B}" destId="{B3D2ECFA-FC34-4ABA-918F-F35CAB5FB60A}" srcOrd="1" destOrd="0" parTransId="{CE8DA883-D7DB-44F7-9FF1-92B96C25ABF9}" sibTransId="{AB4B3048-9537-4535-AF79-D78B7223211C}"/>
    <dgm:cxn modelId="{2513804E-3411-4A7C-A5D6-65D3C3CB360B}" type="presOf" srcId="{BA17701E-F0C9-42EC-94DC-87A99AE5DC1F}" destId="{6CAF09E7-BE59-4A64-8EA6-56AE856CBEDE}" srcOrd="0" destOrd="0" presId="urn:microsoft.com/office/officeart/2005/8/layout/chevron1"/>
    <dgm:cxn modelId="{18C8594F-F6A7-4733-9A08-FE91406C4F75}" type="presOf" srcId="{B3D2ECFA-FC34-4ABA-918F-F35CAB5FB60A}" destId="{21771136-F400-4AF9-AEA0-75F026E6AEC2}" srcOrd="0" destOrd="0" presId="urn:microsoft.com/office/officeart/2005/8/layout/chevron1"/>
    <dgm:cxn modelId="{A5AF9A92-A114-4484-BF27-4FB79091470F}" srcId="{98E487FD-E391-4088-8A15-D61BB5632C3B}" destId="{ECE6FA1D-6296-4A3D-BDCE-62F2F36891D9}" srcOrd="2" destOrd="0" parTransId="{2FC18D02-BD6F-41B1-AD2A-1EAF64F43484}" sibTransId="{A4C06E16-3CB6-47F8-BB4C-C7F227F1BEF0}"/>
    <dgm:cxn modelId="{AD7EB3D7-46A7-41ED-BF67-B37748F53E26}" srcId="{98E487FD-E391-4088-8A15-D61BB5632C3B}" destId="{BA17701E-F0C9-42EC-94DC-87A99AE5DC1F}" srcOrd="0" destOrd="0" parTransId="{AC3B4CC2-F4AA-43D8-8CFB-8B774BA55B25}" sibTransId="{27A920F3-0B2B-4CB9-9B64-657B5F6D5338}"/>
    <dgm:cxn modelId="{F2E152F2-F6A3-49B9-8603-B71D4F6EF017}" type="presOf" srcId="{ECE6FA1D-6296-4A3D-BDCE-62F2F36891D9}" destId="{A9588244-53FE-4428-A9B8-13223FB33E32}" srcOrd="0" destOrd="0" presId="urn:microsoft.com/office/officeart/2005/8/layout/chevron1"/>
    <dgm:cxn modelId="{FEEBBADC-C4FC-4D14-85A9-9AA1B83F3F1F}" type="presOf" srcId="{98E487FD-E391-4088-8A15-D61BB5632C3B}" destId="{BE3A7929-F899-480A-B732-7F466D1F218E}" srcOrd="0" destOrd="0" presId="urn:microsoft.com/office/officeart/2005/8/layout/chevron1"/>
    <dgm:cxn modelId="{02B37605-8B1F-4EE1-B8C2-D4E6EC2DABBD}" type="presParOf" srcId="{BE3A7929-F899-480A-B732-7F466D1F218E}" destId="{6CAF09E7-BE59-4A64-8EA6-56AE856CBEDE}" srcOrd="0" destOrd="0" presId="urn:microsoft.com/office/officeart/2005/8/layout/chevron1"/>
    <dgm:cxn modelId="{030916DA-C4F0-40E8-8F54-4094B469416E}" type="presParOf" srcId="{BE3A7929-F899-480A-B732-7F466D1F218E}" destId="{0C87C3A6-8AB1-4E84-9A9B-C8AB1FB64BE9}" srcOrd="1" destOrd="0" presId="urn:microsoft.com/office/officeart/2005/8/layout/chevron1"/>
    <dgm:cxn modelId="{40CC5A41-E548-4976-B1EA-A20367BF8EE6}" type="presParOf" srcId="{BE3A7929-F899-480A-B732-7F466D1F218E}" destId="{21771136-F400-4AF9-AEA0-75F026E6AEC2}" srcOrd="2" destOrd="0" presId="urn:microsoft.com/office/officeart/2005/8/layout/chevron1"/>
    <dgm:cxn modelId="{18CC88B3-1E87-40F7-936C-BE2A7A40AADB}" type="presParOf" srcId="{BE3A7929-F899-480A-B732-7F466D1F218E}" destId="{47557184-C1EF-4845-9B12-9612BEC0074E}" srcOrd="3" destOrd="0" presId="urn:microsoft.com/office/officeart/2005/8/layout/chevron1"/>
    <dgm:cxn modelId="{480FDEA1-D554-449B-B720-9002C0544820}" type="presParOf" srcId="{BE3A7929-F899-480A-B732-7F466D1F218E}" destId="{A9588244-53FE-4428-A9B8-13223FB33E32}" srcOrd="4"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AF09E7-BE59-4A64-8EA6-56AE856CBEDE}">
      <dsp:nvSpPr>
        <dsp:cNvPr id="0" name=""/>
        <dsp:cNvSpPr/>
      </dsp:nvSpPr>
      <dsp:spPr>
        <a:xfrm>
          <a:off x="2041" y="5846"/>
          <a:ext cx="1961792" cy="612574"/>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Rockwell" panose="02060603020205020403"/>
              <a:ea typeface="+mn-ea"/>
              <a:cs typeface="+mn-cs"/>
            </a:rPr>
            <a:t>Stage 1: tax on contributions</a:t>
          </a:r>
        </a:p>
      </dsp:txBody>
      <dsp:txXfrm>
        <a:off x="308328" y="5846"/>
        <a:ext cx="1349218" cy="612574"/>
      </dsp:txXfrm>
    </dsp:sp>
    <dsp:sp modelId="{21771136-F400-4AF9-AEA0-75F026E6AEC2}">
      <dsp:nvSpPr>
        <dsp:cNvPr id="0" name=""/>
        <dsp:cNvSpPr/>
      </dsp:nvSpPr>
      <dsp:spPr>
        <a:xfrm>
          <a:off x="1777412" y="5846"/>
          <a:ext cx="1852791" cy="612574"/>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Rockwell" panose="02060603020205020403"/>
              <a:ea typeface="+mn-ea"/>
              <a:cs typeface="+mn-cs"/>
            </a:rPr>
            <a:t>Stage 2: tax on earnings</a:t>
          </a:r>
        </a:p>
      </dsp:txBody>
      <dsp:txXfrm>
        <a:off x="2083699" y="5846"/>
        <a:ext cx="1240217" cy="612574"/>
      </dsp:txXfrm>
    </dsp:sp>
    <dsp:sp modelId="{A9588244-53FE-4428-A9B8-13223FB33E32}">
      <dsp:nvSpPr>
        <dsp:cNvPr id="0" name=""/>
        <dsp:cNvSpPr/>
      </dsp:nvSpPr>
      <dsp:spPr>
        <a:xfrm>
          <a:off x="3443781" y="5846"/>
          <a:ext cx="1864218" cy="612574"/>
        </a:xfrm>
        <a:prstGeom prst="chevron">
          <a:avLst/>
        </a:prstGeom>
        <a:solidFill>
          <a:srgbClr val="26664E">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Rockwell" panose="02060603020205020403"/>
              <a:ea typeface="+mn-ea"/>
              <a:cs typeface="+mn-cs"/>
            </a:rPr>
            <a:t>Stage 3: tax on benefits</a:t>
          </a:r>
        </a:p>
      </dsp:txBody>
      <dsp:txXfrm>
        <a:off x="3750068" y="5846"/>
        <a:ext cx="1251644" cy="61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AF09E7-BE59-4A64-8EA6-56AE856CBEDE}">
      <dsp:nvSpPr>
        <dsp:cNvPr id="0" name=""/>
        <dsp:cNvSpPr/>
      </dsp:nvSpPr>
      <dsp:spPr>
        <a:xfrm>
          <a:off x="2045" y="0"/>
          <a:ext cx="1965179" cy="61320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Stage 1: tax on contributions</a:t>
          </a:r>
        </a:p>
      </dsp:txBody>
      <dsp:txXfrm>
        <a:off x="308647" y="0"/>
        <a:ext cx="1351975" cy="613204"/>
      </dsp:txXfrm>
    </dsp:sp>
    <dsp:sp modelId="{21771136-F400-4AF9-AEA0-75F026E6AEC2}">
      <dsp:nvSpPr>
        <dsp:cNvPr id="0" name=""/>
        <dsp:cNvSpPr/>
      </dsp:nvSpPr>
      <dsp:spPr>
        <a:xfrm>
          <a:off x="1780481" y="0"/>
          <a:ext cx="1855990" cy="61320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Stage 2: tax on earnings</a:t>
          </a:r>
        </a:p>
      </dsp:txBody>
      <dsp:txXfrm>
        <a:off x="2087083" y="0"/>
        <a:ext cx="1242786" cy="613204"/>
      </dsp:txXfrm>
    </dsp:sp>
    <dsp:sp modelId="{A9588244-53FE-4428-A9B8-13223FB33E32}">
      <dsp:nvSpPr>
        <dsp:cNvPr id="0" name=""/>
        <dsp:cNvSpPr/>
      </dsp:nvSpPr>
      <dsp:spPr>
        <a:xfrm>
          <a:off x="3449728" y="0"/>
          <a:ext cx="1867438" cy="61320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a:t>Stage 3: tax on benefits</a:t>
          </a:r>
        </a:p>
      </dsp:txBody>
      <dsp:txXfrm>
        <a:off x="3756330" y="0"/>
        <a:ext cx="1254234" cy="6132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F8F5EC57BE3C42900C2D1C380D62D3" ma:contentTypeVersion="12" ma:contentTypeDescription="Create a new document." ma:contentTypeScope="" ma:versionID="af9a4767a4a0459087bac4f5516b1af0">
  <xsd:schema xmlns:xsd="http://www.w3.org/2001/XMLSchema" xmlns:xs="http://www.w3.org/2001/XMLSchema" xmlns:p="http://schemas.microsoft.com/office/2006/metadata/properties" xmlns:ns3="bcc863f4-e078-442c-8a56-ce5f82981abc" xmlns:ns4="3c139c9a-2274-4258-8d7c-b469c61b2e23" targetNamespace="http://schemas.microsoft.com/office/2006/metadata/properties" ma:root="true" ma:fieldsID="5a733fdddf6a7d3d5342f7fe7d3d3059" ns3:_="" ns4:_="">
    <xsd:import namespace="bcc863f4-e078-442c-8a56-ce5f82981abc"/>
    <xsd:import namespace="3c139c9a-2274-4258-8d7c-b469c61b2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863f4-e078-442c-8a56-ce5f8298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9a-2274-4258-8d7c-b469c61b2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001CA7C-8C1D-40B5-AC42-F89B2EDB10F9}">
  <ds:schemaRefs>
    <ds:schemaRef ds:uri="http://schemas.microsoft.com/sharepoint/v3/contenttype/forms"/>
  </ds:schemaRefs>
</ds:datastoreItem>
</file>

<file path=customXml/itemProps2.xml><?xml version="1.0" encoding="utf-8"?>
<ds:datastoreItem xmlns:ds="http://schemas.openxmlformats.org/officeDocument/2006/customXml" ds:itemID="{335EEBD3-4CCC-40CC-9E61-78DD41F898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30B6F9-A437-45C4-B3A9-9146BB9E6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863f4-e078-442c-8a56-ce5f82981abc"/>
    <ds:schemaRef ds:uri="3c139c9a-2274-4258-8d7c-b469c61b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8C6F8-105B-44C5-8DDB-0FC9D8E4200F}">
  <ds:schemaRefs>
    <ds:schemaRef ds:uri="http://www.w3.org/2001/XMLSchema"/>
  </ds:schemaRefs>
</ds:datastoreItem>
</file>

<file path=customXml/itemProps5.xml><?xml version="1.0" encoding="utf-8"?>
<ds:datastoreItem xmlns:ds="http://schemas.openxmlformats.org/officeDocument/2006/customXml" ds:itemID="{7F2F4108-EE3C-493E-AFE9-3E9092C4A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127</Pages>
  <Words>31765</Words>
  <Characters>175030</Characters>
  <Application>Microsoft Office Word</Application>
  <DocSecurity>8</DocSecurity>
  <Lines>3724</Lines>
  <Paragraphs>1695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205100</CharactersWithSpaces>
  <SharedDoc>false</SharedDoc>
  <HLinks>
    <vt:vector size="264" baseType="variant">
      <vt:variant>
        <vt:i4>1638448</vt:i4>
      </vt:variant>
      <vt:variant>
        <vt:i4>260</vt:i4>
      </vt:variant>
      <vt:variant>
        <vt:i4>0</vt:i4>
      </vt:variant>
      <vt:variant>
        <vt:i4>5</vt:i4>
      </vt:variant>
      <vt:variant>
        <vt:lpwstr/>
      </vt:variant>
      <vt:variant>
        <vt:lpwstr>_Toc51061940</vt:lpwstr>
      </vt:variant>
      <vt:variant>
        <vt:i4>1966135</vt:i4>
      </vt:variant>
      <vt:variant>
        <vt:i4>254</vt:i4>
      </vt:variant>
      <vt:variant>
        <vt:i4>0</vt:i4>
      </vt:variant>
      <vt:variant>
        <vt:i4>5</vt:i4>
      </vt:variant>
      <vt:variant>
        <vt:lpwstr/>
      </vt:variant>
      <vt:variant>
        <vt:lpwstr>_Toc51061937</vt:lpwstr>
      </vt:variant>
      <vt:variant>
        <vt:i4>1703991</vt:i4>
      </vt:variant>
      <vt:variant>
        <vt:i4>248</vt:i4>
      </vt:variant>
      <vt:variant>
        <vt:i4>0</vt:i4>
      </vt:variant>
      <vt:variant>
        <vt:i4>5</vt:i4>
      </vt:variant>
      <vt:variant>
        <vt:lpwstr/>
      </vt:variant>
      <vt:variant>
        <vt:lpwstr>_Toc51061933</vt:lpwstr>
      </vt:variant>
      <vt:variant>
        <vt:i4>1703990</vt:i4>
      </vt:variant>
      <vt:variant>
        <vt:i4>242</vt:i4>
      </vt:variant>
      <vt:variant>
        <vt:i4>0</vt:i4>
      </vt:variant>
      <vt:variant>
        <vt:i4>5</vt:i4>
      </vt:variant>
      <vt:variant>
        <vt:lpwstr/>
      </vt:variant>
      <vt:variant>
        <vt:lpwstr>_Toc51061923</vt:lpwstr>
      </vt:variant>
      <vt:variant>
        <vt:i4>1966133</vt:i4>
      </vt:variant>
      <vt:variant>
        <vt:i4>236</vt:i4>
      </vt:variant>
      <vt:variant>
        <vt:i4>0</vt:i4>
      </vt:variant>
      <vt:variant>
        <vt:i4>5</vt:i4>
      </vt:variant>
      <vt:variant>
        <vt:lpwstr/>
      </vt:variant>
      <vt:variant>
        <vt:lpwstr>_Toc51061917</vt:lpwstr>
      </vt:variant>
      <vt:variant>
        <vt:i4>2031669</vt:i4>
      </vt:variant>
      <vt:variant>
        <vt:i4>230</vt:i4>
      </vt:variant>
      <vt:variant>
        <vt:i4>0</vt:i4>
      </vt:variant>
      <vt:variant>
        <vt:i4>5</vt:i4>
      </vt:variant>
      <vt:variant>
        <vt:lpwstr/>
      </vt:variant>
      <vt:variant>
        <vt:lpwstr>_Toc51061916</vt:lpwstr>
      </vt:variant>
      <vt:variant>
        <vt:i4>1835061</vt:i4>
      </vt:variant>
      <vt:variant>
        <vt:i4>224</vt:i4>
      </vt:variant>
      <vt:variant>
        <vt:i4>0</vt:i4>
      </vt:variant>
      <vt:variant>
        <vt:i4>5</vt:i4>
      </vt:variant>
      <vt:variant>
        <vt:lpwstr/>
      </vt:variant>
      <vt:variant>
        <vt:lpwstr>_Toc51061915</vt:lpwstr>
      </vt:variant>
      <vt:variant>
        <vt:i4>1900597</vt:i4>
      </vt:variant>
      <vt:variant>
        <vt:i4>218</vt:i4>
      </vt:variant>
      <vt:variant>
        <vt:i4>0</vt:i4>
      </vt:variant>
      <vt:variant>
        <vt:i4>5</vt:i4>
      </vt:variant>
      <vt:variant>
        <vt:lpwstr/>
      </vt:variant>
      <vt:variant>
        <vt:lpwstr>_Toc51061914</vt:lpwstr>
      </vt:variant>
      <vt:variant>
        <vt:i4>1703989</vt:i4>
      </vt:variant>
      <vt:variant>
        <vt:i4>212</vt:i4>
      </vt:variant>
      <vt:variant>
        <vt:i4>0</vt:i4>
      </vt:variant>
      <vt:variant>
        <vt:i4>5</vt:i4>
      </vt:variant>
      <vt:variant>
        <vt:lpwstr/>
      </vt:variant>
      <vt:variant>
        <vt:lpwstr>_Toc51061913</vt:lpwstr>
      </vt:variant>
      <vt:variant>
        <vt:i4>1769525</vt:i4>
      </vt:variant>
      <vt:variant>
        <vt:i4>206</vt:i4>
      </vt:variant>
      <vt:variant>
        <vt:i4>0</vt:i4>
      </vt:variant>
      <vt:variant>
        <vt:i4>5</vt:i4>
      </vt:variant>
      <vt:variant>
        <vt:lpwstr/>
      </vt:variant>
      <vt:variant>
        <vt:lpwstr>_Toc51061912</vt:lpwstr>
      </vt:variant>
      <vt:variant>
        <vt:i4>1572917</vt:i4>
      </vt:variant>
      <vt:variant>
        <vt:i4>200</vt:i4>
      </vt:variant>
      <vt:variant>
        <vt:i4>0</vt:i4>
      </vt:variant>
      <vt:variant>
        <vt:i4>5</vt:i4>
      </vt:variant>
      <vt:variant>
        <vt:lpwstr/>
      </vt:variant>
      <vt:variant>
        <vt:lpwstr>_Toc51061911</vt:lpwstr>
      </vt:variant>
      <vt:variant>
        <vt:i4>1638453</vt:i4>
      </vt:variant>
      <vt:variant>
        <vt:i4>194</vt:i4>
      </vt:variant>
      <vt:variant>
        <vt:i4>0</vt:i4>
      </vt:variant>
      <vt:variant>
        <vt:i4>5</vt:i4>
      </vt:variant>
      <vt:variant>
        <vt:lpwstr/>
      </vt:variant>
      <vt:variant>
        <vt:lpwstr>_Toc51061910</vt:lpwstr>
      </vt:variant>
      <vt:variant>
        <vt:i4>1048628</vt:i4>
      </vt:variant>
      <vt:variant>
        <vt:i4>188</vt:i4>
      </vt:variant>
      <vt:variant>
        <vt:i4>0</vt:i4>
      </vt:variant>
      <vt:variant>
        <vt:i4>5</vt:i4>
      </vt:variant>
      <vt:variant>
        <vt:lpwstr/>
      </vt:variant>
      <vt:variant>
        <vt:lpwstr>_Toc51061909</vt:lpwstr>
      </vt:variant>
      <vt:variant>
        <vt:i4>1114164</vt:i4>
      </vt:variant>
      <vt:variant>
        <vt:i4>182</vt:i4>
      </vt:variant>
      <vt:variant>
        <vt:i4>0</vt:i4>
      </vt:variant>
      <vt:variant>
        <vt:i4>5</vt:i4>
      </vt:variant>
      <vt:variant>
        <vt:lpwstr/>
      </vt:variant>
      <vt:variant>
        <vt:lpwstr>_Toc51061908</vt:lpwstr>
      </vt:variant>
      <vt:variant>
        <vt:i4>1966132</vt:i4>
      </vt:variant>
      <vt:variant>
        <vt:i4>176</vt:i4>
      </vt:variant>
      <vt:variant>
        <vt:i4>0</vt:i4>
      </vt:variant>
      <vt:variant>
        <vt:i4>5</vt:i4>
      </vt:variant>
      <vt:variant>
        <vt:lpwstr/>
      </vt:variant>
      <vt:variant>
        <vt:lpwstr>_Toc51061907</vt:lpwstr>
      </vt:variant>
      <vt:variant>
        <vt:i4>2031668</vt:i4>
      </vt:variant>
      <vt:variant>
        <vt:i4>170</vt:i4>
      </vt:variant>
      <vt:variant>
        <vt:i4>0</vt:i4>
      </vt:variant>
      <vt:variant>
        <vt:i4>5</vt:i4>
      </vt:variant>
      <vt:variant>
        <vt:lpwstr/>
      </vt:variant>
      <vt:variant>
        <vt:lpwstr>_Toc51061906</vt:lpwstr>
      </vt:variant>
      <vt:variant>
        <vt:i4>1835060</vt:i4>
      </vt:variant>
      <vt:variant>
        <vt:i4>164</vt:i4>
      </vt:variant>
      <vt:variant>
        <vt:i4>0</vt:i4>
      </vt:variant>
      <vt:variant>
        <vt:i4>5</vt:i4>
      </vt:variant>
      <vt:variant>
        <vt:lpwstr/>
      </vt:variant>
      <vt:variant>
        <vt:lpwstr>_Toc51061905</vt:lpwstr>
      </vt:variant>
      <vt:variant>
        <vt:i4>1900596</vt:i4>
      </vt:variant>
      <vt:variant>
        <vt:i4>158</vt:i4>
      </vt:variant>
      <vt:variant>
        <vt:i4>0</vt:i4>
      </vt:variant>
      <vt:variant>
        <vt:i4>5</vt:i4>
      </vt:variant>
      <vt:variant>
        <vt:lpwstr/>
      </vt:variant>
      <vt:variant>
        <vt:lpwstr>_Toc51061904</vt:lpwstr>
      </vt:variant>
      <vt:variant>
        <vt:i4>1703988</vt:i4>
      </vt:variant>
      <vt:variant>
        <vt:i4>152</vt:i4>
      </vt:variant>
      <vt:variant>
        <vt:i4>0</vt:i4>
      </vt:variant>
      <vt:variant>
        <vt:i4>5</vt:i4>
      </vt:variant>
      <vt:variant>
        <vt:lpwstr/>
      </vt:variant>
      <vt:variant>
        <vt:lpwstr>_Toc51061903</vt:lpwstr>
      </vt:variant>
      <vt:variant>
        <vt:i4>1769524</vt:i4>
      </vt:variant>
      <vt:variant>
        <vt:i4>146</vt:i4>
      </vt:variant>
      <vt:variant>
        <vt:i4>0</vt:i4>
      </vt:variant>
      <vt:variant>
        <vt:i4>5</vt:i4>
      </vt:variant>
      <vt:variant>
        <vt:lpwstr/>
      </vt:variant>
      <vt:variant>
        <vt:lpwstr>_Toc51061902</vt:lpwstr>
      </vt:variant>
      <vt:variant>
        <vt:i4>1572916</vt:i4>
      </vt:variant>
      <vt:variant>
        <vt:i4>140</vt:i4>
      </vt:variant>
      <vt:variant>
        <vt:i4>0</vt:i4>
      </vt:variant>
      <vt:variant>
        <vt:i4>5</vt:i4>
      </vt:variant>
      <vt:variant>
        <vt:lpwstr/>
      </vt:variant>
      <vt:variant>
        <vt:lpwstr>_Toc51061901</vt:lpwstr>
      </vt:variant>
      <vt:variant>
        <vt:i4>1638452</vt:i4>
      </vt:variant>
      <vt:variant>
        <vt:i4>134</vt:i4>
      </vt:variant>
      <vt:variant>
        <vt:i4>0</vt:i4>
      </vt:variant>
      <vt:variant>
        <vt:i4>5</vt:i4>
      </vt:variant>
      <vt:variant>
        <vt:lpwstr/>
      </vt:variant>
      <vt:variant>
        <vt:lpwstr>_Toc51061900</vt:lpwstr>
      </vt:variant>
      <vt:variant>
        <vt:i4>1114173</vt:i4>
      </vt:variant>
      <vt:variant>
        <vt:i4>128</vt:i4>
      </vt:variant>
      <vt:variant>
        <vt:i4>0</vt:i4>
      </vt:variant>
      <vt:variant>
        <vt:i4>5</vt:i4>
      </vt:variant>
      <vt:variant>
        <vt:lpwstr/>
      </vt:variant>
      <vt:variant>
        <vt:lpwstr>_Toc51061899</vt:lpwstr>
      </vt:variant>
      <vt:variant>
        <vt:i4>1048637</vt:i4>
      </vt:variant>
      <vt:variant>
        <vt:i4>122</vt:i4>
      </vt:variant>
      <vt:variant>
        <vt:i4>0</vt:i4>
      </vt:variant>
      <vt:variant>
        <vt:i4>5</vt:i4>
      </vt:variant>
      <vt:variant>
        <vt:lpwstr/>
      </vt:variant>
      <vt:variant>
        <vt:lpwstr>_Toc51061898</vt:lpwstr>
      </vt:variant>
      <vt:variant>
        <vt:i4>2031677</vt:i4>
      </vt:variant>
      <vt:variant>
        <vt:i4>116</vt:i4>
      </vt:variant>
      <vt:variant>
        <vt:i4>0</vt:i4>
      </vt:variant>
      <vt:variant>
        <vt:i4>5</vt:i4>
      </vt:variant>
      <vt:variant>
        <vt:lpwstr/>
      </vt:variant>
      <vt:variant>
        <vt:lpwstr>_Toc51061897</vt:lpwstr>
      </vt:variant>
      <vt:variant>
        <vt:i4>1966141</vt:i4>
      </vt:variant>
      <vt:variant>
        <vt:i4>110</vt:i4>
      </vt:variant>
      <vt:variant>
        <vt:i4>0</vt:i4>
      </vt:variant>
      <vt:variant>
        <vt:i4>5</vt:i4>
      </vt:variant>
      <vt:variant>
        <vt:lpwstr/>
      </vt:variant>
      <vt:variant>
        <vt:lpwstr>_Toc51061896</vt:lpwstr>
      </vt:variant>
      <vt:variant>
        <vt:i4>1900605</vt:i4>
      </vt:variant>
      <vt:variant>
        <vt:i4>104</vt:i4>
      </vt:variant>
      <vt:variant>
        <vt:i4>0</vt:i4>
      </vt:variant>
      <vt:variant>
        <vt:i4>5</vt:i4>
      </vt:variant>
      <vt:variant>
        <vt:lpwstr/>
      </vt:variant>
      <vt:variant>
        <vt:lpwstr>_Toc51061895</vt:lpwstr>
      </vt:variant>
      <vt:variant>
        <vt:i4>1835069</vt:i4>
      </vt:variant>
      <vt:variant>
        <vt:i4>98</vt:i4>
      </vt:variant>
      <vt:variant>
        <vt:i4>0</vt:i4>
      </vt:variant>
      <vt:variant>
        <vt:i4>5</vt:i4>
      </vt:variant>
      <vt:variant>
        <vt:lpwstr/>
      </vt:variant>
      <vt:variant>
        <vt:lpwstr>_Toc51061894</vt:lpwstr>
      </vt:variant>
      <vt:variant>
        <vt:i4>1769533</vt:i4>
      </vt:variant>
      <vt:variant>
        <vt:i4>92</vt:i4>
      </vt:variant>
      <vt:variant>
        <vt:i4>0</vt:i4>
      </vt:variant>
      <vt:variant>
        <vt:i4>5</vt:i4>
      </vt:variant>
      <vt:variant>
        <vt:lpwstr/>
      </vt:variant>
      <vt:variant>
        <vt:lpwstr>_Toc51061893</vt:lpwstr>
      </vt:variant>
      <vt:variant>
        <vt:i4>1703997</vt:i4>
      </vt:variant>
      <vt:variant>
        <vt:i4>86</vt:i4>
      </vt:variant>
      <vt:variant>
        <vt:i4>0</vt:i4>
      </vt:variant>
      <vt:variant>
        <vt:i4>5</vt:i4>
      </vt:variant>
      <vt:variant>
        <vt:lpwstr/>
      </vt:variant>
      <vt:variant>
        <vt:lpwstr>_Toc51061892</vt:lpwstr>
      </vt:variant>
      <vt:variant>
        <vt:i4>1638461</vt:i4>
      </vt:variant>
      <vt:variant>
        <vt:i4>80</vt:i4>
      </vt:variant>
      <vt:variant>
        <vt:i4>0</vt:i4>
      </vt:variant>
      <vt:variant>
        <vt:i4>5</vt:i4>
      </vt:variant>
      <vt:variant>
        <vt:lpwstr/>
      </vt:variant>
      <vt:variant>
        <vt:lpwstr>_Toc51061891</vt:lpwstr>
      </vt:variant>
      <vt:variant>
        <vt:i4>1572925</vt:i4>
      </vt:variant>
      <vt:variant>
        <vt:i4>74</vt:i4>
      </vt:variant>
      <vt:variant>
        <vt:i4>0</vt:i4>
      </vt:variant>
      <vt:variant>
        <vt:i4>5</vt:i4>
      </vt:variant>
      <vt:variant>
        <vt:lpwstr/>
      </vt:variant>
      <vt:variant>
        <vt:lpwstr>_Toc51061890</vt:lpwstr>
      </vt:variant>
      <vt:variant>
        <vt:i4>1114172</vt:i4>
      </vt:variant>
      <vt:variant>
        <vt:i4>68</vt:i4>
      </vt:variant>
      <vt:variant>
        <vt:i4>0</vt:i4>
      </vt:variant>
      <vt:variant>
        <vt:i4>5</vt:i4>
      </vt:variant>
      <vt:variant>
        <vt:lpwstr/>
      </vt:variant>
      <vt:variant>
        <vt:lpwstr>_Toc51061889</vt:lpwstr>
      </vt:variant>
      <vt:variant>
        <vt:i4>1048636</vt:i4>
      </vt:variant>
      <vt:variant>
        <vt:i4>62</vt:i4>
      </vt:variant>
      <vt:variant>
        <vt:i4>0</vt:i4>
      </vt:variant>
      <vt:variant>
        <vt:i4>5</vt:i4>
      </vt:variant>
      <vt:variant>
        <vt:lpwstr/>
      </vt:variant>
      <vt:variant>
        <vt:lpwstr>_Toc51061888</vt:lpwstr>
      </vt:variant>
      <vt:variant>
        <vt:i4>2031676</vt:i4>
      </vt:variant>
      <vt:variant>
        <vt:i4>56</vt:i4>
      </vt:variant>
      <vt:variant>
        <vt:i4>0</vt:i4>
      </vt:variant>
      <vt:variant>
        <vt:i4>5</vt:i4>
      </vt:variant>
      <vt:variant>
        <vt:lpwstr/>
      </vt:variant>
      <vt:variant>
        <vt:lpwstr>_Toc51061887</vt:lpwstr>
      </vt:variant>
      <vt:variant>
        <vt:i4>1966140</vt:i4>
      </vt:variant>
      <vt:variant>
        <vt:i4>50</vt:i4>
      </vt:variant>
      <vt:variant>
        <vt:i4>0</vt:i4>
      </vt:variant>
      <vt:variant>
        <vt:i4>5</vt:i4>
      </vt:variant>
      <vt:variant>
        <vt:lpwstr/>
      </vt:variant>
      <vt:variant>
        <vt:lpwstr>_Toc51061886</vt:lpwstr>
      </vt:variant>
      <vt:variant>
        <vt:i4>1900604</vt:i4>
      </vt:variant>
      <vt:variant>
        <vt:i4>44</vt:i4>
      </vt:variant>
      <vt:variant>
        <vt:i4>0</vt:i4>
      </vt:variant>
      <vt:variant>
        <vt:i4>5</vt:i4>
      </vt:variant>
      <vt:variant>
        <vt:lpwstr/>
      </vt:variant>
      <vt:variant>
        <vt:lpwstr>_Toc51061885</vt:lpwstr>
      </vt:variant>
      <vt:variant>
        <vt:i4>1835068</vt:i4>
      </vt:variant>
      <vt:variant>
        <vt:i4>38</vt:i4>
      </vt:variant>
      <vt:variant>
        <vt:i4>0</vt:i4>
      </vt:variant>
      <vt:variant>
        <vt:i4>5</vt:i4>
      </vt:variant>
      <vt:variant>
        <vt:lpwstr/>
      </vt:variant>
      <vt:variant>
        <vt:lpwstr>_Toc51061884</vt:lpwstr>
      </vt:variant>
      <vt:variant>
        <vt:i4>1769532</vt:i4>
      </vt:variant>
      <vt:variant>
        <vt:i4>32</vt:i4>
      </vt:variant>
      <vt:variant>
        <vt:i4>0</vt:i4>
      </vt:variant>
      <vt:variant>
        <vt:i4>5</vt:i4>
      </vt:variant>
      <vt:variant>
        <vt:lpwstr/>
      </vt:variant>
      <vt:variant>
        <vt:lpwstr>_Toc51061883</vt:lpwstr>
      </vt:variant>
      <vt:variant>
        <vt:i4>1703996</vt:i4>
      </vt:variant>
      <vt:variant>
        <vt:i4>26</vt:i4>
      </vt:variant>
      <vt:variant>
        <vt:i4>0</vt:i4>
      </vt:variant>
      <vt:variant>
        <vt:i4>5</vt:i4>
      </vt:variant>
      <vt:variant>
        <vt:lpwstr/>
      </vt:variant>
      <vt:variant>
        <vt:lpwstr>_Toc51061882</vt:lpwstr>
      </vt:variant>
      <vt:variant>
        <vt:i4>1638460</vt:i4>
      </vt:variant>
      <vt:variant>
        <vt:i4>20</vt:i4>
      </vt:variant>
      <vt:variant>
        <vt:i4>0</vt:i4>
      </vt:variant>
      <vt:variant>
        <vt:i4>5</vt:i4>
      </vt:variant>
      <vt:variant>
        <vt:lpwstr/>
      </vt:variant>
      <vt:variant>
        <vt:lpwstr>_Toc51061881</vt:lpwstr>
      </vt:variant>
      <vt:variant>
        <vt:i4>1572924</vt:i4>
      </vt:variant>
      <vt:variant>
        <vt:i4>14</vt:i4>
      </vt:variant>
      <vt:variant>
        <vt:i4>0</vt:i4>
      </vt:variant>
      <vt:variant>
        <vt:i4>5</vt:i4>
      </vt:variant>
      <vt:variant>
        <vt:lpwstr/>
      </vt:variant>
      <vt:variant>
        <vt:lpwstr>_Toc51061880</vt:lpwstr>
      </vt:variant>
      <vt:variant>
        <vt:i4>1114163</vt:i4>
      </vt:variant>
      <vt:variant>
        <vt:i4>8</vt:i4>
      </vt:variant>
      <vt:variant>
        <vt:i4>0</vt:i4>
      </vt:variant>
      <vt:variant>
        <vt:i4>5</vt:i4>
      </vt:variant>
      <vt:variant>
        <vt:lpwstr/>
      </vt:variant>
      <vt:variant>
        <vt:lpwstr>_Toc51061879</vt:lpwstr>
      </vt:variant>
      <vt:variant>
        <vt:i4>1048627</vt:i4>
      </vt:variant>
      <vt:variant>
        <vt:i4>2</vt:i4>
      </vt:variant>
      <vt:variant>
        <vt:i4>0</vt:i4>
      </vt:variant>
      <vt:variant>
        <vt:i4>5</vt:i4>
      </vt:variant>
      <vt:variant>
        <vt:lpwstr/>
      </vt:variant>
      <vt:variant>
        <vt:lpwstr>_Toc51061878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Bullock</dc:creator>
  <cp:keywords/>
  <dc:description/>
  <cp:lastModifiedBy>Julie McMillan (DPC)</cp:lastModifiedBy>
  <cp:revision>6</cp:revision>
  <cp:lastPrinted>2020-09-17T23:59:00Z</cp:lastPrinted>
  <dcterms:created xsi:type="dcterms:W3CDTF">2020-12-17T22:24:00Z</dcterms:created>
  <dcterms:modified xsi:type="dcterms:W3CDTF">2020-12-18T02:06:00Z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87f7b4e8-b6f9-47ba-9908-e9f333e1dc92</vt:lpwstr>
  </property>
  <property fmtid="{D5CDD505-2E9C-101B-9397-08002B2CF9AE}" pid="3" name="PSPFClassification">
    <vt:lpwstr>Do Not Mark</vt:lpwstr>
  </property>
  <property fmtid="{D5CDD505-2E9C-101B-9397-08002B2CF9AE}" pid="4" name="ZOTERO_PREF_2">
    <vt:lpwstr> name="fieldType" value="Field"/&gt;&lt;/prefs&gt;&lt;/data&gt;</vt:lpwstr>
  </property>
  <property fmtid="{D5CDD505-2E9C-101B-9397-08002B2CF9AE}" pid="5" name="ContentTypeId">
    <vt:lpwstr>0x01010030F8F5EC57BE3C42900C2D1C380D62D3</vt:lpwstr>
  </property>
  <property fmtid="{D5CDD505-2E9C-101B-9397-08002B2CF9AE}" pid="6" name="ZOTERO_PREF_1">
    <vt:lpwstr>&lt;data data-version="3" zotero-version="5.0.74"&gt;&lt;session id="JLdHWcth"/&gt;&lt;style id="http://www.zotero.org/styles/chicago-fullnote-bibliography" locale="en-GB" hasBibliography="1" bibliographyStyleHasBeenSet="1"/&gt;&lt;prefs&gt;&lt;pref name="noteType" value="1"/&gt;&lt;pref</vt:lpwstr>
  </property>
  <property fmtid="{D5CDD505-2E9C-101B-9397-08002B2CF9AE}" pid="7" name="MSIP_Label_7e644455-948d-415b-86c4-b59e4837616a_Enabled">
    <vt:lpwstr>True</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Owner">
    <vt:lpwstr>Julie.McMillan@dpc.vic.gov.au</vt:lpwstr>
  </property>
  <property fmtid="{D5CDD505-2E9C-101B-9397-08002B2CF9AE}" pid="10" name="MSIP_Label_7e644455-948d-415b-86c4-b59e4837616a_SetDate">
    <vt:lpwstr>2020-09-17T23:27:40.5524436Z</vt:lpwstr>
  </property>
  <property fmtid="{D5CDD505-2E9C-101B-9397-08002B2CF9AE}" pid="11" name="MSIP_Label_7e644455-948d-415b-86c4-b59e4837616a_Name">
    <vt:lpwstr>DO NOT MARK</vt:lpwstr>
  </property>
  <property fmtid="{D5CDD505-2E9C-101B-9397-08002B2CF9AE}" pid="12" name="MSIP_Label_7e644455-948d-415b-86c4-b59e4837616a_Application">
    <vt:lpwstr>Microsoft Azure Information Protection</vt:lpwstr>
  </property>
  <property fmtid="{D5CDD505-2E9C-101B-9397-08002B2CF9AE}" pid="13" name="MSIP_Label_7e644455-948d-415b-86c4-b59e4837616a_Extended_MSFT_Method">
    <vt:lpwstr>Manual</vt:lpwstr>
  </property>
  <property fmtid="{D5CDD505-2E9C-101B-9397-08002B2CF9AE}" pid="14" name="Sensitivity">
    <vt:lpwstr>DO NOT MARK</vt:lpwstr>
  </property>
</Properties>
</file>