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77ADC9" w14:textId="64A70ED2" w:rsidR="00B1131E" w:rsidRDefault="00B1131E" w:rsidP="00B1131E">
      <w:pPr>
        <w:ind w:left="-426" w:right="701"/>
        <w:outlineLvl w:val="0"/>
      </w:pPr>
      <w:bookmarkStart w:id="0" w:name="_Toc33609441"/>
      <w:bookmarkStart w:id="1" w:name="_Toc35006355"/>
      <w:bookmarkStart w:id="2" w:name="_Toc45015310"/>
      <w:bookmarkStart w:id="3" w:name="_Toc59090121"/>
      <w:bookmarkStart w:id="4" w:name="_Hlk19784699"/>
    </w:p>
    <w:p w14:paraId="22A76066" w14:textId="32B7BF0F" w:rsidR="006E4E5B" w:rsidRDefault="006E4E5B" w:rsidP="006E4E5B">
      <w:pPr>
        <w:ind w:left="-426"/>
        <w:outlineLvl w:val="0"/>
        <w:rPr>
          <w:rFonts w:ascii="Calibri Light" w:hAnsi="Calibri Light" w:cs="Calibri Light"/>
        </w:rPr>
      </w:pPr>
      <w:bookmarkStart w:id="5" w:name="_Hlk96348976"/>
      <w:bookmarkStart w:id="6" w:name="_Hlk96349639"/>
    </w:p>
    <w:p w14:paraId="0A29E527" w14:textId="77777777" w:rsidR="006E4E5B" w:rsidRDefault="006E4E5B" w:rsidP="006E4E5B">
      <w:pPr>
        <w:ind w:left="-426"/>
        <w:outlineLvl w:val="0"/>
        <w:rPr>
          <w:rFonts w:ascii="Calibri Light" w:hAnsi="Calibri Light" w:cs="Calibri Light"/>
        </w:rPr>
      </w:pPr>
    </w:p>
    <w:p w14:paraId="0448B036" w14:textId="77777777" w:rsidR="006E4E5B" w:rsidRDefault="006E4E5B" w:rsidP="006E4E5B">
      <w:pPr>
        <w:ind w:left="-426"/>
        <w:outlineLvl w:val="0"/>
        <w:rPr>
          <w:rFonts w:ascii="Calibri Light" w:hAnsi="Calibri Light" w:cs="Calibri Light"/>
        </w:rPr>
      </w:pPr>
    </w:p>
    <w:p w14:paraId="739CAD14" w14:textId="477B83A6" w:rsidR="006E4E5B" w:rsidRDefault="006E4E5B" w:rsidP="006E4E5B">
      <w:pPr>
        <w:ind w:left="-426"/>
        <w:outlineLvl w:val="0"/>
        <w:rPr>
          <w:rFonts w:ascii="Calibri Light" w:hAnsi="Calibri Light" w:cs="Calibri Light"/>
        </w:rPr>
      </w:pPr>
    </w:p>
    <w:p w14:paraId="5CA8D193" w14:textId="5682B13A" w:rsidR="006E4E5B" w:rsidRDefault="006E4E5B" w:rsidP="006E4E5B">
      <w:pPr>
        <w:ind w:left="-426"/>
        <w:outlineLvl w:val="0"/>
        <w:rPr>
          <w:rFonts w:ascii="Calibri Light" w:hAnsi="Calibri Light" w:cs="Calibri Light"/>
        </w:rPr>
      </w:pPr>
    </w:p>
    <w:p w14:paraId="61C43AFF" w14:textId="13C505BA" w:rsidR="006E4E5B" w:rsidRPr="007C3D52" w:rsidRDefault="00880D06" w:rsidP="00692504">
      <w:pPr>
        <w:ind w:left="-426" w:right="701"/>
        <w:outlineLvl w:val="0"/>
        <w:rPr>
          <w:rFonts w:asciiTheme="minorHAnsi" w:hAnsiTheme="minorHAnsi" w:cs="@MS PMincho"/>
          <w:color w:val="26664E" w:themeColor="accent1"/>
          <w:sz w:val="68"/>
          <w:szCs w:val="68"/>
        </w:rPr>
      </w:pPr>
      <w:bookmarkStart w:id="7" w:name="_Hlk97559626"/>
      <w:bookmarkStart w:id="8" w:name="_Toc138761200"/>
      <w:r w:rsidRPr="007C3D52">
        <w:rPr>
          <w:rFonts w:asciiTheme="minorHAnsi" w:hAnsiTheme="minorHAnsi" w:cs="@MS PMincho"/>
          <w:color w:val="26664E" w:themeColor="accent1"/>
          <w:sz w:val="68"/>
          <w:szCs w:val="68"/>
        </w:rPr>
        <w:t xml:space="preserve">Remuneration bands for executives employed in </w:t>
      </w:r>
      <w:r w:rsidR="004D0512" w:rsidRPr="007C3D52">
        <w:rPr>
          <w:rFonts w:asciiTheme="minorHAnsi" w:hAnsiTheme="minorHAnsi" w:cs="@MS PMincho"/>
          <w:color w:val="26664E" w:themeColor="accent1"/>
          <w:sz w:val="68"/>
          <w:szCs w:val="68"/>
        </w:rPr>
        <w:t>prescribed public entities</w:t>
      </w:r>
      <w:r w:rsidRPr="007C3D52">
        <w:rPr>
          <w:rFonts w:asciiTheme="minorHAnsi" w:hAnsiTheme="minorHAnsi" w:cs="@MS PMincho"/>
          <w:color w:val="26664E" w:themeColor="accent1"/>
          <w:sz w:val="68"/>
          <w:szCs w:val="68"/>
        </w:rPr>
        <w:t xml:space="preserve"> (Victoria)</w:t>
      </w:r>
      <w:r w:rsidRPr="007C3D52">
        <w:rPr>
          <w:rFonts w:asciiTheme="minorHAnsi" w:hAnsiTheme="minorHAnsi" w:cs="@MS PMincho"/>
          <w:color w:val="26664E" w:themeColor="accent1"/>
          <w:sz w:val="68"/>
          <w:szCs w:val="68"/>
        </w:rPr>
        <w:br/>
        <w:t>Annual Adjustment</w:t>
      </w:r>
      <w:r w:rsidR="006E4E5B" w:rsidRPr="007C3D52">
        <w:rPr>
          <w:rFonts w:asciiTheme="minorHAnsi" w:hAnsiTheme="minorHAnsi" w:cs="@MS PMincho"/>
          <w:color w:val="26664E" w:themeColor="accent1"/>
          <w:sz w:val="68"/>
          <w:szCs w:val="68"/>
        </w:rPr>
        <w:t xml:space="preserve"> Determination </w:t>
      </w:r>
      <w:bookmarkEnd w:id="7"/>
      <w:r w:rsidRPr="007C3D52">
        <w:rPr>
          <w:rFonts w:asciiTheme="minorHAnsi" w:hAnsiTheme="minorHAnsi" w:cs="@MS PMincho"/>
          <w:color w:val="26664E" w:themeColor="accent1"/>
          <w:sz w:val="68"/>
          <w:szCs w:val="68"/>
        </w:rPr>
        <w:t>202</w:t>
      </w:r>
      <w:r w:rsidR="00AD74DD" w:rsidRPr="007C3D52">
        <w:rPr>
          <w:rFonts w:asciiTheme="minorHAnsi" w:hAnsiTheme="minorHAnsi" w:cs="@MS PMincho"/>
          <w:color w:val="26664E" w:themeColor="accent1"/>
          <w:sz w:val="68"/>
          <w:szCs w:val="68"/>
        </w:rPr>
        <w:t>3</w:t>
      </w:r>
      <w:bookmarkEnd w:id="8"/>
    </w:p>
    <w:p w14:paraId="401827F2" w14:textId="2BCE3B1C" w:rsidR="006E4E5B" w:rsidRPr="00BD24F3" w:rsidRDefault="006E4E5B" w:rsidP="006E4E5B"/>
    <w:p w14:paraId="79C14A8C" w14:textId="77F08D11" w:rsidR="006E4E5B" w:rsidRDefault="006E4E5B" w:rsidP="006E4E5B"/>
    <w:p w14:paraId="0755E2AF" w14:textId="23D79DD6" w:rsidR="006E4E5B" w:rsidRDefault="006E4E5B" w:rsidP="006E4E5B">
      <w:pPr>
        <w:tabs>
          <w:tab w:val="right" w:pos="8498"/>
        </w:tabs>
        <w:spacing w:after="80"/>
        <w:rPr>
          <w:b/>
          <w:bCs/>
        </w:rPr>
      </w:pPr>
      <w:r>
        <w:rPr>
          <w:b/>
          <w:bCs/>
        </w:rPr>
        <w:br w:type="page"/>
      </w:r>
      <w:r>
        <w:rPr>
          <w:b/>
          <w:bCs/>
        </w:rPr>
        <w:lastRenderedPageBreak/>
        <w:tab/>
      </w: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6E545C" w14:paraId="648F4BA0" w14:textId="77777777" w:rsidTr="00F90B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p w14:paraId="4D3852D0" w14:textId="5E725869" w:rsidR="00B1131E" w:rsidRPr="000A15BB" w:rsidRDefault="007C3D52" w:rsidP="000A15BB">
            <w:pPr>
              <w:pStyle w:val="VIRTHeading2"/>
              <w:rPr>
                <w:b/>
              </w:rPr>
            </w:pPr>
            <w:bookmarkStart w:id="9" w:name="_Toc138761201"/>
            <w:bookmarkEnd w:id="5"/>
            <w:r>
              <w:rPr>
                <w:rFonts w:ascii="ZWAdobeF" w:hAnsi="ZWAdobeF" w:cs="ZWAdobeF"/>
                <w:color w:val="auto"/>
                <w:spacing w:val="0"/>
                <w:sz w:val="2"/>
                <w:szCs w:val="2"/>
              </w:rPr>
              <w:t>0B</w:t>
            </w:r>
            <w:r w:rsidR="00B1131E" w:rsidRPr="000A15BB">
              <w:rPr>
                <w:b/>
              </w:rPr>
              <w:t>DETERMINATION</w:t>
            </w:r>
            <w:bookmarkEnd w:id="9"/>
          </w:p>
        </w:tc>
        <w:tc>
          <w:tcPr>
            <w:tcW w:w="4196" w:type="dxa"/>
            <w:shd w:val="clear" w:color="auto" w:fill="auto"/>
          </w:tcPr>
          <w:p w14:paraId="04CDC1C5" w14:textId="5259ABD9" w:rsidR="00B1131E" w:rsidRPr="00AD22F2" w:rsidRDefault="00B1131E" w:rsidP="00F90BEA">
            <w:pPr>
              <w:pStyle w:val="Instrumenttableofcontents"/>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auto"/>
              </w:rPr>
            </w:pPr>
            <w:r w:rsidRPr="00AD22F2">
              <w:rPr>
                <w:rFonts w:ascii="Calibri" w:hAnsi="Calibri" w:cs="Calibri"/>
                <w:b w:val="0"/>
                <w:bCs/>
                <w:color w:val="auto"/>
              </w:rPr>
              <w:t>[</w:t>
            </w:r>
            <w:r w:rsidR="00880D06" w:rsidRPr="00AD22F2">
              <w:rPr>
                <w:rFonts w:ascii="Calibri" w:hAnsi="Calibri" w:cs="Calibri"/>
                <w:b w:val="0"/>
                <w:bCs/>
                <w:color w:val="auto"/>
              </w:rPr>
              <w:t>202</w:t>
            </w:r>
            <w:r w:rsidR="00AD74DD" w:rsidRPr="00AD22F2">
              <w:rPr>
                <w:rFonts w:ascii="Calibri" w:hAnsi="Calibri" w:cs="Calibri"/>
                <w:b w:val="0"/>
                <w:bCs/>
                <w:color w:val="auto"/>
              </w:rPr>
              <w:t>3</w:t>
            </w:r>
            <w:r w:rsidRPr="00AD22F2">
              <w:rPr>
                <w:rFonts w:ascii="Calibri" w:hAnsi="Calibri" w:cs="Calibri"/>
                <w:b w:val="0"/>
                <w:bCs/>
                <w:color w:val="auto"/>
              </w:rPr>
              <w:t xml:space="preserve">] </w:t>
            </w:r>
            <w:r w:rsidR="00880D06" w:rsidRPr="00AD22F2">
              <w:rPr>
                <w:rFonts w:ascii="Calibri" w:hAnsi="Calibri" w:cs="Calibri"/>
                <w:b w:val="0"/>
                <w:bCs/>
                <w:color w:val="auto"/>
              </w:rPr>
              <w:t>D</w:t>
            </w:r>
            <w:r w:rsidR="004D0512" w:rsidRPr="00AD22F2">
              <w:rPr>
                <w:rFonts w:ascii="Calibri" w:hAnsi="Calibri" w:cs="Calibri"/>
                <w:b w:val="0"/>
                <w:bCs/>
                <w:color w:val="auto"/>
              </w:rPr>
              <w:t>PPE</w:t>
            </w:r>
            <w:r w:rsidR="00880D06" w:rsidRPr="00AD22F2">
              <w:rPr>
                <w:rFonts w:ascii="Calibri" w:hAnsi="Calibri" w:cs="Calibri"/>
                <w:b w:val="0"/>
                <w:bCs/>
                <w:color w:val="auto"/>
              </w:rPr>
              <w:t>A</w:t>
            </w:r>
            <w:r w:rsidRPr="00AD22F2">
              <w:rPr>
                <w:rFonts w:ascii="Calibri" w:hAnsi="Calibri" w:cs="Calibri"/>
                <w:b w:val="0"/>
                <w:bCs/>
                <w:color w:val="auto"/>
              </w:rPr>
              <w:t xml:space="preserve"> </w:t>
            </w:r>
            <w:r w:rsidR="00880D06" w:rsidRPr="00AD22F2">
              <w:rPr>
                <w:rFonts w:ascii="Calibri" w:hAnsi="Calibri" w:cs="Calibri"/>
                <w:b w:val="0"/>
                <w:bCs/>
                <w:color w:val="auto"/>
              </w:rPr>
              <w:t>01</w:t>
            </w:r>
          </w:p>
        </w:tc>
      </w:tr>
    </w:tbl>
    <w:p w14:paraId="685527A4" w14:textId="77777777" w:rsidR="00B1131E" w:rsidRPr="00AD22F2" w:rsidRDefault="00B1131E" w:rsidP="00B1131E">
      <w:pPr>
        <w:pStyle w:val="Instrumenttableofcontents"/>
        <w:rPr>
          <w:rFonts w:ascii="Calibri" w:hAnsi="Calibri" w:cs="Calibri"/>
        </w:rPr>
      </w:pPr>
      <w:r w:rsidRPr="00AD22F2">
        <w:rPr>
          <w:rFonts w:ascii="Calibri" w:hAnsi="Calibri" w:cs="Calibri"/>
          <w:i/>
          <w:iCs/>
        </w:rPr>
        <w:t>Victorian Independent Remuneration Tribunal and Improving Parliamentary Standards Act 2019</w:t>
      </w:r>
      <w:r w:rsidRPr="00AD22F2">
        <w:rPr>
          <w:rFonts w:ascii="Calibri" w:hAnsi="Calibri" w:cs="Calibri"/>
        </w:rPr>
        <w:t xml:space="preserve"> (Vic)</w:t>
      </w:r>
    </w:p>
    <w:p w14:paraId="25DEBBB6" w14:textId="26EA3A54" w:rsidR="00B1131E" w:rsidRPr="00AD22F2" w:rsidRDefault="00B1131E" w:rsidP="00B1131E">
      <w:pPr>
        <w:pStyle w:val="Instrumenttableofcontents"/>
        <w:rPr>
          <w:rFonts w:ascii="Calibri" w:hAnsi="Calibri" w:cs="Calibri"/>
        </w:rPr>
      </w:pPr>
      <w:r w:rsidRPr="00AD22F2">
        <w:rPr>
          <w:rFonts w:ascii="Calibri" w:hAnsi="Calibri" w:cs="Calibri"/>
        </w:rPr>
        <w:t>Part 3—</w:t>
      </w:r>
      <w:r w:rsidR="00880D06" w:rsidRPr="00AD22F2">
        <w:rPr>
          <w:rFonts w:ascii="Calibri" w:hAnsi="Calibri" w:cs="Calibri"/>
        </w:rPr>
        <w:t xml:space="preserve">Determinations for annual adjustments in relation to executives employed in </w:t>
      </w:r>
      <w:r w:rsidR="004D0512" w:rsidRPr="00AD22F2">
        <w:rPr>
          <w:rFonts w:ascii="Calibri" w:hAnsi="Calibri" w:cs="Calibri"/>
        </w:rPr>
        <w:t>prescribed public entities</w:t>
      </w:r>
      <w:r w:rsidR="00880D06" w:rsidRPr="00AD22F2">
        <w:rPr>
          <w:rFonts w:ascii="Calibri" w:hAnsi="Calibri" w:cs="Calibri"/>
        </w:rPr>
        <w:t>.</w:t>
      </w:r>
    </w:p>
    <w:p w14:paraId="6CD3F5A1" w14:textId="25C651F8" w:rsidR="00B1131E" w:rsidRPr="0086297F" w:rsidRDefault="00880D06" w:rsidP="000A15BB">
      <w:pPr>
        <w:pStyle w:val="VIRTHeading2"/>
        <w:rPr>
          <w:b w:val="0"/>
          <w:sz w:val="44"/>
          <w:szCs w:val="44"/>
        </w:rPr>
      </w:pPr>
      <w:bookmarkStart w:id="10" w:name="_Toc101357725"/>
      <w:bookmarkStart w:id="11" w:name="_Toc102031584"/>
      <w:bookmarkStart w:id="12" w:name="_Toc106614245"/>
      <w:bookmarkStart w:id="13" w:name="_Toc106786932"/>
      <w:bookmarkStart w:id="14" w:name="_Toc106787024"/>
      <w:bookmarkStart w:id="15" w:name="_Toc138761202"/>
      <w:r w:rsidRPr="0086297F">
        <w:rPr>
          <w:b w:val="0"/>
          <w:sz w:val="44"/>
          <w:szCs w:val="44"/>
        </w:rPr>
        <w:t xml:space="preserve">Remuneration bands for executives employed in </w:t>
      </w:r>
      <w:r w:rsidR="004D0512" w:rsidRPr="0086297F">
        <w:rPr>
          <w:b w:val="0"/>
          <w:sz w:val="44"/>
          <w:szCs w:val="44"/>
        </w:rPr>
        <w:t>prescribed public entities</w:t>
      </w:r>
      <w:r w:rsidRPr="0086297F">
        <w:rPr>
          <w:b w:val="0"/>
          <w:sz w:val="44"/>
          <w:szCs w:val="44"/>
        </w:rPr>
        <w:t xml:space="preserve"> (Victoria) Annual Adjustment Determination 202</w:t>
      </w:r>
      <w:bookmarkEnd w:id="10"/>
      <w:bookmarkEnd w:id="11"/>
      <w:bookmarkEnd w:id="12"/>
      <w:bookmarkEnd w:id="13"/>
      <w:bookmarkEnd w:id="14"/>
      <w:r w:rsidR="00AD74DD" w:rsidRPr="0086297F">
        <w:rPr>
          <w:b w:val="0"/>
          <w:sz w:val="44"/>
          <w:szCs w:val="44"/>
        </w:rPr>
        <w:t>3</w:t>
      </w:r>
      <w:bookmarkEnd w:id="15"/>
    </w:p>
    <w:p w14:paraId="1A830A64" w14:textId="690CAA55" w:rsidR="00B1131E" w:rsidRDefault="00B1131E" w:rsidP="00B1131E">
      <w:pPr>
        <w:pStyle w:val="03VIRTHeading3"/>
      </w:pPr>
    </w:p>
    <w:p w14:paraId="4F3A4612" w14:textId="4E3B6301" w:rsidR="00F05128" w:rsidRPr="00E34A31" w:rsidRDefault="00F05128" w:rsidP="00F05128">
      <w:pPr>
        <w:numPr>
          <w:ilvl w:val="0"/>
          <w:numId w:val="31"/>
        </w:numPr>
        <w:spacing w:before="180" w:after="160" w:line="276" w:lineRule="auto"/>
        <w:rPr>
          <w:rFonts w:ascii="Calibri" w:eastAsia="Calibri" w:hAnsi="Calibri" w:cs="Calibri"/>
          <w:color w:val="000000" w:themeColor="text1"/>
          <w:sz w:val="26"/>
          <w:szCs w:val="44"/>
        </w:rPr>
      </w:pPr>
      <w:r w:rsidRPr="00E34A31">
        <w:rPr>
          <w:rFonts w:ascii="Calibri" w:eastAsia="Calibri" w:hAnsi="Calibri" w:cs="Calibri"/>
          <w:color w:val="000000" w:themeColor="text1"/>
          <w:sz w:val="26"/>
          <w:szCs w:val="44"/>
        </w:rPr>
        <w:t xml:space="preserve">Pursuant to section 20(1) of the </w:t>
      </w:r>
      <w:r w:rsidRPr="00E34A31">
        <w:rPr>
          <w:rFonts w:ascii="Calibri" w:eastAsia="Calibri" w:hAnsi="Calibri" w:cs="Calibri"/>
          <w:i/>
          <w:iCs/>
          <w:color w:val="000000" w:themeColor="text1"/>
          <w:sz w:val="26"/>
          <w:szCs w:val="44"/>
        </w:rPr>
        <w:t>Victorian Independent Remuneration Tribunal and Improving Parliament</w:t>
      </w:r>
      <w:r w:rsidR="00A74138" w:rsidRPr="00E34A31">
        <w:rPr>
          <w:rFonts w:ascii="Calibri" w:eastAsia="Calibri" w:hAnsi="Calibri" w:cs="Calibri"/>
          <w:i/>
          <w:iCs/>
          <w:color w:val="000000" w:themeColor="text1"/>
          <w:sz w:val="26"/>
          <w:szCs w:val="44"/>
        </w:rPr>
        <w:t>ary</w:t>
      </w:r>
      <w:r w:rsidRPr="00E34A31">
        <w:rPr>
          <w:rFonts w:ascii="Calibri" w:eastAsia="Calibri" w:hAnsi="Calibri" w:cs="Calibri"/>
          <w:i/>
          <w:iCs/>
          <w:color w:val="000000" w:themeColor="text1"/>
          <w:sz w:val="26"/>
          <w:szCs w:val="44"/>
        </w:rPr>
        <w:t xml:space="preserve"> Standards Act 2019 </w:t>
      </w:r>
      <w:r w:rsidRPr="00E34A31">
        <w:rPr>
          <w:rFonts w:ascii="Calibri" w:eastAsia="Calibri" w:hAnsi="Calibri" w:cs="Calibri"/>
          <w:color w:val="000000" w:themeColor="text1"/>
          <w:sz w:val="26"/>
          <w:szCs w:val="44"/>
        </w:rPr>
        <w:t xml:space="preserve">(Vic) (VIRTIPS Act), the Tribunal determines to make the following adjustments to the </w:t>
      </w:r>
      <w:r w:rsidRPr="00E34A31">
        <w:rPr>
          <w:rFonts w:ascii="Calibri" w:eastAsia="Calibri" w:hAnsi="Calibri" w:cs="Calibri"/>
          <w:i/>
          <w:iCs/>
          <w:color w:val="000000" w:themeColor="text1"/>
          <w:sz w:val="26"/>
          <w:szCs w:val="44"/>
        </w:rPr>
        <w:t>Remuneration bands for executives employed in prescribed public entities (Victoria) Determination No. 01/2020</w:t>
      </w:r>
      <w:r w:rsidRPr="00E34A31">
        <w:rPr>
          <w:rFonts w:ascii="Calibri" w:eastAsia="Calibri" w:hAnsi="Calibri" w:cs="Calibri"/>
          <w:color w:val="000000" w:themeColor="text1"/>
          <w:sz w:val="26"/>
          <w:szCs w:val="44"/>
        </w:rPr>
        <w:t xml:space="preserve">. </w:t>
      </w:r>
    </w:p>
    <w:p w14:paraId="099EF2AA" w14:textId="22B97456" w:rsidR="00F05128" w:rsidRPr="00E34A31" w:rsidRDefault="00F05128" w:rsidP="009A6CDB">
      <w:pPr>
        <w:pStyle w:val="Parapraph"/>
        <w:numPr>
          <w:ilvl w:val="0"/>
          <w:numId w:val="42"/>
        </w:numPr>
        <w:rPr>
          <w:rFonts w:ascii="Calibri" w:eastAsia="Calibri" w:hAnsi="Calibri" w:cs="Calibri"/>
          <w:color w:val="000000" w:themeColor="text1"/>
        </w:rPr>
      </w:pPr>
      <w:r w:rsidRPr="00E34A31">
        <w:rPr>
          <w:rFonts w:ascii="Calibri" w:hAnsi="Calibri" w:cs="Calibri"/>
          <w:color w:val="000000" w:themeColor="text1"/>
        </w:rPr>
        <w:t xml:space="preserve">Delete </w:t>
      </w:r>
      <w:r w:rsidRPr="00E34A31">
        <w:rPr>
          <w:rFonts w:ascii="Calibri" w:eastAsia="Calibri" w:hAnsi="Calibri" w:cs="Calibri"/>
          <w:color w:val="000000" w:themeColor="text1"/>
        </w:rPr>
        <w:t>table 1 and replace it with the following:</w:t>
      </w:r>
    </w:p>
    <w:p w14:paraId="6784F4FE" w14:textId="6A0B5599" w:rsidR="00F05128" w:rsidRPr="00DC4B96" w:rsidRDefault="00F05128" w:rsidP="00DC4B96">
      <w:pPr>
        <w:pStyle w:val="08Figuretableboxheading"/>
        <w:rPr>
          <w:rFonts w:ascii="Calibri" w:hAnsi="Calibri" w:cs="Calibri"/>
        </w:rPr>
      </w:pPr>
      <w:r w:rsidRPr="00DC4B96">
        <w:rPr>
          <w:rFonts w:ascii="Calibri" w:hAnsi="Calibri" w:cs="Calibri"/>
        </w:rPr>
        <w:t>Table 1: Values of remuneration bands for executives employed in prescribed public entities from 1 July 202</w:t>
      </w:r>
      <w:r w:rsidR="00AD74DD" w:rsidRPr="00DC4B96">
        <w:rPr>
          <w:rFonts w:ascii="Calibri" w:hAnsi="Calibri" w:cs="Calibri"/>
        </w:rPr>
        <w:t>3</w:t>
      </w:r>
    </w:p>
    <w:tbl>
      <w:tblPr>
        <w:tblStyle w:val="ListTable3-Accent28"/>
        <w:tblW w:w="5000" w:type="pct"/>
        <w:tblLook w:val="04A0" w:firstRow="1" w:lastRow="0" w:firstColumn="1" w:lastColumn="0" w:noHBand="0" w:noVBand="1"/>
      </w:tblPr>
      <w:tblGrid>
        <w:gridCol w:w="2850"/>
        <w:gridCol w:w="2372"/>
        <w:gridCol w:w="3272"/>
      </w:tblGrid>
      <w:tr w:rsidR="00F05128" w:rsidRPr="00F05128" w14:paraId="655EA810" w14:textId="77777777" w:rsidTr="007C3D5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shd w:val="clear" w:color="auto" w:fill="auto"/>
          </w:tcPr>
          <w:p w14:paraId="72B79F1E" w14:textId="77777777" w:rsidR="00F05128" w:rsidRPr="007C3D52" w:rsidRDefault="00F05128" w:rsidP="00F05128">
            <w:pPr>
              <w:keepNext/>
              <w:spacing w:after="0"/>
              <w:contextualSpacing/>
              <w:rPr>
                <w:rFonts w:ascii="Calibri" w:eastAsia="Rockwell" w:hAnsi="Calibri" w:cs="Calibri"/>
                <w:color w:val="auto"/>
                <w:sz w:val="22"/>
                <w:lang w:val="en-US"/>
              </w:rPr>
            </w:pPr>
            <w:r w:rsidRPr="007C3D52">
              <w:rPr>
                <w:rFonts w:ascii="Calibri" w:eastAsia="Rockwell" w:hAnsi="Calibri" w:cs="Calibri"/>
                <w:color w:val="auto"/>
                <w:sz w:val="22"/>
                <w:lang w:val="en-US"/>
              </w:rPr>
              <w:t>Classification</w:t>
            </w:r>
          </w:p>
        </w:tc>
        <w:tc>
          <w:tcPr>
            <w:tcW w:w="1396" w:type="pct"/>
            <w:shd w:val="clear" w:color="auto" w:fill="auto"/>
          </w:tcPr>
          <w:p w14:paraId="096042DB" w14:textId="77777777" w:rsidR="00F05128" w:rsidRPr="007C3D52" w:rsidRDefault="00F05128" w:rsidP="00F05128">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7C3D52">
              <w:rPr>
                <w:rFonts w:ascii="Calibri" w:eastAsia="Rockwell" w:hAnsi="Calibri" w:cs="Calibri"/>
                <w:color w:val="auto"/>
                <w:sz w:val="22"/>
                <w:lang w:val="en-US"/>
              </w:rPr>
              <w:t>Base of band TRP</w:t>
            </w:r>
            <w:r w:rsidRPr="007C3D52">
              <w:rPr>
                <w:rFonts w:ascii="Calibri" w:eastAsia="Rockwell" w:hAnsi="Calibri" w:cs="Calibri"/>
                <w:color w:val="auto"/>
                <w:sz w:val="22"/>
                <w:vertAlign w:val="superscript"/>
                <w:lang w:val="en-US"/>
              </w:rPr>
              <w:t>(a)</w:t>
            </w:r>
            <w:r w:rsidRPr="007C3D52">
              <w:rPr>
                <w:rFonts w:ascii="Calibri" w:eastAsia="Rockwell" w:hAnsi="Calibri" w:cs="Calibri"/>
                <w:color w:val="auto"/>
                <w:sz w:val="22"/>
                <w:lang w:val="en-US"/>
              </w:rPr>
              <w:br/>
              <w:t>$ per annum</w:t>
            </w:r>
          </w:p>
        </w:tc>
        <w:tc>
          <w:tcPr>
            <w:tcW w:w="1926" w:type="pct"/>
            <w:shd w:val="clear" w:color="auto" w:fill="auto"/>
          </w:tcPr>
          <w:p w14:paraId="4CF16FE6" w14:textId="3F7FCD8D" w:rsidR="00F05128" w:rsidRPr="007C3D52" w:rsidRDefault="00F05128" w:rsidP="00F05128">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7C3D52">
              <w:rPr>
                <w:rFonts w:ascii="Calibri" w:eastAsia="Rockwell" w:hAnsi="Calibri" w:cs="Calibri"/>
                <w:color w:val="auto"/>
                <w:sz w:val="22"/>
                <w:lang w:val="en-US"/>
              </w:rPr>
              <w:t>Top of band TRP</w:t>
            </w:r>
            <w:r w:rsidR="001573A6" w:rsidRPr="007C3D52">
              <w:rPr>
                <w:rFonts w:ascii="Calibri" w:eastAsia="Rockwell" w:hAnsi="Calibri" w:cs="Calibri"/>
                <w:color w:val="auto"/>
                <w:sz w:val="22"/>
                <w:vertAlign w:val="superscript"/>
                <w:lang w:val="en-US"/>
              </w:rPr>
              <w:t>(a)</w:t>
            </w:r>
            <w:r w:rsidRPr="007C3D52">
              <w:rPr>
                <w:rFonts w:ascii="Calibri" w:eastAsia="Rockwell" w:hAnsi="Calibri" w:cs="Calibri"/>
                <w:color w:val="auto"/>
                <w:sz w:val="22"/>
                <w:lang w:val="en-US"/>
              </w:rPr>
              <w:br/>
              <w:t>$ per annum</w:t>
            </w:r>
          </w:p>
        </w:tc>
      </w:tr>
      <w:tr w:rsidR="00AD74DD" w:rsidRPr="00F05128" w14:paraId="5079F4B4" w14:textId="77777777" w:rsidTr="00AD74DD">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7B626206" w14:textId="77777777" w:rsidR="00AD74DD" w:rsidRPr="00DC4B96" w:rsidRDefault="00AD74DD" w:rsidP="00AD74DD">
            <w:pPr>
              <w:keepNext/>
              <w:spacing w:after="0"/>
              <w:contextualSpacing/>
              <w:rPr>
                <w:rFonts w:ascii="Calibri" w:eastAsia="Rockwell" w:hAnsi="Calibri" w:cs="Calibri"/>
                <w:b w:val="0"/>
                <w:bCs w:val="0"/>
                <w:color w:val="000000" w:themeColor="text1"/>
                <w:sz w:val="22"/>
                <w:lang w:val="en-US"/>
              </w:rPr>
            </w:pPr>
            <w:r w:rsidRPr="00DC4B96">
              <w:rPr>
                <w:rFonts w:ascii="Calibri" w:eastAsia="Rockwell" w:hAnsi="Calibri" w:cs="Calibri"/>
                <w:b w:val="0"/>
                <w:bCs w:val="0"/>
                <w:color w:val="000000" w:themeColor="text1"/>
                <w:sz w:val="22"/>
                <w:lang w:val="en-US"/>
              </w:rPr>
              <w:t>Public Entity Senior Executive</w:t>
            </w:r>
          </w:p>
          <w:p w14:paraId="085775D2" w14:textId="77777777" w:rsidR="00AD74DD" w:rsidRPr="00DC4B96" w:rsidRDefault="00AD74DD" w:rsidP="00AD74DD">
            <w:pPr>
              <w:keepNext/>
              <w:spacing w:after="0"/>
              <w:contextualSpacing/>
              <w:rPr>
                <w:rFonts w:ascii="Calibri" w:eastAsia="Rockwell" w:hAnsi="Calibri" w:cs="Calibri"/>
                <w:b w:val="0"/>
                <w:bCs w:val="0"/>
                <w:color w:val="000000" w:themeColor="text1"/>
                <w:sz w:val="22"/>
                <w:lang w:val="en-US"/>
              </w:rPr>
            </w:pPr>
            <w:r w:rsidRPr="00DC4B96">
              <w:rPr>
                <w:rFonts w:ascii="Calibri" w:eastAsia="Rockwell" w:hAnsi="Calibri" w:cs="Calibri"/>
                <w:b w:val="0"/>
                <w:bCs w:val="0"/>
                <w:color w:val="000000" w:themeColor="text1"/>
                <w:sz w:val="22"/>
                <w:lang w:val="en-US"/>
              </w:rPr>
              <w:t>Service-3</w:t>
            </w:r>
          </w:p>
        </w:tc>
        <w:tc>
          <w:tcPr>
            <w:tcW w:w="1396" w:type="pct"/>
            <w:vAlign w:val="center"/>
          </w:tcPr>
          <w:p w14:paraId="1E4FB3A9" w14:textId="100AF037" w:rsidR="00AD74DD" w:rsidRPr="00DC4B96" w:rsidRDefault="008561CF" w:rsidP="00AD74DD">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000000" w:themeColor="text1"/>
                <w:sz w:val="22"/>
                <w:lang w:val="en-US"/>
              </w:rPr>
            </w:pPr>
            <w:r w:rsidRPr="00DC4B96">
              <w:rPr>
                <w:rFonts w:ascii="Calibri" w:eastAsia="Rockwell" w:hAnsi="Calibri" w:cs="Calibri"/>
                <w:bCs/>
                <w:color w:val="000000" w:themeColor="text1"/>
                <w:sz w:val="22"/>
                <w:lang w:val="en-US"/>
              </w:rPr>
              <w:t>401,018</w:t>
            </w:r>
          </w:p>
        </w:tc>
        <w:tc>
          <w:tcPr>
            <w:tcW w:w="1926" w:type="pct"/>
            <w:vAlign w:val="center"/>
          </w:tcPr>
          <w:p w14:paraId="72AC20F9" w14:textId="7C0FCD70" w:rsidR="00AD74DD" w:rsidRPr="00DC4B96" w:rsidRDefault="00924248" w:rsidP="00AD74DD">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000000" w:themeColor="text1"/>
                <w:sz w:val="22"/>
                <w:lang w:val="en-US"/>
              </w:rPr>
            </w:pPr>
            <w:r w:rsidRPr="00DC4B96">
              <w:rPr>
                <w:rFonts w:ascii="Calibri" w:eastAsia="Rockwell" w:hAnsi="Calibri" w:cs="Calibri"/>
                <w:bCs/>
                <w:color w:val="000000" w:themeColor="text1"/>
                <w:sz w:val="22"/>
                <w:lang w:val="en-US"/>
              </w:rPr>
              <w:t>533,431</w:t>
            </w:r>
          </w:p>
        </w:tc>
      </w:tr>
      <w:tr w:rsidR="00AD74DD" w:rsidRPr="00F05128" w14:paraId="330CD1C8" w14:textId="77777777" w:rsidTr="00AD74DD">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71AD8E28" w14:textId="77777777" w:rsidR="00AD74DD" w:rsidRPr="00DC4B96" w:rsidRDefault="00AD74DD" w:rsidP="00AD74DD">
            <w:pPr>
              <w:keepNext/>
              <w:spacing w:after="0"/>
              <w:contextualSpacing/>
              <w:rPr>
                <w:rFonts w:ascii="Calibri" w:eastAsia="Rockwell" w:hAnsi="Calibri" w:cs="Calibri"/>
                <w:b w:val="0"/>
                <w:bCs w:val="0"/>
                <w:color w:val="000000" w:themeColor="text1"/>
                <w:sz w:val="22"/>
                <w:lang w:val="en-US"/>
              </w:rPr>
            </w:pPr>
            <w:r w:rsidRPr="00DC4B96">
              <w:rPr>
                <w:rFonts w:ascii="Calibri" w:eastAsia="Rockwell" w:hAnsi="Calibri" w:cs="Calibri"/>
                <w:b w:val="0"/>
                <w:bCs w:val="0"/>
                <w:color w:val="000000" w:themeColor="text1"/>
                <w:sz w:val="22"/>
                <w:lang w:val="en-US"/>
              </w:rPr>
              <w:t>Public Entity Senior Executive</w:t>
            </w:r>
          </w:p>
          <w:p w14:paraId="2A337C89" w14:textId="77777777" w:rsidR="00AD74DD" w:rsidRPr="00DC4B96" w:rsidRDefault="00AD74DD" w:rsidP="00AD74DD">
            <w:pPr>
              <w:keepNext/>
              <w:spacing w:after="0"/>
              <w:contextualSpacing/>
              <w:rPr>
                <w:rFonts w:ascii="Calibri" w:eastAsia="Rockwell" w:hAnsi="Calibri" w:cs="Calibri"/>
                <w:b w:val="0"/>
                <w:bCs w:val="0"/>
                <w:color w:val="000000" w:themeColor="text1"/>
                <w:sz w:val="22"/>
                <w:lang w:val="en-US"/>
              </w:rPr>
            </w:pPr>
            <w:r w:rsidRPr="00DC4B96">
              <w:rPr>
                <w:rFonts w:ascii="Calibri" w:eastAsia="Rockwell" w:hAnsi="Calibri" w:cs="Calibri"/>
                <w:b w:val="0"/>
                <w:bCs w:val="0"/>
                <w:color w:val="000000" w:themeColor="text1"/>
                <w:sz w:val="22"/>
                <w:lang w:val="en-US"/>
              </w:rPr>
              <w:t>Service-2</w:t>
            </w:r>
          </w:p>
        </w:tc>
        <w:tc>
          <w:tcPr>
            <w:tcW w:w="1396" w:type="pct"/>
            <w:vAlign w:val="center"/>
          </w:tcPr>
          <w:p w14:paraId="143D4BBE" w14:textId="7A331781" w:rsidR="00AD74DD" w:rsidRPr="00DC4B96" w:rsidRDefault="00924248" w:rsidP="00AD74DD">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000000" w:themeColor="text1"/>
                <w:sz w:val="22"/>
                <w:lang w:val="en-US"/>
              </w:rPr>
            </w:pPr>
            <w:r w:rsidRPr="00DC4B96">
              <w:rPr>
                <w:rFonts w:ascii="Calibri" w:eastAsia="Rockwell" w:hAnsi="Calibri" w:cs="Calibri"/>
                <w:bCs/>
                <w:color w:val="000000" w:themeColor="text1"/>
                <w:sz w:val="22"/>
                <w:lang w:val="en-US"/>
              </w:rPr>
              <w:t>279,239</w:t>
            </w:r>
          </w:p>
        </w:tc>
        <w:tc>
          <w:tcPr>
            <w:tcW w:w="1926" w:type="pct"/>
            <w:vAlign w:val="center"/>
          </w:tcPr>
          <w:p w14:paraId="0E8F85CD" w14:textId="187B55DF" w:rsidR="00AD74DD" w:rsidRPr="00DC4B96" w:rsidRDefault="00924248" w:rsidP="00AD74DD">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000000" w:themeColor="text1"/>
                <w:sz w:val="22"/>
                <w:lang w:val="en-US"/>
              </w:rPr>
            </w:pPr>
            <w:r w:rsidRPr="00DC4B96">
              <w:rPr>
                <w:rFonts w:ascii="Calibri" w:eastAsia="Rockwell" w:hAnsi="Calibri" w:cs="Calibri"/>
                <w:bCs/>
                <w:color w:val="000000" w:themeColor="text1"/>
                <w:sz w:val="22"/>
                <w:lang w:val="en-US"/>
              </w:rPr>
              <w:t>401,017</w:t>
            </w:r>
          </w:p>
        </w:tc>
      </w:tr>
      <w:tr w:rsidR="00AD74DD" w:rsidRPr="00F05128" w14:paraId="3A1FFE09" w14:textId="77777777" w:rsidTr="00AD74DD">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0DD8A400" w14:textId="77777777" w:rsidR="00AD74DD" w:rsidRPr="00DC4B96" w:rsidRDefault="00AD74DD" w:rsidP="00AD74DD">
            <w:pPr>
              <w:keepNext/>
              <w:spacing w:after="0"/>
              <w:contextualSpacing/>
              <w:rPr>
                <w:rFonts w:ascii="Calibri" w:eastAsia="Rockwell" w:hAnsi="Calibri" w:cs="Calibri"/>
                <w:b w:val="0"/>
                <w:bCs w:val="0"/>
                <w:color w:val="000000" w:themeColor="text1"/>
                <w:sz w:val="22"/>
                <w:lang w:val="en-US"/>
              </w:rPr>
            </w:pPr>
            <w:r w:rsidRPr="00DC4B96">
              <w:rPr>
                <w:rFonts w:ascii="Calibri" w:eastAsia="Rockwell" w:hAnsi="Calibri" w:cs="Calibri"/>
                <w:b w:val="0"/>
                <w:bCs w:val="0"/>
                <w:color w:val="000000" w:themeColor="text1"/>
                <w:sz w:val="22"/>
                <w:lang w:val="en-US"/>
              </w:rPr>
              <w:t>Public Entity Senior Executive</w:t>
            </w:r>
          </w:p>
          <w:p w14:paraId="4B184C45" w14:textId="77777777" w:rsidR="00AD74DD" w:rsidRPr="00DC4B96" w:rsidRDefault="00AD74DD" w:rsidP="00AD74DD">
            <w:pPr>
              <w:keepNext/>
              <w:spacing w:after="0"/>
              <w:contextualSpacing/>
              <w:rPr>
                <w:rFonts w:ascii="Calibri" w:eastAsia="Rockwell" w:hAnsi="Calibri" w:cs="Calibri"/>
                <w:b w:val="0"/>
                <w:bCs w:val="0"/>
                <w:color w:val="000000" w:themeColor="text1"/>
                <w:sz w:val="22"/>
                <w:lang w:val="en-US"/>
              </w:rPr>
            </w:pPr>
            <w:r w:rsidRPr="00DC4B96">
              <w:rPr>
                <w:rFonts w:ascii="Calibri" w:eastAsia="Rockwell" w:hAnsi="Calibri" w:cs="Calibri"/>
                <w:b w:val="0"/>
                <w:bCs w:val="0"/>
                <w:color w:val="000000" w:themeColor="text1"/>
                <w:sz w:val="22"/>
                <w:lang w:val="en-US"/>
              </w:rPr>
              <w:t>Service-1</w:t>
            </w:r>
            <w:r w:rsidRPr="00DC4B96">
              <w:rPr>
                <w:rFonts w:ascii="Calibri" w:eastAsia="Rockwell" w:hAnsi="Calibri" w:cs="Calibri"/>
                <w:b w:val="0"/>
                <w:bCs w:val="0"/>
                <w:color w:val="000000" w:themeColor="text1"/>
                <w:sz w:val="22"/>
                <w:vertAlign w:val="superscript"/>
                <w:lang w:val="en-US"/>
              </w:rPr>
              <w:t>(b)</w:t>
            </w:r>
            <w:r w:rsidRPr="00DC4B96">
              <w:rPr>
                <w:rFonts w:ascii="Calibri" w:eastAsia="Rockwell" w:hAnsi="Calibri" w:cs="Calibri"/>
                <w:b w:val="0"/>
                <w:bCs w:val="0"/>
                <w:color w:val="000000" w:themeColor="text1"/>
                <w:sz w:val="22"/>
                <w:lang w:val="en-US"/>
              </w:rPr>
              <w:t xml:space="preserve"> </w:t>
            </w:r>
          </w:p>
        </w:tc>
        <w:tc>
          <w:tcPr>
            <w:tcW w:w="1396" w:type="pct"/>
            <w:vAlign w:val="center"/>
          </w:tcPr>
          <w:p w14:paraId="7E32DCB6" w14:textId="6ECF379C" w:rsidR="00AD74DD" w:rsidRPr="00DC4B96" w:rsidRDefault="00924248" w:rsidP="00AD74DD">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000000" w:themeColor="text1"/>
                <w:sz w:val="22"/>
                <w:lang w:val="en-US"/>
              </w:rPr>
            </w:pPr>
            <w:r w:rsidRPr="00DC4B96">
              <w:rPr>
                <w:rFonts w:ascii="Calibri" w:eastAsia="Rockwell" w:hAnsi="Calibri" w:cs="Calibri"/>
                <w:bCs/>
                <w:color w:val="000000" w:themeColor="text1"/>
                <w:sz w:val="22"/>
                <w:lang w:val="en-US"/>
              </w:rPr>
              <w:t>151,134</w:t>
            </w:r>
          </w:p>
        </w:tc>
        <w:tc>
          <w:tcPr>
            <w:tcW w:w="1926" w:type="pct"/>
            <w:vAlign w:val="center"/>
          </w:tcPr>
          <w:p w14:paraId="004A36AB" w14:textId="58C9A4C1" w:rsidR="00AD74DD" w:rsidRPr="00DC4B96" w:rsidRDefault="00924248" w:rsidP="00AD74DD">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000000" w:themeColor="text1"/>
                <w:sz w:val="22"/>
                <w:lang w:val="en-US"/>
              </w:rPr>
            </w:pPr>
            <w:r w:rsidRPr="00DC4B96">
              <w:rPr>
                <w:rFonts w:ascii="Calibri" w:eastAsia="Rockwell" w:hAnsi="Calibri" w:cs="Calibri"/>
                <w:bCs/>
                <w:color w:val="000000" w:themeColor="text1"/>
                <w:sz w:val="22"/>
                <w:lang w:val="en-US"/>
              </w:rPr>
              <w:t>279,238</w:t>
            </w:r>
          </w:p>
        </w:tc>
      </w:tr>
    </w:tbl>
    <w:p w14:paraId="40750EBB" w14:textId="156FD047" w:rsidR="00F05128" w:rsidRPr="009A6CDB" w:rsidRDefault="00F05128" w:rsidP="001A03C0">
      <w:pPr>
        <w:pStyle w:val="09Sourcesandnotesfortablesfiguresboxes"/>
        <w:rPr>
          <w:highlight w:val="yellow"/>
        </w:rPr>
      </w:pPr>
      <w:r w:rsidRPr="00F05128">
        <w:t xml:space="preserve">Notes: (a) The values in </w:t>
      </w:r>
      <w:r w:rsidR="00A86ABB">
        <w:t>T</w:t>
      </w:r>
      <w:r w:rsidRPr="00F05128">
        <w:t>able 1 are for executives employed on a 1.0 FTE basis, and apply pro rata to executives employed on a part-time basis. (b) Under clause 7.2, when the work value of an executive’s position has been assessed using the PEECF and the position has a work value score of at least 21 points, the executive’s TRP must be no lower than $</w:t>
      </w:r>
      <w:r w:rsidR="00924248">
        <w:t>216,376</w:t>
      </w:r>
      <w:r w:rsidRPr="00F05128">
        <w:t xml:space="preserve"> per annum (based on 1.0 FTE). Once the work value of executive roles in prescribed public entities has been obtained using the PEECF, the only executives in prescribed public entities with a TRP between $</w:t>
      </w:r>
      <w:r w:rsidR="00F72A81">
        <w:t>151,134</w:t>
      </w:r>
      <w:r w:rsidRPr="00F05128">
        <w:t xml:space="preserve"> and $</w:t>
      </w:r>
      <w:r w:rsidR="00F72A81">
        <w:t>216,375</w:t>
      </w:r>
      <w:r w:rsidRPr="00F05128">
        <w:t xml:space="preserve"> per annum (based on 1.0 FTE) may be Chief Executive Officers (or equivalent roles) whose position does not meet the minimum work value score required for their classification to be determined under that framework (21</w:t>
      </w:r>
      <w:r w:rsidR="00A86ABB">
        <w:t> </w:t>
      </w:r>
      <w:r w:rsidRPr="00F05128">
        <w:t>points).</w:t>
      </w:r>
    </w:p>
    <w:p w14:paraId="2F63B045" w14:textId="69DC076D" w:rsidR="00452469" w:rsidRPr="00E34A31" w:rsidRDefault="00452469" w:rsidP="009A6CDB">
      <w:pPr>
        <w:pStyle w:val="Parapraph"/>
        <w:numPr>
          <w:ilvl w:val="0"/>
          <w:numId w:val="42"/>
        </w:numPr>
        <w:rPr>
          <w:rFonts w:ascii="Calibri" w:eastAsia="Calibri" w:hAnsi="Calibri" w:cs="Calibri"/>
          <w:color w:val="000000" w:themeColor="text1"/>
        </w:rPr>
      </w:pPr>
      <w:r w:rsidRPr="00E34A31">
        <w:rPr>
          <w:rFonts w:ascii="Calibri" w:hAnsi="Calibri" w:cs="Calibri"/>
          <w:color w:val="000000" w:themeColor="text1"/>
        </w:rPr>
        <w:t>Delete ‘</w:t>
      </w:r>
      <w:r w:rsidRPr="00E34A31">
        <w:rPr>
          <w:rFonts w:ascii="Calibri" w:eastAsia="Calibri" w:hAnsi="Calibri" w:cs="Calibri"/>
          <w:color w:val="000000" w:themeColor="text1"/>
        </w:rPr>
        <w:t>1 July 202</w:t>
      </w:r>
      <w:r w:rsidR="00AD74DD" w:rsidRPr="00E34A31">
        <w:rPr>
          <w:rFonts w:ascii="Calibri" w:eastAsia="Calibri" w:hAnsi="Calibri" w:cs="Calibri"/>
          <w:color w:val="000000" w:themeColor="text1"/>
        </w:rPr>
        <w:t>2</w:t>
      </w:r>
      <w:r w:rsidR="00873F60" w:rsidRPr="00E34A31">
        <w:rPr>
          <w:rFonts w:ascii="Calibri" w:eastAsia="Calibri" w:hAnsi="Calibri" w:cs="Calibri"/>
          <w:color w:val="000000" w:themeColor="text1"/>
        </w:rPr>
        <w:t>’</w:t>
      </w:r>
      <w:r w:rsidRPr="00E34A31">
        <w:rPr>
          <w:rFonts w:ascii="Calibri" w:eastAsia="Calibri" w:hAnsi="Calibri" w:cs="Calibri"/>
          <w:color w:val="000000" w:themeColor="text1"/>
        </w:rPr>
        <w:t xml:space="preserve"> and replace it with ‘1 July 202</w:t>
      </w:r>
      <w:r w:rsidR="00AD74DD" w:rsidRPr="00E34A31">
        <w:rPr>
          <w:rFonts w:ascii="Calibri" w:eastAsia="Calibri" w:hAnsi="Calibri" w:cs="Calibri"/>
          <w:color w:val="000000" w:themeColor="text1"/>
        </w:rPr>
        <w:t>3</w:t>
      </w:r>
      <w:r w:rsidRPr="00E34A31">
        <w:rPr>
          <w:rFonts w:ascii="Calibri" w:eastAsia="Calibri" w:hAnsi="Calibri" w:cs="Calibri"/>
          <w:i/>
          <w:iCs/>
          <w:color w:val="000000" w:themeColor="text1"/>
        </w:rPr>
        <w:t xml:space="preserve">’ </w:t>
      </w:r>
      <w:r w:rsidRPr="00E34A31">
        <w:rPr>
          <w:rFonts w:ascii="Calibri" w:eastAsia="Calibri" w:hAnsi="Calibri" w:cs="Calibri"/>
          <w:color w:val="000000" w:themeColor="text1"/>
        </w:rPr>
        <w:t>in:</w:t>
      </w:r>
    </w:p>
    <w:p w14:paraId="1E6E264D" w14:textId="55D8FC24" w:rsidR="00452469" w:rsidRPr="00E34A31" w:rsidRDefault="00452469" w:rsidP="00452469">
      <w:pPr>
        <w:numPr>
          <w:ilvl w:val="0"/>
          <w:numId w:val="41"/>
        </w:numPr>
        <w:spacing w:before="180" w:after="160" w:line="276" w:lineRule="auto"/>
        <w:ind w:left="1832" w:hanging="556"/>
        <w:jc w:val="both"/>
        <w:rPr>
          <w:rFonts w:ascii="Calibri" w:eastAsia="Calibri" w:hAnsi="Calibri" w:cs="Calibri"/>
          <w:color w:val="000000" w:themeColor="text1"/>
          <w:sz w:val="26"/>
          <w:szCs w:val="44"/>
        </w:rPr>
      </w:pPr>
      <w:r w:rsidRPr="00E34A31">
        <w:rPr>
          <w:rFonts w:ascii="Calibri" w:eastAsia="Calibri" w:hAnsi="Calibri" w:cs="Calibri"/>
          <w:color w:val="000000" w:themeColor="text1"/>
          <w:sz w:val="26"/>
          <w:szCs w:val="44"/>
        </w:rPr>
        <w:t>clause 6.1(a)</w:t>
      </w:r>
    </w:p>
    <w:p w14:paraId="02C02CA5" w14:textId="4BCD5A75" w:rsidR="00452469" w:rsidRPr="00E34A31" w:rsidRDefault="00452469" w:rsidP="00452469">
      <w:pPr>
        <w:numPr>
          <w:ilvl w:val="0"/>
          <w:numId w:val="41"/>
        </w:numPr>
        <w:spacing w:before="180" w:after="160" w:line="276" w:lineRule="auto"/>
        <w:ind w:left="1832" w:hanging="556"/>
        <w:jc w:val="both"/>
        <w:rPr>
          <w:rFonts w:ascii="Calibri" w:eastAsia="Calibri" w:hAnsi="Calibri" w:cs="Calibri"/>
          <w:color w:val="000000" w:themeColor="text1"/>
          <w:sz w:val="26"/>
          <w:szCs w:val="44"/>
        </w:rPr>
      </w:pPr>
      <w:r w:rsidRPr="00E34A31">
        <w:rPr>
          <w:rFonts w:ascii="Calibri" w:eastAsia="Calibri" w:hAnsi="Calibri" w:cs="Calibri"/>
          <w:color w:val="000000" w:themeColor="text1"/>
          <w:sz w:val="26"/>
          <w:szCs w:val="44"/>
        </w:rPr>
        <w:t>clause 6.1(b)</w:t>
      </w:r>
    </w:p>
    <w:p w14:paraId="6DA4A74E" w14:textId="2014244E" w:rsidR="00452469" w:rsidRPr="00E34A31" w:rsidRDefault="00452469" w:rsidP="009A6CDB">
      <w:pPr>
        <w:numPr>
          <w:ilvl w:val="0"/>
          <w:numId w:val="41"/>
        </w:numPr>
        <w:spacing w:before="180" w:after="160" w:line="276" w:lineRule="auto"/>
        <w:ind w:left="1832" w:hanging="556"/>
        <w:jc w:val="both"/>
        <w:rPr>
          <w:rFonts w:ascii="Calibri" w:eastAsia="Calibri" w:hAnsi="Calibri" w:cs="Calibri"/>
          <w:color w:val="000000" w:themeColor="text1"/>
          <w:sz w:val="26"/>
          <w:szCs w:val="44"/>
        </w:rPr>
      </w:pPr>
      <w:r w:rsidRPr="00E34A31">
        <w:rPr>
          <w:rFonts w:ascii="Calibri" w:eastAsia="Calibri" w:hAnsi="Calibri" w:cs="Calibri"/>
          <w:color w:val="000000" w:themeColor="text1"/>
          <w:sz w:val="26"/>
          <w:szCs w:val="44"/>
        </w:rPr>
        <w:t>clause 6.1(c).</w:t>
      </w:r>
    </w:p>
    <w:p w14:paraId="66D61ACC" w14:textId="2AD8ABF6" w:rsidR="00452469" w:rsidRPr="00E34A31" w:rsidRDefault="00452469" w:rsidP="00452469">
      <w:pPr>
        <w:pStyle w:val="Parapraph"/>
        <w:numPr>
          <w:ilvl w:val="0"/>
          <w:numId w:val="42"/>
        </w:numPr>
        <w:rPr>
          <w:rFonts w:ascii="Calibri" w:hAnsi="Calibri" w:cs="Calibri"/>
          <w:color w:val="000000" w:themeColor="text1"/>
        </w:rPr>
      </w:pPr>
      <w:r w:rsidRPr="00E34A31">
        <w:rPr>
          <w:rFonts w:ascii="Calibri" w:hAnsi="Calibri" w:cs="Calibri"/>
          <w:color w:val="000000" w:themeColor="text1"/>
        </w:rPr>
        <w:t>Delete ‘$</w:t>
      </w:r>
      <w:r w:rsidR="00AD74DD" w:rsidRPr="00E34A31">
        <w:rPr>
          <w:rFonts w:ascii="Calibri" w:hAnsi="Calibri" w:cs="Calibri"/>
          <w:color w:val="000000" w:themeColor="text1"/>
        </w:rPr>
        <w:t xml:space="preserve">370,332’ </w:t>
      </w:r>
      <w:r w:rsidRPr="00E34A31">
        <w:rPr>
          <w:rFonts w:ascii="Calibri" w:hAnsi="Calibri" w:cs="Calibri"/>
          <w:color w:val="000000" w:themeColor="text1"/>
        </w:rPr>
        <w:t>in clause 6.1(a) and replace it with ‘$3</w:t>
      </w:r>
      <w:r w:rsidR="00AD74DD" w:rsidRPr="00E34A31">
        <w:rPr>
          <w:rFonts w:ascii="Calibri" w:hAnsi="Calibri" w:cs="Calibri"/>
          <w:color w:val="000000" w:themeColor="text1"/>
        </w:rPr>
        <w:t>84,541</w:t>
      </w:r>
      <w:r w:rsidRPr="00E34A31">
        <w:rPr>
          <w:rFonts w:ascii="Calibri" w:hAnsi="Calibri" w:cs="Calibri"/>
          <w:color w:val="000000" w:themeColor="text1"/>
        </w:rPr>
        <w:t>’.</w:t>
      </w:r>
    </w:p>
    <w:p w14:paraId="3ECEFA59" w14:textId="3F923E25" w:rsidR="00452469" w:rsidRPr="00E34A31" w:rsidRDefault="00452469" w:rsidP="00452469">
      <w:pPr>
        <w:pStyle w:val="Parapraph"/>
        <w:numPr>
          <w:ilvl w:val="0"/>
          <w:numId w:val="42"/>
        </w:numPr>
        <w:rPr>
          <w:rFonts w:ascii="Calibri" w:hAnsi="Calibri" w:cs="Calibri"/>
          <w:color w:val="000000" w:themeColor="text1"/>
        </w:rPr>
      </w:pPr>
      <w:r w:rsidRPr="00E34A31">
        <w:rPr>
          <w:rFonts w:ascii="Calibri" w:hAnsi="Calibri" w:cs="Calibri"/>
          <w:color w:val="000000" w:themeColor="text1"/>
        </w:rPr>
        <w:t xml:space="preserve">Delete </w:t>
      </w:r>
      <w:r w:rsidR="00AD74DD" w:rsidRPr="00E34A31">
        <w:rPr>
          <w:rFonts w:ascii="Calibri" w:hAnsi="Calibri" w:cs="Calibri"/>
          <w:color w:val="000000" w:themeColor="text1"/>
        </w:rPr>
        <w:t>‘$257,112 and $370,331’</w:t>
      </w:r>
      <w:r w:rsidRPr="00E34A31">
        <w:rPr>
          <w:rFonts w:ascii="Calibri" w:hAnsi="Calibri" w:cs="Calibri"/>
          <w:color w:val="000000" w:themeColor="text1"/>
        </w:rPr>
        <w:t xml:space="preserve"> in clause 6.1(b) and replace it with ‘$</w:t>
      </w:r>
      <w:r w:rsidR="00AD74DD" w:rsidRPr="00E34A31">
        <w:rPr>
          <w:rFonts w:ascii="Calibri" w:hAnsi="Calibri" w:cs="Calibri"/>
          <w:color w:val="000000" w:themeColor="text1"/>
        </w:rPr>
        <w:t xml:space="preserve">267,446 </w:t>
      </w:r>
      <w:r w:rsidRPr="00E34A31">
        <w:rPr>
          <w:rFonts w:ascii="Calibri" w:hAnsi="Calibri" w:cs="Calibri"/>
          <w:color w:val="000000" w:themeColor="text1"/>
        </w:rPr>
        <w:t>and $</w:t>
      </w:r>
      <w:r w:rsidR="0018239C" w:rsidRPr="00E34A31">
        <w:rPr>
          <w:rFonts w:ascii="Calibri" w:hAnsi="Calibri" w:cs="Calibri"/>
          <w:color w:val="000000" w:themeColor="text1"/>
        </w:rPr>
        <w:t>384,540</w:t>
      </w:r>
      <w:r w:rsidR="00AD74DD" w:rsidRPr="00E34A31">
        <w:rPr>
          <w:rFonts w:ascii="Calibri" w:hAnsi="Calibri" w:cs="Calibri"/>
          <w:color w:val="000000" w:themeColor="text1"/>
        </w:rPr>
        <w:t>’</w:t>
      </w:r>
      <w:r w:rsidRPr="00E34A31">
        <w:rPr>
          <w:rFonts w:ascii="Calibri" w:hAnsi="Calibri" w:cs="Calibri"/>
          <w:color w:val="000000" w:themeColor="text1"/>
        </w:rPr>
        <w:t>.</w:t>
      </w:r>
    </w:p>
    <w:p w14:paraId="2566F3F0" w14:textId="62319982" w:rsidR="00452469" w:rsidRPr="00E34A31" w:rsidRDefault="00452469" w:rsidP="00452469">
      <w:pPr>
        <w:pStyle w:val="Parapraph"/>
        <w:numPr>
          <w:ilvl w:val="0"/>
          <w:numId w:val="42"/>
        </w:numPr>
        <w:rPr>
          <w:rFonts w:ascii="Calibri" w:hAnsi="Calibri" w:cs="Calibri"/>
          <w:color w:val="000000" w:themeColor="text1"/>
        </w:rPr>
      </w:pPr>
      <w:r w:rsidRPr="00E34A31">
        <w:rPr>
          <w:rFonts w:ascii="Calibri" w:hAnsi="Calibri" w:cs="Calibri"/>
          <w:color w:val="000000" w:themeColor="text1"/>
        </w:rPr>
        <w:t>Delete ‘$2</w:t>
      </w:r>
      <w:r w:rsidR="00AD74DD" w:rsidRPr="00E34A31">
        <w:rPr>
          <w:rFonts w:ascii="Calibri" w:hAnsi="Calibri" w:cs="Calibri"/>
          <w:color w:val="000000" w:themeColor="text1"/>
        </w:rPr>
        <w:t>57,111</w:t>
      </w:r>
      <w:r w:rsidRPr="00E34A31">
        <w:rPr>
          <w:rFonts w:ascii="Calibri" w:hAnsi="Calibri" w:cs="Calibri"/>
          <w:color w:val="000000" w:themeColor="text1"/>
        </w:rPr>
        <w:t>’ in clause 6.1(c) and replace it with ‘$2</w:t>
      </w:r>
      <w:r w:rsidR="00AD74DD" w:rsidRPr="00E34A31">
        <w:rPr>
          <w:rFonts w:ascii="Calibri" w:hAnsi="Calibri" w:cs="Calibri"/>
          <w:color w:val="000000" w:themeColor="text1"/>
        </w:rPr>
        <w:t>67,445</w:t>
      </w:r>
      <w:r w:rsidRPr="00E34A31">
        <w:rPr>
          <w:rFonts w:ascii="Calibri" w:hAnsi="Calibri" w:cs="Calibri"/>
          <w:color w:val="000000" w:themeColor="text1"/>
        </w:rPr>
        <w:t>’.</w:t>
      </w:r>
    </w:p>
    <w:p w14:paraId="68AD4540" w14:textId="0747A301" w:rsidR="00AD76DC" w:rsidRPr="00E34A31" w:rsidRDefault="00452469" w:rsidP="00AD76DC">
      <w:pPr>
        <w:pStyle w:val="ListParagraph"/>
        <w:numPr>
          <w:ilvl w:val="0"/>
          <w:numId w:val="42"/>
        </w:numPr>
        <w:spacing w:before="180" w:line="276" w:lineRule="auto"/>
        <w:jc w:val="both"/>
        <w:rPr>
          <w:rFonts w:ascii="Calibri" w:eastAsia="Calibri" w:hAnsi="Calibri" w:cs="Calibri"/>
          <w:color w:val="000000" w:themeColor="text1"/>
          <w:sz w:val="26"/>
          <w:szCs w:val="44"/>
        </w:rPr>
      </w:pPr>
      <w:r w:rsidRPr="00E34A31">
        <w:rPr>
          <w:rFonts w:ascii="Calibri" w:eastAsia="Calibri" w:hAnsi="Calibri" w:cs="Calibri"/>
          <w:color w:val="000000" w:themeColor="text1"/>
          <w:sz w:val="26"/>
          <w:szCs w:val="44"/>
        </w:rPr>
        <w:t>Delete ‘$</w:t>
      </w:r>
      <w:r w:rsidR="00AD74DD" w:rsidRPr="00E34A31">
        <w:rPr>
          <w:rFonts w:ascii="Calibri" w:eastAsia="Calibri" w:hAnsi="Calibri" w:cs="Calibri"/>
          <w:color w:val="000000" w:themeColor="text1"/>
          <w:sz w:val="26"/>
          <w:szCs w:val="44"/>
        </w:rPr>
        <w:t>207,116</w:t>
      </w:r>
      <w:r w:rsidRPr="00E34A31">
        <w:rPr>
          <w:rFonts w:ascii="Calibri" w:eastAsia="Calibri" w:hAnsi="Calibri" w:cs="Calibri"/>
          <w:color w:val="000000" w:themeColor="text1"/>
          <w:sz w:val="26"/>
          <w:szCs w:val="44"/>
        </w:rPr>
        <w:t>’ in clause 7.2 and replace it with ‘$</w:t>
      </w:r>
      <w:r w:rsidR="00C53EAD" w:rsidRPr="00E34A31">
        <w:rPr>
          <w:rFonts w:ascii="Calibri" w:eastAsia="Calibri" w:hAnsi="Calibri" w:cs="Calibri"/>
          <w:color w:val="000000" w:themeColor="text1"/>
          <w:sz w:val="26"/>
          <w:szCs w:val="44"/>
        </w:rPr>
        <w:t>216,376</w:t>
      </w:r>
      <w:r w:rsidR="00AD74DD" w:rsidRPr="00E34A31">
        <w:rPr>
          <w:rFonts w:ascii="Calibri" w:eastAsia="Calibri" w:hAnsi="Calibri" w:cs="Calibri"/>
          <w:color w:val="000000" w:themeColor="text1"/>
          <w:sz w:val="26"/>
          <w:szCs w:val="44"/>
        </w:rPr>
        <w:t>’</w:t>
      </w:r>
      <w:r w:rsidRPr="00E34A31">
        <w:rPr>
          <w:rFonts w:ascii="Calibri" w:eastAsia="Calibri" w:hAnsi="Calibri" w:cs="Calibri"/>
          <w:color w:val="000000" w:themeColor="text1"/>
          <w:sz w:val="26"/>
          <w:szCs w:val="44"/>
        </w:rPr>
        <w:t>.</w:t>
      </w:r>
    </w:p>
    <w:p w14:paraId="5483B5A8" w14:textId="57B0B8B2" w:rsidR="00E76D20" w:rsidRPr="00E34A31" w:rsidRDefault="00E76D20" w:rsidP="00E76D20">
      <w:pPr>
        <w:pStyle w:val="Parapraph"/>
        <w:numPr>
          <w:ilvl w:val="0"/>
          <w:numId w:val="31"/>
        </w:numPr>
        <w:rPr>
          <w:rFonts w:ascii="Calibri" w:hAnsi="Calibri" w:cs="Calibri"/>
          <w:color w:val="000000" w:themeColor="text1"/>
        </w:rPr>
      </w:pPr>
      <w:r w:rsidRPr="00E34A31">
        <w:rPr>
          <w:rFonts w:ascii="Calibri" w:hAnsi="Calibri" w:cs="Calibri"/>
          <w:color w:val="000000" w:themeColor="text1"/>
        </w:rPr>
        <w:t>This Determination commences on 1 July 202</w:t>
      </w:r>
      <w:r w:rsidR="00AD74DD" w:rsidRPr="00E34A31">
        <w:rPr>
          <w:rFonts w:ascii="Calibri" w:hAnsi="Calibri" w:cs="Calibri"/>
          <w:color w:val="000000" w:themeColor="text1"/>
        </w:rPr>
        <w:t>3</w:t>
      </w:r>
      <w:r w:rsidRPr="00E34A31">
        <w:rPr>
          <w:rFonts w:ascii="Calibri" w:hAnsi="Calibri" w:cs="Calibri"/>
          <w:color w:val="000000" w:themeColor="text1"/>
        </w:rPr>
        <w:t xml:space="preserve">. </w:t>
      </w:r>
    </w:p>
    <w:p w14:paraId="1CBDF08D" w14:textId="506FD7C1" w:rsidR="00E76D20" w:rsidRPr="00E34A31" w:rsidRDefault="00E76D20" w:rsidP="00E76D20">
      <w:pPr>
        <w:pStyle w:val="Parapraph"/>
        <w:numPr>
          <w:ilvl w:val="0"/>
          <w:numId w:val="31"/>
        </w:numPr>
        <w:rPr>
          <w:rFonts w:ascii="Calibri" w:hAnsi="Calibri" w:cs="Calibri"/>
          <w:color w:val="000000" w:themeColor="text1"/>
        </w:rPr>
      </w:pPr>
      <w:r w:rsidRPr="00E34A31">
        <w:rPr>
          <w:rFonts w:ascii="Calibri" w:hAnsi="Calibri" w:cs="Calibri"/>
          <w:color w:val="000000" w:themeColor="text1"/>
        </w:rPr>
        <w:t xml:space="preserve">The </w:t>
      </w:r>
      <w:r w:rsidRPr="00E34A31">
        <w:rPr>
          <w:rFonts w:ascii="Calibri" w:hAnsi="Calibri" w:cs="Calibri"/>
          <w:i/>
          <w:iCs/>
          <w:color w:val="000000" w:themeColor="text1"/>
        </w:rPr>
        <w:t>Remuneration bands for executives employed in prescribed public entities (Victoria) Determination No. 01/2020</w:t>
      </w:r>
      <w:r w:rsidRPr="00E34A31">
        <w:rPr>
          <w:rFonts w:ascii="Calibri" w:hAnsi="Calibri" w:cs="Calibri"/>
          <w:color w:val="000000" w:themeColor="text1"/>
        </w:rPr>
        <w:t xml:space="preserve"> as varied is available on the Tribunal’s website.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1"/>
        <w:gridCol w:w="2831"/>
        <w:gridCol w:w="2832"/>
      </w:tblGrid>
      <w:tr w:rsidR="000F5D8C" w:rsidRPr="001939CF" w14:paraId="1B04AF25" w14:textId="77777777" w:rsidTr="0032480F">
        <w:tc>
          <w:tcPr>
            <w:tcW w:w="2831" w:type="dxa"/>
          </w:tcPr>
          <w:p w14:paraId="0A528E78" w14:textId="77777777" w:rsidR="000F5D8C" w:rsidRPr="001939CF" w:rsidRDefault="000F5D8C" w:rsidP="0032480F">
            <w:pPr>
              <w:pStyle w:val="Instrumenttableofcontents"/>
              <w:spacing w:after="0"/>
              <w:rPr>
                <w:rFonts w:ascii="Calibri" w:hAnsi="Calibri" w:cs="Calibri"/>
                <w:bCs w:val="0"/>
              </w:rPr>
            </w:pPr>
            <w:r>
              <w:rPr>
                <w:noProof/>
              </w:rPr>
              <w:drawing>
                <wp:inline distT="0" distB="0" distL="0" distR="0" wp14:anchorId="352CC6A8" wp14:editId="657B3234">
                  <wp:extent cx="1466850" cy="508000"/>
                  <wp:effectExtent l="0" t="0" r="0" b="6350"/>
                  <wp:docPr id="11" name="Picture 11" descr="Warren McCan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arren McCann's signature"/>
                          <pic:cNvPicPr>
                            <a:picLocks noChangeAspect="1"/>
                          </pic:cNvPicPr>
                        </pic:nvPicPr>
                        <pic:blipFill>
                          <a:blip r:embed="rId9"/>
                          <a:stretch>
                            <a:fillRect/>
                          </a:stretch>
                        </pic:blipFill>
                        <pic:spPr>
                          <a:xfrm>
                            <a:off x="0" y="0"/>
                            <a:ext cx="1466850" cy="508000"/>
                          </a:xfrm>
                          <a:prstGeom prst="rect">
                            <a:avLst/>
                          </a:prstGeom>
                        </pic:spPr>
                      </pic:pic>
                    </a:graphicData>
                  </a:graphic>
                </wp:inline>
              </w:drawing>
            </w:r>
          </w:p>
        </w:tc>
        <w:tc>
          <w:tcPr>
            <w:tcW w:w="2831" w:type="dxa"/>
          </w:tcPr>
          <w:p w14:paraId="1C3037F6" w14:textId="77777777" w:rsidR="000F5D8C" w:rsidRPr="001939CF" w:rsidRDefault="000F5D8C" w:rsidP="0032480F">
            <w:pPr>
              <w:pStyle w:val="Instrumenttableofcontents"/>
              <w:jc w:val="left"/>
              <w:rPr>
                <w:rFonts w:ascii="Calibri" w:hAnsi="Calibri" w:cs="Calibri"/>
                <w:bCs w:val="0"/>
              </w:rPr>
            </w:pPr>
            <w:r>
              <w:rPr>
                <w:noProof/>
              </w:rPr>
              <w:drawing>
                <wp:inline distT="0" distB="0" distL="0" distR="0" wp14:anchorId="240A0E44" wp14:editId="4424F894">
                  <wp:extent cx="1671320" cy="495300"/>
                  <wp:effectExtent l="0" t="0" r="5080" b="0"/>
                  <wp:docPr id="9" name="Picture 9" descr="The Honourable Jennifer Act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Honourable Jennifer Acton's signatur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320" cy="495300"/>
                          </a:xfrm>
                          <a:prstGeom prst="rect">
                            <a:avLst/>
                          </a:prstGeom>
                          <a:noFill/>
                          <a:ln>
                            <a:noFill/>
                          </a:ln>
                        </pic:spPr>
                      </pic:pic>
                    </a:graphicData>
                  </a:graphic>
                </wp:inline>
              </w:drawing>
            </w:r>
          </w:p>
        </w:tc>
        <w:tc>
          <w:tcPr>
            <w:tcW w:w="2832" w:type="dxa"/>
          </w:tcPr>
          <w:p w14:paraId="00DF8BD9" w14:textId="77777777" w:rsidR="000F5D8C" w:rsidRPr="001939CF" w:rsidRDefault="000F5D8C" w:rsidP="0032480F">
            <w:pPr>
              <w:pStyle w:val="Instrumenttableofcontents"/>
              <w:rPr>
                <w:rFonts w:ascii="Calibri" w:hAnsi="Calibri" w:cs="Calibri"/>
                <w:bCs w:val="0"/>
              </w:rPr>
            </w:pPr>
            <w:r>
              <w:rPr>
                <w:noProof/>
              </w:rPr>
              <w:drawing>
                <wp:inline distT="0" distB="0" distL="0" distR="0" wp14:anchorId="040156AB" wp14:editId="14C3DF59">
                  <wp:extent cx="1661160" cy="294640"/>
                  <wp:effectExtent l="0" t="0" r="0" b="0"/>
                  <wp:docPr id="235" name="Picture 235" descr="Laurinda Gardn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Laurinda Gardner's signature"/>
                          <pic:cNvPicPr>
                            <a:picLocks noChangeAspect="1"/>
                          </pic:cNvPicPr>
                        </pic:nvPicPr>
                        <pic:blipFill>
                          <a:blip r:embed="rId11"/>
                          <a:stretch>
                            <a:fillRect/>
                          </a:stretch>
                        </pic:blipFill>
                        <pic:spPr>
                          <a:xfrm>
                            <a:off x="0" y="0"/>
                            <a:ext cx="1661160" cy="294640"/>
                          </a:xfrm>
                          <a:prstGeom prst="rect">
                            <a:avLst/>
                          </a:prstGeom>
                        </pic:spPr>
                      </pic:pic>
                    </a:graphicData>
                  </a:graphic>
                </wp:inline>
              </w:drawing>
            </w:r>
          </w:p>
        </w:tc>
      </w:tr>
      <w:tr w:rsidR="000F5D8C" w:rsidRPr="001939CF" w14:paraId="5B0B8A3A" w14:textId="77777777" w:rsidTr="0032480F">
        <w:tc>
          <w:tcPr>
            <w:tcW w:w="2831" w:type="dxa"/>
          </w:tcPr>
          <w:p w14:paraId="1DBFD179" w14:textId="77777777" w:rsidR="000F5D8C" w:rsidRPr="001939CF" w:rsidRDefault="000F5D8C" w:rsidP="0032480F">
            <w:pPr>
              <w:pStyle w:val="Instrumenttableofcontents"/>
              <w:spacing w:after="0"/>
              <w:rPr>
                <w:rFonts w:ascii="Calibri" w:hAnsi="Calibri" w:cs="Calibri"/>
                <w:bCs w:val="0"/>
              </w:rPr>
            </w:pPr>
            <w:r w:rsidRPr="001939CF">
              <w:rPr>
                <w:rFonts w:ascii="Calibri" w:hAnsi="Calibri" w:cs="Calibri"/>
                <w:bCs w:val="0"/>
              </w:rPr>
              <w:t>Warren McCann</w:t>
            </w:r>
          </w:p>
        </w:tc>
        <w:tc>
          <w:tcPr>
            <w:tcW w:w="2831" w:type="dxa"/>
          </w:tcPr>
          <w:p w14:paraId="62D3C252" w14:textId="77777777" w:rsidR="000F5D8C" w:rsidRPr="001939CF" w:rsidRDefault="000F5D8C" w:rsidP="0032480F">
            <w:pPr>
              <w:pStyle w:val="Instrumenttableofcontents"/>
              <w:jc w:val="left"/>
              <w:rPr>
                <w:rFonts w:ascii="Calibri" w:hAnsi="Calibri" w:cs="Calibri"/>
                <w:bCs w:val="0"/>
              </w:rPr>
            </w:pPr>
            <w:r w:rsidRPr="001939CF">
              <w:rPr>
                <w:rFonts w:ascii="Calibri" w:hAnsi="Calibri" w:cs="Calibri"/>
                <w:bCs w:val="0"/>
              </w:rPr>
              <w:t>The  Honourable Jennifer Acton</w:t>
            </w:r>
          </w:p>
        </w:tc>
        <w:tc>
          <w:tcPr>
            <w:tcW w:w="2832" w:type="dxa"/>
          </w:tcPr>
          <w:p w14:paraId="70D29E30" w14:textId="77777777" w:rsidR="000F5D8C" w:rsidRPr="001939CF" w:rsidRDefault="000F5D8C" w:rsidP="0032480F">
            <w:pPr>
              <w:pStyle w:val="Instrumenttableofcontents"/>
              <w:rPr>
                <w:rFonts w:ascii="Calibri" w:hAnsi="Calibri" w:cs="Calibri"/>
                <w:bCs w:val="0"/>
              </w:rPr>
            </w:pPr>
            <w:r w:rsidRPr="001939CF">
              <w:rPr>
                <w:rFonts w:ascii="Calibri" w:hAnsi="Calibri" w:cs="Calibri"/>
                <w:bCs w:val="0"/>
              </w:rPr>
              <w:t>Laurinda Gardner</w:t>
            </w:r>
          </w:p>
        </w:tc>
      </w:tr>
      <w:tr w:rsidR="000F5D8C" w:rsidRPr="001939CF" w14:paraId="22D7808A" w14:textId="77777777" w:rsidTr="0032480F">
        <w:tc>
          <w:tcPr>
            <w:tcW w:w="2831" w:type="dxa"/>
          </w:tcPr>
          <w:p w14:paraId="64C2B766" w14:textId="77777777" w:rsidR="000F5D8C" w:rsidRPr="001939CF" w:rsidRDefault="000F5D8C" w:rsidP="0032480F">
            <w:pPr>
              <w:pStyle w:val="Instrumenttableofcontents"/>
              <w:spacing w:after="0"/>
              <w:rPr>
                <w:rFonts w:ascii="Calibri" w:hAnsi="Calibri" w:cs="Calibri"/>
                <w:bCs w:val="0"/>
                <w:i/>
                <w:iCs/>
              </w:rPr>
            </w:pPr>
            <w:r w:rsidRPr="001939CF">
              <w:rPr>
                <w:rFonts w:ascii="Calibri" w:hAnsi="Calibri" w:cs="Calibri"/>
                <w:bCs w:val="0"/>
                <w:i/>
                <w:iCs/>
              </w:rPr>
              <w:t>Chair</w:t>
            </w:r>
          </w:p>
        </w:tc>
        <w:tc>
          <w:tcPr>
            <w:tcW w:w="2831" w:type="dxa"/>
          </w:tcPr>
          <w:p w14:paraId="1D02A637" w14:textId="77777777" w:rsidR="000F5D8C" w:rsidRPr="001939CF" w:rsidRDefault="000F5D8C" w:rsidP="0032480F">
            <w:pPr>
              <w:pStyle w:val="Instrumenttableofcontents"/>
              <w:jc w:val="left"/>
              <w:rPr>
                <w:rFonts w:ascii="Calibri" w:hAnsi="Calibri" w:cs="Calibri"/>
                <w:bCs w:val="0"/>
                <w:i/>
                <w:iCs/>
              </w:rPr>
            </w:pPr>
            <w:r w:rsidRPr="001939CF">
              <w:rPr>
                <w:rFonts w:ascii="Calibri" w:hAnsi="Calibri" w:cs="Calibri"/>
                <w:bCs w:val="0"/>
                <w:i/>
                <w:iCs/>
              </w:rPr>
              <w:t>Member</w:t>
            </w:r>
          </w:p>
        </w:tc>
        <w:tc>
          <w:tcPr>
            <w:tcW w:w="2832" w:type="dxa"/>
          </w:tcPr>
          <w:p w14:paraId="09AF3D83" w14:textId="77777777" w:rsidR="000F5D8C" w:rsidRPr="001939CF" w:rsidRDefault="000F5D8C" w:rsidP="0032480F">
            <w:pPr>
              <w:pStyle w:val="Instrumenttableofcontents"/>
              <w:rPr>
                <w:rFonts w:ascii="Calibri" w:hAnsi="Calibri" w:cs="Calibri"/>
                <w:bCs w:val="0"/>
                <w:i/>
                <w:iCs/>
              </w:rPr>
            </w:pPr>
            <w:r w:rsidRPr="001939CF">
              <w:rPr>
                <w:rFonts w:ascii="Calibri" w:hAnsi="Calibri" w:cs="Calibri"/>
                <w:bCs w:val="0"/>
                <w:i/>
                <w:iCs/>
              </w:rPr>
              <w:t>Member</w:t>
            </w:r>
          </w:p>
        </w:tc>
      </w:tr>
      <w:tr w:rsidR="000F5D8C" w:rsidRPr="00192E0F" w14:paraId="0356D4C2" w14:textId="77777777" w:rsidTr="0032480F">
        <w:tc>
          <w:tcPr>
            <w:tcW w:w="2831" w:type="dxa"/>
          </w:tcPr>
          <w:p w14:paraId="406AFF95" w14:textId="77777777" w:rsidR="000F5D8C" w:rsidRPr="00A30425" w:rsidRDefault="000F5D8C" w:rsidP="0032480F">
            <w:pPr>
              <w:pStyle w:val="Instrumenttableofcontents"/>
              <w:jc w:val="left"/>
              <w:rPr>
                <w:rFonts w:ascii="Calibri" w:hAnsi="Calibri" w:cs="Calibri"/>
                <w:noProof/>
              </w:rPr>
            </w:pPr>
            <w:r>
              <w:rPr>
                <w:rFonts w:ascii="Calibri" w:hAnsi="Calibri" w:cs="Calibri"/>
                <w:noProof/>
              </w:rPr>
              <w:t>Victorian Independent Remuneration Tribunal</w:t>
            </w:r>
          </w:p>
        </w:tc>
        <w:tc>
          <w:tcPr>
            <w:tcW w:w="2831" w:type="dxa"/>
          </w:tcPr>
          <w:p w14:paraId="63DBBB9D" w14:textId="77777777" w:rsidR="000F5D8C" w:rsidRDefault="000F5D8C" w:rsidP="0032480F">
            <w:pPr>
              <w:pStyle w:val="Instrumenttableofcontents"/>
              <w:jc w:val="left"/>
              <w:rPr>
                <w:bCs w:val="0"/>
              </w:rPr>
            </w:pPr>
            <w:r>
              <w:rPr>
                <w:rFonts w:ascii="Calibri" w:hAnsi="Calibri" w:cs="Calibri"/>
                <w:noProof/>
              </w:rPr>
              <w:t>Victorian Independent Remuneration Tribunal</w:t>
            </w:r>
          </w:p>
        </w:tc>
        <w:tc>
          <w:tcPr>
            <w:tcW w:w="2832" w:type="dxa"/>
          </w:tcPr>
          <w:p w14:paraId="7FB9509F" w14:textId="77777777" w:rsidR="000F5D8C" w:rsidRPr="00192E0F" w:rsidRDefault="000F5D8C" w:rsidP="0032480F">
            <w:pPr>
              <w:pStyle w:val="Instrumenttableofcontents"/>
              <w:jc w:val="left"/>
              <w:rPr>
                <w:bCs w:val="0"/>
                <w:sz w:val="4"/>
                <w:szCs w:val="4"/>
              </w:rPr>
            </w:pPr>
            <w:r>
              <w:rPr>
                <w:rFonts w:ascii="Calibri" w:hAnsi="Calibri" w:cs="Calibri"/>
                <w:noProof/>
              </w:rPr>
              <w:t>Victorian Independent Remuneration Tribunal</w:t>
            </w:r>
          </w:p>
        </w:tc>
      </w:tr>
    </w:tbl>
    <w:p w14:paraId="7AB0FAA3" w14:textId="67AD8A2B" w:rsidR="006E4E5B" w:rsidRDefault="00B1131E" w:rsidP="00C06D68">
      <w:pPr>
        <w:pStyle w:val="05Paragraph"/>
      </w:pPr>
      <w:r w:rsidRPr="00CB2CFE">
        <w:t xml:space="preserve">Date: </w:t>
      </w:r>
      <w:r w:rsidR="000C1C21">
        <w:t>29</w:t>
      </w:r>
      <w:r w:rsidRPr="00CB2CFE">
        <w:t>/</w:t>
      </w:r>
      <w:r w:rsidR="000C1C21">
        <w:t>06</w:t>
      </w:r>
      <w:r w:rsidRPr="00CB2CFE">
        <w:t>/202</w:t>
      </w:r>
      <w:bookmarkStart w:id="16" w:name="_Toc74833626"/>
      <w:bookmarkStart w:id="17" w:name="_Toc74833666"/>
      <w:r w:rsidR="00AD74DD">
        <w:t>3</w:t>
      </w:r>
      <w:r w:rsidR="006E4E5B">
        <w:br w:type="page"/>
      </w:r>
    </w:p>
    <w:bookmarkEnd w:id="6"/>
    <w:bookmarkEnd w:id="16"/>
    <w:bookmarkEnd w:id="17"/>
    <w:p w14:paraId="490CCA31" w14:textId="129EDE1F" w:rsidR="00B1131E" w:rsidRPr="00C41AE0" w:rsidRDefault="00B1131E" w:rsidP="00B1131E">
      <w:pPr>
        <w:ind w:left="-426" w:right="701"/>
        <w:outlineLvl w:val="0"/>
        <w:rPr>
          <w:rFonts w:ascii="Calibri Light" w:hAnsi="Calibri Light" w:cs="Calibri Light"/>
          <w:color w:val="FFFFFF" w:themeColor="background1"/>
          <w:szCs w:val="20"/>
        </w:rPr>
      </w:pPr>
    </w:p>
    <w:p w14:paraId="0AB5972A" w14:textId="73BC0301" w:rsidR="00B1131E" w:rsidRPr="00C41AE0" w:rsidRDefault="00B1131E" w:rsidP="00B1131E">
      <w:pPr>
        <w:ind w:left="-426" w:right="701"/>
        <w:outlineLvl w:val="0"/>
        <w:rPr>
          <w:rFonts w:ascii="Calibri Light" w:hAnsi="Calibri Light" w:cs="Calibri Light"/>
          <w:color w:val="FFFFFF" w:themeColor="background1"/>
          <w:szCs w:val="20"/>
        </w:rPr>
      </w:pPr>
    </w:p>
    <w:p w14:paraId="7374E62B" w14:textId="5922B6B8"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6BBCE3CF" w:rsidR="00B1131E" w:rsidRPr="007C3D52" w:rsidRDefault="00880D06" w:rsidP="00B1131E">
      <w:pPr>
        <w:ind w:left="-426" w:right="701"/>
        <w:outlineLvl w:val="0"/>
        <w:rPr>
          <w:color w:val="26664E" w:themeColor="accent1"/>
        </w:rPr>
      </w:pPr>
      <w:bookmarkStart w:id="18" w:name="_Toc138761206"/>
      <w:r w:rsidRPr="007C3D52">
        <w:rPr>
          <w:rFonts w:asciiTheme="minorHAnsi" w:hAnsiTheme="minorHAnsi" w:cs="@MS PMincho"/>
          <w:color w:val="26664E" w:themeColor="accent1"/>
          <w:sz w:val="68"/>
          <w:szCs w:val="68"/>
        </w:rPr>
        <w:t xml:space="preserve">Remuneration bands for executives employed in </w:t>
      </w:r>
      <w:r w:rsidR="004D0512" w:rsidRPr="007C3D52">
        <w:rPr>
          <w:rFonts w:asciiTheme="minorHAnsi" w:hAnsiTheme="minorHAnsi" w:cs="@MS PMincho"/>
          <w:color w:val="26664E" w:themeColor="accent1"/>
          <w:sz w:val="68"/>
          <w:szCs w:val="68"/>
        </w:rPr>
        <w:t>prescribed public entities</w:t>
      </w:r>
      <w:r w:rsidRPr="007C3D52">
        <w:rPr>
          <w:rFonts w:asciiTheme="minorHAnsi" w:hAnsiTheme="minorHAnsi" w:cs="@MS PMincho"/>
          <w:color w:val="26664E" w:themeColor="accent1"/>
          <w:sz w:val="68"/>
          <w:szCs w:val="68"/>
        </w:rPr>
        <w:t xml:space="preserve"> (Victoria)</w:t>
      </w:r>
      <w:r w:rsidR="004D0512" w:rsidRPr="007C3D52">
        <w:rPr>
          <w:rFonts w:asciiTheme="minorHAnsi" w:hAnsiTheme="minorHAnsi" w:cs="@MS PMincho"/>
          <w:color w:val="26664E" w:themeColor="accent1"/>
          <w:sz w:val="68"/>
          <w:szCs w:val="68"/>
        </w:rPr>
        <w:br/>
      </w:r>
      <w:r w:rsidRPr="007C3D52">
        <w:rPr>
          <w:rFonts w:asciiTheme="minorHAnsi" w:hAnsiTheme="minorHAnsi" w:cs="@MS PMincho"/>
          <w:color w:val="26664E" w:themeColor="accent1"/>
          <w:sz w:val="68"/>
          <w:szCs w:val="68"/>
        </w:rPr>
        <w:t>Annual Adjustment Determination 202</w:t>
      </w:r>
      <w:r w:rsidR="00C36155" w:rsidRPr="007C3D52">
        <w:rPr>
          <w:rFonts w:asciiTheme="minorHAnsi" w:hAnsiTheme="minorHAnsi" w:cs="@MS PMincho"/>
          <w:color w:val="26664E" w:themeColor="accent1"/>
          <w:sz w:val="68"/>
          <w:szCs w:val="68"/>
        </w:rPr>
        <w:t>3</w:t>
      </w:r>
      <w:bookmarkEnd w:id="18"/>
    </w:p>
    <w:p w14:paraId="68205C6F" w14:textId="77777777" w:rsidR="00B1131E" w:rsidRPr="007C3D52" w:rsidRDefault="00B1131E" w:rsidP="00B1131E">
      <w:pPr>
        <w:rPr>
          <w:color w:val="26664E" w:themeColor="accent1"/>
        </w:rPr>
      </w:pPr>
    </w:p>
    <w:p w14:paraId="3C86FA85" w14:textId="77777777" w:rsidR="00B1131E" w:rsidRPr="007C3D52" w:rsidRDefault="00B1131E" w:rsidP="00B1131E">
      <w:pPr>
        <w:rPr>
          <w:color w:val="26664E" w:themeColor="accent1"/>
        </w:rPr>
      </w:pPr>
    </w:p>
    <w:p w14:paraId="2145A53F" w14:textId="77777777" w:rsidR="00B1131E" w:rsidRPr="007C3D52" w:rsidRDefault="00B1131E" w:rsidP="00B1131E">
      <w:pPr>
        <w:rPr>
          <w:color w:val="26664E" w:themeColor="accent1"/>
        </w:rPr>
      </w:pPr>
    </w:p>
    <w:p w14:paraId="07E12F11" w14:textId="77777777" w:rsidR="00B1131E" w:rsidRPr="007C3D52" w:rsidRDefault="00B1131E" w:rsidP="00B1131E">
      <w:pPr>
        <w:ind w:left="-426" w:right="701"/>
        <w:outlineLvl w:val="0"/>
        <w:rPr>
          <w:rFonts w:asciiTheme="minorHAnsi" w:hAnsiTheme="minorHAnsi" w:cs="@MS PMincho"/>
          <w:color w:val="26664E" w:themeColor="accent1"/>
          <w:sz w:val="56"/>
          <w:szCs w:val="56"/>
        </w:rPr>
      </w:pPr>
      <w:bookmarkStart w:id="19" w:name="_Toc138761207"/>
      <w:r w:rsidRPr="007C3D52">
        <w:rPr>
          <w:rFonts w:asciiTheme="minorHAnsi" w:hAnsiTheme="minorHAnsi" w:cs="@MS PMincho"/>
          <w:color w:val="26664E" w:themeColor="accent1"/>
          <w:sz w:val="56"/>
          <w:szCs w:val="56"/>
        </w:rPr>
        <w:t>Statement of Reasons</w:t>
      </w:r>
      <w:bookmarkEnd w:id="19"/>
    </w:p>
    <w:p w14:paraId="64D75619" w14:textId="77777777" w:rsidR="00B1131E" w:rsidRDefault="00B1131E" w:rsidP="00B1131E">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12"/>
          <w:headerReference w:type="default" r:id="rId13"/>
          <w:footerReference w:type="default" r:id="rId14"/>
          <w:headerReference w:type="first" r:id="rId15"/>
          <w:pgSz w:w="11906" w:h="16838"/>
          <w:pgMar w:top="1701" w:right="1701" w:bottom="1559" w:left="1701" w:header="425" w:footer="709" w:gutter="0"/>
          <w:pgNumType w:start="1"/>
          <w:cols w:space="282"/>
          <w:docGrid w:linePitch="360"/>
        </w:sectPr>
      </w:pPr>
    </w:p>
    <w:p w14:paraId="124FBA31" w14:textId="54B144E1" w:rsidR="00B1131E" w:rsidRDefault="00B1131E" w:rsidP="000232F3">
      <w:pPr>
        <w:pStyle w:val="Chapter"/>
      </w:pPr>
      <w:bookmarkStart w:id="20" w:name="_Toc102031586"/>
      <w:bookmarkStart w:id="21" w:name="_Toc106614247"/>
      <w:bookmarkStart w:id="22" w:name="_Toc106786934"/>
      <w:bookmarkStart w:id="23" w:name="_Toc106787026"/>
      <w:bookmarkStart w:id="24" w:name="_Toc138760903"/>
      <w:bookmarkStart w:id="25" w:name="_Toc138761063"/>
      <w:r w:rsidRPr="001B195D">
        <w:rPr>
          <w:rStyle w:val="ChapterChar"/>
        </w:rPr>
        <w:t>Contents</w:t>
      </w:r>
      <w:r w:rsidRPr="00C02C39">
        <w:br/>
      </w:r>
      <w:bookmarkEnd w:id="20"/>
      <w:bookmarkEnd w:id="21"/>
      <w:bookmarkEnd w:id="22"/>
      <w:bookmarkEnd w:id="23"/>
      <w:bookmarkEnd w:id="24"/>
      <w:bookmarkEnd w:id="25"/>
    </w:p>
    <w:p w14:paraId="3437B370" w14:textId="314FBF0D" w:rsidR="00B1131E" w:rsidRPr="00D8674E" w:rsidRDefault="00B1131E" w:rsidP="00D714D0">
      <w:pPr>
        <w:pStyle w:val="TOC1"/>
        <w:tabs>
          <w:tab w:val="right" w:leader="dot" w:pos="8494"/>
        </w:tabs>
        <w:rPr>
          <w:rFonts w:asciiTheme="majorHAnsi" w:eastAsiaTheme="majorEastAsia" w:hAnsiTheme="majorHAnsi" w:cstheme="majorBidi"/>
          <w:sz w:val="28"/>
          <w:szCs w:val="28"/>
          <w:lang w:val="en-US"/>
        </w:rPr>
      </w:pPr>
    </w:p>
    <w:p w14:paraId="209BF233" w14:textId="44B10F47" w:rsidR="00184493" w:rsidRPr="00184493" w:rsidRDefault="00184493">
      <w:pPr>
        <w:pStyle w:val="TOC1"/>
        <w:tabs>
          <w:tab w:val="right" w:leader="dot" w:pos="8494"/>
        </w:tabs>
        <w:rPr>
          <w:rFonts w:asciiTheme="minorHAnsi" w:eastAsiaTheme="minorEastAsia" w:hAnsiTheme="minorHAnsi" w:cstheme="minorBidi"/>
          <w:b w:val="0"/>
          <w:noProof/>
          <w:color w:val="auto"/>
          <w:sz w:val="22"/>
          <w:szCs w:val="22"/>
          <w:lang w:eastAsia="en-AU"/>
        </w:rPr>
      </w:pPr>
      <w:r>
        <w:rPr>
          <w:b w:val="0"/>
        </w:rPr>
        <w:fldChar w:fldCharType="begin"/>
      </w:r>
      <w:r>
        <w:rPr>
          <w:b w:val="0"/>
        </w:rPr>
        <w:instrText xml:space="preserve"> TOC \h \z \t "02. VIRT Heading 2,2,01. Chapter heading,1" </w:instrText>
      </w:r>
      <w:r>
        <w:rPr>
          <w:b w:val="0"/>
        </w:rPr>
        <w:fldChar w:fldCharType="separate"/>
      </w:r>
      <w:hyperlink w:anchor="_Toc138859157" w:history="1">
        <w:r w:rsidRPr="00184493">
          <w:rPr>
            <w:rStyle w:val="Hyperlink"/>
            <w:noProof/>
            <w:color w:val="auto"/>
          </w:rPr>
          <w:t>Abbreviations and glossary</w:t>
        </w:r>
        <w:r w:rsidRPr="00184493">
          <w:rPr>
            <w:noProof/>
            <w:webHidden/>
            <w:color w:val="auto"/>
          </w:rPr>
          <w:tab/>
        </w:r>
        <w:r w:rsidRPr="00184493">
          <w:rPr>
            <w:noProof/>
            <w:webHidden/>
            <w:color w:val="auto"/>
          </w:rPr>
          <w:fldChar w:fldCharType="begin"/>
        </w:r>
        <w:r w:rsidRPr="00184493">
          <w:rPr>
            <w:noProof/>
            <w:webHidden/>
            <w:color w:val="auto"/>
          </w:rPr>
          <w:instrText xml:space="preserve"> PAGEREF _Toc138859157 \h </w:instrText>
        </w:r>
        <w:r w:rsidRPr="00184493">
          <w:rPr>
            <w:noProof/>
            <w:webHidden/>
            <w:color w:val="auto"/>
          </w:rPr>
        </w:r>
        <w:r w:rsidRPr="00184493">
          <w:rPr>
            <w:noProof/>
            <w:webHidden/>
            <w:color w:val="auto"/>
          </w:rPr>
          <w:fldChar w:fldCharType="separate"/>
        </w:r>
        <w:r w:rsidR="007C3D52">
          <w:rPr>
            <w:noProof/>
            <w:webHidden/>
            <w:color w:val="auto"/>
          </w:rPr>
          <w:t>5</w:t>
        </w:r>
        <w:r w:rsidRPr="00184493">
          <w:rPr>
            <w:noProof/>
            <w:webHidden/>
            <w:color w:val="auto"/>
          </w:rPr>
          <w:fldChar w:fldCharType="end"/>
        </w:r>
      </w:hyperlink>
    </w:p>
    <w:p w14:paraId="19A7550A" w14:textId="35D1DC06" w:rsidR="00184493" w:rsidRPr="00184493" w:rsidRDefault="00184493">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38859158" w:history="1">
        <w:r w:rsidRPr="00184493">
          <w:rPr>
            <w:rStyle w:val="Hyperlink"/>
            <w:noProof/>
            <w:color w:val="auto"/>
          </w:rPr>
          <w:t>Summary</w:t>
        </w:r>
        <w:r w:rsidRPr="00184493">
          <w:rPr>
            <w:noProof/>
            <w:webHidden/>
            <w:color w:val="auto"/>
          </w:rPr>
          <w:tab/>
        </w:r>
        <w:r w:rsidRPr="00184493">
          <w:rPr>
            <w:noProof/>
            <w:webHidden/>
            <w:color w:val="auto"/>
          </w:rPr>
          <w:fldChar w:fldCharType="begin"/>
        </w:r>
        <w:r w:rsidRPr="00184493">
          <w:rPr>
            <w:noProof/>
            <w:webHidden/>
            <w:color w:val="auto"/>
          </w:rPr>
          <w:instrText xml:space="preserve"> PAGEREF _Toc138859158 \h </w:instrText>
        </w:r>
        <w:r w:rsidRPr="00184493">
          <w:rPr>
            <w:noProof/>
            <w:webHidden/>
            <w:color w:val="auto"/>
          </w:rPr>
        </w:r>
        <w:r w:rsidRPr="00184493">
          <w:rPr>
            <w:noProof/>
            <w:webHidden/>
            <w:color w:val="auto"/>
          </w:rPr>
          <w:fldChar w:fldCharType="separate"/>
        </w:r>
        <w:r w:rsidR="007C3D52">
          <w:rPr>
            <w:noProof/>
            <w:webHidden/>
            <w:color w:val="auto"/>
          </w:rPr>
          <w:t>6</w:t>
        </w:r>
        <w:r w:rsidRPr="00184493">
          <w:rPr>
            <w:noProof/>
            <w:webHidden/>
            <w:color w:val="auto"/>
          </w:rPr>
          <w:fldChar w:fldCharType="end"/>
        </w:r>
      </w:hyperlink>
    </w:p>
    <w:p w14:paraId="43761130" w14:textId="4B6B33C5" w:rsidR="00184493" w:rsidRPr="00184493" w:rsidRDefault="0018449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8859159" w:history="1">
        <w:r w:rsidRPr="00184493">
          <w:rPr>
            <w:rStyle w:val="Hyperlink"/>
            <w:noProof/>
            <w:color w:val="auto"/>
          </w:rPr>
          <w:t>1</w:t>
        </w:r>
        <w:r w:rsidRPr="00184493">
          <w:rPr>
            <w:rFonts w:asciiTheme="minorHAnsi" w:eastAsiaTheme="minorEastAsia" w:hAnsiTheme="minorHAnsi" w:cstheme="minorBidi"/>
            <w:b w:val="0"/>
            <w:noProof/>
            <w:color w:val="auto"/>
            <w:sz w:val="22"/>
            <w:szCs w:val="22"/>
            <w:lang w:eastAsia="en-AU"/>
          </w:rPr>
          <w:tab/>
        </w:r>
        <w:r w:rsidRPr="00184493">
          <w:rPr>
            <w:rStyle w:val="Hyperlink"/>
            <w:noProof/>
            <w:color w:val="auto"/>
          </w:rPr>
          <w:t>Cont</w:t>
        </w:r>
        <w:r w:rsidRPr="00184493">
          <w:rPr>
            <w:rStyle w:val="Hyperlink"/>
            <w:noProof/>
            <w:color w:val="auto"/>
          </w:rPr>
          <w:t>e</w:t>
        </w:r>
        <w:r w:rsidRPr="00184493">
          <w:rPr>
            <w:rStyle w:val="Hyperlink"/>
            <w:noProof/>
            <w:color w:val="auto"/>
          </w:rPr>
          <w:t>xt</w:t>
        </w:r>
        <w:r w:rsidRPr="00184493">
          <w:rPr>
            <w:noProof/>
            <w:webHidden/>
            <w:color w:val="auto"/>
          </w:rPr>
          <w:tab/>
        </w:r>
        <w:r w:rsidRPr="00184493">
          <w:rPr>
            <w:noProof/>
            <w:webHidden/>
            <w:color w:val="auto"/>
          </w:rPr>
          <w:fldChar w:fldCharType="begin"/>
        </w:r>
        <w:r w:rsidRPr="00184493">
          <w:rPr>
            <w:noProof/>
            <w:webHidden/>
            <w:color w:val="auto"/>
          </w:rPr>
          <w:instrText xml:space="preserve"> PAGEREF _Toc138859159 \h </w:instrText>
        </w:r>
        <w:r w:rsidRPr="00184493">
          <w:rPr>
            <w:noProof/>
            <w:webHidden/>
            <w:color w:val="auto"/>
          </w:rPr>
        </w:r>
        <w:r w:rsidRPr="00184493">
          <w:rPr>
            <w:noProof/>
            <w:webHidden/>
            <w:color w:val="auto"/>
          </w:rPr>
          <w:fldChar w:fldCharType="separate"/>
        </w:r>
        <w:r w:rsidR="007C3D52">
          <w:rPr>
            <w:noProof/>
            <w:webHidden/>
            <w:color w:val="auto"/>
          </w:rPr>
          <w:t>8</w:t>
        </w:r>
        <w:r w:rsidRPr="00184493">
          <w:rPr>
            <w:noProof/>
            <w:webHidden/>
            <w:color w:val="auto"/>
          </w:rPr>
          <w:fldChar w:fldCharType="end"/>
        </w:r>
      </w:hyperlink>
    </w:p>
    <w:p w14:paraId="237E2CE4" w14:textId="2B30C3AE"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60" w:history="1">
        <w:r w:rsidRPr="00184493">
          <w:rPr>
            <w:rStyle w:val="Hyperlink"/>
            <w:noProof/>
            <w:color w:val="auto"/>
          </w:rPr>
          <w:t>1.1</w:t>
        </w:r>
        <w:r w:rsidRPr="00184493">
          <w:rPr>
            <w:rFonts w:asciiTheme="minorHAnsi" w:eastAsiaTheme="minorEastAsia" w:hAnsiTheme="minorHAnsi"/>
            <w:noProof/>
            <w:sz w:val="22"/>
            <w:lang w:eastAsia="en-AU"/>
          </w:rPr>
          <w:tab/>
        </w:r>
        <w:r w:rsidRPr="00184493">
          <w:rPr>
            <w:rStyle w:val="Hyperlink"/>
            <w:noProof/>
            <w:color w:val="auto"/>
          </w:rPr>
          <w:t>Legislative requirements</w:t>
        </w:r>
        <w:r w:rsidRPr="00184493">
          <w:rPr>
            <w:noProof/>
            <w:webHidden/>
          </w:rPr>
          <w:tab/>
        </w:r>
        <w:r w:rsidRPr="00184493">
          <w:rPr>
            <w:noProof/>
            <w:webHidden/>
          </w:rPr>
          <w:fldChar w:fldCharType="begin"/>
        </w:r>
        <w:r w:rsidRPr="00184493">
          <w:rPr>
            <w:noProof/>
            <w:webHidden/>
          </w:rPr>
          <w:instrText xml:space="preserve"> PAGEREF _Toc138859160 \h </w:instrText>
        </w:r>
        <w:r w:rsidRPr="00184493">
          <w:rPr>
            <w:noProof/>
            <w:webHidden/>
          </w:rPr>
        </w:r>
        <w:r w:rsidRPr="00184493">
          <w:rPr>
            <w:noProof/>
            <w:webHidden/>
          </w:rPr>
          <w:fldChar w:fldCharType="separate"/>
        </w:r>
        <w:r w:rsidR="007C3D52">
          <w:rPr>
            <w:noProof/>
            <w:webHidden/>
          </w:rPr>
          <w:t>9</w:t>
        </w:r>
        <w:r w:rsidRPr="00184493">
          <w:rPr>
            <w:noProof/>
            <w:webHidden/>
          </w:rPr>
          <w:fldChar w:fldCharType="end"/>
        </w:r>
      </w:hyperlink>
    </w:p>
    <w:p w14:paraId="3A8CE11F" w14:textId="24818554"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61" w:history="1">
        <w:r w:rsidRPr="00184493">
          <w:rPr>
            <w:rStyle w:val="Hyperlink"/>
            <w:noProof/>
            <w:color w:val="auto"/>
          </w:rPr>
          <w:t>1.2</w:t>
        </w:r>
        <w:r w:rsidRPr="00184493">
          <w:rPr>
            <w:rFonts w:asciiTheme="minorHAnsi" w:eastAsiaTheme="minorEastAsia" w:hAnsiTheme="minorHAnsi"/>
            <w:noProof/>
            <w:sz w:val="22"/>
            <w:lang w:eastAsia="en-AU"/>
          </w:rPr>
          <w:tab/>
        </w:r>
        <w:r w:rsidRPr="00184493">
          <w:rPr>
            <w:rStyle w:val="Hyperlink"/>
            <w:noProof/>
            <w:color w:val="auto"/>
          </w:rPr>
          <w:t>Consultation</w:t>
        </w:r>
        <w:r w:rsidRPr="00184493">
          <w:rPr>
            <w:noProof/>
            <w:webHidden/>
          </w:rPr>
          <w:tab/>
        </w:r>
        <w:r w:rsidRPr="00184493">
          <w:rPr>
            <w:noProof/>
            <w:webHidden/>
          </w:rPr>
          <w:fldChar w:fldCharType="begin"/>
        </w:r>
        <w:r w:rsidRPr="00184493">
          <w:rPr>
            <w:noProof/>
            <w:webHidden/>
          </w:rPr>
          <w:instrText xml:space="preserve"> PAGEREF _Toc138859161 \h </w:instrText>
        </w:r>
        <w:r w:rsidRPr="00184493">
          <w:rPr>
            <w:noProof/>
            <w:webHidden/>
          </w:rPr>
        </w:r>
        <w:r w:rsidRPr="00184493">
          <w:rPr>
            <w:noProof/>
            <w:webHidden/>
          </w:rPr>
          <w:fldChar w:fldCharType="separate"/>
        </w:r>
        <w:r w:rsidR="007C3D52">
          <w:rPr>
            <w:noProof/>
            <w:webHidden/>
          </w:rPr>
          <w:t>9</w:t>
        </w:r>
        <w:r w:rsidRPr="00184493">
          <w:rPr>
            <w:noProof/>
            <w:webHidden/>
          </w:rPr>
          <w:fldChar w:fldCharType="end"/>
        </w:r>
      </w:hyperlink>
    </w:p>
    <w:p w14:paraId="49A5483D" w14:textId="3C4DE394" w:rsidR="00184493" w:rsidRPr="00184493" w:rsidRDefault="0018449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8859162" w:history="1">
        <w:r w:rsidRPr="00184493">
          <w:rPr>
            <w:rStyle w:val="Hyperlink"/>
            <w:noProof/>
            <w:color w:val="auto"/>
          </w:rPr>
          <w:t>2</w:t>
        </w:r>
        <w:r w:rsidRPr="00184493">
          <w:rPr>
            <w:rFonts w:asciiTheme="minorHAnsi" w:eastAsiaTheme="minorEastAsia" w:hAnsiTheme="minorHAnsi" w:cstheme="minorBidi"/>
            <w:b w:val="0"/>
            <w:noProof/>
            <w:color w:val="auto"/>
            <w:sz w:val="22"/>
            <w:szCs w:val="22"/>
            <w:lang w:eastAsia="en-AU"/>
          </w:rPr>
          <w:tab/>
        </w:r>
        <w:r w:rsidRPr="00184493">
          <w:rPr>
            <w:rStyle w:val="Hyperlink"/>
            <w:noProof/>
            <w:color w:val="auto"/>
          </w:rPr>
          <w:t>Victorian Government remuneration policies</w:t>
        </w:r>
        <w:r w:rsidRPr="00184493">
          <w:rPr>
            <w:noProof/>
            <w:webHidden/>
            <w:color w:val="auto"/>
          </w:rPr>
          <w:tab/>
        </w:r>
        <w:r w:rsidRPr="00184493">
          <w:rPr>
            <w:noProof/>
            <w:webHidden/>
            <w:color w:val="auto"/>
          </w:rPr>
          <w:fldChar w:fldCharType="begin"/>
        </w:r>
        <w:r w:rsidRPr="00184493">
          <w:rPr>
            <w:noProof/>
            <w:webHidden/>
            <w:color w:val="auto"/>
          </w:rPr>
          <w:instrText xml:space="preserve"> PAGEREF _Toc138859162 \h </w:instrText>
        </w:r>
        <w:r w:rsidRPr="00184493">
          <w:rPr>
            <w:noProof/>
            <w:webHidden/>
            <w:color w:val="auto"/>
          </w:rPr>
        </w:r>
        <w:r w:rsidRPr="00184493">
          <w:rPr>
            <w:noProof/>
            <w:webHidden/>
            <w:color w:val="auto"/>
          </w:rPr>
          <w:fldChar w:fldCharType="separate"/>
        </w:r>
        <w:r w:rsidR="007C3D52">
          <w:rPr>
            <w:noProof/>
            <w:webHidden/>
            <w:color w:val="auto"/>
          </w:rPr>
          <w:t>11</w:t>
        </w:r>
        <w:r w:rsidRPr="00184493">
          <w:rPr>
            <w:noProof/>
            <w:webHidden/>
            <w:color w:val="auto"/>
          </w:rPr>
          <w:fldChar w:fldCharType="end"/>
        </w:r>
      </w:hyperlink>
    </w:p>
    <w:p w14:paraId="64D12E2A" w14:textId="5F91DE65"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63" w:history="1">
        <w:r w:rsidRPr="00184493">
          <w:rPr>
            <w:rStyle w:val="Hyperlink"/>
            <w:noProof/>
            <w:color w:val="auto"/>
          </w:rPr>
          <w:t>2.1</w:t>
        </w:r>
        <w:r w:rsidRPr="00184493">
          <w:rPr>
            <w:rFonts w:asciiTheme="minorHAnsi" w:eastAsiaTheme="minorEastAsia" w:hAnsiTheme="minorHAnsi"/>
            <w:noProof/>
            <w:sz w:val="22"/>
            <w:lang w:eastAsia="en-AU"/>
          </w:rPr>
          <w:tab/>
        </w:r>
        <w:r w:rsidRPr="00184493">
          <w:rPr>
            <w:rStyle w:val="Hyperlink"/>
            <w:noProof/>
            <w:color w:val="auto"/>
          </w:rPr>
          <w:t>Wages Policy</w:t>
        </w:r>
        <w:r w:rsidRPr="00184493">
          <w:rPr>
            <w:noProof/>
            <w:webHidden/>
          </w:rPr>
          <w:tab/>
        </w:r>
        <w:r w:rsidRPr="00184493">
          <w:rPr>
            <w:noProof/>
            <w:webHidden/>
          </w:rPr>
          <w:fldChar w:fldCharType="begin"/>
        </w:r>
        <w:r w:rsidRPr="00184493">
          <w:rPr>
            <w:noProof/>
            <w:webHidden/>
          </w:rPr>
          <w:instrText xml:space="preserve"> PAGEREF _Toc138859163 \h </w:instrText>
        </w:r>
        <w:r w:rsidRPr="00184493">
          <w:rPr>
            <w:noProof/>
            <w:webHidden/>
          </w:rPr>
        </w:r>
        <w:r w:rsidRPr="00184493">
          <w:rPr>
            <w:noProof/>
            <w:webHidden/>
          </w:rPr>
          <w:fldChar w:fldCharType="separate"/>
        </w:r>
        <w:r w:rsidR="007C3D52">
          <w:rPr>
            <w:noProof/>
            <w:webHidden/>
          </w:rPr>
          <w:t>11</w:t>
        </w:r>
        <w:r w:rsidRPr="00184493">
          <w:rPr>
            <w:noProof/>
            <w:webHidden/>
          </w:rPr>
          <w:fldChar w:fldCharType="end"/>
        </w:r>
      </w:hyperlink>
    </w:p>
    <w:p w14:paraId="47E4F193" w14:textId="79DBB929"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64" w:history="1">
        <w:r w:rsidRPr="00184493">
          <w:rPr>
            <w:rStyle w:val="Hyperlink"/>
            <w:noProof/>
            <w:color w:val="auto"/>
          </w:rPr>
          <w:t>2.2</w:t>
        </w:r>
        <w:r w:rsidRPr="00184493">
          <w:rPr>
            <w:rFonts w:asciiTheme="minorHAnsi" w:eastAsiaTheme="minorEastAsia" w:hAnsiTheme="minorHAnsi"/>
            <w:noProof/>
            <w:sz w:val="22"/>
            <w:lang w:eastAsia="en-AU"/>
          </w:rPr>
          <w:tab/>
        </w:r>
        <w:r w:rsidRPr="00184493">
          <w:rPr>
            <w:rStyle w:val="Hyperlink"/>
            <w:noProof/>
            <w:color w:val="auto"/>
          </w:rPr>
          <w:t>Executive employment and remuneration policies</w:t>
        </w:r>
        <w:r w:rsidRPr="00184493">
          <w:rPr>
            <w:noProof/>
            <w:webHidden/>
          </w:rPr>
          <w:tab/>
        </w:r>
        <w:r w:rsidRPr="00184493">
          <w:rPr>
            <w:noProof/>
            <w:webHidden/>
          </w:rPr>
          <w:fldChar w:fldCharType="begin"/>
        </w:r>
        <w:r w:rsidRPr="00184493">
          <w:rPr>
            <w:noProof/>
            <w:webHidden/>
          </w:rPr>
          <w:instrText xml:space="preserve"> PAGEREF _Toc138859164 \h </w:instrText>
        </w:r>
        <w:r w:rsidRPr="00184493">
          <w:rPr>
            <w:noProof/>
            <w:webHidden/>
          </w:rPr>
        </w:r>
        <w:r w:rsidRPr="00184493">
          <w:rPr>
            <w:noProof/>
            <w:webHidden/>
          </w:rPr>
          <w:fldChar w:fldCharType="separate"/>
        </w:r>
        <w:r w:rsidR="007C3D52">
          <w:rPr>
            <w:noProof/>
            <w:webHidden/>
          </w:rPr>
          <w:t>13</w:t>
        </w:r>
        <w:r w:rsidRPr="00184493">
          <w:rPr>
            <w:noProof/>
            <w:webHidden/>
          </w:rPr>
          <w:fldChar w:fldCharType="end"/>
        </w:r>
      </w:hyperlink>
    </w:p>
    <w:p w14:paraId="351478F5" w14:textId="316BE78F" w:rsidR="00184493" w:rsidRPr="00184493" w:rsidRDefault="0018449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8859165" w:history="1">
        <w:r w:rsidRPr="00184493">
          <w:rPr>
            <w:rStyle w:val="Hyperlink"/>
            <w:noProof/>
            <w:color w:val="auto"/>
          </w:rPr>
          <w:t>3</w:t>
        </w:r>
        <w:r w:rsidRPr="00184493">
          <w:rPr>
            <w:rFonts w:asciiTheme="minorHAnsi" w:eastAsiaTheme="minorEastAsia" w:hAnsiTheme="minorHAnsi" w:cstheme="minorBidi"/>
            <w:b w:val="0"/>
            <w:noProof/>
            <w:color w:val="auto"/>
            <w:sz w:val="22"/>
            <w:szCs w:val="22"/>
            <w:lang w:eastAsia="en-AU"/>
          </w:rPr>
          <w:tab/>
        </w:r>
        <w:r w:rsidRPr="00184493">
          <w:rPr>
            <w:rStyle w:val="Hyperlink"/>
            <w:noProof/>
            <w:color w:val="auto"/>
          </w:rPr>
          <w:t>Economic factors</w:t>
        </w:r>
        <w:r w:rsidRPr="00184493">
          <w:rPr>
            <w:noProof/>
            <w:webHidden/>
            <w:color w:val="auto"/>
          </w:rPr>
          <w:tab/>
        </w:r>
        <w:r w:rsidRPr="00184493">
          <w:rPr>
            <w:noProof/>
            <w:webHidden/>
            <w:color w:val="auto"/>
          </w:rPr>
          <w:fldChar w:fldCharType="begin"/>
        </w:r>
        <w:r w:rsidRPr="00184493">
          <w:rPr>
            <w:noProof/>
            <w:webHidden/>
            <w:color w:val="auto"/>
          </w:rPr>
          <w:instrText xml:space="preserve"> PAGEREF _Toc138859165 \h </w:instrText>
        </w:r>
        <w:r w:rsidRPr="00184493">
          <w:rPr>
            <w:noProof/>
            <w:webHidden/>
            <w:color w:val="auto"/>
          </w:rPr>
        </w:r>
        <w:r w:rsidRPr="00184493">
          <w:rPr>
            <w:noProof/>
            <w:webHidden/>
            <w:color w:val="auto"/>
          </w:rPr>
          <w:fldChar w:fldCharType="separate"/>
        </w:r>
        <w:r w:rsidR="007C3D52">
          <w:rPr>
            <w:noProof/>
            <w:webHidden/>
            <w:color w:val="auto"/>
          </w:rPr>
          <w:t>16</w:t>
        </w:r>
        <w:r w:rsidRPr="00184493">
          <w:rPr>
            <w:noProof/>
            <w:webHidden/>
            <w:color w:val="auto"/>
          </w:rPr>
          <w:fldChar w:fldCharType="end"/>
        </w:r>
      </w:hyperlink>
    </w:p>
    <w:p w14:paraId="6D711FB3" w14:textId="5B94D643"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66" w:history="1">
        <w:r w:rsidRPr="00184493">
          <w:rPr>
            <w:rStyle w:val="Hyperlink"/>
            <w:noProof/>
            <w:color w:val="auto"/>
          </w:rPr>
          <w:t>3.1</w:t>
        </w:r>
        <w:r w:rsidRPr="00184493">
          <w:rPr>
            <w:rFonts w:asciiTheme="minorHAnsi" w:eastAsiaTheme="minorEastAsia" w:hAnsiTheme="minorHAnsi"/>
            <w:noProof/>
            <w:sz w:val="22"/>
            <w:lang w:eastAsia="en-AU"/>
          </w:rPr>
          <w:tab/>
        </w:r>
        <w:r w:rsidRPr="00184493">
          <w:rPr>
            <w:rStyle w:val="Hyperlink"/>
            <w:noProof/>
            <w:color w:val="auto"/>
          </w:rPr>
          <w:t>Current and projected economic conditions and trends</w:t>
        </w:r>
        <w:r w:rsidRPr="00184493">
          <w:rPr>
            <w:noProof/>
            <w:webHidden/>
          </w:rPr>
          <w:tab/>
        </w:r>
        <w:r w:rsidRPr="00184493">
          <w:rPr>
            <w:noProof/>
            <w:webHidden/>
          </w:rPr>
          <w:fldChar w:fldCharType="begin"/>
        </w:r>
        <w:r w:rsidRPr="00184493">
          <w:rPr>
            <w:noProof/>
            <w:webHidden/>
          </w:rPr>
          <w:instrText xml:space="preserve"> PAGEREF _Toc138859166 \h </w:instrText>
        </w:r>
        <w:r w:rsidRPr="00184493">
          <w:rPr>
            <w:noProof/>
            <w:webHidden/>
          </w:rPr>
        </w:r>
        <w:r w:rsidRPr="00184493">
          <w:rPr>
            <w:noProof/>
            <w:webHidden/>
          </w:rPr>
          <w:fldChar w:fldCharType="separate"/>
        </w:r>
        <w:r w:rsidR="007C3D52">
          <w:rPr>
            <w:noProof/>
            <w:webHidden/>
          </w:rPr>
          <w:t>16</w:t>
        </w:r>
        <w:r w:rsidRPr="00184493">
          <w:rPr>
            <w:noProof/>
            <w:webHidden/>
          </w:rPr>
          <w:fldChar w:fldCharType="end"/>
        </w:r>
      </w:hyperlink>
    </w:p>
    <w:p w14:paraId="27DA07EC" w14:textId="4F91A84B"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67" w:history="1">
        <w:r w:rsidRPr="00184493">
          <w:rPr>
            <w:rStyle w:val="Hyperlink"/>
            <w:noProof/>
            <w:color w:val="auto"/>
          </w:rPr>
          <w:t>3.2</w:t>
        </w:r>
        <w:r w:rsidRPr="00184493">
          <w:rPr>
            <w:rFonts w:asciiTheme="minorHAnsi" w:eastAsiaTheme="minorEastAsia" w:hAnsiTheme="minorHAnsi"/>
            <w:noProof/>
            <w:sz w:val="22"/>
            <w:lang w:eastAsia="en-AU"/>
          </w:rPr>
          <w:tab/>
        </w:r>
        <w:r w:rsidRPr="00184493">
          <w:rPr>
            <w:rStyle w:val="Hyperlink"/>
            <w:noProof/>
            <w:color w:val="auto"/>
          </w:rPr>
          <w:t>Financial position and fiscal strategy of the State of Victoria</w:t>
        </w:r>
        <w:r w:rsidRPr="00184493">
          <w:rPr>
            <w:noProof/>
            <w:webHidden/>
          </w:rPr>
          <w:tab/>
        </w:r>
        <w:r w:rsidRPr="00184493">
          <w:rPr>
            <w:noProof/>
            <w:webHidden/>
          </w:rPr>
          <w:fldChar w:fldCharType="begin"/>
        </w:r>
        <w:r w:rsidRPr="00184493">
          <w:rPr>
            <w:noProof/>
            <w:webHidden/>
          </w:rPr>
          <w:instrText xml:space="preserve"> PAGEREF _Toc138859167 \h </w:instrText>
        </w:r>
        <w:r w:rsidRPr="00184493">
          <w:rPr>
            <w:noProof/>
            <w:webHidden/>
          </w:rPr>
        </w:r>
        <w:r w:rsidRPr="00184493">
          <w:rPr>
            <w:noProof/>
            <w:webHidden/>
          </w:rPr>
          <w:fldChar w:fldCharType="separate"/>
        </w:r>
        <w:r w:rsidR="007C3D52">
          <w:rPr>
            <w:noProof/>
            <w:webHidden/>
          </w:rPr>
          <w:t>22</w:t>
        </w:r>
        <w:r w:rsidRPr="00184493">
          <w:rPr>
            <w:noProof/>
            <w:webHidden/>
          </w:rPr>
          <w:fldChar w:fldCharType="end"/>
        </w:r>
      </w:hyperlink>
    </w:p>
    <w:p w14:paraId="726E9FCE" w14:textId="5ED3755B" w:rsidR="00184493" w:rsidRPr="00184493" w:rsidRDefault="0018449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38859168" w:history="1">
        <w:r w:rsidRPr="00184493">
          <w:rPr>
            <w:rStyle w:val="Hyperlink"/>
            <w:noProof/>
            <w:color w:val="auto"/>
          </w:rPr>
          <w:t>4</w:t>
        </w:r>
        <w:r w:rsidRPr="00184493">
          <w:rPr>
            <w:rFonts w:asciiTheme="minorHAnsi" w:eastAsiaTheme="minorEastAsia" w:hAnsiTheme="minorHAnsi" w:cstheme="minorBidi"/>
            <w:b w:val="0"/>
            <w:noProof/>
            <w:color w:val="auto"/>
            <w:sz w:val="22"/>
            <w:szCs w:val="22"/>
            <w:lang w:eastAsia="en-AU"/>
          </w:rPr>
          <w:tab/>
        </w:r>
        <w:r w:rsidRPr="00184493">
          <w:rPr>
            <w:rStyle w:val="Hyperlink"/>
            <w:noProof/>
            <w:color w:val="auto"/>
          </w:rPr>
          <w:t>Tribunal’s considerations</w:t>
        </w:r>
        <w:r w:rsidRPr="00184493">
          <w:rPr>
            <w:noProof/>
            <w:webHidden/>
            <w:color w:val="auto"/>
          </w:rPr>
          <w:tab/>
        </w:r>
        <w:r w:rsidRPr="00184493">
          <w:rPr>
            <w:noProof/>
            <w:webHidden/>
            <w:color w:val="auto"/>
          </w:rPr>
          <w:fldChar w:fldCharType="begin"/>
        </w:r>
        <w:r w:rsidRPr="00184493">
          <w:rPr>
            <w:noProof/>
            <w:webHidden/>
            <w:color w:val="auto"/>
          </w:rPr>
          <w:instrText xml:space="preserve"> PAGEREF _Toc138859168 \h </w:instrText>
        </w:r>
        <w:r w:rsidRPr="00184493">
          <w:rPr>
            <w:noProof/>
            <w:webHidden/>
            <w:color w:val="auto"/>
          </w:rPr>
        </w:r>
        <w:r w:rsidRPr="00184493">
          <w:rPr>
            <w:noProof/>
            <w:webHidden/>
            <w:color w:val="auto"/>
          </w:rPr>
          <w:fldChar w:fldCharType="separate"/>
        </w:r>
        <w:r w:rsidR="007C3D52">
          <w:rPr>
            <w:noProof/>
            <w:webHidden/>
            <w:color w:val="auto"/>
          </w:rPr>
          <w:t>24</w:t>
        </w:r>
        <w:r w:rsidRPr="00184493">
          <w:rPr>
            <w:noProof/>
            <w:webHidden/>
            <w:color w:val="auto"/>
          </w:rPr>
          <w:fldChar w:fldCharType="end"/>
        </w:r>
      </w:hyperlink>
    </w:p>
    <w:p w14:paraId="18F58F16" w14:textId="3FA0E696"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69" w:history="1">
        <w:r w:rsidRPr="00184493">
          <w:rPr>
            <w:rStyle w:val="Hyperlink"/>
            <w:noProof/>
            <w:color w:val="auto"/>
          </w:rPr>
          <w:t>4.1</w:t>
        </w:r>
        <w:r w:rsidRPr="00184493">
          <w:rPr>
            <w:rFonts w:asciiTheme="minorHAnsi" w:eastAsiaTheme="minorEastAsia" w:hAnsiTheme="minorHAnsi"/>
            <w:noProof/>
            <w:sz w:val="22"/>
            <w:lang w:eastAsia="en-AU"/>
          </w:rPr>
          <w:tab/>
        </w:r>
        <w:r w:rsidRPr="00184493">
          <w:rPr>
            <w:rStyle w:val="Hyperlink"/>
            <w:noProof/>
            <w:color w:val="auto"/>
          </w:rPr>
          <w:t>Salary component</w:t>
        </w:r>
        <w:r w:rsidRPr="00184493">
          <w:rPr>
            <w:noProof/>
            <w:webHidden/>
          </w:rPr>
          <w:tab/>
        </w:r>
        <w:r w:rsidRPr="00184493">
          <w:rPr>
            <w:noProof/>
            <w:webHidden/>
          </w:rPr>
          <w:fldChar w:fldCharType="begin"/>
        </w:r>
        <w:r w:rsidRPr="00184493">
          <w:rPr>
            <w:noProof/>
            <w:webHidden/>
          </w:rPr>
          <w:instrText xml:space="preserve"> PAGEREF _Toc138859169 \h </w:instrText>
        </w:r>
        <w:r w:rsidRPr="00184493">
          <w:rPr>
            <w:noProof/>
            <w:webHidden/>
          </w:rPr>
        </w:r>
        <w:r w:rsidRPr="00184493">
          <w:rPr>
            <w:noProof/>
            <w:webHidden/>
          </w:rPr>
          <w:fldChar w:fldCharType="separate"/>
        </w:r>
        <w:r w:rsidR="007C3D52">
          <w:rPr>
            <w:noProof/>
            <w:webHidden/>
          </w:rPr>
          <w:t>24</w:t>
        </w:r>
        <w:r w:rsidRPr="00184493">
          <w:rPr>
            <w:noProof/>
            <w:webHidden/>
          </w:rPr>
          <w:fldChar w:fldCharType="end"/>
        </w:r>
      </w:hyperlink>
    </w:p>
    <w:p w14:paraId="1F7EEC2D" w14:textId="10611358"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70" w:history="1">
        <w:r w:rsidRPr="00184493">
          <w:rPr>
            <w:rStyle w:val="Hyperlink"/>
            <w:noProof/>
            <w:color w:val="auto"/>
          </w:rPr>
          <w:t>4.2</w:t>
        </w:r>
        <w:r w:rsidRPr="00184493">
          <w:rPr>
            <w:rFonts w:asciiTheme="minorHAnsi" w:eastAsiaTheme="minorEastAsia" w:hAnsiTheme="minorHAnsi"/>
            <w:noProof/>
            <w:sz w:val="22"/>
            <w:lang w:eastAsia="en-AU"/>
          </w:rPr>
          <w:tab/>
        </w:r>
        <w:r w:rsidRPr="00184493">
          <w:rPr>
            <w:rStyle w:val="Hyperlink"/>
            <w:noProof/>
            <w:color w:val="auto"/>
          </w:rPr>
          <w:t>Superannuation component</w:t>
        </w:r>
        <w:r w:rsidRPr="00184493">
          <w:rPr>
            <w:noProof/>
            <w:webHidden/>
          </w:rPr>
          <w:tab/>
        </w:r>
        <w:r w:rsidRPr="00184493">
          <w:rPr>
            <w:noProof/>
            <w:webHidden/>
          </w:rPr>
          <w:fldChar w:fldCharType="begin"/>
        </w:r>
        <w:r w:rsidRPr="00184493">
          <w:rPr>
            <w:noProof/>
            <w:webHidden/>
          </w:rPr>
          <w:instrText xml:space="preserve"> PAGEREF _Toc138859170 \h </w:instrText>
        </w:r>
        <w:r w:rsidRPr="00184493">
          <w:rPr>
            <w:noProof/>
            <w:webHidden/>
          </w:rPr>
        </w:r>
        <w:r w:rsidRPr="00184493">
          <w:rPr>
            <w:noProof/>
            <w:webHidden/>
          </w:rPr>
          <w:fldChar w:fldCharType="separate"/>
        </w:r>
        <w:r w:rsidR="007C3D52">
          <w:rPr>
            <w:noProof/>
            <w:webHidden/>
          </w:rPr>
          <w:t>28</w:t>
        </w:r>
        <w:r w:rsidRPr="00184493">
          <w:rPr>
            <w:noProof/>
            <w:webHidden/>
          </w:rPr>
          <w:fldChar w:fldCharType="end"/>
        </w:r>
      </w:hyperlink>
    </w:p>
    <w:p w14:paraId="63374221" w14:textId="01987085"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71" w:history="1">
        <w:r w:rsidRPr="00184493">
          <w:rPr>
            <w:rStyle w:val="Hyperlink"/>
            <w:noProof/>
            <w:color w:val="auto"/>
          </w:rPr>
          <w:t>4.3</w:t>
        </w:r>
        <w:r w:rsidRPr="00184493">
          <w:rPr>
            <w:rFonts w:asciiTheme="minorHAnsi" w:eastAsiaTheme="minorEastAsia" w:hAnsiTheme="minorHAnsi"/>
            <w:noProof/>
            <w:sz w:val="22"/>
            <w:lang w:eastAsia="en-AU"/>
          </w:rPr>
          <w:tab/>
        </w:r>
        <w:r w:rsidRPr="00184493">
          <w:rPr>
            <w:rStyle w:val="Hyperlink"/>
            <w:noProof/>
            <w:color w:val="auto"/>
          </w:rPr>
          <w:t>Total adjustment to the bands</w:t>
        </w:r>
        <w:r w:rsidRPr="00184493">
          <w:rPr>
            <w:noProof/>
            <w:webHidden/>
          </w:rPr>
          <w:tab/>
        </w:r>
        <w:r w:rsidRPr="00184493">
          <w:rPr>
            <w:noProof/>
            <w:webHidden/>
          </w:rPr>
          <w:fldChar w:fldCharType="begin"/>
        </w:r>
        <w:r w:rsidRPr="00184493">
          <w:rPr>
            <w:noProof/>
            <w:webHidden/>
          </w:rPr>
          <w:instrText xml:space="preserve"> PAGEREF _Toc138859171 \h </w:instrText>
        </w:r>
        <w:r w:rsidRPr="00184493">
          <w:rPr>
            <w:noProof/>
            <w:webHidden/>
          </w:rPr>
        </w:r>
        <w:r w:rsidRPr="00184493">
          <w:rPr>
            <w:noProof/>
            <w:webHidden/>
          </w:rPr>
          <w:fldChar w:fldCharType="separate"/>
        </w:r>
        <w:r w:rsidR="007C3D52">
          <w:rPr>
            <w:noProof/>
            <w:webHidden/>
          </w:rPr>
          <w:t>30</w:t>
        </w:r>
        <w:r w:rsidRPr="00184493">
          <w:rPr>
            <w:noProof/>
            <w:webHidden/>
          </w:rPr>
          <w:fldChar w:fldCharType="end"/>
        </w:r>
      </w:hyperlink>
    </w:p>
    <w:p w14:paraId="59F0C647" w14:textId="26DEC65B"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72" w:history="1">
        <w:r w:rsidRPr="00184493">
          <w:rPr>
            <w:rStyle w:val="Hyperlink"/>
            <w:noProof/>
            <w:color w:val="auto"/>
          </w:rPr>
          <w:t>4.4</w:t>
        </w:r>
        <w:r w:rsidRPr="00184493">
          <w:rPr>
            <w:rFonts w:asciiTheme="minorHAnsi" w:eastAsiaTheme="minorEastAsia" w:hAnsiTheme="minorHAnsi"/>
            <w:noProof/>
            <w:sz w:val="22"/>
            <w:lang w:eastAsia="en-AU"/>
          </w:rPr>
          <w:tab/>
        </w:r>
        <w:r w:rsidRPr="00184493">
          <w:rPr>
            <w:rStyle w:val="Hyperlink"/>
            <w:noProof/>
            <w:color w:val="auto"/>
          </w:rPr>
          <w:t>Other considerations</w:t>
        </w:r>
        <w:r w:rsidRPr="00184493">
          <w:rPr>
            <w:noProof/>
            <w:webHidden/>
          </w:rPr>
          <w:tab/>
        </w:r>
        <w:r w:rsidRPr="00184493">
          <w:rPr>
            <w:noProof/>
            <w:webHidden/>
          </w:rPr>
          <w:fldChar w:fldCharType="begin"/>
        </w:r>
        <w:r w:rsidRPr="00184493">
          <w:rPr>
            <w:noProof/>
            <w:webHidden/>
          </w:rPr>
          <w:instrText xml:space="preserve"> PAGEREF _Toc138859172 \h </w:instrText>
        </w:r>
        <w:r w:rsidRPr="00184493">
          <w:rPr>
            <w:noProof/>
            <w:webHidden/>
          </w:rPr>
        </w:r>
        <w:r w:rsidRPr="00184493">
          <w:rPr>
            <w:noProof/>
            <w:webHidden/>
          </w:rPr>
          <w:fldChar w:fldCharType="separate"/>
        </w:r>
        <w:r w:rsidR="007C3D52">
          <w:rPr>
            <w:noProof/>
            <w:webHidden/>
          </w:rPr>
          <w:t>31</w:t>
        </w:r>
        <w:r w:rsidRPr="00184493">
          <w:rPr>
            <w:noProof/>
            <w:webHidden/>
          </w:rPr>
          <w:fldChar w:fldCharType="end"/>
        </w:r>
      </w:hyperlink>
    </w:p>
    <w:p w14:paraId="04F366EA" w14:textId="165F8CFC" w:rsidR="00184493" w:rsidRPr="00184493" w:rsidRDefault="00184493">
      <w:pPr>
        <w:pStyle w:val="TOC2"/>
        <w:tabs>
          <w:tab w:val="left" w:pos="1200"/>
          <w:tab w:val="right" w:leader="dot" w:pos="8494"/>
        </w:tabs>
        <w:rPr>
          <w:rFonts w:asciiTheme="minorHAnsi" w:eastAsiaTheme="minorEastAsia" w:hAnsiTheme="minorHAnsi"/>
          <w:noProof/>
          <w:sz w:val="22"/>
          <w:lang w:eastAsia="en-AU"/>
        </w:rPr>
      </w:pPr>
      <w:hyperlink w:anchor="_Toc138859173" w:history="1">
        <w:r w:rsidRPr="00184493">
          <w:rPr>
            <w:rStyle w:val="Hyperlink"/>
            <w:noProof/>
            <w:color w:val="auto"/>
          </w:rPr>
          <w:t>4.5</w:t>
        </w:r>
        <w:r w:rsidRPr="00184493">
          <w:rPr>
            <w:rFonts w:asciiTheme="minorHAnsi" w:eastAsiaTheme="minorEastAsia" w:hAnsiTheme="minorHAnsi"/>
            <w:noProof/>
            <w:sz w:val="22"/>
            <w:lang w:eastAsia="en-AU"/>
          </w:rPr>
          <w:tab/>
        </w:r>
        <w:r w:rsidRPr="00184493">
          <w:rPr>
            <w:rStyle w:val="Hyperlink"/>
            <w:noProof/>
            <w:color w:val="auto"/>
          </w:rPr>
          <w:t>Conclusion</w:t>
        </w:r>
        <w:r w:rsidRPr="00184493">
          <w:rPr>
            <w:noProof/>
            <w:webHidden/>
          </w:rPr>
          <w:tab/>
        </w:r>
        <w:r w:rsidRPr="00184493">
          <w:rPr>
            <w:noProof/>
            <w:webHidden/>
          </w:rPr>
          <w:fldChar w:fldCharType="begin"/>
        </w:r>
        <w:r w:rsidRPr="00184493">
          <w:rPr>
            <w:noProof/>
            <w:webHidden/>
          </w:rPr>
          <w:instrText xml:space="preserve"> PAGEREF _Toc138859173 \h </w:instrText>
        </w:r>
        <w:r w:rsidRPr="00184493">
          <w:rPr>
            <w:noProof/>
            <w:webHidden/>
          </w:rPr>
        </w:r>
        <w:r w:rsidRPr="00184493">
          <w:rPr>
            <w:noProof/>
            <w:webHidden/>
          </w:rPr>
          <w:fldChar w:fldCharType="separate"/>
        </w:r>
        <w:r w:rsidR="007C3D52">
          <w:rPr>
            <w:noProof/>
            <w:webHidden/>
          </w:rPr>
          <w:t>31</w:t>
        </w:r>
        <w:r w:rsidRPr="00184493">
          <w:rPr>
            <w:noProof/>
            <w:webHidden/>
          </w:rPr>
          <w:fldChar w:fldCharType="end"/>
        </w:r>
      </w:hyperlink>
    </w:p>
    <w:p w14:paraId="08BFDFAD" w14:textId="09933D2D" w:rsidR="00184493" w:rsidRPr="00184493" w:rsidRDefault="00184493">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38859174" w:history="1">
        <w:r w:rsidRPr="00184493">
          <w:rPr>
            <w:rStyle w:val="Hyperlink"/>
            <w:noProof/>
            <w:color w:val="auto"/>
          </w:rPr>
          <w:t>References</w:t>
        </w:r>
        <w:r w:rsidRPr="00184493">
          <w:rPr>
            <w:noProof/>
            <w:webHidden/>
            <w:color w:val="auto"/>
          </w:rPr>
          <w:tab/>
        </w:r>
        <w:r w:rsidRPr="00184493">
          <w:rPr>
            <w:noProof/>
            <w:webHidden/>
            <w:color w:val="auto"/>
          </w:rPr>
          <w:fldChar w:fldCharType="begin"/>
        </w:r>
        <w:r w:rsidRPr="00184493">
          <w:rPr>
            <w:noProof/>
            <w:webHidden/>
            <w:color w:val="auto"/>
          </w:rPr>
          <w:instrText xml:space="preserve"> PAGEREF _Toc138859174 \h </w:instrText>
        </w:r>
        <w:r w:rsidRPr="00184493">
          <w:rPr>
            <w:noProof/>
            <w:webHidden/>
            <w:color w:val="auto"/>
          </w:rPr>
        </w:r>
        <w:r w:rsidRPr="00184493">
          <w:rPr>
            <w:noProof/>
            <w:webHidden/>
            <w:color w:val="auto"/>
          </w:rPr>
          <w:fldChar w:fldCharType="separate"/>
        </w:r>
        <w:r w:rsidR="007C3D52">
          <w:rPr>
            <w:noProof/>
            <w:webHidden/>
            <w:color w:val="auto"/>
          </w:rPr>
          <w:t>33</w:t>
        </w:r>
        <w:r w:rsidRPr="00184493">
          <w:rPr>
            <w:noProof/>
            <w:webHidden/>
            <w:color w:val="auto"/>
          </w:rPr>
          <w:fldChar w:fldCharType="end"/>
        </w:r>
      </w:hyperlink>
    </w:p>
    <w:p w14:paraId="57EB8FAD" w14:textId="43F499F5" w:rsidR="003209FB" w:rsidRPr="00155237" w:rsidRDefault="00184493" w:rsidP="001B195D">
      <w:pPr>
        <w:pStyle w:val="01Chapterheading"/>
        <w:sectPr w:rsidR="003209FB" w:rsidRPr="00155237" w:rsidSect="00F90BEA">
          <w:pgSz w:w="11906" w:h="16838"/>
          <w:pgMar w:top="1701" w:right="1701" w:bottom="1559" w:left="1701" w:header="425" w:footer="709" w:gutter="0"/>
          <w:cols w:space="282"/>
          <w:docGrid w:linePitch="360"/>
        </w:sectPr>
      </w:pPr>
      <w:r>
        <w:rPr>
          <w:rFonts w:ascii="Calibri" w:hAnsi="Calibri"/>
          <w:b/>
          <w:color w:val="000000" w:themeColor="text1"/>
          <w:sz w:val="26"/>
        </w:rPr>
        <w:fldChar w:fldCharType="end"/>
      </w:r>
    </w:p>
    <w:p w14:paraId="05EB3F04" w14:textId="2FAC40EF" w:rsidR="0032769C" w:rsidRDefault="0032769C" w:rsidP="000232F3">
      <w:pPr>
        <w:pStyle w:val="Chapter"/>
      </w:pPr>
      <w:bookmarkStart w:id="26" w:name="_Toc138761732"/>
      <w:bookmarkStart w:id="27" w:name="_Toc138760904"/>
      <w:bookmarkStart w:id="28" w:name="_Toc138761064"/>
      <w:bookmarkStart w:id="29" w:name="_Toc138859157"/>
      <w:r w:rsidRPr="000232F3">
        <w:rPr>
          <w:rStyle w:val="01ChapterheadingChar"/>
        </w:rPr>
        <w:t>Abbreviations and glossary</w:t>
      </w:r>
      <w:bookmarkEnd w:id="26"/>
      <w:bookmarkEnd w:id="29"/>
      <w:r w:rsidR="00CD5958">
        <w:br/>
      </w:r>
      <w:bookmarkEnd w:id="27"/>
      <w:bookmarkEnd w:id="28"/>
    </w:p>
    <w:tbl>
      <w:tblPr>
        <w:tblStyle w:val="ListTable3-Accent21"/>
        <w:tblW w:w="0" w:type="auto"/>
        <w:tblInd w:w="5" w:type="dxa"/>
        <w:tblLook w:val="04A0" w:firstRow="1" w:lastRow="0" w:firstColumn="1" w:lastColumn="0" w:noHBand="0" w:noVBand="1"/>
      </w:tblPr>
      <w:tblGrid>
        <w:gridCol w:w="2689"/>
        <w:gridCol w:w="5805"/>
      </w:tblGrid>
      <w:tr w:rsidR="00CD5958" w14:paraId="23A19D62" w14:textId="77777777" w:rsidTr="007C3D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Borders>
              <w:top w:val="single" w:sz="4" w:space="0" w:color="148A5D" w:themeColor="accent2"/>
              <w:bottom w:val="single" w:sz="4" w:space="0" w:color="148A5D"/>
            </w:tcBorders>
            <w:shd w:val="clear" w:color="auto" w:fill="auto"/>
          </w:tcPr>
          <w:p w14:paraId="71CB3CE4" w14:textId="77777777" w:rsidR="00CD5958" w:rsidRPr="007C3D52" w:rsidRDefault="00CD5958" w:rsidP="009E51EE">
            <w:pPr>
              <w:pStyle w:val="Textinthetable"/>
              <w:keepNext w:val="0"/>
              <w:widowControl w:val="0"/>
              <w:rPr>
                <w:color w:val="auto"/>
              </w:rPr>
            </w:pPr>
            <w:r w:rsidRPr="007C3D52">
              <w:rPr>
                <w:color w:val="auto"/>
              </w:rPr>
              <w:t>Term or abbreviation</w:t>
            </w:r>
          </w:p>
        </w:tc>
        <w:tc>
          <w:tcPr>
            <w:tcW w:w="5805" w:type="dxa"/>
            <w:tcBorders>
              <w:top w:val="single" w:sz="4" w:space="0" w:color="148A5D" w:themeColor="accent2"/>
              <w:bottom w:val="single" w:sz="4" w:space="0" w:color="148A5D"/>
            </w:tcBorders>
            <w:shd w:val="clear" w:color="auto" w:fill="auto"/>
          </w:tcPr>
          <w:p w14:paraId="1CEBF84F" w14:textId="77777777" w:rsidR="00CD5958" w:rsidRPr="007C3D52" w:rsidRDefault="00CD5958" w:rsidP="009E51EE">
            <w:pPr>
              <w:pStyle w:val="Textinthetable"/>
              <w:keepNext w:val="0"/>
              <w:widowControl w:val="0"/>
              <w:cnfStyle w:val="100000000000" w:firstRow="1" w:lastRow="0" w:firstColumn="0" w:lastColumn="0" w:oddVBand="0" w:evenVBand="0" w:oddHBand="0" w:evenHBand="0" w:firstRowFirstColumn="0" w:firstRowLastColumn="0" w:lastRowFirstColumn="0" w:lastRowLastColumn="0"/>
              <w:rPr>
                <w:color w:val="auto"/>
              </w:rPr>
            </w:pPr>
            <w:r w:rsidRPr="007C3D52">
              <w:rPr>
                <w:color w:val="auto"/>
              </w:rPr>
              <w:t>Definition</w:t>
            </w:r>
          </w:p>
        </w:tc>
      </w:tr>
      <w:tr w:rsidR="00E66C73" w:rsidRPr="00E66C73" w14:paraId="3A69D7F9" w14:textId="77777777" w:rsidTr="007C3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3903BF" w14:textId="03155ABD" w:rsidR="009E51EE" w:rsidRPr="00E66C73" w:rsidRDefault="009E51EE" w:rsidP="009E51EE">
            <w:pPr>
              <w:pStyle w:val="Textinthetable"/>
              <w:keepNext w:val="0"/>
              <w:widowControl w:val="0"/>
              <w:rPr>
                <w:rFonts w:ascii="Calibri" w:hAnsi="Calibri" w:cs="Calibri"/>
                <w:color w:val="auto"/>
              </w:rPr>
            </w:pPr>
            <w:r w:rsidRPr="00E66C73">
              <w:rPr>
                <w:rFonts w:ascii="Calibri" w:hAnsi="Calibri" w:cs="Calibri"/>
                <w:color w:val="auto"/>
              </w:rPr>
              <w:t>202</w:t>
            </w:r>
            <w:r w:rsidR="00A24584" w:rsidRPr="00E66C73">
              <w:rPr>
                <w:rFonts w:ascii="Calibri" w:hAnsi="Calibri" w:cs="Calibri"/>
                <w:color w:val="auto"/>
              </w:rPr>
              <w:t>3</w:t>
            </w:r>
            <w:r w:rsidRPr="00E66C73">
              <w:rPr>
                <w:rFonts w:ascii="Calibri" w:hAnsi="Calibri" w:cs="Calibri"/>
                <w:color w:val="auto"/>
              </w:rPr>
              <w:t xml:space="preserve"> PE Annual Adjustment Determination</w:t>
            </w:r>
          </w:p>
        </w:tc>
        <w:tc>
          <w:tcPr>
            <w:tcW w:w="5805" w:type="dxa"/>
          </w:tcPr>
          <w:p w14:paraId="34519FBD" w14:textId="30782903" w:rsidR="009E51EE" w:rsidRPr="00880B97" w:rsidRDefault="009E51EE"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i/>
                <w:color w:val="auto"/>
                <w:spacing w:val="-4"/>
              </w:rPr>
            </w:pPr>
            <w:r w:rsidRPr="00880B97">
              <w:rPr>
                <w:rFonts w:ascii="Calibri" w:hAnsi="Calibri" w:cs="Calibri"/>
                <w:i/>
                <w:color w:val="auto"/>
                <w:spacing w:val="-4"/>
              </w:rPr>
              <w:t>Remuneration bands for executives employed in prescribed public entities (Victoria) Annual Adjustment Determination 202</w:t>
            </w:r>
            <w:r w:rsidR="00A24584" w:rsidRPr="00880B97">
              <w:rPr>
                <w:rFonts w:ascii="Calibri" w:hAnsi="Calibri" w:cs="Calibri"/>
                <w:i/>
                <w:color w:val="auto"/>
                <w:spacing w:val="-4"/>
              </w:rPr>
              <w:t>3</w:t>
            </w:r>
          </w:p>
        </w:tc>
      </w:tr>
      <w:tr w:rsidR="00E66C73" w:rsidRPr="00E66C73" w14:paraId="430B8181"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0A1F724D"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ABS</w:t>
            </w:r>
          </w:p>
        </w:tc>
        <w:tc>
          <w:tcPr>
            <w:tcW w:w="5805" w:type="dxa"/>
          </w:tcPr>
          <w:p w14:paraId="7370A233" w14:textId="77777777" w:rsidR="00CD5958" w:rsidRPr="00E66C73"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Australian Bureau of Statistics</w:t>
            </w:r>
          </w:p>
        </w:tc>
      </w:tr>
      <w:tr w:rsidR="00E66C73" w:rsidRPr="00E66C73" w14:paraId="150422A4"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D696A0E" w14:textId="73E517E2" w:rsidR="001E629E" w:rsidRPr="00E66C73" w:rsidRDefault="001E629E" w:rsidP="009E51EE">
            <w:pPr>
              <w:pStyle w:val="Textinthetable"/>
              <w:keepNext w:val="0"/>
              <w:widowControl w:val="0"/>
              <w:rPr>
                <w:rFonts w:ascii="Calibri" w:hAnsi="Calibri" w:cs="Calibri"/>
                <w:color w:val="auto"/>
              </w:rPr>
            </w:pPr>
            <w:r w:rsidRPr="00E66C73">
              <w:rPr>
                <w:rFonts w:ascii="Calibri" w:hAnsi="Calibri" w:cs="Calibri"/>
                <w:color w:val="auto"/>
              </w:rPr>
              <w:t>AWOTE</w:t>
            </w:r>
          </w:p>
        </w:tc>
        <w:tc>
          <w:tcPr>
            <w:tcW w:w="5805" w:type="dxa"/>
          </w:tcPr>
          <w:p w14:paraId="20165D40" w14:textId="1B234FE9" w:rsidR="001E629E" w:rsidRPr="00E66C73" w:rsidRDefault="00946756"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A</w:t>
            </w:r>
            <w:r w:rsidR="001E629E" w:rsidRPr="00E66C73">
              <w:rPr>
                <w:rFonts w:ascii="Calibri" w:hAnsi="Calibri" w:cs="Calibri"/>
                <w:color w:val="auto"/>
              </w:rPr>
              <w:t>verage weekly ordinary time earnings</w:t>
            </w:r>
          </w:p>
        </w:tc>
      </w:tr>
      <w:tr w:rsidR="00E66C73" w:rsidRPr="00E66C73" w14:paraId="3F26E620"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57CFB651" w14:textId="04A5FF12" w:rsidR="00A24584" w:rsidRPr="00E66C73" w:rsidRDefault="00A24584" w:rsidP="00A24584">
            <w:pPr>
              <w:pStyle w:val="Textinthetable"/>
              <w:keepNext w:val="0"/>
              <w:widowControl w:val="0"/>
              <w:rPr>
                <w:rFonts w:ascii="Calibri" w:hAnsi="Calibri" w:cs="Calibri"/>
                <w:color w:val="auto"/>
              </w:rPr>
            </w:pPr>
            <w:r w:rsidRPr="00E66C73">
              <w:rPr>
                <w:rFonts w:ascii="Calibri" w:hAnsi="Calibri" w:cs="Calibri"/>
                <w:color w:val="auto"/>
              </w:rPr>
              <w:t>Comprehensive Determination</w:t>
            </w:r>
          </w:p>
        </w:tc>
        <w:tc>
          <w:tcPr>
            <w:tcW w:w="5805" w:type="dxa"/>
          </w:tcPr>
          <w:p w14:paraId="569221C8" w14:textId="3B595B57" w:rsidR="00A24584" w:rsidRPr="00E66C73" w:rsidRDefault="00A24584" w:rsidP="00A24584">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i/>
                <w:color w:val="auto"/>
              </w:rPr>
            </w:pPr>
            <w:r w:rsidRPr="00E66C73">
              <w:rPr>
                <w:rFonts w:ascii="Calibri" w:hAnsi="Calibri" w:cs="Calibri"/>
                <w:i/>
                <w:color w:val="auto"/>
              </w:rPr>
              <w:t>Remuneration bands for executives employed in prescribed public entities (Victoria) Determination No. 01/2020</w:t>
            </w:r>
          </w:p>
        </w:tc>
      </w:tr>
      <w:tr w:rsidR="00E66C73" w:rsidRPr="00E66C73" w14:paraId="6A949F5B"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C1460E"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CPI</w:t>
            </w:r>
          </w:p>
        </w:tc>
        <w:tc>
          <w:tcPr>
            <w:tcW w:w="5805" w:type="dxa"/>
          </w:tcPr>
          <w:p w14:paraId="04A9364B" w14:textId="77777777" w:rsidR="00CD5958" w:rsidRPr="00E66C73"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Consumer Price Index</w:t>
            </w:r>
          </w:p>
        </w:tc>
      </w:tr>
      <w:tr w:rsidR="00E66C73" w:rsidRPr="00E66C73" w14:paraId="1F0E18A9"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36ECE7C5" w14:textId="618B66AF" w:rsidR="00903A30" w:rsidRPr="00E66C73" w:rsidRDefault="00903A30" w:rsidP="009E51EE">
            <w:pPr>
              <w:pStyle w:val="Textinthetable"/>
              <w:keepNext w:val="0"/>
              <w:widowControl w:val="0"/>
              <w:rPr>
                <w:rFonts w:ascii="Calibri" w:hAnsi="Calibri" w:cs="Calibri"/>
                <w:color w:val="auto"/>
              </w:rPr>
            </w:pPr>
            <w:r w:rsidRPr="00E66C73">
              <w:rPr>
                <w:rFonts w:ascii="Calibri" w:hAnsi="Calibri" w:cs="Calibri"/>
                <w:color w:val="auto"/>
              </w:rPr>
              <w:t>Cth</w:t>
            </w:r>
          </w:p>
        </w:tc>
        <w:tc>
          <w:tcPr>
            <w:tcW w:w="5805" w:type="dxa"/>
          </w:tcPr>
          <w:p w14:paraId="39842F0F" w14:textId="349FB966" w:rsidR="00903A30" w:rsidRPr="00E66C73" w:rsidRDefault="00E244CC"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Commonwealth Government of Australia</w:t>
            </w:r>
          </w:p>
        </w:tc>
      </w:tr>
      <w:tr w:rsidR="00E66C73" w:rsidRPr="00E66C73" w14:paraId="253D1A3B"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B2442B"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DTF</w:t>
            </w:r>
          </w:p>
        </w:tc>
        <w:tc>
          <w:tcPr>
            <w:tcW w:w="5805" w:type="dxa"/>
          </w:tcPr>
          <w:p w14:paraId="6BEE04DA" w14:textId="130369FF" w:rsidR="00CD5958" w:rsidRPr="00E66C73"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Department of Treasury and Finance</w:t>
            </w:r>
          </w:p>
        </w:tc>
      </w:tr>
      <w:tr w:rsidR="00E66C73" w:rsidRPr="00E66C73" w14:paraId="72F3BE61"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342406CD"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FWC</w:t>
            </w:r>
          </w:p>
        </w:tc>
        <w:tc>
          <w:tcPr>
            <w:tcW w:w="5805" w:type="dxa"/>
          </w:tcPr>
          <w:p w14:paraId="6525B73E" w14:textId="77777777" w:rsidR="00CD5958" w:rsidRPr="00E66C73"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Fair Work Commission</w:t>
            </w:r>
          </w:p>
        </w:tc>
      </w:tr>
      <w:tr w:rsidR="00E66C73" w:rsidRPr="00E66C73" w14:paraId="7480B45C"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DB8EEB"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GDP</w:t>
            </w:r>
          </w:p>
        </w:tc>
        <w:tc>
          <w:tcPr>
            <w:tcW w:w="5805" w:type="dxa"/>
          </w:tcPr>
          <w:p w14:paraId="010694A2" w14:textId="77777777" w:rsidR="00CD5958" w:rsidRPr="00E66C73"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Gross Domestic Product</w:t>
            </w:r>
          </w:p>
        </w:tc>
      </w:tr>
      <w:tr w:rsidR="00E66C73" w:rsidRPr="00E66C73" w14:paraId="4BB6743A"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08941F65"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GSP</w:t>
            </w:r>
          </w:p>
        </w:tc>
        <w:tc>
          <w:tcPr>
            <w:tcW w:w="5805" w:type="dxa"/>
          </w:tcPr>
          <w:p w14:paraId="358508FC" w14:textId="77777777" w:rsidR="00CD5958" w:rsidRPr="00E66C73"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Gross State Product</w:t>
            </w:r>
          </w:p>
        </w:tc>
      </w:tr>
      <w:tr w:rsidR="00E66C73" w:rsidRPr="00E66C73" w14:paraId="0A48701B"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95B641"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Handbook</w:t>
            </w:r>
          </w:p>
        </w:tc>
        <w:tc>
          <w:tcPr>
            <w:tcW w:w="5805" w:type="dxa"/>
          </w:tcPr>
          <w:p w14:paraId="577DA5A4" w14:textId="16958899" w:rsidR="00CD5958" w:rsidRPr="00E66C73" w:rsidRDefault="008107EA"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 xml:space="preserve">Victorian Public Entity </w:t>
            </w:r>
            <w:r w:rsidR="00CD5958" w:rsidRPr="00E66C73">
              <w:rPr>
                <w:rFonts w:ascii="Calibri" w:hAnsi="Calibri" w:cs="Calibri"/>
                <w:color w:val="auto"/>
              </w:rPr>
              <w:t>Executive Employment Handbook</w:t>
            </w:r>
          </w:p>
        </w:tc>
      </w:tr>
      <w:tr w:rsidR="00E66C73" w:rsidRPr="00E66C73" w14:paraId="73E59B8A"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18016206"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MSCB</w:t>
            </w:r>
          </w:p>
        </w:tc>
        <w:tc>
          <w:tcPr>
            <w:tcW w:w="5805" w:type="dxa"/>
          </w:tcPr>
          <w:p w14:paraId="081A4C16" w14:textId="663620E5" w:rsidR="00CD5958" w:rsidRPr="00E66C73" w:rsidRDefault="004956CB"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m</w:t>
            </w:r>
            <w:r w:rsidR="00CD5958" w:rsidRPr="00E66C73">
              <w:rPr>
                <w:rFonts w:ascii="Calibri" w:hAnsi="Calibri" w:cs="Calibri"/>
                <w:color w:val="auto"/>
              </w:rPr>
              <w:t>aximum superannuation contribution base</w:t>
            </w:r>
          </w:p>
        </w:tc>
      </w:tr>
      <w:tr w:rsidR="00E66C73" w:rsidRPr="00E66C73" w14:paraId="42563504"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8CFC23"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NMW</w:t>
            </w:r>
          </w:p>
        </w:tc>
        <w:tc>
          <w:tcPr>
            <w:tcW w:w="5805" w:type="dxa"/>
          </w:tcPr>
          <w:p w14:paraId="1DB1A010" w14:textId="77777777" w:rsidR="00CD5958" w:rsidRPr="00E66C73"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National Minimum Wage</w:t>
            </w:r>
          </w:p>
        </w:tc>
      </w:tr>
      <w:tr w:rsidR="00E66C73" w:rsidRPr="00E66C73" w14:paraId="22B5C44B"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661336BA" w14:textId="538A3BF2" w:rsidR="00972072" w:rsidRPr="00E66C73" w:rsidRDefault="00972072" w:rsidP="00972072">
            <w:pPr>
              <w:pStyle w:val="Textinthetable"/>
              <w:keepNext w:val="0"/>
              <w:widowControl w:val="0"/>
              <w:rPr>
                <w:rFonts w:ascii="Calibri" w:hAnsi="Calibri" w:cs="Calibri"/>
                <w:color w:val="auto"/>
              </w:rPr>
            </w:pPr>
            <w:r w:rsidRPr="00E66C73">
              <w:rPr>
                <w:rFonts w:ascii="Calibri" w:hAnsi="Calibri" w:cs="Calibri"/>
                <w:color w:val="auto"/>
              </w:rPr>
              <w:t>notional salary component</w:t>
            </w:r>
          </w:p>
        </w:tc>
        <w:tc>
          <w:tcPr>
            <w:tcW w:w="5805" w:type="dxa"/>
          </w:tcPr>
          <w:p w14:paraId="0A275A09" w14:textId="1D84D9A4" w:rsidR="00972072" w:rsidRPr="00E66C73" w:rsidRDefault="00972072" w:rsidP="00972072">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rPr>
            </w:pPr>
            <w:r w:rsidRPr="00E66C73">
              <w:rPr>
                <w:rFonts w:ascii="Calibri" w:hAnsi="Calibri" w:cs="Calibri"/>
                <w:bCs/>
                <w:color w:val="auto"/>
              </w:rPr>
              <w:t xml:space="preserve">Calculated by reducing the TRP value </w:t>
            </w:r>
            <w:r w:rsidR="00364EE6" w:rsidRPr="00E66C73">
              <w:rPr>
                <w:rFonts w:ascii="Calibri" w:hAnsi="Calibri" w:cs="Calibri"/>
                <w:bCs/>
                <w:color w:val="auto"/>
              </w:rPr>
              <w:t xml:space="preserve">of the remuneration bands </w:t>
            </w:r>
            <w:r w:rsidRPr="00E66C73">
              <w:rPr>
                <w:rFonts w:ascii="Calibri" w:hAnsi="Calibri" w:cs="Calibri"/>
                <w:bCs/>
                <w:color w:val="auto"/>
              </w:rPr>
              <w:t>by the amount of the superannuation contributions.</w:t>
            </w:r>
          </w:p>
        </w:tc>
      </w:tr>
      <w:tr w:rsidR="00E66C73" w:rsidRPr="00E66C73" w14:paraId="621101C2"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8DD571" w14:textId="5181625E" w:rsidR="00C103A1" w:rsidRPr="00E66C73" w:rsidRDefault="00C103A1" w:rsidP="00972072">
            <w:pPr>
              <w:pStyle w:val="Textinthetable"/>
              <w:keepNext w:val="0"/>
              <w:widowControl w:val="0"/>
              <w:rPr>
                <w:rFonts w:ascii="Calibri" w:hAnsi="Calibri" w:cs="Calibri"/>
                <w:color w:val="auto"/>
              </w:rPr>
            </w:pPr>
            <w:r w:rsidRPr="00E66C73">
              <w:rPr>
                <w:rFonts w:ascii="Calibri" w:hAnsi="Calibri" w:cs="Calibri"/>
                <w:color w:val="auto"/>
              </w:rPr>
              <w:t>PAA</w:t>
            </w:r>
          </w:p>
        </w:tc>
        <w:tc>
          <w:tcPr>
            <w:tcW w:w="5805" w:type="dxa"/>
          </w:tcPr>
          <w:p w14:paraId="22423C53" w14:textId="51BF76A4" w:rsidR="00C103A1" w:rsidRPr="00E66C73" w:rsidRDefault="005A4A71" w:rsidP="00972072">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bCs/>
                <w:color w:val="auto"/>
              </w:rPr>
            </w:pPr>
            <w:r w:rsidRPr="00E66C73">
              <w:rPr>
                <w:rFonts w:ascii="Calibri" w:hAnsi="Calibri" w:cs="Calibri"/>
                <w:bCs/>
                <w:i/>
                <w:iCs/>
                <w:color w:val="auto"/>
              </w:rPr>
              <w:t xml:space="preserve">Public Administration Act 2004 </w:t>
            </w:r>
            <w:r w:rsidRPr="00E66C73">
              <w:rPr>
                <w:rFonts w:ascii="Calibri" w:hAnsi="Calibri" w:cs="Calibri"/>
                <w:bCs/>
                <w:color w:val="auto"/>
              </w:rPr>
              <w:t>(Vic)</w:t>
            </w:r>
          </w:p>
        </w:tc>
      </w:tr>
      <w:tr w:rsidR="00E66C73" w:rsidRPr="00E66C73" w14:paraId="051096B9"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280DED75" w14:textId="35E24C95" w:rsidR="003E0A49" w:rsidRPr="00E66C73" w:rsidRDefault="003E0A49" w:rsidP="009E51EE">
            <w:pPr>
              <w:pStyle w:val="Textinthetable"/>
              <w:keepNext w:val="0"/>
              <w:widowControl w:val="0"/>
              <w:rPr>
                <w:rFonts w:ascii="Calibri" w:hAnsi="Calibri" w:cs="Calibri"/>
                <w:color w:val="auto"/>
              </w:rPr>
            </w:pPr>
            <w:r w:rsidRPr="00E66C73">
              <w:rPr>
                <w:rFonts w:ascii="Calibri" w:hAnsi="Calibri" w:cs="Calibri"/>
                <w:color w:val="auto"/>
              </w:rPr>
              <w:t>PEECF</w:t>
            </w:r>
          </w:p>
        </w:tc>
        <w:tc>
          <w:tcPr>
            <w:tcW w:w="5805" w:type="dxa"/>
          </w:tcPr>
          <w:p w14:paraId="395B77D2" w14:textId="576048A8" w:rsidR="003E0A49" w:rsidRPr="00E66C73" w:rsidRDefault="003E0A49"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bookmarkStart w:id="30" w:name="_Hlk138774916"/>
            <w:r w:rsidRPr="00E66C73">
              <w:rPr>
                <w:rFonts w:ascii="Calibri" w:hAnsi="Calibri" w:cs="Calibri"/>
                <w:color w:val="auto"/>
              </w:rPr>
              <w:t>Public Entity Executive Classification Framework</w:t>
            </w:r>
            <w:bookmarkEnd w:id="30"/>
          </w:p>
        </w:tc>
      </w:tr>
      <w:tr w:rsidR="00E66C73" w:rsidRPr="00E66C73" w14:paraId="57DBC376"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4BA60F" w14:textId="1660AB99" w:rsidR="00042207" w:rsidRPr="00E66C73" w:rsidRDefault="00042207" w:rsidP="009E51EE">
            <w:pPr>
              <w:pStyle w:val="Textinthetable"/>
              <w:keepNext w:val="0"/>
              <w:widowControl w:val="0"/>
              <w:rPr>
                <w:rFonts w:ascii="Calibri" w:hAnsi="Calibri" w:cs="Calibri"/>
                <w:color w:val="auto"/>
              </w:rPr>
            </w:pPr>
            <w:r w:rsidRPr="00E66C73">
              <w:rPr>
                <w:rFonts w:ascii="Calibri" w:hAnsi="Calibri" w:cs="Calibri"/>
                <w:color w:val="auto"/>
              </w:rPr>
              <w:t>PEER Policy</w:t>
            </w:r>
          </w:p>
        </w:tc>
        <w:tc>
          <w:tcPr>
            <w:tcW w:w="5805" w:type="dxa"/>
          </w:tcPr>
          <w:p w14:paraId="522E5E12" w14:textId="79298BAA" w:rsidR="00042207" w:rsidRPr="00E66C73" w:rsidRDefault="00042207"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iCs/>
                <w:color w:val="auto"/>
              </w:rPr>
            </w:pPr>
            <w:r w:rsidRPr="00E66C73">
              <w:rPr>
                <w:rFonts w:ascii="Calibri" w:hAnsi="Calibri" w:cs="Calibri"/>
                <w:iCs/>
                <w:color w:val="auto"/>
              </w:rPr>
              <w:t>Public Entity Executive Remuneration Policy</w:t>
            </w:r>
          </w:p>
        </w:tc>
      </w:tr>
      <w:tr w:rsidR="00E66C73" w:rsidRPr="00E66C73" w14:paraId="28577682"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63526EDA" w14:textId="6AF40672" w:rsidR="00772496" w:rsidRPr="00E66C73" w:rsidRDefault="00772496" w:rsidP="009E51EE">
            <w:pPr>
              <w:pStyle w:val="Textinthetable"/>
              <w:keepNext w:val="0"/>
              <w:widowControl w:val="0"/>
              <w:rPr>
                <w:rFonts w:ascii="Calibri" w:hAnsi="Calibri" w:cs="Calibri"/>
                <w:color w:val="auto"/>
              </w:rPr>
            </w:pPr>
            <w:r w:rsidRPr="00E66C73">
              <w:rPr>
                <w:rFonts w:ascii="Calibri" w:hAnsi="Calibri" w:cs="Calibri"/>
                <w:color w:val="auto"/>
              </w:rPr>
              <w:t>PESES</w:t>
            </w:r>
          </w:p>
        </w:tc>
        <w:tc>
          <w:tcPr>
            <w:tcW w:w="5805" w:type="dxa"/>
          </w:tcPr>
          <w:p w14:paraId="6C738F90" w14:textId="0BCDE82B" w:rsidR="00772496" w:rsidRPr="00E66C73" w:rsidRDefault="00772496"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Public Entity Senior Executive Service</w:t>
            </w:r>
          </w:p>
        </w:tc>
      </w:tr>
      <w:tr w:rsidR="00E66C73" w:rsidRPr="00E66C73" w14:paraId="09ED937D"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FC3093"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RBA</w:t>
            </w:r>
          </w:p>
        </w:tc>
        <w:tc>
          <w:tcPr>
            <w:tcW w:w="5805" w:type="dxa"/>
          </w:tcPr>
          <w:p w14:paraId="59E038BD" w14:textId="77777777" w:rsidR="00CD5958" w:rsidRPr="00E66C73"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Reserve Bank of Australia</w:t>
            </w:r>
          </w:p>
        </w:tc>
      </w:tr>
      <w:tr w:rsidR="00E66C73" w:rsidRPr="00E66C73" w14:paraId="69A8C7A6"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52B572CE" w14:textId="2D9A2912" w:rsidR="00772496" w:rsidRPr="00E66C73" w:rsidRDefault="00772496" w:rsidP="009E51EE">
            <w:pPr>
              <w:pStyle w:val="Textinthetable"/>
              <w:keepNext w:val="0"/>
              <w:widowControl w:val="0"/>
              <w:rPr>
                <w:rFonts w:ascii="Calibri" w:hAnsi="Calibri" w:cs="Calibri"/>
                <w:color w:val="auto"/>
              </w:rPr>
            </w:pPr>
            <w:r w:rsidRPr="00E66C73">
              <w:rPr>
                <w:rFonts w:ascii="Calibri" w:hAnsi="Calibri" w:cs="Calibri"/>
                <w:color w:val="auto"/>
              </w:rPr>
              <w:t>SES</w:t>
            </w:r>
          </w:p>
        </w:tc>
        <w:tc>
          <w:tcPr>
            <w:tcW w:w="5805" w:type="dxa"/>
          </w:tcPr>
          <w:p w14:paraId="160219E9" w14:textId="05B4BB87" w:rsidR="00772496" w:rsidRPr="00E66C73" w:rsidRDefault="00772496"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Senior Executive Service</w:t>
            </w:r>
          </w:p>
        </w:tc>
      </w:tr>
      <w:tr w:rsidR="00E66C73" w:rsidRPr="00E66C73" w14:paraId="60737ABA"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3FDA4E"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SG</w:t>
            </w:r>
          </w:p>
        </w:tc>
        <w:tc>
          <w:tcPr>
            <w:tcW w:w="5805" w:type="dxa"/>
          </w:tcPr>
          <w:p w14:paraId="7EA6CF81" w14:textId="77777777" w:rsidR="00CD5958" w:rsidRPr="00E66C73"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Superannuation Guarantee</w:t>
            </w:r>
          </w:p>
        </w:tc>
      </w:tr>
      <w:tr w:rsidR="00E66C73" w:rsidRPr="00E66C73" w14:paraId="6B5A3A1B"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536C76B0" w14:textId="36F3A3A2" w:rsidR="00223F60" w:rsidRPr="00E66C73" w:rsidRDefault="00223F60" w:rsidP="009E51EE">
            <w:pPr>
              <w:pStyle w:val="Textinthetable"/>
              <w:keepNext w:val="0"/>
              <w:widowControl w:val="0"/>
              <w:rPr>
                <w:rFonts w:ascii="Calibri" w:hAnsi="Calibri" w:cs="Calibri"/>
                <w:b/>
                <w:color w:val="auto"/>
              </w:rPr>
            </w:pPr>
            <w:r w:rsidRPr="00E66C73">
              <w:rPr>
                <w:rFonts w:ascii="Calibri" w:hAnsi="Calibri" w:cs="Calibri"/>
                <w:color w:val="auto"/>
              </w:rPr>
              <w:t>Tribunal</w:t>
            </w:r>
          </w:p>
        </w:tc>
        <w:tc>
          <w:tcPr>
            <w:tcW w:w="5805" w:type="dxa"/>
          </w:tcPr>
          <w:p w14:paraId="03122D23" w14:textId="3BD94D34" w:rsidR="00223F60" w:rsidRPr="00E66C73" w:rsidRDefault="00223F60"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Victorian Independent Remuneration Tribunal</w:t>
            </w:r>
          </w:p>
        </w:tc>
      </w:tr>
      <w:tr w:rsidR="00E66C73" w:rsidRPr="00E66C73" w14:paraId="765A4270"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796A5B" w14:textId="5681D570" w:rsidR="00042207" w:rsidRPr="00E66C73" w:rsidRDefault="00042207" w:rsidP="009E51EE">
            <w:pPr>
              <w:pStyle w:val="Textinthetable"/>
              <w:keepNext w:val="0"/>
              <w:widowControl w:val="0"/>
              <w:rPr>
                <w:rFonts w:ascii="Calibri" w:hAnsi="Calibri" w:cs="Calibri"/>
                <w:color w:val="auto"/>
              </w:rPr>
            </w:pPr>
            <w:r w:rsidRPr="00E66C73">
              <w:rPr>
                <w:rFonts w:ascii="Calibri" w:hAnsi="Calibri" w:cs="Calibri"/>
                <w:color w:val="auto"/>
              </w:rPr>
              <w:t>TRP</w:t>
            </w:r>
          </w:p>
        </w:tc>
        <w:tc>
          <w:tcPr>
            <w:tcW w:w="5805" w:type="dxa"/>
          </w:tcPr>
          <w:p w14:paraId="4CF1E13A" w14:textId="574F5D54" w:rsidR="00042207" w:rsidRPr="00E66C73" w:rsidRDefault="008C2AE2"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T</w:t>
            </w:r>
            <w:r w:rsidR="00042207" w:rsidRPr="00E66C73">
              <w:rPr>
                <w:rFonts w:ascii="Calibri" w:hAnsi="Calibri" w:cs="Calibri"/>
                <w:color w:val="auto"/>
              </w:rPr>
              <w:t xml:space="preserve">otal </w:t>
            </w:r>
            <w:r w:rsidR="00AA6FF1" w:rsidRPr="00E66C73">
              <w:rPr>
                <w:rFonts w:ascii="Calibri" w:hAnsi="Calibri" w:cs="Calibri"/>
                <w:color w:val="auto"/>
              </w:rPr>
              <w:t>r</w:t>
            </w:r>
            <w:r w:rsidR="00042207" w:rsidRPr="00E66C73">
              <w:rPr>
                <w:rFonts w:ascii="Calibri" w:hAnsi="Calibri" w:cs="Calibri"/>
                <w:color w:val="auto"/>
              </w:rPr>
              <w:t xml:space="preserve">emuneration </w:t>
            </w:r>
            <w:r w:rsidR="00AA6FF1" w:rsidRPr="00E66C73">
              <w:rPr>
                <w:rFonts w:ascii="Calibri" w:hAnsi="Calibri" w:cs="Calibri"/>
                <w:color w:val="auto"/>
              </w:rPr>
              <w:t>p</w:t>
            </w:r>
            <w:r w:rsidR="00042207" w:rsidRPr="00E66C73">
              <w:rPr>
                <w:rFonts w:ascii="Calibri" w:hAnsi="Calibri" w:cs="Calibri"/>
                <w:color w:val="auto"/>
              </w:rPr>
              <w:t>ackage</w:t>
            </w:r>
            <w:r w:rsidR="00526A8B" w:rsidRPr="00E66C73">
              <w:rPr>
                <w:rFonts w:ascii="Calibri" w:hAnsi="Calibri" w:cs="Calibri"/>
                <w:color w:val="auto"/>
              </w:rPr>
              <w:t xml:space="preserve">, which is the sum of base salary, superannuation contributions, non-monetary employment benefits and the annual cost to the employer of providing the non-monetary benefits.  </w:t>
            </w:r>
          </w:p>
        </w:tc>
      </w:tr>
      <w:tr w:rsidR="00E66C73" w:rsidRPr="00E66C73" w14:paraId="471A4EEE"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2A487384" w14:textId="146F493C" w:rsidR="00A24584" w:rsidRPr="00E66C73" w:rsidRDefault="00A24584" w:rsidP="009E51EE">
            <w:pPr>
              <w:pStyle w:val="Textinthetable"/>
              <w:keepNext w:val="0"/>
              <w:widowControl w:val="0"/>
              <w:rPr>
                <w:rFonts w:ascii="Calibri" w:hAnsi="Calibri" w:cs="Calibri"/>
                <w:color w:val="auto"/>
              </w:rPr>
            </w:pPr>
            <w:r w:rsidRPr="00E66C73">
              <w:rPr>
                <w:rFonts w:ascii="Calibri" w:hAnsi="Calibri" w:cs="Calibri"/>
                <w:color w:val="auto"/>
              </w:rPr>
              <w:t>Victorian Budget</w:t>
            </w:r>
          </w:p>
        </w:tc>
        <w:tc>
          <w:tcPr>
            <w:tcW w:w="5805" w:type="dxa"/>
          </w:tcPr>
          <w:p w14:paraId="388450BE" w14:textId="1FAE68FA" w:rsidR="00A24584" w:rsidRPr="00E66C73" w:rsidRDefault="00A24584"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i/>
                <w:color w:val="auto"/>
              </w:rPr>
            </w:pPr>
            <w:r w:rsidRPr="00E66C73">
              <w:rPr>
                <w:rFonts w:ascii="Calibri" w:hAnsi="Calibri" w:cs="Calibri"/>
                <w:i/>
                <w:color w:val="auto"/>
              </w:rPr>
              <w:t>Victorian Budget 2023/24</w:t>
            </w:r>
          </w:p>
        </w:tc>
      </w:tr>
      <w:tr w:rsidR="00E66C73" w:rsidRPr="00E66C73" w14:paraId="3755964D"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1619A4"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VIRTIPS Act</w:t>
            </w:r>
          </w:p>
        </w:tc>
        <w:tc>
          <w:tcPr>
            <w:tcW w:w="5805" w:type="dxa"/>
          </w:tcPr>
          <w:p w14:paraId="48E29406" w14:textId="77777777" w:rsidR="00CD5958" w:rsidRPr="00E66C73"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i/>
                <w:color w:val="auto"/>
              </w:rPr>
              <w:t>Victorian Independent Remuneration Tribunal and Improving Parliamentary Standards Act 2019</w:t>
            </w:r>
            <w:r w:rsidRPr="00E66C73">
              <w:rPr>
                <w:rFonts w:ascii="Calibri" w:hAnsi="Calibri" w:cs="Calibri"/>
                <w:color w:val="auto"/>
              </w:rPr>
              <w:t xml:space="preserve"> (Vic)</w:t>
            </w:r>
          </w:p>
        </w:tc>
      </w:tr>
      <w:tr w:rsidR="00E66C73" w:rsidRPr="00E66C73" w14:paraId="6AD8292C"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6973E5EE"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VPS</w:t>
            </w:r>
          </w:p>
        </w:tc>
        <w:tc>
          <w:tcPr>
            <w:tcW w:w="5805" w:type="dxa"/>
          </w:tcPr>
          <w:p w14:paraId="1E48D320" w14:textId="77777777" w:rsidR="00CD5958" w:rsidRPr="00E66C73"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Victorian Public Service</w:t>
            </w:r>
          </w:p>
        </w:tc>
      </w:tr>
      <w:tr w:rsidR="00880B97" w:rsidRPr="00E66C73" w14:paraId="3AC551BC"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DAEA18B" w14:textId="168CE078" w:rsidR="00880B97" w:rsidRPr="00880B97" w:rsidRDefault="00880B97" w:rsidP="00880B97">
            <w:pPr>
              <w:pStyle w:val="Textinthetable"/>
              <w:keepNext w:val="0"/>
              <w:widowControl w:val="0"/>
              <w:rPr>
                <w:rFonts w:ascii="Calibri" w:hAnsi="Calibri" w:cs="Calibri"/>
                <w:bCs w:val="0"/>
                <w:color w:val="auto"/>
              </w:rPr>
            </w:pPr>
            <w:r w:rsidRPr="00880B97">
              <w:rPr>
                <w:rFonts w:ascii="Calibri" w:hAnsi="Calibri" w:cs="Calibri"/>
                <w:bCs w:val="0"/>
                <w:color w:val="auto"/>
              </w:rPr>
              <w:t>VPS Enterprise Agreement</w:t>
            </w:r>
          </w:p>
        </w:tc>
        <w:tc>
          <w:tcPr>
            <w:tcW w:w="5805" w:type="dxa"/>
          </w:tcPr>
          <w:p w14:paraId="7F780784" w14:textId="358C172A" w:rsidR="00880B97" w:rsidRPr="00880B97" w:rsidRDefault="00880B97" w:rsidP="00880B97">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880B97">
              <w:rPr>
                <w:rFonts w:ascii="Calibri" w:hAnsi="Calibri" w:cs="Calibri"/>
                <w:color w:val="auto"/>
              </w:rPr>
              <w:t>Victorian Public Service Enterprise Agreement 2020</w:t>
            </w:r>
          </w:p>
        </w:tc>
      </w:tr>
      <w:tr w:rsidR="00E66C73" w:rsidRPr="00E66C73" w14:paraId="70D4024B" w14:textId="77777777" w:rsidTr="00880B97">
        <w:tc>
          <w:tcPr>
            <w:cnfStyle w:val="001000000000" w:firstRow="0" w:lastRow="0" w:firstColumn="1" w:lastColumn="0" w:oddVBand="0" w:evenVBand="0" w:oddHBand="0" w:evenHBand="0" w:firstRowFirstColumn="0" w:firstRowLastColumn="0" w:lastRowFirstColumn="0" w:lastRowLastColumn="0"/>
            <w:tcW w:w="2689" w:type="dxa"/>
          </w:tcPr>
          <w:p w14:paraId="01B05FD2" w14:textId="77777777" w:rsidR="00CD5958" w:rsidRPr="00880B97" w:rsidRDefault="00CD5958" w:rsidP="009E51EE">
            <w:pPr>
              <w:pStyle w:val="Textinthetable"/>
              <w:keepNext w:val="0"/>
              <w:widowControl w:val="0"/>
              <w:rPr>
                <w:rFonts w:ascii="Calibri" w:hAnsi="Calibri" w:cs="Calibri"/>
                <w:bCs w:val="0"/>
                <w:color w:val="auto"/>
              </w:rPr>
            </w:pPr>
            <w:r w:rsidRPr="00880B97">
              <w:rPr>
                <w:rFonts w:ascii="Calibri" w:hAnsi="Calibri" w:cs="Calibri"/>
                <w:bCs w:val="0"/>
                <w:color w:val="auto"/>
              </w:rPr>
              <w:t>VPSC</w:t>
            </w:r>
          </w:p>
        </w:tc>
        <w:tc>
          <w:tcPr>
            <w:tcW w:w="5805" w:type="dxa"/>
          </w:tcPr>
          <w:p w14:paraId="66589EE1" w14:textId="77777777" w:rsidR="00CD5958" w:rsidRPr="00E66C73"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Victorian Public Sector Commission</w:t>
            </w:r>
          </w:p>
        </w:tc>
      </w:tr>
      <w:tr w:rsidR="00E66C73" w:rsidRPr="00E66C73" w14:paraId="0CCC0811" w14:textId="77777777" w:rsidTr="00880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DA768B"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Wages Policy</w:t>
            </w:r>
          </w:p>
        </w:tc>
        <w:tc>
          <w:tcPr>
            <w:tcW w:w="5805" w:type="dxa"/>
          </w:tcPr>
          <w:p w14:paraId="3A027EEC" w14:textId="79E4C179" w:rsidR="00CD5958" w:rsidRPr="00E66C73"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E66C73">
              <w:rPr>
                <w:rFonts w:ascii="Calibri" w:hAnsi="Calibri" w:cs="Calibri"/>
                <w:color w:val="auto"/>
              </w:rPr>
              <w:t xml:space="preserve">Victorian </w:t>
            </w:r>
            <w:r w:rsidR="005D71BA" w:rsidRPr="00E66C73">
              <w:rPr>
                <w:rFonts w:ascii="Calibri" w:hAnsi="Calibri" w:cs="Calibri"/>
                <w:color w:val="auto"/>
              </w:rPr>
              <w:t>Public Sector Wages Policy</w:t>
            </w:r>
          </w:p>
        </w:tc>
      </w:tr>
      <w:tr w:rsidR="00E66C73" w:rsidRPr="00E66C73" w14:paraId="2628E3DC" w14:textId="77777777" w:rsidTr="00880B97">
        <w:trPr>
          <w:trHeight w:val="58"/>
        </w:trPr>
        <w:tc>
          <w:tcPr>
            <w:cnfStyle w:val="001000000000" w:firstRow="0" w:lastRow="0" w:firstColumn="1" w:lastColumn="0" w:oddVBand="0" w:evenVBand="0" w:oddHBand="0" w:evenHBand="0" w:firstRowFirstColumn="0" w:firstRowLastColumn="0" w:lastRowFirstColumn="0" w:lastRowLastColumn="0"/>
            <w:tcW w:w="2689" w:type="dxa"/>
          </w:tcPr>
          <w:p w14:paraId="0A5E2FF9" w14:textId="77777777" w:rsidR="00CD5958" w:rsidRPr="00E66C73" w:rsidRDefault="00CD5958" w:rsidP="009E51EE">
            <w:pPr>
              <w:pStyle w:val="Textinthetable"/>
              <w:keepNext w:val="0"/>
              <w:widowControl w:val="0"/>
              <w:rPr>
                <w:rFonts w:ascii="Calibri" w:hAnsi="Calibri" w:cs="Calibri"/>
                <w:b/>
                <w:color w:val="auto"/>
              </w:rPr>
            </w:pPr>
            <w:r w:rsidRPr="00E66C73">
              <w:rPr>
                <w:rFonts w:ascii="Calibri" w:hAnsi="Calibri" w:cs="Calibri"/>
                <w:color w:val="auto"/>
              </w:rPr>
              <w:t>WPI</w:t>
            </w:r>
          </w:p>
        </w:tc>
        <w:tc>
          <w:tcPr>
            <w:tcW w:w="5805" w:type="dxa"/>
          </w:tcPr>
          <w:p w14:paraId="5A6314FC" w14:textId="77777777" w:rsidR="00CD5958" w:rsidRPr="00E66C73"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E66C73">
              <w:rPr>
                <w:rFonts w:ascii="Calibri" w:hAnsi="Calibri" w:cs="Calibri"/>
                <w:color w:val="auto"/>
              </w:rPr>
              <w:t>Wage Price Index</w:t>
            </w:r>
          </w:p>
        </w:tc>
      </w:tr>
    </w:tbl>
    <w:p w14:paraId="359652F1" w14:textId="011D1A39" w:rsidR="00CD5958" w:rsidRDefault="00CD5958" w:rsidP="00C06D68">
      <w:pPr>
        <w:pStyle w:val="05Paragraph"/>
        <w:sectPr w:rsidR="00CD5958" w:rsidSect="00D43074">
          <w:headerReference w:type="even" r:id="rId16"/>
          <w:headerReference w:type="default" r:id="rId17"/>
          <w:footerReference w:type="default" r:id="rId18"/>
          <w:headerReference w:type="first" r:id="rId19"/>
          <w:type w:val="continuous"/>
          <w:pgSz w:w="11906" w:h="16838"/>
          <w:pgMar w:top="1701" w:right="1701" w:bottom="1559" w:left="1701" w:header="708" w:footer="708" w:gutter="0"/>
          <w:cols w:space="708"/>
          <w:titlePg/>
          <w:docGrid w:linePitch="360"/>
        </w:sectPr>
      </w:pPr>
    </w:p>
    <w:p w14:paraId="6C30B999" w14:textId="098B0C61" w:rsidR="00FE72FD" w:rsidRDefault="00FE72FD" w:rsidP="000232F3">
      <w:pPr>
        <w:pStyle w:val="Chapter"/>
      </w:pPr>
      <w:bookmarkStart w:id="31" w:name="_Toc138761733"/>
      <w:bookmarkStart w:id="32" w:name="_Toc138760905"/>
      <w:bookmarkStart w:id="33" w:name="_Toc138761065"/>
      <w:bookmarkStart w:id="34" w:name="_Toc138859158"/>
      <w:r w:rsidRPr="000232F3">
        <w:rPr>
          <w:rStyle w:val="01ChapterheadingChar"/>
        </w:rPr>
        <w:t>Summary</w:t>
      </w:r>
      <w:bookmarkEnd w:id="31"/>
      <w:bookmarkEnd w:id="34"/>
      <w:r w:rsidR="0048340F">
        <w:br/>
      </w:r>
      <w:bookmarkEnd w:id="32"/>
      <w:bookmarkEnd w:id="33"/>
    </w:p>
    <w:p w14:paraId="0A9D07E8" w14:textId="51BC8CE4" w:rsidR="00336444" w:rsidRPr="00A81333" w:rsidRDefault="00336444" w:rsidP="00336444">
      <w:pPr>
        <w:pStyle w:val="05Paragraph"/>
        <w:rPr>
          <w:lang w:val="en-US"/>
        </w:rPr>
      </w:pPr>
      <w:r w:rsidRPr="00A81333">
        <w:rPr>
          <w:lang w:val="en-US"/>
        </w:rPr>
        <w:t xml:space="preserve">The Victorian Independent Remuneration Tribunal </w:t>
      </w:r>
      <w:r w:rsidR="000E5915">
        <w:rPr>
          <w:lang w:val="en-US"/>
        </w:rPr>
        <w:t>has</w:t>
      </w:r>
      <w:r w:rsidRPr="00A81333">
        <w:rPr>
          <w:lang w:val="en-US"/>
        </w:rPr>
        <w:t xml:space="preserve"> ma</w:t>
      </w:r>
      <w:r w:rsidR="000E5915">
        <w:rPr>
          <w:lang w:val="en-US"/>
        </w:rPr>
        <w:t>d</w:t>
      </w:r>
      <w:r w:rsidRPr="00A81333">
        <w:rPr>
          <w:lang w:val="en-US"/>
        </w:rPr>
        <w:t xml:space="preserve">e a Determination providing for an annual adjustment to the values of the remuneration bands for executives employed in </w:t>
      </w:r>
      <w:r w:rsidR="00B23DCB">
        <w:rPr>
          <w:lang w:val="en-US"/>
        </w:rPr>
        <w:t>prescribed public entities</w:t>
      </w:r>
      <w:r w:rsidR="009666B0">
        <w:rPr>
          <w:lang w:val="en-US"/>
        </w:rPr>
        <w:t xml:space="preserve"> from 1 July 2023</w:t>
      </w:r>
      <w:r w:rsidRPr="00A81333">
        <w:rPr>
          <w:lang w:val="en-US"/>
        </w:rPr>
        <w:t>.</w:t>
      </w:r>
    </w:p>
    <w:p w14:paraId="627CB56A" w14:textId="2D481E3F" w:rsidR="00C73554" w:rsidRPr="00C73554" w:rsidRDefault="00C73554" w:rsidP="00C73554">
      <w:pPr>
        <w:pStyle w:val="05Paragraph"/>
        <w:rPr>
          <w:lang w:val="en-US"/>
        </w:rPr>
      </w:pPr>
      <w:r w:rsidRPr="00C73554">
        <w:rPr>
          <w:lang w:val="en-US"/>
        </w:rPr>
        <w:t xml:space="preserve">The values of the remuneration bands for executives employed in </w:t>
      </w:r>
      <w:r w:rsidR="009A69A1">
        <w:rPr>
          <w:lang w:val="en-US"/>
        </w:rPr>
        <w:t xml:space="preserve">prescribed </w:t>
      </w:r>
      <w:r w:rsidRPr="00C73554">
        <w:rPr>
          <w:lang w:val="en-US"/>
        </w:rPr>
        <w:t xml:space="preserve">public </w:t>
      </w:r>
      <w:r w:rsidR="009A69A1">
        <w:rPr>
          <w:lang w:val="en-US"/>
        </w:rPr>
        <w:t>entities</w:t>
      </w:r>
      <w:r w:rsidRPr="00C73554">
        <w:rPr>
          <w:lang w:val="en-US"/>
        </w:rPr>
        <w:t xml:space="preserve"> are expressed as a total remuneration package (TRP), inclusive of salary and superannuation. The Tribunal has decided to adjust the salary and superannuation components of the remuneration bands separately by adjusting the notional:</w:t>
      </w:r>
    </w:p>
    <w:p w14:paraId="654881EA" w14:textId="17121C43" w:rsidR="00C73554" w:rsidRPr="00C73554" w:rsidRDefault="00C73554" w:rsidP="00C73554">
      <w:pPr>
        <w:pStyle w:val="06VIRTBulletpoints"/>
        <w:rPr>
          <w:lang w:val="en-US"/>
        </w:rPr>
      </w:pPr>
      <w:r w:rsidRPr="00C73554">
        <w:rPr>
          <w:lang w:val="en-US"/>
        </w:rPr>
        <w:t>salary component by 4 per cent</w:t>
      </w:r>
    </w:p>
    <w:p w14:paraId="077C83C0" w14:textId="6B3C3E64" w:rsidR="00C73554" w:rsidRDefault="00C73554" w:rsidP="00C73554">
      <w:pPr>
        <w:pStyle w:val="06VIRTBulletpoints"/>
        <w:rPr>
          <w:lang w:val="en-US"/>
        </w:rPr>
      </w:pPr>
      <w:r w:rsidRPr="00C73554">
        <w:rPr>
          <w:lang w:val="en-US"/>
        </w:rPr>
        <w:t xml:space="preserve">superannuation component by </w:t>
      </w:r>
      <w:r w:rsidRPr="00E143D5">
        <w:rPr>
          <w:lang w:val="en-US"/>
        </w:rPr>
        <w:t>between $1,</w:t>
      </w:r>
      <w:r w:rsidR="00CF00E3" w:rsidRPr="00E143D5">
        <w:rPr>
          <w:lang w:val="en-US"/>
        </w:rPr>
        <w:t>231</w:t>
      </w:r>
      <w:r w:rsidRPr="00C73554">
        <w:rPr>
          <w:lang w:val="en-US"/>
        </w:rPr>
        <w:t xml:space="preserve"> and $2,107, consistent with changes in superannuation entitlements from 1 July 2023.</w:t>
      </w:r>
    </w:p>
    <w:p w14:paraId="01FE95C4" w14:textId="583E2459" w:rsidR="0031732A" w:rsidRPr="005514F5" w:rsidRDefault="0031732A" w:rsidP="0031732A">
      <w:pPr>
        <w:pStyle w:val="05Paragraph"/>
        <w:rPr>
          <w:spacing w:val="-2"/>
          <w:lang w:val="en-US"/>
        </w:rPr>
      </w:pPr>
      <w:r w:rsidRPr="005514F5">
        <w:rPr>
          <w:spacing w:val="-2"/>
        </w:rPr>
        <w:t>The Tribunal</w:t>
      </w:r>
      <w:r w:rsidR="00270204" w:rsidRPr="005514F5">
        <w:rPr>
          <w:spacing w:val="-2"/>
        </w:rPr>
        <w:t xml:space="preserve">’s </w:t>
      </w:r>
      <w:r w:rsidRPr="005514F5">
        <w:rPr>
          <w:spacing w:val="-2"/>
        </w:rPr>
        <w:t>decision is consistent with ensuring that prescribed public entit</w:t>
      </w:r>
      <w:r w:rsidR="00053870">
        <w:rPr>
          <w:spacing w:val="-2"/>
        </w:rPr>
        <w:t>y</w:t>
      </w:r>
      <w:r w:rsidRPr="005514F5">
        <w:rPr>
          <w:spacing w:val="-2"/>
        </w:rPr>
        <w:t xml:space="preserve"> </w:t>
      </w:r>
      <w:r w:rsidR="00F77B7E">
        <w:rPr>
          <w:spacing w:val="-2"/>
        </w:rPr>
        <w:t xml:space="preserve">employers </w:t>
      </w:r>
      <w:r w:rsidRPr="005514F5">
        <w:rPr>
          <w:spacing w:val="-2"/>
        </w:rPr>
        <w:t>are able to offer remuneration arrangements that are fair and reasonable to attract and retain talented executive</w:t>
      </w:r>
      <w:r w:rsidR="006036C3" w:rsidRPr="005514F5">
        <w:rPr>
          <w:spacing w:val="-2"/>
        </w:rPr>
        <w:t>s</w:t>
      </w:r>
      <w:r w:rsidR="00CE40FC" w:rsidRPr="005514F5">
        <w:rPr>
          <w:spacing w:val="-2"/>
        </w:rPr>
        <w:t xml:space="preserve"> to deliver the </w:t>
      </w:r>
      <w:r w:rsidR="006036C3" w:rsidRPr="005514F5">
        <w:rPr>
          <w:spacing w:val="-2"/>
        </w:rPr>
        <w:t>agenda of the government of the day</w:t>
      </w:r>
      <w:r w:rsidRPr="005514F5">
        <w:rPr>
          <w:spacing w:val="-2"/>
        </w:rPr>
        <w:t>.</w:t>
      </w:r>
      <w:r w:rsidR="009E5CFF" w:rsidRPr="005514F5">
        <w:rPr>
          <w:spacing w:val="-2"/>
        </w:rPr>
        <w:t xml:space="preserve"> </w:t>
      </w:r>
    </w:p>
    <w:p w14:paraId="1BFAC521" w14:textId="3F52226E" w:rsidR="00A5250E" w:rsidRPr="0036425B" w:rsidRDefault="00A5250E" w:rsidP="00947EB0">
      <w:pPr>
        <w:pStyle w:val="05Paragraph"/>
        <w:spacing w:after="120"/>
        <w:rPr>
          <w:spacing w:val="-6"/>
        </w:rPr>
      </w:pPr>
      <w:r w:rsidRPr="0036425B">
        <w:rPr>
          <w:spacing w:val="-6"/>
        </w:rPr>
        <w:t xml:space="preserve">The </w:t>
      </w:r>
      <w:r w:rsidR="0090170B" w:rsidRPr="0036425B">
        <w:rPr>
          <w:spacing w:val="-6"/>
        </w:rPr>
        <w:t xml:space="preserve">values of the </w:t>
      </w:r>
      <w:r w:rsidRPr="0036425B">
        <w:rPr>
          <w:spacing w:val="-6"/>
        </w:rPr>
        <w:t>remuneration bands which apply from 1 July 2023 are set out below:</w:t>
      </w:r>
    </w:p>
    <w:tbl>
      <w:tblPr>
        <w:tblStyle w:val="ListTable3-Accent21"/>
        <w:tblW w:w="8500" w:type="dxa"/>
        <w:tblInd w:w="5" w:type="dxa"/>
        <w:tblLayout w:type="fixed"/>
        <w:tblLook w:val="04A0" w:firstRow="1" w:lastRow="0" w:firstColumn="1" w:lastColumn="0" w:noHBand="0" w:noVBand="1"/>
      </w:tblPr>
      <w:tblGrid>
        <w:gridCol w:w="4248"/>
        <w:gridCol w:w="2126"/>
        <w:gridCol w:w="2126"/>
      </w:tblGrid>
      <w:tr w:rsidR="00A5250E" w:rsidRPr="00DC4B96" w14:paraId="553BC958" w14:textId="77777777" w:rsidTr="007C3D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48" w:type="dxa"/>
            <w:tcBorders>
              <w:top w:val="single" w:sz="4" w:space="0" w:color="148A5D" w:themeColor="accent2"/>
              <w:bottom w:val="single" w:sz="4" w:space="0" w:color="148A5D"/>
            </w:tcBorders>
            <w:shd w:val="clear" w:color="auto" w:fill="auto"/>
          </w:tcPr>
          <w:p w14:paraId="7E69388F" w14:textId="77777777" w:rsidR="00A5250E" w:rsidRPr="007C3D52" w:rsidRDefault="00A5250E">
            <w:pPr>
              <w:pStyle w:val="10Tabletext"/>
              <w:rPr>
                <w:rFonts w:ascii="Calibri" w:hAnsi="Calibri" w:cs="Calibri"/>
                <w:color w:val="auto"/>
              </w:rPr>
            </w:pPr>
            <w:r w:rsidRPr="007C3D52">
              <w:rPr>
                <w:rFonts w:ascii="Calibri" w:hAnsi="Calibri" w:cs="Calibri"/>
                <w:color w:val="auto"/>
              </w:rPr>
              <w:t>Classification</w:t>
            </w:r>
          </w:p>
        </w:tc>
        <w:tc>
          <w:tcPr>
            <w:tcW w:w="2126" w:type="dxa"/>
            <w:tcBorders>
              <w:top w:val="single" w:sz="4" w:space="0" w:color="148A5D" w:themeColor="accent2"/>
              <w:bottom w:val="single" w:sz="4" w:space="0" w:color="148A5D"/>
            </w:tcBorders>
            <w:shd w:val="clear" w:color="auto" w:fill="auto"/>
          </w:tcPr>
          <w:p w14:paraId="25ABC148" w14:textId="77777777" w:rsidR="00A5250E" w:rsidRPr="007C3D52" w:rsidRDefault="00A5250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7C3D52">
              <w:rPr>
                <w:rFonts w:ascii="Calibri" w:hAnsi="Calibri" w:cs="Calibri"/>
                <w:color w:val="auto"/>
              </w:rPr>
              <w:t>Base of band ($ p.a.)</w:t>
            </w:r>
          </w:p>
        </w:tc>
        <w:tc>
          <w:tcPr>
            <w:tcW w:w="2126" w:type="dxa"/>
            <w:tcBorders>
              <w:top w:val="single" w:sz="4" w:space="0" w:color="148A5D" w:themeColor="accent2"/>
              <w:bottom w:val="single" w:sz="4" w:space="0" w:color="148A5D"/>
            </w:tcBorders>
            <w:shd w:val="clear" w:color="auto" w:fill="auto"/>
          </w:tcPr>
          <w:p w14:paraId="4922C065" w14:textId="77777777" w:rsidR="00A5250E" w:rsidRPr="007C3D52" w:rsidRDefault="00A5250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Top of band ($ p.a.)</w:t>
            </w:r>
          </w:p>
        </w:tc>
      </w:tr>
      <w:tr w:rsidR="00A5250E" w:rsidRPr="00DC4B96" w14:paraId="4163CDD4" w14:textId="77777777" w:rsidTr="007C3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1A808F6" w14:textId="493F469D" w:rsidR="00A5250E" w:rsidRPr="00DC4B96" w:rsidRDefault="00CE02EA">
            <w:pPr>
              <w:pStyle w:val="10Tabletext"/>
              <w:rPr>
                <w:rFonts w:ascii="Calibri" w:hAnsi="Calibri" w:cs="Calibri"/>
              </w:rPr>
            </w:pPr>
            <w:r w:rsidRPr="00CE02EA">
              <w:rPr>
                <w:rFonts w:ascii="Calibri" w:hAnsi="Calibri" w:cs="Calibri"/>
              </w:rPr>
              <w:t>Public Entity Senior Executive Service</w:t>
            </w:r>
            <w:r w:rsidR="00A5250E" w:rsidRPr="00DC4B96">
              <w:rPr>
                <w:rFonts w:ascii="Calibri" w:hAnsi="Calibri" w:cs="Calibri"/>
              </w:rPr>
              <w:t>-1</w:t>
            </w:r>
          </w:p>
        </w:tc>
        <w:tc>
          <w:tcPr>
            <w:tcW w:w="2126" w:type="dxa"/>
            <w:vAlign w:val="center"/>
          </w:tcPr>
          <w:p w14:paraId="566CB6F5" w14:textId="77777777" w:rsidR="00A5250E" w:rsidRPr="00DC4B96" w:rsidRDefault="00A5250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4B96">
              <w:rPr>
                <w:rFonts w:ascii="Calibri" w:hAnsi="Calibri" w:cs="Calibri"/>
              </w:rPr>
              <w:t>151,134</w:t>
            </w:r>
          </w:p>
        </w:tc>
        <w:tc>
          <w:tcPr>
            <w:tcW w:w="2126" w:type="dxa"/>
            <w:vAlign w:val="center"/>
          </w:tcPr>
          <w:p w14:paraId="23B3BCEE" w14:textId="77777777" w:rsidR="00A5250E" w:rsidRPr="00DC4B96" w:rsidRDefault="00A5250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4B96">
              <w:rPr>
                <w:rFonts w:ascii="Calibri" w:hAnsi="Calibri" w:cs="Calibri"/>
              </w:rPr>
              <w:t>279,238</w:t>
            </w:r>
          </w:p>
        </w:tc>
      </w:tr>
      <w:tr w:rsidR="00A5250E" w:rsidRPr="00DC4B96" w14:paraId="39049563" w14:textId="77777777" w:rsidTr="0036425B">
        <w:tc>
          <w:tcPr>
            <w:cnfStyle w:val="001000000000" w:firstRow="0" w:lastRow="0" w:firstColumn="1" w:lastColumn="0" w:oddVBand="0" w:evenVBand="0" w:oddHBand="0" w:evenHBand="0" w:firstRowFirstColumn="0" w:firstRowLastColumn="0" w:lastRowFirstColumn="0" w:lastRowLastColumn="0"/>
            <w:tcW w:w="4248" w:type="dxa"/>
          </w:tcPr>
          <w:p w14:paraId="2CDC0FEA" w14:textId="0121B833" w:rsidR="00A5250E" w:rsidRPr="00DC4B96" w:rsidRDefault="00CE02EA">
            <w:pPr>
              <w:pStyle w:val="10Tabletext"/>
              <w:rPr>
                <w:rFonts w:ascii="Calibri" w:hAnsi="Calibri" w:cs="Calibri"/>
              </w:rPr>
            </w:pPr>
            <w:r w:rsidRPr="00CE02EA">
              <w:rPr>
                <w:rFonts w:ascii="Calibri" w:hAnsi="Calibri" w:cs="Calibri"/>
              </w:rPr>
              <w:t>Public Entity Senior Executive Service</w:t>
            </w:r>
            <w:r w:rsidR="00A5250E" w:rsidRPr="00DC4B96">
              <w:rPr>
                <w:rFonts w:ascii="Calibri" w:hAnsi="Calibri" w:cs="Calibri"/>
              </w:rPr>
              <w:t>-2</w:t>
            </w:r>
          </w:p>
        </w:tc>
        <w:tc>
          <w:tcPr>
            <w:tcW w:w="2126" w:type="dxa"/>
            <w:vAlign w:val="center"/>
          </w:tcPr>
          <w:p w14:paraId="115B4BF1" w14:textId="77777777" w:rsidR="00A5250E" w:rsidRPr="00DC4B96" w:rsidRDefault="00A5250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B96">
              <w:rPr>
                <w:rFonts w:ascii="Calibri" w:hAnsi="Calibri" w:cs="Calibri"/>
              </w:rPr>
              <w:t>279,239</w:t>
            </w:r>
          </w:p>
        </w:tc>
        <w:tc>
          <w:tcPr>
            <w:tcW w:w="2126" w:type="dxa"/>
            <w:vAlign w:val="center"/>
          </w:tcPr>
          <w:p w14:paraId="767D1E69" w14:textId="77777777" w:rsidR="00A5250E" w:rsidRPr="00DC4B96" w:rsidRDefault="00A5250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4B96">
              <w:rPr>
                <w:rFonts w:ascii="Calibri" w:hAnsi="Calibri" w:cs="Calibri"/>
              </w:rPr>
              <w:t>401,017</w:t>
            </w:r>
          </w:p>
        </w:tc>
      </w:tr>
      <w:tr w:rsidR="00A5250E" w:rsidRPr="00DC4B96" w14:paraId="65FB7DAB" w14:textId="77777777" w:rsidTr="00364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FE3B886" w14:textId="3D2E88F0" w:rsidR="00A5250E" w:rsidRPr="00DC4B96" w:rsidRDefault="00CE02EA">
            <w:pPr>
              <w:pStyle w:val="10Tabletext"/>
              <w:rPr>
                <w:rFonts w:ascii="Calibri" w:hAnsi="Calibri" w:cs="Calibri"/>
                <w:vertAlign w:val="superscript"/>
              </w:rPr>
            </w:pPr>
            <w:r w:rsidRPr="00CE02EA">
              <w:rPr>
                <w:rFonts w:ascii="Calibri" w:hAnsi="Calibri" w:cs="Calibri"/>
              </w:rPr>
              <w:t>Public Entity Senior Executive Service</w:t>
            </w:r>
            <w:r w:rsidR="00A5250E" w:rsidRPr="00DC4B96">
              <w:rPr>
                <w:rFonts w:ascii="Calibri" w:hAnsi="Calibri" w:cs="Calibri"/>
              </w:rPr>
              <w:t>-3</w:t>
            </w:r>
          </w:p>
        </w:tc>
        <w:tc>
          <w:tcPr>
            <w:tcW w:w="2126" w:type="dxa"/>
            <w:vAlign w:val="center"/>
          </w:tcPr>
          <w:p w14:paraId="5E2AEA68" w14:textId="77777777" w:rsidR="00A5250E" w:rsidRPr="00DC4B96" w:rsidRDefault="00A5250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4B96">
              <w:rPr>
                <w:rFonts w:ascii="Calibri" w:hAnsi="Calibri" w:cs="Calibri"/>
              </w:rPr>
              <w:t>401,018</w:t>
            </w:r>
          </w:p>
        </w:tc>
        <w:tc>
          <w:tcPr>
            <w:tcW w:w="2126" w:type="dxa"/>
            <w:vAlign w:val="center"/>
          </w:tcPr>
          <w:p w14:paraId="2F6F9031" w14:textId="77777777" w:rsidR="00A5250E" w:rsidRPr="00DC4B96" w:rsidRDefault="00A5250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4B96">
              <w:rPr>
                <w:rFonts w:ascii="Calibri" w:hAnsi="Calibri" w:cs="Calibri"/>
              </w:rPr>
              <w:t>533,431</w:t>
            </w:r>
          </w:p>
        </w:tc>
      </w:tr>
    </w:tbl>
    <w:p w14:paraId="7C10E91A" w14:textId="67D5A7B5" w:rsidR="00A5250E" w:rsidRPr="009A6CDB" w:rsidRDefault="00A5250E" w:rsidP="00A5250E">
      <w:pPr>
        <w:pStyle w:val="09Sourcesandnotesfortablesfiguresboxes"/>
        <w:rPr>
          <w:highlight w:val="yellow"/>
        </w:rPr>
      </w:pPr>
      <w:r w:rsidRPr="00F05128">
        <w:t>Note</w:t>
      </w:r>
      <w:r>
        <w:t>:</w:t>
      </w:r>
      <w:r w:rsidRPr="00F05128">
        <w:t xml:space="preserve"> </w:t>
      </w:r>
      <w:r>
        <w:t>W</w:t>
      </w:r>
      <w:r w:rsidRPr="00F05128">
        <w:t xml:space="preserve">hen the work value of an executive’s position has been assessed and the position has a work value score of at least 21 points, the executive’s TRP must be no lower than </w:t>
      </w:r>
      <w:r w:rsidR="008A1D08" w:rsidRPr="008A1D08">
        <w:t xml:space="preserve">$216,376 </w:t>
      </w:r>
      <w:r w:rsidRPr="00F05128">
        <w:t xml:space="preserve">per annum (based on 1.0 FTE). </w:t>
      </w:r>
    </w:p>
    <w:p w14:paraId="765D3BFA" w14:textId="4202D3AD" w:rsidR="00157565" w:rsidRPr="00893E9E" w:rsidRDefault="00157565" w:rsidP="00157565">
      <w:pPr>
        <w:pStyle w:val="05Paragraph"/>
        <w:rPr>
          <w:spacing w:val="-4"/>
        </w:rPr>
      </w:pPr>
      <w:r w:rsidRPr="00893E9E">
        <w:rPr>
          <w:spacing w:val="-4"/>
        </w:rPr>
        <w:t xml:space="preserve">The Tribunal does not set </w:t>
      </w:r>
      <w:r w:rsidR="00143DC4" w:rsidRPr="00893E9E">
        <w:rPr>
          <w:spacing w:val="-4"/>
        </w:rPr>
        <w:t xml:space="preserve">or adjust </w:t>
      </w:r>
      <w:r w:rsidRPr="00893E9E">
        <w:rPr>
          <w:spacing w:val="-4"/>
        </w:rPr>
        <w:t xml:space="preserve">the remuneration </w:t>
      </w:r>
      <w:r w:rsidR="00941E97" w:rsidRPr="00893E9E">
        <w:rPr>
          <w:spacing w:val="-4"/>
        </w:rPr>
        <w:t>for</w:t>
      </w:r>
      <w:r w:rsidRPr="00893E9E">
        <w:rPr>
          <w:spacing w:val="-4"/>
        </w:rPr>
        <w:t xml:space="preserve"> individual executives, which is a matter for their employer. Nonetheless, some executives — those remunerated at or near the base of the relevant band immediately prior to 1 July 2023 — will receive a TRP uplift to ensure they continue to be remunerated within that band.</w:t>
      </w:r>
    </w:p>
    <w:p w14:paraId="6BDCC228" w14:textId="678F0FC7" w:rsidR="00336444" w:rsidRDefault="00336444" w:rsidP="00336444">
      <w:pPr>
        <w:pStyle w:val="03VIRTHeading3"/>
      </w:pPr>
      <w:bookmarkStart w:id="35" w:name="_Toc138761209"/>
      <w:r w:rsidRPr="009F29E3">
        <w:t xml:space="preserve">The Tribunal considered </w:t>
      </w:r>
      <w:r>
        <w:t xml:space="preserve">legislative and other </w:t>
      </w:r>
      <w:r w:rsidRPr="009F29E3">
        <w:t>factors</w:t>
      </w:r>
      <w:bookmarkEnd w:id="35"/>
      <w:r w:rsidRPr="009F29E3">
        <w:t xml:space="preserve"> </w:t>
      </w:r>
    </w:p>
    <w:p w14:paraId="0F1163C2" w14:textId="7E17FD4F" w:rsidR="00336444" w:rsidRDefault="00336444" w:rsidP="00336444">
      <w:pPr>
        <w:pStyle w:val="05Paragraph"/>
      </w:pPr>
      <w:r>
        <w:t>The Tribunal is required by legislation to consider several factors in making a Determination:</w:t>
      </w:r>
    </w:p>
    <w:p w14:paraId="292CBA42" w14:textId="77777777" w:rsidR="00336444" w:rsidRDefault="00336444" w:rsidP="00336444">
      <w:pPr>
        <w:pStyle w:val="06VIRTBulletpoints"/>
        <w:ind w:left="502" w:hanging="360"/>
      </w:pPr>
      <w:r>
        <w:t>the Victorian Government’s Wages Policy</w:t>
      </w:r>
    </w:p>
    <w:p w14:paraId="33F232F8" w14:textId="77777777" w:rsidR="00336444" w:rsidRDefault="00336444" w:rsidP="00336444">
      <w:pPr>
        <w:pStyle w:val="06VIRTBulletpoints"/>
        <w:ind w:left="502" w:hanging="360"/>
      </w:pPr>
      <w:r>
        <w:t>the financial position and fiscal strategy of the State of Victoria</w:t>
      </w:r>
    </w:p>
    <w:p w14:paraId="6D9A2863" w14:textId="77777777" w:rsidR="00336444" w:rsidRDefault="00336444" w:rsidP="00336444">
      <w:pPr>
        <w:pStyle w:val="06VIRTBulletpoints"/>
        <w:ind w:left="502" w:hanging="360"/>
      </w:pPr>
      <w:r>
        <w:t>current and projected economic conditions and trends</w:t>
      </w:r>
    </w:p>
    <w:p w14:paraId="4E0C4511" w14:textId="77777777" w:rsidR="00336444" w:rsidRDefault="00336444" w:rsidP="00336444">
      <w:pPr>
        <w:pStyle w:val="06VIRTBulletpoints"/>
        <w:ind w:left="502" w:hanging="360"/>
      </w:pPr>
      <w:r>
        <w:t>submissions received in relation to the proposed Determination.</w:t>
      </w:r>
    </w:p>
    <w:p w14:paraId="69DE5560" w14:textId="5138254C" w:rsidR="00AB55C9" w:rsidRDefault="00AB55C9" w:rsidP="00C870BD">
      <w:pPr>
        <w:pStyle w:val="05Paragraph"/>
        <w:rPr>
          <w:lang w:val="en-US"/>
        </w:rPr>
      </w:pPr>
      <w:r w:rsidRPr="00AB55C9">
        <w:rPr>
          <w:lang w:val="en-US"/>
        </w:rPr>
        <w:t xml:space="preserve">The Tribunal noted that economy-wide wage growth has picked up in response to the tight labour market and high inflation, with </w:t>
      </w:r>
      <w:r w:rsidR="006648FE">
        <w:rPr>
          <w:lang w:val="en-US"/>
        </w:rPr>
        <w:t xml:space="preserve">growth in </w:t>
      </w:r>
      <w:r w:rsidRPr="00AB55C9">
        <w:rPr>
          <w:lang w:val="en-US"/>
        </w:rPr>
        <w:t xml:space="preserve">the national Wage Price Index (WPI) forecast to peak at around 4 per cent in the second half of 2023. It also noted movements in inflation, including growth in the Melbourne Consumer Price Index (CPI) of 6.8 per cent over the year to March 2023, and forecast average growth of 4.25 per cent </w:t>
      </w:r>
      <w:r w:rsidR="006648FE">
        <w:rPr>
          <w:lang w:val="en-US"/>
        </w:rPr>
        <w:t xml:space="preserve">in this index </w:t>
      </w:r>
      <w:r w:rsidRPr="00AB55C9">
        <w:rPr>
          <w:lang w:val="en-US"/>
        </w:rPr>
        <w:t>in 2023-24.</w:t>
      </w:r>
    </w:p>
    <w:p w14:paraId="59A731B6" w14:textId="37559914" w:rsidR="00C870BD" w:rsidRPr="004F0EA6" w:rsidRDefault="00C870BD" w:rsidP="00C870BD">
      <w:pPr>
        <w:pStyle w:val="05Paragraph"/>
        <w:rPr>
          <w:lang w:val="en-US"/>
        </w:rPr>
      </w:pPr>
      <w:r>
        <w:rPr>
          <w:lang w:val="en-US"/>
        </w:rPr>
        <w:t>The Victorian Government’s Wages Policy provides that ‘i</w:t>
      </w:r>
      <w:r w:rsidRPr="004F0EA6">
        <w:rPr>
          <w:lang w:val="en-US"/>
        </w:rPr>
        <w:t>ncreases in wages and conditions will be funded at a rate of growth of 3 per cent per annum over the life of the agreemen</w:t>
      </w:r>
      <w:r>
        <w:rPr>
          <w:lang w:val="en-US"/>
        </w:rPr>
        <w:t>t’. It further states that:</w:t>
      </w:r>
    </w:p>
    <w:p w14:paraId="7E2AEFBA" w14:textId="069E2BBF" w:rsidR="00C870BD" w:rsidRDefault="00C870BD" w:rsidP="00C870BD">
      <w:pPr>
        <w:pStyle w:val="07VIRTBreakouttext"/>
        <w:rPr>
          <w:lang w:val="en-US"/>
        </w:rPr>
      </w:pPr>
      <w:r w:rsidRPr="004F0EA6">
        <w:rPr>
          <w:lang w:val="en-US"/>
        </w:rPr>
        <w:t>In addition to annual wage increases, a separate lump sum, cash payment will be available equivalent to an additional 0.5 per cent of overall agreement costs which for the purposes of this policy means a per annum amount calculated on wages and wage-related conditions.</w:t>
      </w:r>
    </w:p>
    <w:p w14:paraId="669A00BE" w14:textId="0A3DD2B3" w:rsidR="00C97CDC" w:rsidRDefault="00C97CDC" w:rsidP="00C97CDC">
      <w:pPr>
        <w:pStyle w:val="05Paragraph"/>
      </w:pPr>
      <w:r>
        <w:t>An important consideration in the decision to increase the notional salary component of the remuneration bands was the objective of maintaining relativities between executive and non-executive</w:t>
      </w:r>
      <w:r w:rsidR="008A55AC">
        <w:t xml:space="preserve"> employee</w:t>
      </w:r>
      <w:r>
        <w:t xml:space="preserve">s in prescribed public entities so that executive remuneration remains sufficiently attractive to encourage a steady flow of high-performing employees into executive roles. </w:t>
      </w:r>
    </w:p>
    <w:p w14:paraId="2DBB52C5" w14:textId="1619EE7B" w:rsidR="00BE27B0" w:rsidRDefault="00BE27B0" w:rsidP="00C97CDC">
      <w:pPr>
        <w:pStyle w:val="05Paragraph"/>
      </w:pPr>
      <w:r>
        <w:t xml:space="preserve">The Tribunal </w:t>
      </w:r>
      <w:r w:rsidR="005B1933">
        <w:t>also considered i</w:t>
      </w:r>
      <w:r w:rsidR="007F6E0A">
        <w:t>t</w:t>
      </w:r>
      <w:r w:rsidR="005B1933">
        <w:t xml:space="preserve"> important to </w:t>
      </w:r>
      <w:r w:rsidRPr="004C5561">
        <w:t xml:space="preserve">maintain the broad alignment that exists between the remuneration bands </w:t>
      </w:r>
      <w:r>
        <w:t>for</w:t>
      </w:r>
      <w:r w:rsidRPr="004C5561">
        <w:t xml:space="preserve"> executives employed in prescribed public entities and the separate remuneration bands </w:t>
      </w:r>
      <w:r>
        <w:t>for</w:t>
      </w:r>
      <w:r w:rsidRPr="004C5561">
        <w:t xml:space="preserve"> executives employed in </w:t>
      </w:r>
      <w:r>
        <w:t>public service bodies</w:t>
      </w:r>
      <w:r w:rsidR="005B1933" w:rsidRPr="00B953EA">
        <w:t>, which promote</w:t>
      </w:r>
      <w:r w:rsidR="00E81138" w:rsidRPr="00B953EA">
        <w:t>s</w:t>
      </w:r>
      <w:r w:rsidR="005B1933" w:rsidRPr="00B953EA">
        <w:t xml:space="preserve"> mobility </w:t>
      </w:r>
      <w:r w:rsidR="0017135C" w:rsidRPr="00B953EA">
        <w:t>and fairness in remuneration outcomes across the public sector</w:t>
      </w:r>
      <w:r w:rsidR="007F6E0A" w:rsidRPr="00B953EA">
        <w:t>.</w:t>
      </w:r>
    </w:p>
    <w:p w14:paraId="35FAD310" w14:textId="7BDEAC9D" w:rsidR="00421022" w:rsidRDefault="00421022" w:rsidP="00C97CDC">
      <w:pPr>
        <w:pStyle w:val="05Paragraph"/>
      </w:pPr>
      <w:r>
        <w:br w:type="page"/>
      </w:r>
    </w:p>
    <w:p w14:paraId="5E668115" w14:textId="181F19CC" w:rsidR="002D4A56" w:rsidRDefault="00BB0137" w:rsidP="000232F3">
      <w:pPr>
        <w:pStyle w:val="Chapter"/>
      </w:pPr>
      <w:bookmarkStart w:id="36" w:name="_Toc138761734"/>
      <w:bookmarkStart w:id="37" w:name="_Toc138760906"/>
      <w:bookmarkStart w:id="38" w:name="_Toc138761066"/>
      <w:bookmarkStart w:id="39" w:name="_Toc138859159"/>
      <w:r w:rsidRPr="000232F3">
        <w:rPr>
          <w:rStyle w:val="01ChapterheadingChar"/>
        </w:rPr>
        <w:t>1</w:t>
      </w:r>
      <w:r w:rsidRPr="000232F3">
        <w:rPr>
          <w:rStyle w:val="01ChapterheadingChar"/>
        </w:rPr>
        <w:tab/>
      </w:r>
      <w:r w:rsidR="002829D0" w:rsidRPr="000232F3">
        <w:rPr>
          <w:rStyle w:val="01ChapterheadingChar"/>
        </w:rPr>
        <w:t>Context</w:t>
      </w:r>
      <w:bookmarkEnd w:id="36"/>
      <w:bookmarkEnd w:id="39"/>
      <w:r w:rsidR="002D4A56">
        <w:br/>
      </w:r>
      <w:bookmarkEnd w:id="0"/>
      <w:bookmarkEnd w:id="1"/>
      <w:bookmarkEnd w:id="2"/>
      <w:bookmarkEnd w:id="3"/>
      <w:bookmarkEnd w:id="37"/>
      <w:bookmarkEnd w:id="38"/>
    </w:p>
    <w:p w14:paraId="639319CE" w14:textId="6D5ACF40" w:rsidR="009E05B1" w:rsidRDefault="009E05B1" w:rsidP="009E05B1">
      <w:pPr>
        <w:pStyle w:val="05Paragraph"/>
      </w:pPr>
      <w:bookmarkStart w:id="40" w:name="_Toc344541"/>
      <w:bookmarkStart w:id="41" w:name="_Toc5783357"/>
      <w:r w:rsidRPr="00EE2042">
        <w:t xml:space="preserve">The Victorian Independent Remuneration Tribunal is required to make an annual adjustment to the </w:t>
      </w:r>
      <w:r>
        <w:t>values of the remuneration bands for executives employed in prescribed public entities</w:t>
      </w:r>
      <w:r w:rsidR="007C3D52">
        <w:rPr>
          <w:rFonts w:ascii="ZWAdobeF" w:hAnsi="ZWAdobeF" w:cs="ZWAdobeF"/>
          <w:color w:val="auto"/>
          <w:sz w:val="2"/>
          <w:szCs w:val="2"/>
        </w:rPr>
        <w:t>0F</w:t>
      </w:r>
      <w:r>
        <w:rPr>
          <w:rStyle w:val="FootnoteReference"/>
        </w:rPr>
        <w:footnoteReference w:id="2"/>
      </w:r>
      <w:r>
        <w:t xml:space="preserve"> </w:t>
      </w:r>
      <w:r w:rsidRPr="00EE2042" w:rsidDel="00FE0106">
        <w:t xml:space="preserve">set in </w:t>
      </w:r>
      <w:r w:rsidRPr="00EE2042">
        <w:t>a</w:t>
      </w:r>
      <w:r w:rsidRPr="00EE2042" w:rsidDel="00FE0106">
        <w:t xml:space="preserve"> Determination </w:t>
      </w:r>
      <w:r w:rsidRPr="00EE2042">
        <w:t xml:space="preserve">under the </w:t>
      </w:r>
      <w:r w:rsidRPr="00EE2042">
        <w:rPr>
          <w:i/>
          <w:iCs/>
        </w:rPr>
        <w:t>Victorian Independent Remuneration Tribunal and Improving Parliamentary Standards Act 2019</w:t>
      </w:r>
      <w:r w:rsidRPr="00EE2042">
        <w:t xml:space="preserve"> (Vic) (VIRTIPS Act).</w:t>
      </w:r>
      <w:r w:rsidR="007C3D52">
        <w:rPr>
          <w:rFonts w:ascii="ZWAdobeF" w:hAnsi="ZWAdobeF" w:cs="ZWAdobeF"/>
          <w:color w:val="auto"/>
          <w:sz w:val="2"/>
          <w:szCs w:val="2"/>
        </w:rPr>
        <w:t>1F</w:t>
      </w:r>
      <w:r w:rsidRPr="00EE2042">
        <w:rPr>
          <w:vertAlign w:val="superscript"/>
        </w:rPr>
        <w:footnoteReference w:id="3"/>
      </w:r>
    </w:p>
    <w:p w14:paraId="1D51E14F" w14:textId="23FC5FFA" w:rsidR="009E05B1" w:rsidRPr="00773489" w:rsidRDefault="009E05B1" w:rsidP="009E05B1">
      <w:pPr>
        <w:pStyle w:val="05Paragraph"/>
      </w:pPr>
      <w:r w:rsidRPr="00EE2042">
        <w:t xml:space="preserve">The </w:t>
      </w:r>
      <w:r w:rsidRPr="00EE2042" w:rsidDel="00663F4F">
        <w:t>Determination</w:t>
      </w:r>
      <w:r w:rsidRPr="00EE2042">
        <w:t xml:space="preserve"> in effect</w:t>
      </w:r>
      <w:r w:rsidRPr="00EE2042" w:rsidDel="00663F4F">
        <w:t xml:space="preserve"> is</w:t>
      </w:r>
      <w:r w:rsidRPr="00EE2042">
        <w:t xml:space="preserve"> the</w:t>
      </w:r>
      <w:r>
        <w:t xml:space="preserve"> </w:t>
      </w:r>
      <w:r w:rsidRPr="00773489">
        <w:rPr>
          <w:i/>
          <w:iCs/>
        </w:rPr>
        <w:t xml:space="preserve">Remuneration bands for executives employed in </w:t>
      </w:r>
      <w:r w:rsidR="009D7075">
        <w:rPr>
          <w:i/>
          <w:iCs/>
        </w:rPr>
        <w:t>prescribed public entities</w:t>
      </w:r>
      <w:r w:rsidRPr="00773489">
        <w:rPr>
          <w:i/>
          <w:iCs/>
        </w:rPr>
        <w:t xml:space="preserve"> (Victoria) Determination No. 01/2020</w:t>
      </w:r>
      <w:r>
        <w:rPr>
          <w:i/>
          <w:iCs/>
        </w:rPr>
        <w:t xml:space="preserve"> </w:t>
      </w:r>
      <w:r>
        <w:t xml:space="preserve">(Comprehensive Determination), which was made in </w:t>
      </w:r>
      <w:r w:rsidR="009D7075">
        <w:t>December</w:t>
      </w:r>
      <w:r>
        <w:t xml:space="preserve"> 2020.</w:t>
      </w:r>
      <w:r w:rsidR="007C3D52">
        <w:rPr>
          <w:rFonts w:ascii="ZWAdobeF" w:hAnsi="ZWAdobeF" w:cs="ZWAdobeF"/>
          <w:color w:val="auto"/>
          <w:sz w:val="2"/>
          <w:szCs w:val="2"/>
        </w:rPr>
        <w:t>2F</w:t>
      </w:r>
      <w:r>
        <w:rPr>
          <w:rStyle w:val="FootnoteReference"/>
        </w:rPr>
        <w:footnoteReference w:id="4"/>
      </w:r>
      <w:r>
        <w:t xml:space="preserve"> </w:t>
      </w:r>
      <w:r w:rsidRPr="00722B3A">
        <w:t>The Tribunal made</w:t>
      </w:r>
      <w:r>
        <w:t xml:space="preserve"> annual adjustments to the Comprehensive Determination in 2021 and 2022.</w:t>
      </w:r>
      <w:r w:rsidR="007C3D52">
        <w:rPr>
          <w:rFonts w:ascii="ZWAdobeF" w:hAnsi="ZWAdobeF" w:cs="ZWAdobeF"/>
          <w:color w:val="auto"/>
          <w:sz w:val="2"/>
          <w:szCs w:val="2"/>
        </w:rPr>
        <w:t>3F</w:t>
      </w:r>
      <w:r w:rsidR="00A77FB1">
        <w:rPr>
          <w:rStyle w:val="FootnoteReference"/>
        </w:rPr>
        <w:footnoteReference w:id="5"/>
      </w:r>
    </w:p>
    <w:p w14:paraId="693D55A2" w14:textId="23FAC25A" w:rsidR="009E05B1" w:rsidRDefault="009E05B1" w:rsidP="009E05B1">
      <w:pPr>
        <w:pStyle w:val="05Paragraph"/>
      </w:pPr>
      <w:r>
        <w:t>The Tribunal is required to include a statement of reasons in a Determination.</w:t>
      </w:r>
      <w:r w:rsidR="007C3D52">
        <w:rPr>
          <w:rFonts w:ascii="ZWAdobeF" w:hAnsi="ZWAdobeF" w:cs="ZWAdobeF"/>
          <w:color w:val="auto"/>
          <w:sz w:val="2"/>
          <w:szCs w:val="2"/>
        </w:rPr>
        <w:t>4F</w:t>
      </w:r>
      <w:r>
        <w:rPr>
          <w:rStyle w:val="FootnoteReference"/>
        </w:rPr>
        <w:footnoteReference w:id="6"/>
      </w:r>
      <w:r>
        <w:t xml:space="preserve"> This Statement of Reasons relates to the </w:t>
      </w:r>
      <w:r w:rsidRPr="00A37ABE">
        <w:rPr>
          <w:i/>
          <w:iCs/>
        </w:rPr>
        <w:t xml:space="preserve">Remuneration bands for executives employed in </w:t>
      </w:r>
      <w:r w:rsidR="009D7075">
        <w:rPr>
          <w:i/>
          <w:iCs/>
        </w:rPr>
        <w:t>prescribed public entities</w:t>
      </w:r>
      <w:r w:rsidRPr="00A37ABE">
        <w:rPr>
          <w:i/>
          <w:iCs/>
        </w:rPr>
        <w:t xml:space="preserve"> (Victoria) Annual Adjustment Determination </w:t>
      </w:r>
      <w:r w:rsidR="002157E5">
        <w:rPr>
          <w:i/>
          <w:iCs/>
        </w:rPr>
        <w:t>No.</w:t>
      </w:r>
      <w:r w:rsidR="00895FCB">
        <w:rPr>
          <w:i/>
          <w:iCs/>
        </w:rPr>
        <w:t xml:space="preserve"> 01/</w:t>
      </w:r>
      <w:r w:rsidRPr="00A37ABE">
        <w:rPr>
          <w:i/>
          <w:iCs/>
        </w:rPr>
        <w:t>2023</w:t>
      </w:r>
      <w:r>
        <w:t xml:space="preserve"> (2023 </w:t>
      </w:r>
      <w:r w:rsidR="009D7075">
        <w:t>PE</w:t>
      </w:r>
      <w:r>
        <w:t xml:space="preserve"> Annual Adjustment Determination).</w:t>
      </w:r>
    </w:p>
    <w:p w14:paraId="3594F293" w14:textId="4B9DFD54" w:rsidR="009E05B1" w:rsidRDefault="009E05B1" w:rsidP="00C06D68">
      <w:pPr>
        <w:pStyle w:val="05Paragraph"/>
      </w:pPr>
      <w:r>
        <w:t xml:space="preserve">The 2023 </w:t>
      </w:r>
      <w:r w:rsidR="009D7075">
        <w:t>PE</w:t>
      </w:r>
      <w:r>
        <w:t xml:space="preserve"> Annual Adjustment Determination takes effect on 1 July 2023.</w:t>
      </w:r>
      <w:r w:rsidR="00B953EA">
        <w:t xml:space="preserve"> </w:t>
      </w:r>
      <w:r w:rsidR="002705EC">
        <w:t>For ease of reference, the Tribunal has also published on its website a</w:t>
      </w:r>
      <w:r w:rsidR="007F1D5D">
        <w:t xml:space="preserve"> </w:t>
      </w:r>
      <w:r w:rsidR="00B953EA">
        <w:t xml:space="preserve">consolidated version of </w:t>
      </w:r>
      <w:r w:rsidR="002A2FF0">
        <w:t xml:space="preserve">the </w:t>
      </w:r>
      <w:r w:rsidR="00471EDA">
        <w:t>Comprehensive Determination</w:t>
      </w:r>
      <w:r w:rsidR="00571DE1">
        <w:t xml:space="preserve">, incorporating </w:t>
      </w:r>
      <w:r w:rsidR="00471EDA">
        <w:t>changes made by the 2021, 2022 and 2023 annual adjustments.</w:t>
      </w:r>
    </w:p>
    <w:p w14:paraId="44F45E3C" w14:textId="65FEC9F0" w:rsidR="00CB42A8" w:rsidRPr="00C32E3C" w:rsidRDefault="0074753C" w:rsidP="00C06D68">
      <w:pPr>
        <w:pStyle w:val="05Paragraph"/>
      </w:pPr>
      <w:r>
        <w:t>Prescribed</w:t>
      </w:r>
      <w:r w:rsidR="00FB641C">
        <w:t xml:space="preserve"> </w:t>
      </w:r>
      <w:r w:rsidR="0053007F">
        <w:t xml:space="preserve">public entities </w:t>
      </w:r>
      <w:r>
        <w:t xml:space="preserve">generally </w:t>
      </w:r>
      <w:r w:rsidR="0053007F">
        <w:t>exercise exe</w:t>
      </w:r>
      <w:r w:rsidR="00FB641C">
        <w:t>cutive employment powers under their establishing legislation. However, s</w:t>
      </w:r>
      <w:r w:rsidR="00CB42A8">
        <w:t xml:space="preserve">ome executives in prescribed public entities are employed under Part 3 of the </w:t>
      </w:r>
      <w:r w:rsidR="00CB42A8" w:rsidRPr="00CB42A8">
        <w:rPr>
          <w:i/>
          <w:iCs/>
        </w:rPr>
        <w:t>Public Administration Act 2004</w:t>
      </w:r>
      <w:r w:rsidR="00CB42A8">
        <w:t xml:space="preserve"> (Vic)</w:t>
      </w:r>
      <w:r w:rsidR="00FD07B1">
        <w:t xml:space="preserve"> (PAA)</w:t>
      </w:r>
      <w:r w:rsidR="00CB42A8">
        <w:t>.</w:t>
      </w:r>
      <w:r w:rsidR="00E6610C">
        <w:t xml:space="preserve"> The remuneration bands for </w:t>
      </w:r>
      <w:r w:rsidR="0017413D">
        <w:t>such</w:t>
      </w:r>
      <w:r w:rsidR="00E6610C">
        <w:t xml:space="preserve"> executives </w:t>
      </w:r>
      <w:r w:rsidR="000A55C1">
        <w:t>w</w:t>
      </w:r>
      <w:r w:rsidR="00C32E3C">
        <w:t xml:space="preserve">ill </w:t>
      </w:r>
      <w:r w:rsidR="00A75E34">
        <w:t xml:space="preserve">instead </w:t>
      </w:r>
      <w:r w:rsidR="00C32E3C">
        <w:t>be</w:t>
      </w:r>
      <w:r w:rsidR="000A55C1">
        <w:t xml:space="preserve"> adjusted by the Tribunal’s </w:t>
      </w:r>
      <w:r w:rsidR="000A55C1" w:rsidRPr="00A37ABE">
        <w:rPr>
          <w:i/>
          <w:iCs/>
        </w:rPr>
        <w:t xml:space="preserve">Remuneration bands for executives employed in </w:t>
      </w:r>
      <w:r w:rsidR="000A55C1">
        <w:rPr>
          <w:i/>
          <w:iCs/>
        </w:rPr>
        <w:t>public service bodies</w:t>
      </w:r>
      <w:r w:rsidR="000A55C1" w:rsidRPr="00A37ABE">
        <w:rPr>
          <w:i/>
          <w:iCs/>
        </w:rPr>
        <w:t xml:space="preserve"> (Victoria) Annual Adjustment Determination 2023</w:t>
      </w:r>
      <w:r w:rsidR="00C32E3C">
        <w:t>, which also takes effect on 1 July 2023.</w:t>
      </w:r>
      <w:r w:rsidR="007C3D52">
        <w:rPr>
          <w:rFonts w:ascii="ZWAdobeF" w:hAnsi="ZWAdobeF" w:cs="ZWAdobeF"/>
          <w:color w:val="auto"/>
          <w:sz w:val="2"/>
          <w:szCs w:val="2"/>
        </w:rPr>
        <w:t>5F</w:t>
      </w:r>
      <w:r w:rsidR="00D36780">
        <w:rPr>
          <w:rStyle w:val="FootnoteReference"/>
        </w:rPr>
        <w:footnoteReference w:id="7"/>
      </w:r>
    </w:p>
    <w:p w14:paraId="1A9B7091" w14:textId="02EFD845" w:rsidR="002D4A56" w:rsidRPr="003961B8" w:rsidRDefault="00BB0137" w:rsidP="004D3662">
      <w:pPr>
        <w:pStyle w:val="02VIRTHeading2"/>
      </w:pPr>
      <w:bookmarkStart w:id="42" w:name="_Toc59090122"/>
      <w:bookmarkStart w:id="43" w:name="_Toc138760907"/>
      <w:bookmarkStart w:id="44" w:name="_Toc138761067"/>
      <w:bookmarkStart w:id="45" w:name="_Toc138761210"/>
      <w:bookmarkStart w:id="46" w:name="_Toc138761735"/>
      <w:bookmarkStart w:id="47" w:name="_Hlk100061804"/>
      <w:bookmarkStart w:id="48" w:name="_Toc138859160"/>
      <w:r>
        <w:t>1.1</w:t>
      </w:r>
      <w:r>
        <w:tab/>
      </w:r>
      <w:bookmarkStart w:id="49" w:name="_Toc19554264"/>
      <w:bookmarkStart w:id="50" w:name="_Toc20323433"/>
      <w:bookmarkStart w:id="51" w:name="_Toc33609444"/>
      <w:bookmarkStart w:id="52" w:name="_Toc35006359"/>
      <w:bookmarkStart w:id="53" w:name="_Toc45015313"/>
      <w:bookmarkEnd w:id="42"/>
      <w:bookmarkEnd w:id="49"/>
      <w:bookmarkEnd w:id="50"/>
      <w:bookmarkEnd w:id="51"/>
      <w:bookmarkEnd w:id="52"/>
      <w:bookmarkEnd w:id="53"/>
      <w:r w:rsidR="00BC4D7D">
        <w:t>Legislative requirements</w:t>
      </w:r>
      <w:bookmarkEnd w:id="43"/>
      <w:bookmarkEnd w:id="44"/>
      <w:bookmarkEnd w:id="45"/>
      <w:bookmarkEnd w:id="46"/>
      <w:bookmarkEnd w:id="48"/>
    </w:p>
    <w:p w14:paraId="5752F558" w14:textId="7A95F4D2" w:rsidR="00BC4D7D" w:rsidRPr="00BC4D7D" w:rsidRDefault="00BC4D7D" w:rsidP="008C3D8C">
      <w:pPr>
        <w:pStyle w:val="05Paragraph"/>
        <w:keepNext/>
      </w:pPr>
      <w:bookmarkStart w:id="54" w:name="_Toc19554265"/>
      <w:bookmarkStart w:id="55" w:name="_Toc20323438"/>
      <w:bookmarkStart w:id="56" w:name="_Toc33609445"/>
      <w:bookmarkStart w:id="57" w:name="_Toc35006363"/>
      <w:bookmarkStart w:id="58" w:name="_Toc45015314"/>
      <w:bookmarkStart w:id="59" w:name="_Toc59090123"/>
      <w:bookmarkEnd w:id="47"/>
      <w:r w:rsidRPr="00BC4D7D">
        <w:t>Before making a Determination, the VIRTIPS Act requires the Tribunal to:</w:t>
      </w:r>
      <w:r w:rsidR="007C3D52">
        <w:rPr>
          <w:rFonts w:ascii="ZWAdobeF" w:hAnsi="ZWAdobeF" w:cs="ZWAdobeF"/>
          <w:color w:val="auto"/>
          <w:sz w:val="2"/>
          <w:szCs w:val="2"/>
        </w:rPr>
        <w:t>6F</w:t>
      </w:r>
      <w:r w:rsidR="009663D2">
        <w:rPr>
          <w:rStyle w:val="FootnoteReference"/>
        </w:rPr>
        <w:footnoteReference w:id="8"/>
      </w:r>
    </w:p>
    <w:p w14:paraId="249B1BE5" w14:textId="0DECE4A3" w:rsidR="00BC4D7D" w:rsidRPr="00BC4D7D" w:rsidRDefault="00BC4D7D" w:rsidP="00C06D68">
      <w:pPr>
        <w:pStyle w:val="06VIRTBulletpoints"/>
      </w:pPr>
      <w:r w:rsidRPr="00BC4D7D">
        <w:t>publish notice of its intention to make a Determination</w:t>
      </w:r>
    </w:p>
    <w:p w14:paraId="6D89DB62" w14:textId="69639FB9" w:rsidR="00BC4D7D" w:rsidRPr="00BC4D7D" w:rsidRDefault="00BC4D7D" w:rsidP="00C06D68">
      <w:pPr>
        <w:pStyle w:val="06VIRTBulletpoints"/>
      </w:pPr>
      <w:r w:rsidRPr="00BC4D7D">
        <w:t>include details about the proposed Determination in the public notice</w:t>
      </w:r>
    </w:p>
    <w:p w14:paraId="5CB22B79" w14:textId="2E534FC2" w:rsidR="00BC4D7D" w:rsidRPr="00BC4D7D" w:rsidRDefault="00BC4D7D" w:rsidP="00C06D68">
      <w:pPr>
        <w:pStyle w:val="06VIRTBulletpoints"/>
      </w:pPr>
      <w:r w:rsidRPr="00BC4D7D">
        <w:t>give any affected person or class of persons a reasonable opportunity to make a submission in relation to the proposed Determination.</w:t>
      </w:r>
    </w:p>
    <w:p w14:paraId="3A3A97F3" w14:textId="65DE070F" w:rsidR="00BC4D7D" w:rsidRPr="00BC4D7D" w:rsidRDefault="00BC4D7D" w:rsidP="004A1BF0">
      <w:pPr>
        <w:pStyle w:val="05Paragraph"/>
        <w:keepNext/>
      </w:pPr>
      <w:r w:rsidRPr="00BC4D7D">
        <w:t>In making a Determination, the Tribunal must also consider:</w:t>
      </w:r>
      <w:r w:rsidR="007C3D52">
        <w:rPr>
          <w:rFonts w:ascii="ZWAdobeF" w:hAnsi="ZWAdobeF" w:cs="ZWAdobeF"/>
          <w:color w:val="auto"/>
          <w:sz w:val="2"/>
          <w:szCs w:val="2"/>
        </w:rPr>
        <w:t>7F</w:t>
      </w:r>
      <w:r w:rsidR="00ED2B07">
        <w:rPr>
          <w:rStyle w:val="FootnoteReference"/>
        </w:rPr>
        <w:footnoteReference w:id="9"/>
      </w:r>
    </w:p>
    <w:p w14:paraId="74E41AB1" w14:textId="15F511A5" w:rsidR="00BC4D7D" w:rsidRPr="00BC4D7D" w:rsidRDefault="00BC4D7D" w:rsidP="00C06D68">
      <w:pPr>
        <w:pStyle w:val="06VIRTBulletpoints"/>
      </w:pPr>
      <w:r w:rsidRPr="00BC4D7D">
        <w:t>any statement or policy issued by the Government of Victoria which is in force with respect to its wages policy (or equivalent) and the remuneration and allowances of any specified occupational group</w:t>
      </w:r>
    </w:p>
    <w:p w14:paraId="6DE0FB33" w14:textId="63A66C55" w:rsidR="00BC4D7D" w:rsidRPr="00BC4D7D" w:rsidRDefault="00BC4D7D" w:rsidP="00C06D68">
      <w:pPr>
        <w:pStyle w:val="06VIRTBulletpoints"/>
      </w:pPr>
      <w:r w:rsidRPr="00BC4D7D">
        <w:t>the financial position and fiscal strategy of the State of Victoria</w:t>
      </w:r>
    </w:p>
    <w:p w14:paraId="6B11B9F4" w14:textId="6F7AAA60" w:rsidR="00BC4D7D" w:rsidRPr="00BC4D7D" w:rsidRDefault="00BC4D7D" w:rsidP="00C06D68">
      <w:pPr>
        <w:pStyle w:val="06VIRTBulletpoints"/>
      </w:pPr>
      <w:r w:rsidRPr="00BC4D7D">
        <w:t>current and projected economic conditions and trends</w:t>
      </w:r>
    </w:p>
    <w:p w14:paraId="2217AB2C" w14:textId="737ECD3D" w:rsidR="00BC4D7D" w:rsidRDefault="00BC4D7D" w:rsidP="00C06D68">
      <w:pPr>
        <w:pStyle w:val="06VIRTBulletpoints"/>
      </w:pPr>
      <w:r w:rsidRPr="00BC4D7D">
        <w:t>submissions received in relation to the proposed Determination.</w:t>
      </w:r>
    </w:p>
    <w:p w14:paraId="588AE52D" w14:textId="11C1C483" w:rsidR="00033D4B" w:rsidRPr="00A25D58" w:rsidRDefault="00033D4B" w:rsidP="00C06D68">
      <w:pPr>
        <w:pStyle w:val="05Paragraph"/>
      </w:pPr>
      <w:r w:rsidRPr="00C02C39">
        <w:t>In performing its functions and exercis</w:t>
      </w:r>
      <w:r>
        <w:t>ing</w:t>
      </w:r>
      <w:r w:rsidRPr="00C02C39">
        <w:t xml:space="preserve"> its powers, the Tribunal must act independently </w:t>
      </w:r>
      <w:r w:rsidRPr="00A25D58">
        <w:t>and impartially and is not subject to the control or direction of any person, including the Minister.</w:t>
      </w:r>
      <w:r w:rsidR="007C3D52">
        <w:rPr>
          <w:rFonts w:ascii="ZWAdobeF" w:hAnsi="ZWAdobeF" w:cs="ZWAdobeF"/>
          <w:color w:val="auto"/>
          <w:sz w:val="2"/>
          <w:szCs w:val="2"/>
        </w:rPr>
        <w:t>8F</w:t>
      </w:r>
      <w:r w:rsidRPr="00A25D58">
        <w:rPr>
          <w:rStyle w:val="FootnoteReference"/>
        </w:rPr>
        <w:footnoteReference w:id="10"/>
      </w:r>
    </w:p>
    <w:p w14:paraId="2B16EE1C" w14:textId="77777777" w:rsidR="004F4A46" w:rsidRDefault="00EA4362" w:rsidP="00EA4362">
      <w:pPr>
        <w:pStyle w:val="02VIRTHeading2"/>
      </w:pPr>
      <w:bookmarkStart w:id="60" w:name="_Toc138760908"/>
      <w:bookmarkStart w:id="61" w:name="_Toc138761068"/>
      <w:bookmarkStart w:id="62" w:name="_Toc138761211"/>
      <w:bookmarkStart w:id="63" w:name="_Toc138761736"/>
      <w:bookmarkStart w:id="64" w:name="_Toc138859161"/>
      <w:bookmarkEnd w:id="4"/>
      <w:bookmarkEnd w:id="40"/>
      <w:bookmarkEnd w:id="41"/>
      <w:bookmarkEnd w:id="54"/>
      <w:bookmarkEnd w:id="55"/>
      <w:bookmarkEnd w:id="56"/>
      <w:bookmarkEnd w:id="57"/>
      <w:bookmarkEnd w:id="58"/>
      <w:bookmarkEnd w:id="59"/>
      <w:r>
        <w:t>1.2</w:t>
      </w:r>
      <w:r>
        <w:tab/>
      </w:r>
      <w:r w:rsidR="004F4A46">
        <w:t>Consultation</w:t>
      </w:r>
      <w:bookmarkEnd w:id="60"/>
      <w:bookmarkEnd w:id="61"/>
      <w:bookmarkEnd w:id="62"/>
      <w:bookmarkEnd w:id="63"/>
      <w:bookmarkEnd w:id="64"/>
    </w:p>
    <w:p w14:paraId="769DA114" w14:textId="3FDA4D86" w:rsidR="00EA4362" w:rsidRDefault="00283D29" w:rsidP="00C06D68">
      <w:pPr>
        <w:pStyle w:val="05Paragraph"/>
      </w:pPr>
      <w:r>
        <w:t>The</w:t>
      </w:r>
      <w:r w:rsidR="004F4A46" w:rsidRPr="004F4A46">
        <w:t xml:space="preserve"> Tribunal</w:t>
      </w:r>
      <w:r>
        <w:t xml:space="preserve"> </w:t>
      </w:r>
      <w:r w:rsidR="004F4A46" w:rsidRPr="004F4A46">
        <w:t xml:space="preserve">published notice of </w:t>
      </w:r>
      <w:r w:rsidR="005D3B24">
        <w:t xml:space="preserve">its </w:t>
      </w:r>
      <w:r w:rsidR="004F4A46" w:rsidRPr="004F4A46">
        <w:t>intention to make a Determination on its website</w:t>
      </w:r>
      <w:r w:rsidR="00EA4362">
        <w:t xml:space="preserve"> </w:t>
      </w:r>
      <w:r w:rsidR="00D4717A">
        <w:t xml:space="preserve">in </w:t>
      </w:r>
      <w:r w:rsidR="000B438F">
        <w:t>March</w:t>
      </w:r>
      <w:r w:rsidR="00D4717A">
        <w:t xml:space="preserve"> 2023</w:t>
      </w:r>
      <w:r w:rsidR="00EA4362">
        <w:t xml:space="preserve">. </w:t>
      </w:r>
      <w:r w:rsidR="00EB6C53" w:rsidRPr="004F4A46">
        <w:t xml:space="preserve">The </w:t>
      </w:r>
      <w:r w:rsidR="00EB6C53" w:rsidDel="00974D5C">
        <w:t xml:space="preserve">notice </w:t>
      </w:r>
      <w:r w:rsidR="00EA4362">
        <w:t>contained</w:t>
      </w:r>
      <w:r w:rsidR="00EA4362" w:rsidRPr="004F4A46">
        <w:t xml:space="preserve"> </w:t>
      </w:r>
      <w:r w:rsidR="00EB6C53" w:rsidRPr="004F4A46">
        <w:t xml:space="preserve">a summary of the matters the Tribunal </w:t>
      </w:r>
      <w:r w:rsidR="00AF0841">
        <w:t>is</w:t>
      </w:r>
      <w:r w:rsidR="00EB6C53" w:rsidRPr="004F4A46">
        <w:t xml:space="preserve"> required to consider </w:t>
      </w:r>
      <w:r w:rsidR="00EB6C53">
        <w:t>and called for submissions by 28 April 2023.</w:t>
      </w:r>
    </w:p>
    <w:p w14:paraId="60976ACE" w14:textId="5C3AD2B5" w:rsidR="00EB6C53" w:rsidRDefault="00EB6C53" w:rsidP="00C06D68">
      <w:pPr>
        <w:pStyle w:val="05Paragraph"/>
      </w:pPr>
      <w:r>
        <w:t>In particular, stakeholders were invited to comment on the following questions:</w:t>
      </w:r>
    </w:p>
    <w:p w14:paraId="2BE9386E" w14:textId="77777777" w:rsidR="00EB6C53" w:rsidRDefault="00EB6C53" w:rsidP="00C06D68">
      <w:pPr>
        <w:pStyle w:val="06VIRTBulletpoints"/>
      </w:pPr>
      <w:r>
        <w:t>What adjustment to the values of the remuneration bands should the Tribunal consider, if any?</w:t>
      </w:r>
    </w:p>
    <w:p w14:paraId="2D269467" w14:textId="77777777" w:rsidR="00EB6C53" w:rsidRDefault="00EB6C53" w:rsidP="00C06D68">
      <w:pPr>
        <w:pStyle w:val="06VIRTBulletpoints"/>
      </w:pPr>
      <w:r>
        <w:t>Which economic and financial indicators should the Tribunal consider in adjusting the values of the remuneration bands?</w:t>
      </w:r>
    </w:p>
    <w:p w14:paraId="68A3DDEF" w14:textId="5ECEB82F" w:rsidR="003C4E71" w:rsidRDefault="00EB6C53" w:rsidP="00C06D68">
      <w:pPr>
        <w:pStyle w:val="06VIRTBulletpoints"/>
      </w:pPr>
      <w:r>
        <w:t>What other matters should the Tribunal consider when making the Determination, if any, in addition to those listed in the VIRTIPS Act?</w:t>
      </w:r>
    </w:p>
    <w:p w14:paraId="2144F85F" w14:textId="77777777" w:rsidR="003C4E71" w:rsidRDefault="00EB6C53" w:rsidP="00C06D68">
      <w:pPr>
        <w:pStyle w:val="05Paragraph"/>
      </w:pPr>
      <w:r>
        <w:t xml:space="preserve">The Tribunal </w:t>
      </w:r>
      <w:r w:rsidR="00AC23A3">
        <w:t xml:space="preserve">received </w:t>
      </w:r>
      <w:r>
        <w:t>one confidential submission.</w:t>
      </w:r>
    </w:p>
    <w:p w14:paraId="2CA75DFB" w14:textId="10ED5368" w:rsidR="00184D84" w:rsidRDefault="00184D84" w:rsidP="00C06D68">
      <w:pPr>
        <w:pStyle w:val="05Paragraph"/>
      </w:pPr>
      <w:r>
        <w:t xml:space="preserve">The Tribunal expresses its appreciation </w:t>
      </w:r>
      <w:r w:rsidR="00DA1B2E">
        <w:t>to all those who participated in the process and assisted the Tribunal to perform its functions.</w:t>
      </w:r>
    </w:p>
    <w:p w14:paraId="7BA81D27" w14:textId="77777777" w:rsidR="00DA1B2E" w:rsidRDefault="00DA1B2E" w:rsidP="00C06D68">
      <w:pPr>
        <w:pStyle w:val="05Paragraph"/>
      </w:pPr>
    </w:p>
    <w:p w14:paraId="20D93F8C" w14:textId="2BCD3CF4" w:rsidR="00DA1B2E" w:rsidRPr="00426304" w:rsidRDefault="00DA1B2E" w:rsidP="00C06D68">
      <w:pPr>
        <w:pStyle w:val="05Paragraph"/>
        <w:sectPr w:rsidR="00DA1B2E" w:rsidRPr="00426304" w:rsidSect="0032769C">
          <w:pgSz w:w="11906" w:h="16838"/>
          <w:pgMar w:top="1701" w:right="1701" w:bottom="1559" w:left="1701" w:header="708" w:footer="708" w:gutter="0"/>
          <w:cols w:space="708"/>
          <w:titlePg/>
          <w:docGrid w:linePitch="360"/>
        </w:sectPr>
      </w:pPr>
    </w:p>
    <w:p w14:paraId="18DFD908" w14:textId="7C2D6093" w:rsidR="006B7517" w:rsidRDefault="006B7517" w:rsidP="000232F3">
      <w:pPr>
        <w:pStyle w:val="Chapter"/>
      </w:pPr>
      <w:bookmarkStart w:id="65" w:name="_Toc138761737"/>
      <w:bookmarkStart w:id="66" w:name="_Toc138760909"/>
      <w:bookmarkStart w:id="67" w:name="_Toc138761069"/>
      <w:bookmarkStart w:id="68" w:name="_Hlk100068491"/>
      <w:bookmarkStart w:id="69" w:name="_Toc138859162"/>
      <w:r w:rsidRPr="000232F3">
        <w:rPr>
          <w:rStyle w:val="01ChapterheadingChar"/>
        </w:rPr>
        <w:t>2</w:t>
      </w:r>
      <w:r w:rsidRPr="000232F3">
        <w:rPr>
          <w:rStyle w:val="01ChapterheadingChar"/>
        </w:rPr>
        <w:tab/>
        <w:t>Victorian Government remuneration policies</w:t>
      </w:r>
      <w:bookmarkEnd w:id="65"/>
      <w:bookmarkEnd w:id="69"/>
      <w:r>
        <w:br/>
      </w:r>
      <w:bookmarkEnd w:id="66"/>
      <w:bookmarkEnd w:id="67"/>
    </w:p>
    <w:bookmarkEnd w:id="68"/>
    <w:p w14:paraId="6A6E31C4" w14:textId="0DD0C2F2" w:rsidR="006B7517" w:rsidRDefault="006B7517" w:rsidP="00C06D68">
      <w:pPr>
        <w:pStyle w:val="05Paragraph"/>
      </w:pPr>
      <w:r w:rsidRPr="006B7517">
        <w:t xml:space="preserve">In making this Determination, the Tribunal is required to consider any statement or policy issued by the Government of Victoria which is in force with respect to its wages policy (or equivalent) and </w:t>
      </w:r>
      <w:r w:rsidR="000F3117" w:rsidRPr="00BC4D7D">
        <w:t xml:space="preserve">the remuneration and allowances of any specified occupational </w:t>
      </w:r>
      <w:r w:rsidR="000F3117">
        <w:t>group.</w:t>
      </w:r>
    </w:p>
    <w:p w14:paraId="79C80C63" w14:textId="6425F6F1" w:rsidR="006B7517" w:rsidRDefault="006B7517" w:rsidP="006B7517">
      <w:pPr>
        <w:pStyle w:val="02VIRTHeading2"/>
      </w:pPr>
      <w:bookmarkStart w:id="70" w:name="_Toc138760910"/>
      <w:bookmarkStart w:id="71" w:name="_Toc138761070"/>
      <w:bookmarkStart w:id="72" w:name="_Toc138761212"/>
      <w:bookmarkStart w:id="73" w:name="_Toc138761738"/>
      <w:bookmarkStart w:id="74" w:name="_Toc138859163"/>
      <w:r>
        <w:t>2.1</w:t>
      </w:r>
      <w:r>
        <w:tab/>
        <w:t>Wages Policy</w:t>
      </w:r>
      <w:bookmarkEnd w:id="70"/>
      <w:bookmarkEnd w:id="71"/>
      <w:bookmarkEnd w:id="72"/>
      <w:bookmarkEnd w:id="73"/>
      <w:bookmarkEnd w:id="74"/>
    </w:p>
    <w:p w14:paraId="341721FF" w14:textId="519C84F2" w:rsidR="00C22E8A" w:rsidRPr="007D3696" w:rsidRDefault="00C22E8A" w:rsidP="00C22E8A">
      <w:pPr>
        <w:spacing w:before="180" w:after="0" w:line="276" w:lineRule="auto"/>
        <w:jc w:val="both"/>
        <w:rPr>
          <w:rFonts w:ascii="Calibri" w:hAnsi="Calibri" w:cs="Calibri"/>
          <w:color w:val="000000" w:themeColor="text1"/>
          <w:sz w:val="26"/>
          <w:szCs w:val="20"/>
        </w:rPr>
      </w:pPr>
      <w:r w:rsidRPr="007D3696">
        <w:rPr>
          <w:rFonts w:ascii="Calibri" w:hAnsi="Calibri" w:cs="Calibri"/>
          <w:color w:val="000000" w:themeColor="text1"/>
          <w:sz w:val="26"/>
          <w:szCs w:val="20"/>
        </w:rPr>
        <w:t xml:space="preserve">In April 2023, the Treasurer of Victoria announced the introduction of a new </w:t>
      </w:r>
      <w:r w:rsidRPr="007D3696">
        <w:rPr>
          <w:rFonts w:ascii="Calibri" w:hAnsi="Calibri" w:cs="Calibri"/>
          <w:i/>
          <w:iCs/>
          <w:color w:val="000000" w:themeColor="text1"/>
          <w:sz w:val="26"/>
          <w:szCs w:val="20"/>
        </w:rPr>
        <w:t>Victorian Public Sector Wages Policy</w:t>
      </w:r>
      <w:r w:rsidRPr="007D3696">
        <w:rPr>
          <w:rFonts w:ascii="Calibri" w:hAnsi="Calibri" w:cs="Calibri"/>
          <w:color w:val="000000" w:themeColor="text1"/>
          <w:sz w:val="26"/>
          <w:szCs w:val="20"/>
        </w:rPr>
        <w:t xml:space="preserve"> (Wages Policy), with immediate effect.</w:t>
      </w:r>
      <w:r w:rsidR="007C3D52">
        <w:rPr>
          <w:rFonts w:ascii="ZWAdobeF" w:hAnsi="ZWAdobeF" w:cs="ZWAdobeF"/>
          <w:color w:val="auto"/>
          <w:sz w:val="2"/>
          <w:szCs w:val="2"/>
        </w:rPr>
        <w:t>9F</w:t>
      </w:r>
      <w:r w:rsidRPr="007D3696">
        <w:rPr>
          <w:rFonts w:ascii="Calibri" w:hAnsi="Calibri" w:cs="Calibri"/>
          <w:color w:val="000000" w:themeColor="text1"/>
          <w:sz w:val="26"/>
          <w:szCs w:val="20"/>
          <w:vertAlign w:val="superscript"/>
        </w:rPr>
        <w:footnoteReference w:id="11"/>
      </w:r>
    </w:p>
    <w:p w14:paraId="768004F7" w14:textId="62B5E31F" w:rsidR="00C22E8A" w:rsidRPr="007D3696" w:rsidRDefault="00C22E8A" w:rsidP="00C22E8A">
      <w:pPr>
        <w:spacing w:before="180" w:after="0" w:line="276" w:lineRule="auto"/>
        <w:jc w:val="both"/>
        <w:rPr>
          <w:rFonts w:ascii="Calibri" w:hAnsi="Calibri" w:cs="Calibri"/>
          <w:color w:val="000000" w:themeColor="text1"/>
          <w:sz w:val="26"/>
          <w:szCs w:val="20"/>
        </w:rPr>
      </w:pPr>
      <w:r w:rsidRPr="007D3696">
        <w:rPr>
          <w:rFonts w:ascii="Calibri" w:hAnsi="Calibri" w:cs="Calibri"/>
          <w:color w:val="000000" w:themeColor="text1"/>
          <w:sz w:val="26"/>
          <w:szCs w:val="20"/>
        </w:rPr>
        <w:t>Box </w:t>
      </w:r>
      <w:r w:rsidR="003D0B8D">
        <w:rPr>
          <w:rFonts w:ascii="Calibri" w:hAnsi="Calibri" w:cs="Calibri"/>
          <w:color w:val="000000" w:themeColor="text1"/>
          <w:sz w:val="26"/>
          <w:szCs w:val="20"/>
        </w:rPr>
        <w:t>2</w:t>
      </w:r>
      <w:r w:rsidRPr="007D3696">
        <w:rPr>
          <w:rFonts w:ascii="Calibri" w:hAnsi="Calibri" w:cs="Calibri"/>
          <w:color w:val="000000" w:themeColor="text1"/>
          <w:sz w:val="26"/>
          <w:szCs w:val="20"/>
        </w:rPr>
        <w:t>.1 summarises the key features of the new Wages Policy, which applies to enterprise agreements negotiated by public sector employers</w:t>
      </w:r>
      <w:r w:rsidR="005C34B9">
        <w:rPr>
          <w:rFonts w:ascii="Calibri" w:hAnsi="Calibri" w:cs="Calibri"/>
          <w:color w:val="000000" w:themeColor="text1"/>
          <w:sz w:val="26"/>
          <w:szCs w:val="20"/>
        </w:rPr>
        <w:t>, including prescribed public entities</w:t>
      </w:r>
      <w:r w:rsidRPr="007D3696">
        <w:rPr>
          <w:rFonts w:ascii="Calibri" w:hAnsi="Calibri" w:cs="Calibri"/>
          <w:color w:val="000000" w:themeColor="text1"/>
          <w:sz w:val="26"/>
          <w:szCs w:val="20"/>
        </w:rPr>
        <w:t xml:space="preserve">. </w:t>
      </w:r>
    </w:p>
    <w:p w14:paraId="284B63AB" w14:textId="7CA509F5" w:rsidR="00C22E8A" w:rsidRPr="007D3696" w:rsidRDefault="00C22E8A" w:rsidP="00C22E8A">
      <w:pPr>
        <w:keepNext/>
        <w:spacing w:before="180" w:after="0" w:line="276" w:lineRule="auto"/>
        <w:jc w:val="both"/>
        <w:rPr>
          <w:rFonts w:ascii="Calibri" w:hAnsi="Calibri" w:cs="Calibri"/>
          <w:color w:val="000000" w:themeColor="text1"/>
          <w:sz w:val="26"/>
          <w:szCs w:val="20"/>
        </w:rPr>
      </w:pPr>
      <w:r w:rsidRPr="007D3696">
        <w:rPr>
          <w:rFonts w:ascii="Calibri" w:hAnsi="Calibri" w:cs="Calibri"/>
          <w:color w:val="000000" w:themeColor="text1"/>
          <w:sz w:val="26"/>
          <w:szCs w:val="20"/>
        </w:rPr>
        <w:t>In particular, the new Wages Policy provides that:</w:t>
      </w:r>
      <w:r w:rsidR="007C3D52">
        <w:rPr>
          <w:rFonts w:ascii="ZWAdobeF" w:hAnsi="ZWAdobeF" w:cs="ZWAdobeF"/>
          <w:color w:val="auto"/>
          <w:sz w:val="2"/>
          <w:szCs w:val="2"/>
        </w:rPr>
        <w:t>10F</w:t>
      </w:r>
      <w:r w:rsidR="00F3434C">
        <w:rPr>
          <w:rStyle w:val="FootnoteReference"/>
          <w:rFonts w:ascii="Calibri" w:hAnsi="Calibri" w:cs="Calibri"/>
          <w:color w:val="000000" w:themeColor="text1"/>
          <w:sz w:val="26"/>
          <w:szCs w:val="20"/>
        </w:rPr>
        <w:footnoteReference w:id="12"/>
      </w:r>
    </w:p>
    <w:p w14:paraId="6F3B5097" w14:textId="193B3ED6" w:rsidR="00C22E8A" w:rsidRPr="007D3696" w:rsidRDefault="00C22E8A" w:rsidP="00C22E8A">
      <w:pPr>
        <w:pStyle w:val="06VIRTBulletpoints"/>
      </w:pPr>
      <w:r w:rsidRPr="007D3696">
        <w:t>increases in wages and conditions will be funded at a rate of growth of 3</w:t>
      </w:r>
      <w:r>
        <w:t> </w:t>
      </w:r>
      <w:r w:rsidRPr="007D3696">
        <w:t>per</w:t>
      </w:r>
      <w:r>
        <w:t> </w:t>
      </w:r>
      <w:r w:rsidRPr="007D3696">
        <w:t>cent per annum over the life of the agreement</w:t>
      </w:r>
    </w:p>
    <w:p w14:paraId="518F96E8" w14:textId="61CC3327" w:rsidR="00C22E8A" w:rsidRPr="00A15A23" w:rsidRDefault="00C22E8A" w:rsidP="00C22E8A">
      <w:pPr>
        <w:pStyle w:val="06VIRTBulletpoints"/>
        <w:rPr>
          <w:spacing w:val="-2"/>
        </w:rPr>
      </w:pPr>
      <w:r w:rsidRPr="00A15A23">
        <w:rPr>
          <w:spacing w:val="-2"/>
        </w:rPr>
        <w:t>in addition to annual wage increases, a</w:t>
      </w:r>
      <w:r w:rsidR="00251365" w:rsidRPr="00A15A23">
        <w:rPr>
          <w:spacing w:val="-2"/>
        </w:rPr>
        <w:t xml:space="preserve"> separate</w:t>
      </w:r>
      <w:r w:rsidRPr="00A15A23">
        <w:rPr>
          <w:spacing w:val="-2"/>
        </w:rPr>
        <w:t xml:space="preserve"> lump sum cash payment will be available, equivalent to </w:t>
      </w:r>
      <w:r w:rsidR="00251365" w:rsidRPr="00A15A23">
        <w:rPr>
          <w:spacing w:val="-2"/>
        </w:rPr>
        <w:t xml:space="preserve">an additional </w:t>
      </w:r>
      <w:r w:rsidRPr="00A15A23">
        <w:rPr>
          <w:spacing w:val="-2"/>
        </w:rPr>
        <w:t>0.5 per cent of overall agreement costs.</w:t>
      </w:r>
    </w:p>
    <w:p w14:paraId="02DD0C49" w14:textId="5C17E4EB" w:rsidR="00C1074C" w:rsidRPr="00645D21" w:rsidRDefault="00BA5C49" w:rsidP="003C2B33">
      <w:pPr>
        <w:pStyle w:val="05Paragraph"/>
      </w:pPr>
      <w:bookmarkStart w:id="75" w:name="_Hlk138785005"/>
      <w:r w:rsidRPr="00645D21">
        <w:t>Non-executive employees in prescribed public entities are covered by numerous enterprise agreements, each with their own terms and conditions</w:t>
      </w:r>
      <w:r w:rsidR="001B6B10" w:rsidRPr="00645D21">
        <w:t xml:space="preserve"> and </w:t>
      </w:r>
      <w:r w:rsidR="00532288" w:rsidRPr="00645D21">
        <w:t>commencement and expiry dates</w:t>
      </w:r>
      <w:r w:rsidRPr="00645D21">
        <w:t>.</w:t>
      </w:r>
      <w:r w:rsidR="00C1074C" w:rsidRPr="00645D21">
        <w:t xml:space="preserve"> </w:t>
      </w:r>
      <w:r w:rsidR="003D7CF9" w:rsidRPr="00645D21">
        <w:t>Nonetheless, s</w:t>
      </w:r>
      <w:r w:rsidR="00C91199" w:rsidRPr="00645D21">
        <w:t>ome</w:t>
      </w:r>
      <w:r w:rsidRPr="00645D21">
        <w:t xml:space="preserve"> </w:t>
      </w:r>
      <w:r w:rsidR="003D7CF9" w:rsidRPr="00645D21">
        <w:t>agreements</w:t>
      </w:r>
      <w:r w:rsidRPr="00645D21">
        <w:t xml:space="preserve"> are closely aligned </w:t>
      </w:r>
      <w:r w:rsidR="00510E49" w:rsidRPr="00645D21">
        <w:t>with</w:t>
      </w:r>
      <w:r w:rsidRPr="00645D21">
        <w:t xml:space="preserve"> the </w:t>
      </w:r>
      <w:r w:rsidR="005C34B9" w:rsidRPr="00645D21">
        <w:rPr>
          <w:i/>
        </w:rPr>
        <w:t>Victorian Public Service Enterprise Agreement 2020</w:t>
      </w:r>
      <w:r w:rsidR="005C34B9" w:rsidRPr="00645D21">
        <w:t xml:space="preserve"> (VPS Enterprise Agreement</w:t>
      </w:r>
      <w:r w:rsidR="00082975" w:rsidRPr="00645D21">
        <w:t>)</w:t>
      </w:r>
      <w:r w:rsidR="004D3CDE" w:rsidRPr="00645D21">
        <w:t>,</w:t>
      </w:r>
      <w:r w:rsidR="00082975" w:rsidRPr="00645D21">
        <w:t xml:space="preserve"> which applies to </w:t>
      </w:r>
      <w:r w:rsidR="002F1E05" w:rsidRPr="00645D21">
        <w:t>non</w:t>
      </w:r>
      <w:r w:rsidR="002F1E05" w:rsidRPr="00645D21">
        <w:noBreakHyphen/>
        <w:t>executive Victorian Public Service (VPS) employees.</w:t>
      </w:r>
    </w:p>
    <w:p w14:paraId="0C9D2B69" w14:textId="3BB354FC" w:rsidR="00C22E8A" w:rsidRPr="001532E3" w:rsidRDefault="00C22E8A" w:rsidP="00C22E8A">
      <w:pPr>
        <w:keepNext/>
        <w:spacing w:before="180" w:after="60"/>
        <w:rPr>
          <w:rFonts w:ascii="Calibri" w:hAnsi="Calibri" w:cs="Calibri"/>
          <w:b/>
          <w:color w:val="26664E" w:themeColor="accent1"/>
          <w:sz w:val="24"/>
          <w:szCs w:val="20"/>
          <w:lang w:val="en-US"/>
        </w:rPr>
      </w:pPr>
      <w:bookmarkStart w:id="76" w:name="_Toc114570646"/>
      <w:bookmarkEnd w:id="75"/>
      <w:r w:rsidRPr="001532E3">
        <w:rPr>
          <w:rFonts w:ascii="Calibri" w:hAnsi="Calibri" w:cs="Calibri"/>
          <w:b/>
          <w:color w:val="26664E" w:themeColor="accent1"/>
          <w:sz w:val="24"/>
          <w:szCs w:val="20"/>
          <w:lang w:val="en-US"/>
        </w:rPr>
        <w:t xml:space="preserve">Box </w:t>
      </w:r>
      <w:r w:rsidR="003D0B8D" w:rsidRPr="001532E3">
        <w:rPr>
          <w:rFonts w:ascii="Calibri" w:hAnsi="Calibri" w:cs="Calibri"/>
          <w:b/>
          <w:color w:val="26664E" w:themeColor="accent1"/>
          <w:sz w:val="24"/>
          <w:szCs w:val="20"/>
          <w:lang w:val="en-US"/>
        </w:rPr>
        <w:t>2</w:t>
      </w:r>
      <w:r w:rsidRPr="001532E3">
        <w:rPr>
          <w:rFonts w:ascii="Calibri" w:hAnsi="Calibri" w:cs="Calibri"/>
          <w:b/>
          <w:color w:val="26664E" w:themeColor="accent1"/>
          <w:sz w:val="24"/>
          <w:szCs w:val="20"/>
          <w:lang w:val="en-US"/>
        </w:rPr>
        <w:t>.1: Victorian Public Sector Wages Policy</w:t>
      </w:r>
      <w:bookmarkEnd w:id="76"/>
      <w:r w:rsidRPr="001532E3">
        <w:rPr>
          <w:rFonts w:ascii="Calibri" w:hAnsi="Calibri" w:cs="Calibri"/>
          <w:b/>
          <w:color w:val="26664E" w:themeColor="accent1"/>
          <w:sz w:val="24"/>
          <w:szCs w:val="20"/>
          <w:lang w:val="en-US"/>
        </w:rPr>
        <w:t xml:space="preserve"> — summary</w:t>
      </w:r>
    </w:p>
    <w:p w14:paraId="0497088E" w14:textId="0593228A" w:rsidR="00C22E8A" w:rsidRPr="007D3696" w:rsidRDefault="00C22E8A" w:rsidP="001A03C0">
      <w:pPr>
        <w:pStyle w:val="09Sourcesandnotesfortablesfiguresboxes"/>
      </w:pPr>
      <w:r w:rsidRPr="007D3696">
        <w:rPr>
          <w:rFonts w:ascii="Calibri Light" w:hAnsi="Calibri Light"/>
          <w:noProof/>
        </w:rPr>
        <mc:AlternateContent>
          <mc:Choice Requires="wps">
            <w:drawing>
              <wp:inline distT="0" distB="0" distL="0" distR="0" wp14:anchorId="1593E993" wp14:editId="0A0D9F75">
                <wp:extent cx="5429250" cy="5935980"/>
                <wp:effectExtent l="0" t="0" r="19050" b="26670"/>
                <wp:docPr id="280" name="Text Box 280" descr="P274TB4#y1"/>
                <wp:cNvGraphicFramePr/>
                <a:graphic xmlns:a="http://schemas.openxmlformats.org/drawingml/2006/main">
                  <a:graphicData uri="http://schemas.microsoft.com/office/word/2010/wordprocessingShape">
                    <wps:wsp>
                      <wps:cNvSpPr txBox="1"/>
                      <wps:spPr>
                        <a:xfrm>
                          <a:off x="0" y="0"/>
                          <a:ext cx="5429250" cy="5935980"/>
                        </a:xfrm>
                        <a:prstGeom prst="rect">
                          <a:avLst/>
                        </a:prstGeom>
                        <a:solidFill>
                          <a:sysClr val="window" lastClr="FFFFFF"/>
                        </a:solidFill>
                        <a:ln w="19050">
                          <a:solidFill>
                            <a:srgbClr val="148A5D"/>
                          </a:solidFill>
                        </a:ln>
                      </wps:spPr>
                      <wps:txbx>
                        <w:txbxContent>
                          <w:p w14:paraId="1C42B095" w14:textId="77777777" w:rsidR="00C22E8A" w:rsidRPr="001532E3" w:rsidRDefault="00C22E8A" w:rsidP="00C22E8A">
                            <w:pPr>
                              <w:pStyle w:val="12BoxText"/>
                              <w:spacing w:after="120"/>
                              <w:rPr>
                                <w:rFonts w:ascii="Calibri" w:hAnsi="Calibri" w:cs="Calibri"/>
                              </w:rPr>
                            </w:pPr>
                            <w:r w:rsidRPr="001532E3">
                              <w:rPr>
                                <w:rFonts w:ascii="Calibri" w:hAnsi="Calibri" w:cs="Calibri"/>
                              </w:rPr>
                              <w:t>The Victorian Public Sector Wages Policy has three pillars:</w:t>
                            </w:r>
                          </w:p>
                          <w:p w14:paraId="457D17AD" w14:textId="77777777" w:rsidR="00C22E8A" w:rsidRPr="001532E3" w:rsidRDefault="00C22E8A" w:rsidP="00C22E8A">
                            <w:pPr>
                              <w:pStyle w:val="Bulletsinatable"/>
                              <w:numPr>
                                <w:ilvl w:val="0"/>
                                <w:numId w:val="0"/>
                              </w:numPr>
                              <w:spacing w:before="120" w:after="40"/>
                              <w:ind w:left="357" w:hanging="357"/>
                              <w:rPr>
                                <w:rFonts w:ascii="Calibri" w:hAnsi="Calibri" w:cs="Calibri"/>
                                <w:b/>
                                <w:bCs w:val="0"/>
                              </w:rPr>
                            </w:pPr>
                            <w:r w:rsidRPr="001532E3">
                              <w:rPr>
                                <w:rFonts w:ascii="Calibri" w:hAnsi="Calibri" w:cs="Calibri"/>
                                <w:b/>
                                <w:bCs w:val="0"/>
                              </w:rPr>
                              <w:t>Pillar 1: Wages</w:t>
                            </w:r>
                          </w:p>
                          <w:p w14:paraId="6B020FA0" w14:textId="77777777" w:rsidR="00C22E8A" w:rsidRPr="001532E3" w:rsidRDefault="00C22E8A" w:rsidP="00C22E8A">
                            <w:pPr>
                              <w:pStyle w:val="Bulletsinatable"/>
                              <w:rPr>
                                <w:rFonts w:ascii="Calibri" w:hAnsi="Calibri" w:cs="Calibri"/>
                              </w:rPr>
                            </w:pPr>
                            <w:r w:rsidRPr="001532E3">
                              <w:rPr>
                                <w:rFonts w:ascii="Calibri" w:hAnsi="Calibri" w:cs="Calibri"/>
                              </w:rPr>
                              <w:t>Increases in wages and conditions will be funded at a rate of growth of 3.0 per cent per annum over the life of the agreement. In practice, this means that employee wages and conditions will be allowed to grow at this rate.</w:t>
                            </w:r>
                          </w:p>
                          <w:p w14:paraId="491E6DC7" w14:textId="77777777" w:rsidR="00C22E8A" w:rsidRPr="001532E3" w:rsidRDefault="00C22E8A" w:rsidP="00C22E8A">
                            <w:pPr>
                              <w:pStyle w:val="Bulletsinatable"/>
                              <w:rPr>
                                <w:rFonts w:ascii="Calibri" w:hAnsi="Calibri" w:cs="Calibri"/>
                              </w:rPr>
                            </w:pPr>
                            <w:r w:rsidRPr="001532E3">
                              <w:rPr>
                                <w:rFonts w:ascii="Calibri" w:hAnsi="Calibri" w:cs="Calibri"/>
                              </w:rPr>
                              <w:t>In addition to annual wage increases, a separate lump sum, cash payment will be available equivalent to an additional 0.5 per cent of overall agreement costs which for the purposes of this policy means a per annum amount calculated on wages and wage</w:t>
                            </w:r>
                            <w:r w:rsidRPr="001532E3">
                              <w:rPr>
                                <w:rFonts w:ascii="Calibri" w:hAnsi="Calibri" w:cs="Calibri"/>
                              </w:rPr>
                              <w:noBreakHyphen/>
                              <w:t>related conditions.</w:t>
                            </w:r>
                          </w:p>
                          <w:p w14:paraId="2F66407D" w14:textId="77777777" w:rsidR="00C22E8A" w:rsidRPr="001532E3" w:rsidRDefault="00C22E8A" w:rsidP="00C22E8A">
                            <w:pPr>
                              <w:pStyle w:val="Bulletsinatable"/>
                              <w:numPr>
                                <w:ilvl w:val="0"/>
                                <w:numId w:val="0"/>
                              </w:numPr>
                              <w:spacing w:before="120" w:after="40"/>
                              <w:ind w:left="357" w:hanging="357"/>
                              <w:rPr>
                                <w:rFonts w:ascii="Calibri" w:hAnsi="Calibri" w:cs="Calibri"/>
                                <w:b/>
                                <w:bCs w:val="0"/>
                              </w:rPr>
                            </w:pPr>
                            <w:r w:rsidRPr="001532E3">
                              <w:rPr>
                                <w:rFonts w:ascii="Calibri" w:hAnsi="Calibri" w:cs="Calibri"/>
                                <w:b/>
                                <w:bCs w:val="0"/>
                              </w:rPr>
                              <w:t>Pillar 2: Best Practice Employment Commitment</w:t>
                            </w:r>
                          </w:p>
                          <w:p w14:paraId="00C4C30C" w14:textId="77777777" w:rsidR="00C22E8A" w:rsidRPr="001532E3" w:rsidRDefault="00C22E8A" w:rsidP="00C22E8A">
                            <w:pPr>
                              <w:pStyle w:val="Bulletsinatable"/>
                              <w:rPr>
                                <w:rFonts w:ascii="Calibri" w:hAnsi="Calibri" w:cs="Calibri"/>
                              </w:rPr>
                            </w:pPr>
                            <w:r w:rsidRPr="001532E3">
                              <w:rPr>
                                <w:rFonts w:ascii="Calibri" w:hAnsi="Calibri" w:cs="Calibri"/>
                              </w:rPr>
                              <w:t>Public sector agencies may make a Best Practice Employment Commitment which outlines measures to operationalise elements of the Government’s Public Sector Priorities</w:t>
                            </w:r>
                            <w:r w:rsidRPr="001532E3">
                              <w:rPr>
                                <w:rFonts w:ascii="Calibri" w:hAnsi="Calibri" w:cs="Calibri"/>
                                <w:vertAlign w:val="superscript"/>
                              </w:rPr>
                              <w:t>(a)</w:t>
                            </w:r>
                            <w:r w:rsidRPr="001532E3">
                              <w:rPr>
                                <w:rFonts w:ascii="Calibri" w:hAnsi="Calibri" w:cs="Calibri"/>
                              </w:rPr>
                              <w:t xml:space="preserve"> that reflect good practice within Government and can be implemented operationally or without significant costs.</w:t>
                            </w:r>
                          </w:p>
                          <w:p w14:paraId="177B495A" w14:textId="77777777" w:rsidR="00C22E8A" w:rsidRPr="001532E3" w:rsidRDefault="00C22E8A" w:rsidP="00C22E8A">
                            <w:pPr>
                              <w:pStyle w:val="Bulletsinatable"/>
                              <w:numPr>
                                <w:ilvl w:val="0"/>
                                <w:numId w:val="0"/>
                              </w:numPr>
                              <w:spacing w:before="120" w:after="40"/>
                              <w:ind w:left="357" w:hanging="357"/>
                              <w:rPr>
                                <w:rFonts w:ascii="Calibri" w:hAnsi="Calibri" w:cs="Calibri"/>
                                <w:b/>
                                <w:bCs w:val="0"/>
                              </w:rPr>
                            </w:pPr>
                            <w:r w:rsidRPr="001532E3">
                              <w:rPr>
                                <w:rFonts w:ascii="Calibri" w:hAnsi="Calibri" w:cs="Calibri"/>
                                <w:b/>
                                <w:bCs w:val="0"/>
                              </w:rPr>
                              <w:t>Pillar 3: Additional strategic changes</w:t>
                            </w:r>
                          </w:p>
                          <w:p w14:paraId="6FB9B8B1" w14:textId="77777777" w:rsidR="00C22E8A" w:rsidRPr="001532E3" w:rsidRDefault="00C22E8A" w:rsidP="00C22E8A">
                            <w:pPr>
                              <w:pStyle w:val="Bulletsinatable"/>
                              <w:rPr>
                                <w:rFonts w:ascii="Calibri" w:hAnsi="Calibri" w:cs="Calibri"/>
                              </w:rPr>
                            </w:pPr>
                            <w:r w:rsidRPr="001532E3">
                              <w:rPr>
                                <w:rFonts w:ascii="Calibri" w:hAnsi="Calibri" w:cs="Calibri"/>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42EF5014" w14:textId="77777777" w:rsidR="00C22E8A" w:rsidRPr="001532E3" w:rsidRDefault="00C22E8A" w:rsidP="00C22E8A">
                            <w:pPr>
                              <w:pStyle w:val="12BoxText"/>
                              <w:rPr>
                                <w:rFonts w:ascii="Calibri" w:hAnsi="Calibri" w:cs="Calibri"/>
                              </w:rPr>
                            </w:pPr>
                            <w:r w:rsidRPr="001532E3">
                              <w:rPr>
                                <w:rFonts w:ascii="Calibri" w:hAnsi="Calibri" w:cs="Calibri"/>
                              </w:rPr>
                              <w:t>A ‘Secondary Pathway’ is also available for public sector agencies whose current enterprise agreement reaches its nominal expiry date before 1 January 2024, which permits agreements to be made on the following terms:</w:t>
                            </w:r>
                          </w:p>
                          <w:p w14:paraId="71DFF58A" w14:textId="77777777" w:rsidR="00C22E8A" w:rsidRPr="001532E3" w:rsidRDefault="00C22E8A" w:rsidP="00C22E8A">
                            <w:pPr>
                              <w:pStyle w:val="Bulletsinatable"/>
                              <w:rPr>
                                <w:rFonts w:ascii="Calibri" w:hAnsi="Calibri" w:cs="Calibri"/>
                              </w:rPr>
                            </w:pPr>
                            <w:r w:rsidRPr="001532E3">
                              <w:rPr>
                                <w:rFonts w:ascii="Calibri" w:hAnsi="Calibri" w:cs="Calibri"/>
                              </w:rPr>
                              <w:t>wage and allowance increase funded at a rate of growth of 3.50 per cent per year, pro</w:t>
                            </w:r>
                            <w:r w:rsidRPr="001532E3">
                              <w:rPr>
                                <w:rFonts w:ascii="Calibri" w:hAnsi="Calibri" w:cs="Calibri"/>
                              </w:rPr>
                              <w:noBreakHyphen/>
                              <w:t>rated</w:t>
                            </w:r>
                          </w:p>
                          <w:p w14:paraId="37DBAD03" w14:textId="77777777" w:rsidR="00C22E8A" w:rsidRPr="001532E3" w:rsidRDefault="00C22E8A" w:rsidP="00C22E8A">
                            <w:pPr>
                              <w:pStyle w:val="Bulletsinatable"/>
                              <w:rPr>
                                <w:rFonts w:ascii="Calibri" w:hAnsi="Calibri" w:cs="Calibri"/>
                              </w:rPr>
                            </w:pPr>
                            <w:r w:rsidRPr="001532E3">
                              <w:rPr>
                                <w:rFonts w:ascii="Calibri" w:hAnsi="Calibri" w:cs="Calibri"/>
                              </w:rPr>
                              <w:t>a nominal expiry date of between 12 to 18 months from the nominal expiry date of the current agreement</w:t>
                            </w:r>
                          </w:p>
                          <w:p w14:paraId="01892BED" w14:textId="206FDDA5" w:rsidR="00C22E8A" w:rsidRPr="001532E3" w:rsidRDefault="00C22E8A" w:rsidP="00C22E8A">
                            <w:pPr>
                              <w:pStyle w:val="Bulletsinatable"/>
                              <w:rPr>
                                <w:rFonts w:ascii="Calibri" w:hAnsi="Calibri" w:cs="Calibri"/>
                              </w:rPr>
                            </w:pPr>
                            <w:r w:rsidRPr="001532E3">
                              <w:rPr>
                                <w:rFonts w:ascii="Calibri" w:hAnsi="Calibri" w:cs="Calibri"/>
                              </w:rPr>
                              <w:t>all other terms and conditions as contained in the current agreement</w:t>
                            </w:r>
                            <w:r w:rsidR="00AE134D" w:rsidRPr="001532E3">
                              <w:rPr>
                                <w:rFonts w:ascii="Calibri" w:hAnsi="Calibri" w:cs="Calibri"/>
                              </w:rPr>
                              <w:t>, except for where a change is required under the Public Sector Industrial Relations Policies, to further mutually agreed whole</w:t>
                            </w:r>
                            <w:r w:rsidR="00AE134D" w:rsidRPr="001532E3">
                              <w:rPr>
                                <w:rFonts w:ascii="Calibri" w:hAnsi="Calibri" w:cs="Calibri"/>
                              </w:rPr>
                              <w:noBreakHyphen/>
                              <w:t>of-Government initiatives, to resolve legal issues, or minor changes to improve the clarity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593E993" id="_x0000_t202" coordsize="21600,21600" o:spt="202" path="m,l,21600r21600,l21600,xe">
                <v:stroke joinstyle="miter"/>
                <v:path gradientshapeok="t" o:connecttype="rect"/>
              </v:shapetype>
              <v:shape id="Text Box 280" o:spid="_x0000_s1026" type="#_x0000_t202" alt="P274TB4#y1" style="width:427.5pt;height:4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" fillcolor="window" strokecolor="#148a5d" strokeweight="1.5pt">
                <v:textbox>
                  <w:txbxContent>
                    <w:p w14:paraId="1C42B095" w14:textId="77777777" w:rsidR="00C22E8A" w:rsidRPr="001532E3" w:rsidRDefault="00C22E8A" w:rsidP="00C22E8A">
                      <w:pPr>
                        <w:pStyle w:val="12BoxText"/>
                        <w:spacing w:after="120"/>
                        <w:rPr>
                          <w:rFonts w:ascii="Calibri" w:hAnsi="Calibri" w:cs="Calibri"/>
                        </w:rPr>
                      </w:pPr>
                      <w:r w:rsidRPr="001532E3">
                        <w:rPr>
                          <w:rFonts w:ascii="Calibri" w:hAnsi="Calibri" w:cs="Calibri"/>
                        </w:rPr>
                        <w:t>The Victorian Public Sector Wages Policy has three pillars:</w:t>
                      </w:r>
                    </w:p>
                    <w:p w14:paraId="457D17AD" w14:textId="77777777" w:rsidR="00C22E8A" w:rsidRPr="001532E3" w:rsidRDefault="00C22E8A" w:rsidP="00C22E8A">
                      <w:pPr>
                        <w:pStyle w:val="Bulletsinatable"/>
                        <w:numPr>
                          <w:ilvl w:val="0"/>
                          <w:numId w:val="0"/>
                        </w:numPr>
                        <w:spacing w:before="120" w:after="40"/>
                        <w:ind w:left="357" w:hanging="357"/>
                        <w:rPr>
                          <w:rFonts w:ascii="Calibri" w:hAnsi="Calibri" w:cs="Calibri"/>
                          <w:b/>
                          <w:bCs w:val="0"/>
                        </w:rPr>
                      </w:pPr>
                      <w:r w:rsidRPr="001532E3">
                        <w:rPr>
                          <w:rFonts w:ascii="Calibri" w:hAnsi="Calibri" w:cs="Calibri"/>
                          <w:b/>
                          <w:bCs w:val="0"/>
                        </w:rPr>
                        <w:t>Pillar 1: Wages</w:t>
                      </w:r>
                    </w:p>
                    <w:p w14:paraId="6B020FA0" w14:textId="77777777" w:rsidR="00C22E8A" w:rsidRPr="001532E3" w:rsidRDefault="00C22E8A" w:rsidP="00C22E8A">
                      <w:pPr>
                        <w:pStyle w:val="Bulletsinatable"/>
                        <w:rPr>
                          <w:rFonts w:ascii="Calibri" w:hAnsi="Calibri" w:cs="Calibri"/>
                        </w:rPr>
                      </w:pPr>
                      <w:r w:rsidRPr="001532E3">
                        <w:rPr>
                          <w:rFonts w:ascii="Calibri" w:hAnsi="Calibri" w:cs="Calibri"/>
                        </w:rPr>
                        <w:t>Increases in wages and conditions will be funded at a rate of growth of 3.0 per cent per annum over the life of the agreement. In practice, this means that employee wages and conditions will be allowed to grow at this rate.</w:t>
                      </w:r>
                    </w:p>
                    <w:p w14:paraId="491E6DC7" w14:textId="77777777" w:rsidR="00C22E8A" w:rsidRPr="001532E3" w:rsidRDefault="00C22E8A" w:rsidP="00C22E8A">
                      <w:pPr>
                        <w:pStyle w:val="Bulletsinatable"/>
                        <w:rPr>
                          <w:rFonts w:ascii="Calibri" w:hAnsi="Calibri" w:cs="Calibri"/>
                        </w:rPr>
                      </w:pPr>
                      <w:r w:rsidRPr="001532E3">
                        <w:rPr>
                          <w:rFonts w:ascii="Calibri" w:hAnsi="Calibri" w:cs="Calibri"/>
                        </w:rPr>
                        <w:t>In addition to annual wage increases, a separate lump sum, cash payment will be available equivalent to an additional 0.5 per cent of overall agreement costs which for the purposes of this policy means a per annum amount calculated on wages and wage</w:t>
                      </w:r>
                      <w:r w:rsidRPr="001532E3">
                        <w:rPr>
                          <w:rFonts w:ascii="Calibri" w:hAnsi="Calibri" w:cs="Calibri"/>
                        </w:rPr>
                        <w:noBreakHyphen/>
                        <w:t>related conditions.</w:t>
                      </w:r>
                    </w:p>
                    <w:p w14:paraId="2F66407D" w14:textId="77777777" w:rsidR="00C22E8A" w:rsidRPr="001532E3" w:rsidRDefault="00C22E8A" w:rsidP="00C22E8A">
                      <w:pPr>
                        <w:pStyle w:val="Bulletsinatable"/>
                        <w:numPr>
                          <w:ilvl w:val="0"/>
                          <w:numId w:val="0"/>
                        </w:numPr>
                        <w:spacing w:before="120" w:after="40"/>
                        <w:ind w:left="357" w:hanging="357"/>
                        <w:rPr>
                          <w:rFonts w:ascii="Calibri" w:hAnsi="Calibri" w:cs="Calibri"/>
                          <w:b/>
                          <w:bCs w:val="0"/>
                        </w:rPr>
                      </w:pPr>
                      <w:r w:rsidRPr="001532E3">
                        <w:rPr>
                          <w:rFonts w:ascii="Calibri" w:hAnsi="Calibri" w:cs="Calibri"/>
                          <w:b/>
                          <w:bCs w:val="0"/>
                        </w:rPr>
                        <w:t>Pillar 2: Best Practice Employment Commitment</w:t>
                      </w:r>
                    </w:p>
                    <w:p w14:paraId="00C4C30C" w14:textId="77777777" w:rsidR="00C22E8A" w:rsidRPr="001532E3" w:rsidRDefault="00C22E8A" w:rsidP="00C22E8A">
                      <w:pPr>
                        <w:pStyle w:val="Bulletsinatable"/>
                        <w:rPr>
                          <w:rFonts w:ascii="Calibri" w:hAnsi="Calibri" w:cs="Calibri"/>
                        </w:rPr>
                      </w:pPr>
                      <w:r w:rsidRPr="001532E3">
                        <w:rPr>
                          <w:rFonts w:ascii="Calibri" w:hAnsi="Calibri" w:cs="Calibri"/>
                        </w:rPr>
                        <w:t>Public sector agencies may make a Best Practice Employment Commitment which outlines measures to operationalise elements of the Government’s Public Sector Priorities</w:t>
                      </w:r>
                      <w:r w:rsidRPr="001532E3">
                        <w:rPr>
                          <w:rFonts w:ascii="Calibri" w:hAnsi="Calibri" w:cs="Calibri"/>
                          <w:vertAlign w:val="superscript"/>
                        </w:rPr>
                        <w:t>(a)</w:t>
                      </w:r>
                      <w:r w:rsidRPr="001532E3">
                        <w:rPr>
                          <w:rFonts w:ascii="Calibri" w:hAnsi="Calibri" w:cs="Calibri"/>
                        </w:rPr>
                        <w:t xml:space="preserve"> that reflect good practice within Government and can be implemented operationally or without significant costs.</w:t>
                      </w:r>
                    </w:p>
                    <w:p w14:paraId="177B495A" w14:textId="77777777" w:rsidR="00C22E8A" w:rsidRPr="001532E3" w:rsidRDefault="00C22E8A" w:rsidP="00C22E8A">
                      <w:pPr>
                        <w:pStyle w:val="Bulletsinatable"/>
                        <w:numPr>
                          <w:ilvl w:val="0"/>
                          <w:numId w:val="0"/>
                        </w:numPr>
                        <w:spacing w:before="120" w:after="40"/>
                        <w:ind w:left="357" w:hanging="357"/>
                        <w:rPr>
                          <w:rFonts w:ascii="Calibri" w:hAnsi="Calibri" w:cs="Calibri"/>
                          <w:b/>
                          <w:bCs w:val="0"/>
                        </w:rPr>
                      </w:pPr>
                      <w:r w:rsidRPr="001532E3">
                        <w:rPr>
                          <w:rFonts w:ascii="Calibri" w:hAnsi="Calibri" w:cs="Calibri"/>
                          <w:b/>
                          <w:bCs w:val="0"/>
                        </w:rPr>
                        <w:t>Pillar 3: Additional strategic changes</w:t>
                      </w:r>
                    </w:p>
                    <w:p w14:paraId="6FB9B8B1" w14:textId="77777777" w:rsidR="00C22E8A" w:rsidRPr="001532E3" w:rsidRDefault="00C22E8A" w:rsidP="00C22E8A">
                      <w:pPr>
                        <w:pStyle w:val="Bulletsinatable"/>
                        <w:rPr>
                          <w:rFonts w:ascii="Calibri" w:hAnsi="Calibri" w:cs="Calibri"/>
                        </w:rPr>
                      </w:pPr>
                      <w:r w:rsidRPr="001532E3">
                        <w:rPr>
                          <w:rFonts w:ascii="Calibri" w:hAnsi="Calibri" w:cs="Calibri"/>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42EF5014" w14:textId="77777777" w:rsidR="00C22E8A" w:rsidRPr="001532E3" w:rsidRDefault="00C22E8A" w:rsidP="00C22E8A">
                      <w:pPr>
                        <w:pStyle w:val="12BoxText"/>
                        <w:rPr>
                          <w:rFonts w:ascii="Calibri" w:hAnsi="Calibri" w:cs="Calibri"/>
                        </w:rPr>
                      </w:pPr>
                      <w:r w:rsidRPr="001532E3">
                        <w:rPr>
                          <w:rFonts w:ascii="Calibri" w:hAnsi="Calibri" w:cs="Calibri"/>
                        </w:rPr>
                        <w:t>A ‘Secondary Pathway’ is also available for public sector agencies whose current enterprise agreement reaches its nominal expiry date before 1 January 2024, which permits agreements to be made on the following terms:</w:t>
                      </w:r>
                    </w:p>
                    <w:p w14:paraId="71DFF58A" w14:textId="77777777" w:rsidR="00C22E8A" w:rsidRPr="001532E3" w:rsidRDefault="00C22E8A" w:rsidP="00C22E8A">
                      <w:pPr>
                        <w:pStyle w:val="Bulletsinatable"/>
                        <w:rPr>
                          <w:rFonts w:ascii="Calibri" w:hAnsi="Calibri" w:cs="Calibri"/>
                        </w:rPr>
                      </w:pPr>
                      <w:r w:rsidRPr="001532E3">
                        <w:rPr>
                          <w:rFonts w:ascii="Calibri" w:hAnsi="Calibri" w:cs="Calibri"/>
                        </w:rPr>
                        <w:t>wage and allowance increase funded at a rate of growth of 3.50 per cent per year, pro</w:t>
                      </w:r>
                      <w:r w:rsidRPr="001532E3">
                        <w:rPr>
                          <w:rFonts w:ascii="Calibri" w:hAnsi="Calibri" w:cs="Calibri"/>
                        </w:rPr>
                        <w:noBreakHyphen/>
                        <w:t>rated</w:t>
                      </w:r>
                    </w:p>
                    <w:p w14:paraId="37DBAD03" w14:textId="77777777" w:rsidR="00C22E8A" w:rsidRPr="001532E3" w:rsidRDefault="00C22E8A" w:rsidP="00C22E8A">
                      <w:pPr>
                        <w:pStyle w:val="Bulletsinatable"/>
                        <w:rPr>
                          <w:rFonts w:ascii="Calibri" w:hAnsi="Calibri" w:cs="Calibri"/>
                        </w:rPr>
                      </w:pPr>
                      <w:r w:rsidRPr="001532E3">
                        <w:rPr>
                          <w:rFonts w:ascii="Calibri" w:hAnsi="Calibri" w:cs="Calibri"/>
                        </w:rPr>
                        <w:t>a nominal expiry date of between 12 to 18 months from the nominal expiry date of the current agreement</w:t>
                      </w:r>
                    </w:p>
                    <w:p w14:paraId="01892BED" w14:textId="206FDDA5" w:rsidR="00C22E8A" w:rsidRPr="001532E3" w:rsidRDefault="00C22E8A" w:rsidP="00C22E8A">
                      <w:pPr>
                        <w:pStyle w:val="Bulletsinatable"/>
                        <w:rPr>
                          <w:rFonts w:ascii="Calibri" w:hAnsi="Calibri" w:cs="Calibri"/>
                        </w:rPr>
                      </w:pPr>
                      <w:r w:rsidRPr="001532E3">
                        <w:rPr>
                          <w:rFonts w:ascii="Calibri" w:hAnsi="Calibri" w:cs="Calibri"/>
                        </w:rPr>
                        <w:t>all other terms and conditions as contained in the current agreement</w:t>
                      </w:r>
                      <w:r w:rsidR="00AE134D" w:rsidRPr="001532E3">
                        <w:rPr>
                          <w:rFonts w:ascii="Calibri" w:hAnsi="Calibri" w:cs="Calibri"/>
                        </w:rPr>
                        <w:t>, except for where a change is required under the Public Sector Industrial Relations Policies, to further mutually agreed whole</w:t>
                      </w:r>
                      <w:r w:rsidR="00AE134D" w:rsidRPr="001532E3">
                        <w:rPr>
                          <w:rFonts w:ascii="Calibri" w:hAnsi="Calibri" w:cs="Calibri"/>
                        </w:rPr>
                        <w:noBreakHyphen/>
                        <w:t>of-Government initiatives, to resolve legal issues, or minor changes to improve the clarity of the agreement.</w:t>
                      </w:r>
                    </w:p>
                  </w:txbxContent>
                </v:textbox>
                <w10:anchorlock/>
              </v:shape>
            </w:pict>
          </mc:Fallback>
        </mc:AlternateContent>
      </w:r>
      <w:r w:rsidRPr="007D3696">
        <w:t>Note: (a) The Public Sector Priorities are: the delivery of exceptional services and value for Victorians; a professional and responsive public sector; government as a fair and best practice employer.</w:t>
      </w:r>
    </w:p>
    <w:p w14:paraId="312FE5E9" w14:textId="77777777" w:rsidR="00C22E8A" w:rsidRDefault="00C22E8A" w:rsidP="001A03C0">
      <w:pPr>
        <w:pStyle w:val="09Sourcesandnotesfortablesfiguresboxes"/>
      </w:pPr>
      <w:r w:rsidRPr="007D3696">
        <w:t>Source: Industrial Relations Victoria (2023).</w:t>
      </w:r>
    </w:p>
    <w:p w14:paraId="45CBA8A4" w14:textId="627BF83C" w:rsidR="00BD17C1" w:rsidRDefault="00BD17C1" w:rsidP="00BD17C1">
      <w:pPr>
        <w:pStyle w:val="05Paragraph"/>
      </w:pPr>
      <w:r>
        <w:t xml:space="preserve">The VPS Enterprise Agreement, which was negotiated under a previous wages policy, provides for annual increases to the salary bands for non-executive VPS employees averaging 2 per cent per annum over the life of the agreement. Since 1 July 2022, when the Tribunal’s last annual adjustment took effect, there has been one increase to the non-executive </w:t>
      </w:r>
      <w:r w:rsidR="00A9457F">
        <w:t xml:space="preserve">VPS </w:t>
      </w:r>
      <w:r>
        <w:t>salary bands — a 1.5 per cent increase on 1 March 2023. A further increase of 1 per cent will occur on 1</w:t>
      </w:r>
      <w:r w:rsidR="00E71AA0">
        <w:t> </w:t>
      </w:r>
      <w:r>
        <w:t>December 2023.</w:t>
      </w:r>
      <w:r w:rsidR="007C3D52">
        <w:rPr>
          <w:rFonts w:ascii="ZWAdobeF" w:hAnsi="ZWAdobeF" w:cs="ZWAdobeF"/>
          <w:color w:val="auto"/>
          <w:sz w:val="2"/>
          <w:szCs w:val="2"/>
        </w:rPr>
        <w:t>11F</w:t>
      </w:r>
      <w:r w:rsidR="00ED306A">
        <w:rPr>
          <w:rStyle w:val="FootnoteReference"/>
        </w:rPr>
        <w:footnoteReference w:id="13"/>
      </w:r>
      <w:r>
        <w:t xml:space="preserve"> </w:t>
      </w:r>
    </w:p>
    <w:p w14:paraId="311164EF" w14:textId="52E8ECB8" w:rsidR="00BD17C1" w:rsidRDefault="00BD17C1" w:rsidP="00BD17C1">
      <w:pPr>
        <w:pStyle w:val="05Paragraph"/>
      </w:pPr>
      <w:r>
        <w:t>In addition to scheduled wage increases, non-executive VPS employees may also be eligible for progression at the end of each performance cycle (1 July to 30</w:t>
      </w:r>
      <w:r w:rsidR="00185B6A">
        <w:t> </w:t>
      </w:r>
      <w:r>
        <w:t xml:space="preserve">June). For employees in grades 1 to 4 who meet the progression criteria, progression results in a salary increase of </w:t>
      </w:r>
      <w:r w:rsidR="003824FB">
        <w:t>up to approximately</w:t>
      </w:r>
      <w:r>
        <w:t xml:space="preserve"> 2 per cent, while for senior officers (grades 5 and 6) the increase </w:t>
      </w:r>
      <w:r w:rsidR="004863B4">
        <w:t xml:space="preserve">could be up to approximately </w:t>
      </w:r>
      <w:r>
        <w:t>3</w:t>
      </w:r>
      <w:r w:rsidR="004863B4">
        <w:t> </w:t>
      </w:r>
      <w:r>
        <w:t xml:space="preserve">per cent. Employees who are at the top of their grade or value range and meet the progression criteria will, in lieu of a salary increase, receive a payment equivalent to 1 per cent of their salary as at 30 June. </w:t>
      </w:r>
    </w:p>
    <w:p w14:paraId="6F1F9001" w14:textId="0359F800" w:rsidR="00BD17C1" w:rsidRPr="007D3696" w:rsidRDefault="00BD17C1" w:rsidP="00BD17C1">
      <w:pPr>
        <w:pStyle w:val="05Paragraph"/>
      </w:pPr>
      <w:r>
        <w:t>The VPS Enterprise Agreement also provides for an annual mobility payment for all non-executive VPS employees, paid as a lump sum on 1 July each year. The value of the mobility payment payable each year is set in dollar terms in the agreement, and is approximately equal to 1.25 per cent of the top of the relevant salary band as at 1 July.</w:t>
      </w:r>
    </w:p>
    <w:p w14:paraId="1F7F62CE" w14:textId="654D3C7A" w:rsidR="006B7517" w:rsidRDefault="0082103B" w:rsidP="0082103B">
      <w:pPr>
        <w:pStyle w:val="02VIRTHeading2"/>
      </w:pPr>
      <w:bookmarkStart w:id="77" w:name="_Toc138760911"/>
      <w:bookmarkStart w:id="78" w:name="_Toc138761071"/>
      <w:bookmarkStart w:id="79" w:name="_Toc138761213"/>
      <w:bookmarkStart w:id="80" w:name="_Toc138761739"/>
      <w:bookmarkStart w:id="81" w:name="_Toc138859164"/>
      <w:r>
        <w:t>2.2</w:t>
      </w:r>
      <w:r>
        <w:tab/>
        <w:t>Executive employment and remuneration policies</w:t>
      </w:r>
      <w:bookmarkEnd w:id="77"/>
      <w:bookmarkEnd w:id="78"/>
      <w:bookmarkEnd w:id="79"/>
      <w:bookmarkEnd w:id="80"/>
      <w:bookmarkEnd w:id="81"/>
    </w:p>
    <w:p w14:paraId="41EF8E26" w14:textId="2EFF6AD7" w:rsidR="00633994" w:rsidRPr="00271BE8" w:rsidRDefault="0079675A" w:rsidP="00C06D68">
      <w:pPr>
        <w:pStyle w:val="05Paragraph"/>
      </w:pPr>
      <w:r>
        <w:t xml:space="preserve">The </w:t>
      </w:r>
      <w:r w:rsidR="00633994" w:rsidRPr="00271BE8">
        <w:t>Public Entity Executive Remuneration Policy (PEER Policy) and</w:t>
      </w:r>
      <w:r>
        <w:t xml:space="preserve"> </w:t>
      </w:r>
      <w:r w:rsidR="00633994" w:rsidRPr="00271BE8">
        <w:t>Victorian Public Entity Executive Handbook (Handbook)</w:t>
      </w:r>
      <w:r>
        <w:t xml:space="preserve"> </w:t>
      </w:r>
      <w:r w:rsidRPr="00271BE8">
        <w:t xml:space="preserve">set out </w:t>
      </w:r>
      <w:r>
        <w:t>the e</w:t>
      </w:r>
      <w:r w:rsidRPr="00271BE8">
        <w:t>mployment and remuneration policies that apply to executives</w:t>
      </w:r>
      <w:r w:rsidR="00824B84">
        <w:t xml:space="preserve"> in prescribed public entities</w:t>
      </w:r>
      <w:r w:rsidR="00633994" w:rsidRPr="00271BE8">
        <w:t>.</w:t>
      </w:r>
    </w:p>
    <w:p w14:paraId="1E2D2D56" w14:textId="48EEF5EE" w:rsidR="00633994" w:rsidRPr="005C2AEF" w:rsidRDefault="00633994" w:rsidP="00C06D68">
      <w:pPr>
        <w:pStyle w:val="05Paragraph"/>
      </w:pPr>
      <w:r w:rsidRPr="005C2AEF">
        <w:t xml:space="preserve">The PEER Policy sets out mandatory contractual terms and conditions </w:t>
      </w:r>
      <w:r w:rsidR="00F23D0D">
        <w:t xml:space="preserve">for an </w:t>
      </w:r>
      <w:r w:rsidRPr="005C2AEF">
        <w:t xml:space="preserve">executive’s contract of employment, including that the executive’s </w:t>
      </w:r>
      <w:r w:rsidR="00AA6FF1">
        <w:t>t</w:t>
      </w:r>
      <w:r w:rsidR="000B1A84">
        <w:t xml:space="preserve">otal </w:t>
      </w:r>
      <w:r w:rsidR="00AA6FF1">
        <w:t>r</w:t>
      </w:r>
      <w:r w:rsidR="000B1A84">
        <w:t xml:space="preserve">emuneration </w:t>
      </w:r>
      <w:r w:rsidR="00AA6FF1">
        <w:t>p</w:t>
      </w:r>
      <w:r w:rsidR="000B1A84">
        <w:t>ackage (</w:t>
      </w:r>
      <w:r>
        <w:t>TRP</w:t>
      </w:r>
      <w:r w:rsidR="000B1A84">
        <w:t>)</w:t>
      </w:r>
      <w:r w:rsidRPr="005C2AEF">
        <w:t xml:space="preserve"> consists of:</w:t>
      </w:r>
      <w:r w:rsidR="007C3D52">
        <w:rPr>
          <w:rFonts w:ascii="ZWAdobeF" w:hAnsi="ZWAdobeF" w:cs="ZWAdobeF"/>
          <w:color w:val="auto"/>
          <w:sz w:val="2"/>
          <w:szCs w:val="2"/>
        </w:rPr>
        <w:t>12F</w:t>
      </w:r>
      <w:r w:rsidR="00100E8D" w:rsidRPr="005C2AEF">
        <w:rPr>
          <w:rStyle w:val="FootnoteReference"/>
        </w:rPr>
        <w:footnoteReference w:id="14"/>
      </w:r>
    </w:p>
    <w:p w14:paraId="4630F470" w14:textId="77777777" w:rsidR="00633994" w:rsidRPr="005C2AEF" w:rsidRDefault="00633994" w:rsidP="00C06D68">
      <w:pPr>
        <w:pStyle w:val="06VIRTBulletpoints"/>
      </w:pPr>
      <w:r w:rsidRPr="005C2AEF">
        <w:t>base salary</w:t>
      </w:r>
    </w:p>
    <w:p w14:paraId="5F1E4F5E" w14:textId="77777777" w:rsidR="00633994" w:rsidRPr="005C2AEF" w:rsidRDefault="00633994" w:rsidP="00C06D68">
      <w:pPr>
        <w:pStyle w:val="06VIRTBulletpoints"/>
      </w:pPr>
      <w:r w:rsidRPr="005C2AEF">
        <w:t>superannuation contributions</w:t>
      </w:r>
    </w:p>
    <w:p w14:paraId="28D7AB75" w14:textId="125D8707" w:rsidR="00633994" w:rsidRPr="005C2AEF" w:rsidRDefault="00633994" w:rsidP="00C06D68">
      <w:pPr>
        <w:pStyle w:val="06VIRTBulletpoints"/>
      </w:pPr>
      <w:r w:rsidRPr="005C2AEF">
        <w:t>employment benefits (i.e. non-salary)</w:t>
      </w:r>
      <w:r w:rsidR="002841B4">
        <w:t xml:space="preserve"> </w:t>
      </w:r>
      <w:r w:rsidR="002841B4" w:rsidRPr="0082103B">
        <w:t>specified in the executive’s contract of employment</w:t>
      </w:r>
      <w:r w:rsidR="007C3D52">
        <w:rPr>
          <w:rFonts w:ascii="ZWAdobeF" w:hAnsi="ZWAdobeF" w:cs="ZWAdobeF"/>
          <w:color w:val="auto"/>
          <w:sz w:val="2"/>
          <w:szCs w:val="2"/>
        </w:rPr>
        <w:t>13F</w:t>
      </w:r>
      <w:r w:rsidR="002841B4">
        <w:rPr>
          <w:rStyle w:val="FootnoteReference"/>
        </w:rPr>
        <w:footnoteReference w:id="15"/>
      </w:r>
    </w:p>
    <w:p w14:paraId="74D966F7" w14:textId="2C4D8902" w:rsidR="00633994" w:rsidRPr="005C2AEF" w:rsidRDefault="00633994" w:rsidP="00C06D68">
      <w:pPr>
        <w:pStyle w:val="06VIRTBulletpoints"/>
      </w:pPr>
      <w:r w:rsidRPr="005C2AEF">
        <w:t>the annual cost to the employer of providing the non-monetary benefits, including any fringe benefits tax payable.</w:t>
      </w:r>
    </w:p>
    <w:p w14:paraId="7199A235" w14:textId="2911C9AC" w:rsidR="00633994" w:rsidRDefault="00633994" w:rsidP="00C06D68">
      <w:pPr>
        <w:pStyle w:val="05Paragraph"/>
      </w:pPr>
      <w:r w:rsidRPr="008712B8">
        <w:t xml:space="preserve">The </w:t>
      </w:r>
      <w:r>
        <w:t xml:space="preserve">Victorian Public Sector Commission (VPSC) </w:t>
      </w:r>
      <w:r w:rsidRPr="008712B8">
        <w:t xml:space="preserve">publishes a </w:t>
      </w:r>
      <w:r>
        <w:t>S</w:t>
      </w:r>
      <w:r w:rsidRPr="008712B8">
        <w:t xml:space="preserve">tandard </w:t>
      </w:r>
      <w:r>
        <w:t>C</w:t>
      </w:r>
      <w:r w:rsidRPr="008712B8">
        <w:t xml:space="preserve">ontract for the employment of public entity executives. </w:t>
      </w:r>
      <w:r>
        <w:t>While</w:t>
      </w:r>
      <w:r w:rsidRPr="008712B8">
        <w:t xml:space="preserve"> use of the contract is not mandatory</w:t>
      </w:r>
      <w:r>
        <w:t>, public entities are encouraged to use it</w:t>
      </w:r>
      <w:r w:rsidRPr="008712B8">
        <w:t>.</w:t>
      </w:r>
      <w:r w:rsidR="007C3D52">
        <w:rPr>
          <w:rFonts w:ascii="ZWAdobeF" w:hAnsi="ZWAdobeF" w:cs="ZWAdobeF"/>
          <w:color w:val="auto"/>
          <w:sz w:val="2"/>
          <w:szCs w:val="2"/>
        </w:rPr>
        <w:t>14F</w:t>
      </w:r>
      <w:r>
        <w:rPr>
          <w:rStyle w:val="FootnoteReference"/>
        </w:rPr>
        <w:footnoteReference w:id="16"/>
      </w:r>
    </w:p>
    <w:p w14:paraId="7675B539" w14:textId="2A7292D1" w:rsidR="00F73300" w:rsidRDefault="00F73300" w:rsidP="00C06D68">
      <w:pPr>
        <w:pStyle w:val="05Paragraph"/>
        <w:rPr>
          <w:highlight w:val="yellow"/>
        </w:rPr>
      </w:pPr>
      <w:r w:rsidRPr="00F73300">
        <w:t>The Standard Contract provides for an annual review of each executive’s remuneration</w:t>
      </w:r>
      <w:r>
        <w:t xml:space="preserve">, subject to </w:t>
      </w:r>
      <w:r w:rsidR="00455597">
        <w:t>Government policy</w:t>
      </w:r>
      <w:r w:rsidRPr="00F73300">
        <w:t>. The Standard Contract further provides that an executive may at any time request in writing that an employer undertakes a remuneration review, but that a review does not guarantee an increase in any element of the executive’s remuneration</w:t>
      </w:r>
      <w:r w:rsidR="00455597">
        <w:t>.</w:t>
      </w:r>
      <w:r w:rsidR="007C3D52">
        <w:rPr>
          <w:rFonts w:ascii="ZWAdobeF" w:hAnsi="ZWAdobeF" w:cs="ZWAdobeF"/>
          <w:color w:val="auto"/>
          <w:sz w:val="2"/>
          <w:szCs w:val="2"/>
        </w:rPr>
        <w:t>15F</w:t>
      </w:r>
      <w:r w:rsidR="00455597">
        <w:rPr>
          <w:rStyle w:val="FootnoteReference"/>
        </w:rPr>
        <w:footnoteReference w:id="17"/>
      </w:r>
    </w:p>
    <w:p w14:paraId="59BFB07F" w14:textId="4BB89506" w:rsidR="0082103B" w:rsidRDefault="00077086" w:rsidP="00077086">
      <w:pPr>
        <w:pStyle w:val="03VIRTHeading3"/>
      </w:pPr>
      <w:bookmarkStart w:id="82" w:name="_Toc138761214"/>
      <w:r>
        <w:t>Policy related to changes in superannuation entitlements</w:t>
      </w:r>
      <w:bookmarkEnd w:id="82"/>
    </w:p>
    <w:p w14:paraId="32C40BCB" w14:textId="235CD272" w:rsidR="00077086" w:rsidRPr="00077086" w:rsidRDefault="00077086" w:rsidP="00C06D68">
      <w:pPr>
        <w:pStyle w:val="05Paragraph"/>
      </w:pPr>
      <w:r w:rsidRPr="00077086">
        <w:t xml:space="preserve">Under Commonwealth law, the </w:t>
      </w:r>
      <w:r w:rsidR="005A025C">
        <w:t>S</w:t>
      </w:r>
      <w:r w:rsidRPr="00077086">
        <w:t xml:space="preserve">uperannuation </w:t>
      </w:r>
      <w:r w:rsidR="005A025C">
        <w:t>G</w:t>
      </w:r>
      <w:r w:rsidRPr="00077086">
        <w:t>uarantee (SG) and maximum superannuation contribution base (MSCB) apply to executives who are members of an accumulation scheme.</w:t>
      </w:r>
      <w:r w:rsidR="006C765F" w:rsidRPr="00077086" w:rsidDel="006C765F">
        <w:rPr>
          <w:vertAlign w:val="superscript"/>
        </w:rPr>
        <w:t xml:space="preserve"> </w:t>
      </w:r>
    </w:p>
    <w:p w14:paraId="0339D94E" w14:textId="087732C5" w:rsidR="00077086" w:rsidRDefault="00077086" w:rsidP="00C06D68">
      <w:pPr>
        <w:pStyle w:val="05Paragraph"/>
      </w:pPr>
      <w:r w:rsidRPr="00077086">
        <w:t xml:space="preserve">The SG is the minimum </w:t>
      </w:r>
      <w:r w:rsidR="00BF19B8">
        <w:t>amount</w:t>
      </w:r>
      <w:r w:rsidRPr="00077086">
        <w:t xml:space="preserve"> of employer superannuation contributions </w:t>
      </w:r>
      <w:r w:rsidR="00832E49">
        <w:t>to which an</w:t>
      </w:r>
      <w:r w:rsidRPr="00077086">
        <w:t xml:space="preserve"> employee is entitled, </w:t>
      </w:r>
      <w:r w:rsidR="00BF19B8">
        <w:t xml:space="preserve">expressed </w:t>
      </w:r>
      <w:r w:rsidRPr="00077086">
        <w:t>as a percentage of the</w:t>
      </w:r>
      <w:r w:rsidR="00C33F89">
        <w:t xml:space="preserve"> employee’s</w:t>
      </w:r>
      <w:r w:rsidRPr="00077086">
        <w:t xml:space="preserve"> ‘ordinary time earnings’. The MSCB</w:t>
      </w:r>
      <w:r w:rsidR="00071B3F">
        <w:t xml:space="preserve"> serves to</w:t>
      </w:r>
      <w:r w:rsidRPr="00077086">
        <w:t xml:space="preserve"> </w:t>
      </w:r>
      <w:r w:rsidR="00647352">
        <w:t>limit</w:t>
      </w:r>
      <w:r w:rsidRPr="00077086">
        <w:t xml:space="preserve"> the ‘ordinary time earnings‘ that are used to calculate an employee’s superannuation entitlements — </w:t>
      </w:r>
      <w:r w:rsidR="00512304">
        <w:t xml:space="preserve">that is, </w:t>
      </w:r>
      <w:r w:rsidRPr="00077086">
        <w:t>earnings over the MSCB are not counted for the purpose of calculating entitlements.</w:t>
      </w:r>
      <w:r w:rsidR="007C3D52">
        <w:rPr>
          <w:rFonts w:ascii="ZWAdobeF" w:hAnsi="ZWAdobeF" w:cs="ZWAdobeF"/>
          <w:color w:val="auto"/>
          <w:sz w:val="2"/>
          <w:szCs w:val="2"/>
        </w:rPr>
        <w:t>16F</w:t>
      </w:r>
      <w:r w:rsidRPr="00077086">
        <w:rPr>
          <w:vertAlign w:val="superscript"/>
        </w:rPr>
        <w:footnoteReference w:id="18"/>
      </w:r>
    </w:p>
    <w:p w14:paraId="4960190A" w14:textId="0C5AAE52" w:rsidR="00270718" w:rsidRPr="00270718" w:rsidRDefault="00270718" w:rsidP="00C06D68">
      <w:pPr>
        <w:pStyle w:val="05Paragraph"/>
      </w:pPr>
      <w:r w:rsidRPr="00270718">
        <w:t>The</w:t>
      </w:r>
      <w:r w:rsidR="00303ABE">
        <w:t xml:space="preserve"> </w:t>
      </w:r>
      <w:r>
        <w:t>superannuation entitlements of</w:t>
      </w:r>
      <w:r w:rsidRPr="00270718">
        <w:t xml:space="preserve"> executives in an accumulation scheme may </w:t>
      </w:r>
      <w:r w:rsidR="001970EA">
        <w:t>change from year to year</w:t>
      </w:r>
      <w:r w:rsidRPr="00270718">
        <w:t xml:space="preserve"> </w:t>
      </w:r>
      <w:r w:rsidR="001970EA">
        <w:t>due to</w:t>
      </w:r>
      <w:r w:rsidRPr="00270718">
        <w:t xml:space="preserve"> the indexation of the MSCB and/or changes to the SG</w:t>
      </w:r>
      <w:r w:rsidR="00281E11">
        <w:t xml:space="preserve"> rate</w:t>
      </w:r>
      <w:r w:rsidRPr="00270718">
        <w:t>.</w:t>
      </w:r>
    </w:p>
    <w:p w14:paraId="3CB99E73" w14:textId="77795253" w:rsidR="00C33F89" w:rsidRPr="00270718" w:rsidRDefault="00C33F89" w:rsidP="00C06D68">
      <w:pPr>
        <w:pStyle w:val="05Paragraph"/>
      </w:pPr>
      <w:r w:rsidRPr="00270718">
        <w:t>On 1 July 202</w:t>
      </w:r>
      <w:r w:rsidR="0006303E">
        <w:t>3</w:t>
      </w:r>
      <w:r w:rsidRPr="00270718">
        <w:t>, the following changes will occur:</w:t>
      </w:r>
    </w:p>
    <w:p w14:paraId="38006E34" w14:textId="5FE3770C" w:rsidR="00C33F89" w:rsidRPr="00270718" w:rsidRDefault="00C33F89" w:rsidP="00C06D68">
      <w:pPr>
        <w:pStyle w:val="06VIRTBulletpoints"/>
      </w:pPr>
      <w:r w:rsidRPr="00270718">
        <w:t xml:space="preserve">the SG will increase from </w:t>
      </w:r>
      <w:r>
        <w:t>10</w:t>
      </w:r>
      <w:r w:rsidR="0006303E">
        <w:t>.5</w:t>
      </w:r>
      <w:r w:rsidRPr="00270718">
        <w:t xml:space="preserve"> per cent to </w:t>
      </w:r>
      <w:r w:rsidR="0006303E">
        <w:t>11</w:t>
      </w:r>
      <w:r w:rsidRPr="00270718">
        <w:t xml:space="preserve"> per cent</w:t>
      </w:r>
      <w:r w:rsidR="007C3D52">
        <w:rPr>
          <w:rFonts w:ascii="ZWAdobeF" w:hAnsi="ZWAdobeF" w:cs="ZWAdobeF"/>
          <w:color w:val="auto"/>
          <w:sz w:val="2"/>
          <w:szCs w:val="2"/>
        </w:rPr>
        <w:t>17F</w:t>
      </w:r>
      <w:r w:rsidRPr="00270718">
        <w:rPr>
          <w:vertAlign w:val="superscript"/>
        </w:rPr>
        <w:footnoteReference w:id="19"/>
      </w:r>
    </w:p>
    <w:p w14:paraId="1C9173BB" w14:textId="345AEC24" w:rsidR="00C33F89" w:rsidRPr="00270718" w:rsidRDefault="00C33F89" w:rsidP="00C06D68">
      <w:pPr>
        <w:pStyle w:val="06VIRTBulletpoints"/>
      </w:pPr>
      <w:r w:rsidRPr="00270718">
        <w:t xml:space="preserve">the MSCB will </w:t>
      </w:r>
      <w:r>
        <w:t>increase</w:t>
      </w:r>
      <w:r w:rsidRPr="00270718">
        <w:t>, in line with changes in Australian average weekly ordinary time earnings</w:t>
      </w:r>
      <w:r w:rsidR="00AA6FF1">
        <w:t xml:space="preserve"> (AWOTE)</w:t>
      </w:r>
      <w:r w:rsidRPr="00270718">
        <w:t>, from $</w:t>
      </w:r>
      <w:r w:rsidR="0006303E">
        <w:t>60,220</w:t>
      </w:r>
      <w:r w:rsidRPr="00270718">
        <w:t xml:space="preserve"> per quarter ($</w:t>
      </w:r>
      <w:r w:rsidR="0006303E">
        <w:t>240,880</w:t>
      </w:r>
      <w:r w:rsidRPr="00270718">
        <w:t xml:space="preserve"> </w:t>
      </w:r>
      <w:r>
        <w:t>per annum</w:t>
      </w:r>
      <w:r w:rsidRPr="00270718">
        <w:t>)</w:t>
      </w:r>
      <w:r>
        <w:t xml:space="preserve"> </w:t>
      </w:r>
      <w:r w:rsidRPr="00270718">
        <w:t>to $</w:t>
      </w:r>
      <w:r w:rsidR="00D13AB2">
        <w:t>62,270</w:t>
      </w:r>
      <w:r w:rsidRPr="00270718">
        <w:t xml:space="preserve"> per quarter ($</w:t>
      </w:r>
      <w:r w:rsidR="004E511D">
        <w:t>249,080</w:t>
      </w:r>
      <w:r w:rsidRPr="00270718">
        <w:t xml:space="preserve"> per </w:t>
      </w:r>
      <w:r>
        <w:t>annum)</w:t>
      </w:r>
      <w:r w:rsidRPr="00270718">
        <w:t>.</w:t>
      </w:r>
      <w:r w:rsidR="007C3D52">
        <w:rPr>
          <w:rFonts w:ascii="ZWAdobeF" w:hAnsi="ZWAdobeF" w:cs="ZWAdobeF"/>
          <w:color w:val="auto"/>
          <w:sz w:val="2"/>
          <w:szCs w:val="2"/>
        </w:rPr>
        <w:t>18F</w:t>
      </w:r>
      <w:r w:rsidRPr="00270718">
        <w:rPr>
          <w:vertAlign w:val="superscript"/>
        </w:rPr>
        <w:footnoteReference w:id="20"/>
      </w:r>
    </w:p>
    <w:p w14:paraId="06AD7EE3" w14:textId="71A768F3" w:rsidR="00270718" w:rsidRPr="00270718" w:rsidRDefault="00A40754" w:rsidP="00C06D68">
      <w:pPr>
        <w:pStyle w:val="05Paragraph"/>
      </w:pPr>
      <w:r w:rsidRPr="00D83A96">
        <w:t xml:space="preserve">The Handbook </w:t>
      </w:r>
      <w:r>
        <w:t xml:space="preserve">states </w:t>
      </w:r>
      <w:r w:rsidRPr="00D83A96">
        <w:t xml:space="preserve">that public </w:t>
      </w:r>
      <w:r>
        <w:t>entity</w:t>
      </w:r>
      <w:r w:rsidRPr="00D83A96">
        <w:t xml:space="preserve"> employers</w:t>
      </w:r>
      <w:r>
        <w:t xml:space="preserve"> who </w:t>
      </w:r>
      <w:r w:rsidR="00DE4218">
        <w:t>use</w:t>
      </w:r>
      <w:r>
        <w:t xml:space="preserve"> the Standard Contract</w:t>
      </w:r>
      <w:r w:rsidRPr="00D83A96">
        <w:t xml:space="preserve"> must bear the cost of increases </w:t>
      </w:r>
      <w:r w:rsidR="00194A1A">
        <w:t>to</w:t>
      </w:r>
      <w:r w:rsidRPr="00D83A96">
        <w:t xml:space="preserve"> superannuation </w:t>
      </w:r>
      <w:r w:rsidR="00856550">
        <w:t>entitlements</w:t>
      </w:r>
      <w:r w:rsidR="00270718" w:rsidRPr="00270718">
        <w:t>.</w:t>
      </w:r>
      <w:r w:rsidR="007C3D52">
        <w:rPr>
          <w:rFonts w:ascii="ZWAdobeF" w:hAnsi="ZWAdobeF" w:cs="ZWAdobeF"/>
          <w:color w:val="auto"/>
          <w:sz w:val="2"/>
          <w:szCs w:val="2"/>
        </w:rPr>
        <w:t>19F</w:t>
      </w:r>
      <w:r w:rsidR="00FC702B">
        <w:rPr>
          <w:rStyle w:val="FootnoteReference"/>
        </w:rPr>
        <w:footnoteReference w:id="21"/>
      </w:r>
      <w:r w:rsidR="00270718" w:rsidRPr="00270718">
        <w:t xml:space="preserve"> </w:t>
      </w:r>
      <w:r w:rsidR="00172F96">
        <w:t>In particular</w:t>
      </w:r>
      <w:r w:rsidR="00270718">
        <w:t xml:space="preserve">, </w:t>
      </w:r>
      <w:r w:rsidR="00004AD8">
        <w:t>an</w:t>
      </w:r>
      <w:r w:rsidR="00C96541">
        <w:t xml:space="preserve"> </w:t>
      </w:r>
      <w:r w:rsidR="00270718" w:rsidRPr="00270718">
        <w:t xml:space="preserve">employer </w:t>
      </w:r>
      <w:r w:rsidR="00C96541">
        <w:t>must</w:t>
      </w:r>
      <w:r w:rsidR="00270718">
        <w:t xml:space="preserve"> </w:t>
      </w:r>
      <w:r w:rsidR="00270718" w:rsidRPr="00270718">
        <w:t xml:space="preserve">not offset the cost of </w:t>
      </w:r>
      <w:r w:rsidR="00B55C3C">
        <w:t>an increase</w:t>
      </w:r>
      <w:r w:rsidR="00270718" w:rsidRPr="00270718">
        <w:t xml:space="preserve"> to </w:t>
      </w:r>
      <w:r w:rsidR="00B55C3C">
        <w:t xml:space="preserve">an </w:t>
      </w:r>
      <w:r w:rsidR="00E10CEE">
        <w:t xml:space="preserve">individual </w:t>
      </w:r>
      <w:r w:rsidR="00B55C3C">
        <w:t xml:space="preserve">executive’s </w:t>
      </w:r>
      <w:r w:rsidR="00270718" w:rsidRPr="00270718">
        <w:t xml:space="preserve">superannuation </w:t>
      </w:r>
      <w:r w:rsidR="00270718">
        <w:t xml:space="preserve">entitlement </w:t>
      </w:r>
      <w:r w:rsidR="00270718" w:rsidRPr="00270718">
        <w:t xml:space="preserve">by passing on less of </w:t>
      </w:r>
      <w:r w:rsidR="00F63BC9">
        <w:t>the</w:t>
      </w:r>
      <w:r w:rsidR="00270718" w:rsidRPr="00270718">
        <w:t xml:space="preserve"> </w:t>
      </w:r>
      <w:r w:rsidR="00144B25">
        <w:t>guideline rate</w:t>
      </w:r>
      <w:r w:rsidR="00270718" w:rsidRPr="00270718">
        <w:t xml:space="preserve"> adjustment than they</w:t>
      </w:r>
      <w:r w:rsidR="002A3A5B">
        <w:t xml:space="preserve"> otherwise</w:t>
      </w:r>
      <w:r w:rsidR="00270718" w:rsidRPr="00270718">
        <w:t xml:space="preserve"> would have.</w:t>
      </w:r>
      <w:r w:rsidR="007C3D52">
        <w:rPr>
          <w:rFonts w:ascii="ZWAdobeF" w:hAnsi="ZWAdobeF" w:cs="ZWAdobeF"/>
          <w:color w:val="auto"/>
          <w:sz w:val="2"/>
          <w:szCs w:val="2"/>
        </w:rPr>
        <w:t>20F</w:t>
      </w:r>
      <w:r w:rsidR="00270718" w:rsidRPr="00270718">
        <w:rPr>
          <w:vertAlign w:val="superscript"/>
        </w:rPr>
        <w:footnoteReference w:id="22"/>
      </w:r>
      <w:r w:rsidR="00270718" w:rsidRPr="00270718">
        <w:t xml:space="preserve"> In the remainder of this Statement of Reasons, this requirement is referred to as the ‘Superannuation Policy’.</w:t>
      </w:r>
    </w:p>
    <w:p w14:paraId="48E96D4E" w14:textId="3E723733" w:rsidR="00270718" w:rsidRPr="00270718" w:rsidRDefault="00D20642" w:rsidP="00C06D68">
      <w:pPr>
        <w:pStyle w:val="05Paragraph"/>
      </w:pPr>
      <w:r>
        <w:t>T</w:t>
      </w:r>
      <w:r w:rsidR="00270718" w:rsidRPr="00270718">
        <w:t xml:space="preserve">he Department of Premier and Cabinet </w:t>
      </w:r>
      <w:r>
        <w:t xml:space="preserve">has </w:t>
      </w:r>
      <w:r w:rsidR="00270718" w:rsidRPr="00270718">
        <w:t xml:space="preserve">issued guidance to Victorian public </w:t>
      </w:r>
      <w:r w:rsidR="008B416A">
        <w:t>entity</w:t>
      </w:r>
      <w:r w:rsidR="00270718" w:rsidRPr="00270718">
        <w:t xml:space="preserve"> employers about how to comply with the Superannuation Policy when adjust</w:t>
      </w:r>
      <w:r w:rsidR="00A049A3">
        <w:t>ing</w:t>
      </w:r>
      <w:r w:rsidR="00270718" w:rsidRPr="00270718">
        <w:t xml:space="preserve"> an executive’s TRP.</w:t>
      </w:r>
      <w:r w:rsidR="00CC54C2">
        <w:t xml:space="preserve"> </w:t>
      </w:r>
      <w:r w:rsidR="00270718" w:rsidRPr="00270718">
        <w:t>The guidance explains that</w:t>
      </w:r>
      <w:r w:rsidR="00270718">
        <w:t>,</w:t>
      </w:r>
      <w:r w:rsidR="00270718" w:rsidRPr="00270718">
        <w:t xml:space="preserve"> for executives whose remuneration is expressed as a TRP:</w:t>
      </w:r>
      <w:r w:rsidR="007C3D52">
        <w:rPr>
          <w:rFonts w:ascii="ZWAdobeF" w:hAnsi="ZWAdobeF" w:cs="ZWAdobeF"/>
          <w:color w:val="auto"/>
          <w:sz w:val="2"/>
          <w:szCs w:val="2"/>
        </w:rPr>
        <w:t>21F</w:t>
      </w:r>
      <w:r w:rsidR="005A3295" w:rsidRPr="00270718">
        <w:rPr>
          <w:vertAlign w:val="superscript"/>
        </w:rPr>
        <w:footnoteReference w:id="23"/>
      </w:r>
    </w:p>
    <w:p w14:paraId="3E1334EF" w14:textId="77777777" w:rsidR="00270718" w:rsidRPr="00270718" w:rsidRDefault="00270718" w:rsidP="00C06D68">
      <w:pPr>
        <w:pStyle w:val="06VIRTBulletpoints"/>
      </w:pPr>
      <w:r w:rsidRPr="00270718">
        <w:t xml:space="preserve">the employer’s chosen annual adjustment rate is to be applied to the salary component of the executive’s TRP </w:t>
      </w:r>
    </w:p>
    <w:p w14:paraId="1D842514" w14:textId="4969A0E2" w:rsidR="00C33F89" w:rsidRDefault="00270718" w:rsidP="00795A21">
      <w:pPr>
        <w:pStyle w:val="06VIRTBulletpoints"/>
        <w:sectPr w:rsidR="00C33F89" w:rsidSect="006B7517">
          <w:pgSz w:w="11906" w:h="16838"/>
          <w:pgMar w:top="1701" w:right="1701" w:bottom="1559" w:left="1701" w:header="708" w:footer="708" w:gutter="0"/>
          <w:cols w:space="708"/>
          <w:titlePg/>
          <w:docGrid w:linePitch="360"/>
        </w:sectPr>
      </w:pPr>
      <w:r w:rsidRPr="00270718">
        <w:t xml:space="preserve">the superannuation component of the executive’s TRP is to be adjusted </w:t>
      </w:r>
      <w:r w:rsidR="00C8470A">
        <w:t xml:space="preserve">separately </w:t>
      </w:r>
      <w:r w:rsidRPr="00270718">
        <w:t>to reflect their new superannuation entitlements.</w:t>
      </w:r>
    </w:p>
    <w:p w14:paraId="58229AE4" w14:textId="73DEF3D1" w:rsidR="00270718" w:rsidRPr="00270718" w:rsidRDefault="00795A21" w:rsidP="000232F3">
      <w:pPr>
        <w:pStyle w:val="Chapter"/>
      </w:pPr>
      <w:bookmarkStart w:id="83" w:name="_Toc138761740"/>
      <w:bookmarkStart w:id="84" w:name="_Toc138760912"/>
      <w:bookmarkStart w:id="85" w:name="_Toc138761072"/>
      <w:bookmarkStart w:id="86" w:name="_Toc138859165"/>
      <w:r w:rsidRPr="000232F3">
        <w:rPr>
          <w:rStyle w:val="01ChapterheadingChar"/>
        </w:rPr>
        <w:t>3</w:t>
      </w:r>
      <w:r w:rsidRPr="000232F3">
        <w:rPr>
          <w:rStyle w:val="01ChapterheadingChar"/>
        </w:rPr>
        <w:tab/>
        <w:t>Economic factors</w:t>
      </w:r>
      <w:bookmarkEnd w:id="83"/>
      <w:bookmarkEnd w:id="86"/>
      <w:r>
        <w:br/>
      </w:r>
      <w:bookmarkEnd w:id="84"/>
      <w:bookmarkEnd w:id="85"/>
    </w:p>
    <w:p w14:paraId="12820EBB" w14:textId="77777777" w:rsidR="005C6092" w:rsidRPr="00C06D68" w:rsidRDefault="005C6092" w:rsidP="00C06D68">
      <w:pPr>
        <w:pStyle w:val="05Paragraph"/>
      </w:pPr>
      <w:r w:rsidRPr="00C06D68">
        <w:t>In accordance with the VIRTIPS Act, the Tribunal is required to consider:</w:t>
      </w:r>
    </w:p>
    <w:p w14:paraId="227BDA33" w14:textId="77777777" w:rsidR="003B2CB3" w:rsidRPr="00C06D68" w:rsidRDefault="003B2CB3" w:rsidP="00C06D68">
      <w:pPr>
        <w:pStyle w:val="06VIRTBulletpoints"/>
      </w:pPr>
      <w:r w:rsidRPr="00C06D68">
        <w:t>current and projected economic conditions and trends (s. 24(2)(c))</w:t>
      </w:r>
    </w:p>
    <w:p w14:paraId="046EAE33" w14:textId="77777777" w:rsidR="003B2CB3" w:rsidRPr="00C06D68" w:rsidRDefault="003B2CB3" w:rsidP="00C06D68">
      <w:pPr>
        <w:pStyle w:val="06VIRTBulletpoints"/>
      </w:pPr>
      <w:r w:rsidRPr="00C06D68">
        <w:t>the financial position and fiscal strategy of the State of Victoria (s. 24(2)(b))</w:t>
      </w:r>
      <w:bookmarkStart w:id="87" w:name="_Hlk18837424"/>
      <w:bookmarkEnd w:id="87"/>
      <w:r w:rsidRPr="00C06D68">
        <w:t>.</w:t>
      </w:r>
    </w:p>
    <w:p w14:paraId="6D3090F1" w14:textId="77777777" w:rsidR="003B2CB3" w:rsidRPr="00441321" w:rsidRDefault="003B2CB3" w:rsidP="003B2CB3">
      <w:pPr>
        <w:pStyle w:val="02VIRTHeading2"/>
      </w:pPr>
      <w:bookmarkStart w:id="88" w:name="_Toc106614534"/>
      <w:bookmarkStart w:id="89" w:name="_Toc138760913"/>
      <w:bookmarkStart w:id="90" w:name="_Toc138761073"/>
      <w:bookmarkStart w:id="91" w:name="_Toc138761215"/>
      <w:bookmarkStart w:id="92" w:name="_Toc138761741"/>
      <w:bookmarkStart w:id="93" w:name="_Toc138859166"/>
      <w:r w:rsidRPr="00441321">
        <w:t>3.1</w:t>
      </w:r>
      <w:r w:rsidRPr="00441321">
        <w:tab/>
        <w:t>Current and projected economic conditions and trends</w:t>
      </w:r>
      <w:bookmarkEnd w:id="88"/>
      <w:bookmarkEnd w:id="89"/>
      <w:bookmarkEnd w:id="90"/>
      <w:bookmarkEnd w:id="91"/>
      <w:bookmarkEnd w:id="92"/>
      <w:bookmarkEnd w:id="93"/>
    </w:p>
    <w:p w14:paraId="1219B89F" w14:textId="3BC5B29A" w:rsidR="005678FE" w:rsidRDefault="005678FE" w:rsidP="005678FE">
      <w:pPr>
        <w:pStyle w:val="05Paragraph"/>
      </w:pPr>
      <w:bookmarkStart w:id="94" w:name="_Toc120025956"/>
      <w:r>
        <w:t xml:space="preserve">The Tribunal’s analysis of current and projected economic conditions and trends has been informed by the latest data and forecasts from the </w:t>
      </w:r>
      <w:r w:rsidR="0088136E">
        <w:t>Australian Bureau of Statistics (</w:t>
      </w:r>
      <w:r>
        <w:t>ABS</w:t>
      </w:r>
      <w:r w:rsidR="0088136E">
        <w:t>)</w:t>
      </w:r>
      <w:r>
        <w:t xml:space="preserve"> and the Reserve Bank of Australia (RBA), the Victorian and Commonwealth budgets</w:t>
      </w:r>
      <w:r w:rsidRPr="0032575A">
        <w:t xml:space="preserve">, the Fair Work Commission’s (FWC) </w:t>
      </w:r>
      <w:r w:rsidRPr="0032575A">
        <w:rPr>
          <w:i/>
        </w:rPr>
        <w:t>Annual Wage Review 2022</w:t>
      </w:r>
      <w:r w:rsidRPr="0032575A">
        <w:rPr>
          <w:i/>
        </w:rPr>
        <w:noBreakHyphen/>
        <w:t>23</w:t>
      </w:r>
      <w:r>
        <w:t xml:space="preserve"> and other relevant information.</w:t>
      </w:r>
    </w:p>
    <w:p w14:paraId="7FCC599D" w14:textId="77777777" w:rsidR="005678FE" w:rsidRDefault="005678FE" w:rsidP="005678FE">
      <w:pPr>
        <w:pStyle w:val="03VIRTHeading3"/>
      </w:pPr>
      <w:bookmarkStart w:id="95" w:name="_Toc138761216"/>
      <w:r>
        <w:t>International economic conditions</w:t>
      </w:r>
      <w:bookmarkEnd w:id="95"/>
    </w:p>
    <w:p w14:paraId="5D96E288" w14:textId="3EBC825C" w:rsidR="005678FE" w:rsidRDefault="005678FE" w:rsidP="005678FE">
      <w:pPr>
        <w:pStyle w:val="05Paragraph"/>
      </w:pPr>
      <w:r>
        <w:t xml:space="preserve">According to the RBA’s latest </w:t>
      </w:r>
      <w:r w:rsidRPr="004C500A">
        <w:rPr>
          <w:i/>
          <w:iCs/>
        </w:rPr>
        <w:t>Statement on Monetary Policy</w:t>
      </w:r>
      <w:r>
        <w:t xml:space="preserve"> (May 2023), inflation has passed its peak in many advanced economies but remains high globally. Central banks are forecasting inflation to fall further over 2023, although the RBA noted that it is expected to take a couple of years for inflation to return to target in most advanced economies. The RBA also observed that unemployment rates remain near historical lows in many economies, while global growth has slowed and is forecast to remain below average over the next couple of years.</w:t>
      </w:r>
      <w:r w:rsidR="007C3D52">
        <w:rPr>
          <w:rFonts w:ascii="ZWAdobeF" w:hAnsi="ZWAdobeF" w:cs="ZWAdobeF"/>
          <w:color w:val="auto"/>
          <w:sz w:val="2"/>
          <w:szCs w:val="2"/>
        </w:rPr>
        <w:t>22F</w:t>
      </w:r>
      <w:r>
        <w:rPr>
          <w:rStyle w:val="FootnoteReference"/>
        </w:rPr>
        <w:footnoteReference w:id="24"/>
      </w:r>
    </w:p>
    <w:p w14:paraId="007D570C" w14:textId="77777777" w:rsidR="005678FE" w:rsidRDefault="005678FE" w:rsidP="005678FE">
      <w:pPr>
        <w:pStyle w:val="03VIRTHeading3"/>
      </w:pPr>
      <w:bookmarkStart w:id="96" w:name="_Toc138761217"/>
      <w:r>
        <w:t>Australian economic conditions</w:t>
      </w:r>
      <w:bookmarkEnd w:id="96"/>
    </w:p>
    <w:p w14:paraId="63812074" w14:textId="60E1CD4D" w:rsidR="005678FE" w:rsidRDefault="005678FE" w:rsidP="005678FE">
      <w:pPr>
        <w:pStyle w:val="05Paragraph"/>
      </w:pPr>
      <w:r>
        <w:t>ABS data show that Australia’s real Gross Domestic Product (GDP) rose 0.2 per cent in the March quarter 2023 and 2.3 per cent through the year. This was the weakest quarterly growth since the September quarter 2021, when the economy contracted due to the impact of COVID-19 lockdowns. Household consumption also recorded its weakest quarterly rise (0.2 per cent) since the September quarter 2021, with discretionary spending falling by 1 per cent due to cost-of-living pressures.</w:t>
      </w:r>
      <w:r w:rsidR="007C3D52">
        <w:rPr>
          <w:rFonts w:ascii="ZWAdobeF" w:hAnsi="ZWAdobeF" w:cs="ZWAdobeF"/>
          <w:color w:val="auto"/>
          <w:sz w:val="2"/>
          <w:szCs w:val="2"/>
        </w:rPr>
        <w:t>23F</w:t>
      </w:r>
      <w:r>
        <w:rPr>
          <w:rStyle w:val="FootnoteReference"/>
        </w:rPr>
        <w:footnoteReference w:id="25"/>
      </w:r>
    </w:p>
    <w:p w14:paraId="6BC6EBB7" w14:textId="4AECA2C5" w:rsidR="005678FE" w:rsidRDefault="005678FE" w:rsidP="005678FE">
      <w:pPr>
        <w:pStyle w:val="05Paragraph"/>
      </w:pPr>
      <w:r>
        <w:t>The RBA noted that inflation appears to have passed its peak but remains very high.</w:t>
      </w:r>
      <w:r w:rsidR="007C3D52">
        <w:rPr>
          <w:rFonts w:ascii="ZWAdobeF" w:hAnsi="ZWAdobeF" w:cs="ZWAdobeF"/>
          <w:color w:val="auto"/>
          <w:sz w:val="2"/>
          <w:szCs w:val="2"/>
        </w:rPr>
        <w:t>24F</w:t>
      </w:r>
      <w:r>
        <w:rPr>
          <w:rStyle w:val="FootnoteReference"/>
        </w:rPr>
        <w:footnoteReference w:id="26"/>
      </w:r>
      <w:r>
        <w:t xml:space="preserve"> Year</w:t>
      </w:r>
      <w:r>
        <w:noBreakHyphen/>
        <w:t xml:space="preserve">ended headline inflation and trimmed mean inflation (the RBA’s preferred measure of underlying inflation) declined to 7 per cent and 6.6 per cent respectively in the March quarter 2023. The decline was driven by slowing goods inflation, but was partly offset by an increase in services inflation, which reached its highest level (6.1 per cent) since </w:t>
      </w:r>
      <w:r w:rsidRPr="00041433">
        <w:t>2001</w:t>
      </w:r>
      <w:r>
        <w:t>.</w:t>
      </w:r>
      <w:r w:rsidR="007C3D52">
        <w:rPr>
          <w:rFonts w:ascii="ZWAdobeF" w:hAnsi="ZWAdobeF" w:cs="ZWAdobeF"/>
          <w:color w:val="auto"/>
          <w:sz w:val="2"/>
          <w:szCs w:val="2"/>
        </w:rPr>
        <w:t>25F</w:t>
      </w:r>
      <w:r>
        <w:rPr>
          <w:rStyle w:val="FootnoteReference"/>
        </w:rPr>
        <w:footnoteReference w:id="27"/>
      </w:r>
    </w:p>
    <w:p w14:paraId="494DAE29" w14:textId="732D2AB7" w:rsidR="005678FE" w:rsidRDefault="005678FE" w:rsidP="005678FE">
      <w:pPr>
        <w:pStyle w:val="05Paragraph"/>
      </w:pPr>
      <w:r>
        <w:t>In response to inflationary pressures, the RBA Board has increased its cash rate target 12 times since May 2022, from 0.10 per cent to 4.10 per cent as at June 2023. RBA Governor Philip Lowe stated that the Board’s decision to increase the cash rate target by a further 25 basis points at its meeting in June 2023 was to ‘</w:t>
      </w:r>
      <w:r w:rsidRPr="000B2A24">
        <w:t>provide greater confidence that inflation will return to target within a reasonable timeframe</w:t>
      </w:r>
      <w:r>
        <w:t>’. In this regard, Governor Lowe noted that upside risks to the inflation outlook have increased, and flagged that ‘some further tightening of monetary policy may be required’.</w:t>
      </w:r>
      <w:r w:rsidR="007C3D52">
        <w:rPr>
          <w:rFonts w:ascii="ZWAdobeF" w:hAnsi="ZWAdobeF" w:cs="ZWAdobeF"/>
          <w:color w:val="auto"/>
          <w:sz w:val="2"/>
          <w:szCs w:val="2"/>
        </w:rPr>
        <w:t>26F</w:t>
      </w:r>
      <w:r>
        <w:rPr>
          <w:rStyle w:val="FootnoteReference"/>
        </w:rPr>
        <w:footnoteReference w:id="28"/>
      </w:r>
    </w:p>
    <w:p w14:paraId="441F3D47" w14:textId="1538F2A2" w:rsidR="005678FE" w:rsidRDefault="005678FE" w:rsidP="005678FE">
      <w:pPr>
        <w:pStyle w:val="05Paragraph"/>
      </w:pPr>
      <w:r>
        <w:t>The RBA noted that conditions in the national labour market remain tight, with the national unemployment rate remaining around its 50-year low of 3.5 per cent.</w:t>
      </w:r>
      <w:r w:rsidR="007C3D52">
        <w:rPr>
          <w:rFonts w:ascii="ZWAdobeF" w:hAnsi="ZWAdobeF" w:cs="ZWAdobeF"/>
          <w:color w:val="auto"/>
          <w:sz w:val="2"/>
          <w:szCs w:val="2"/>
        </w:rPr>
        <w:t>27F</w:t>
      </w:r>
      <w:r>
        <w:rPr>
          <w:rStyle w:val="FootnoteReference"/>
        </w:rPr>
        <w:footnoteReference w:id="29"/>
      </w:r>
      <w:r>
        <w:t xml:space="preserve"> The tightness in the labour market has contributed to a pick-up in wages growth. Annual growth in the seasonally adjusted WPI increased to 3.7 per cent in March 2023, the highest growth rate in over a decade.</w:t>
      </w:r>
      <w:r w:rsidR="007C3D52">
        <w:rPr>
          <w:rFonts w:ascii="ZWAdobeF" w:hAnsi="ZWAdobeF" w:cs="ZWAdobeF"/>
          <w:color w:val="auto"/>
          <w:sz w:val="2"/>
          <w:szCs w:val="2"/>
        </w:rPr>
        <w:t>28F</w:t>
      </w:r>
      <w:r>
        <w:rPr>
          <w:rStyle w:val="FootnoteReference"/>
        </w:rPr>
        <w:footnoteReference w:id="30"/>
      </w:r>
      <w:r>
        <w:t xml:space="preserve"> According to ABS analysis, for those jobs that recorded an hourly wage rise in the March quarter 2023:</w:t>
      </w:r>
      <w:r w:rsidR="007C3D52">
        <w:rPr>
          <w:rFonts w:ascii="ZWAdobeF" w:hAnsi="ZWAdobeF" w:cs="ZWAdobeF"/>
          <w:color w:val="auto"/>
          <w:sz w:val="2"/>
          <w:szCs w:val="2"/>
        </w:rPr>
        <w:t>29F</w:t>
      </w:r>
      <w:r>
        <w:rPr>
          <w:rStyle w:val="FootnoteReference"/>
        </w:rPr>
        <w:footnoteReference w:id="31"/>
      </w:r>
    </w:p>
    <w:p w14:paraId="7D7E9339" w14:textId="77777777" w:rsidR="005678FE" w:rsidRDefault="005678FE" w:rsidP="005678FE">
      <w:pPr>
        <w:pStyle w:val="06VIRTBulletpoints"/>
      </w:pPr>
      <w:r>
        <w:t>the average increase was 4.3 per cent in the private sector and 3 per cent in the public sector, compared to 3.4 per cent and 2.1 per cent a year earlier</w:t>
      </w:r>
    </w:p>
    <w:p w14:paraId="7BE2E804" w14:textId="77777777" w:rsidR="005678FE" w:rsidRDefault="005678FE" w:rsidP="005678FE">
      <w:pPr>
        <w:pStyle w:val="06VIRTBulletpoints"/>
      </w:pPr>
      <w:r>
        <w:t>around half received an increase greater than 3 per cent, compared to around one-in-five a year earlier</w:t>
      </w:r>
    </w:p>
    <w:p w14:paraId="4AEBDA76" w14:textId="651F68FC" w:rsidR="005678FE" w:rsidRDefault="005678FE" w:rsidP="005678FE">
      <w:pPr>
        <w:pStyle w:val="06VIRTBulletpoints"/>
      </w:pPr>
      <w:r>
        <w:t xml:space="preserve">around </w:t>
      </w:r>
      <w:r w:rsidR="00836F9D">
        <w:t>35 per cent</w:t>
      </w:r>
      <w:r>
        <w:t xml:space="preserve"> received an increase greater than 4 per cent, compared to around 13 per cent a year earlier.</w:t>
      </w:r>
    </w:p>
    <w:p w14:paraId="5528C831" w14:textId="395FE108" w:rsidR="005678FE" w:rsidRDefault="005678FE" w:rsidP="005678FE">
      <w:pPr>
        <w:pStyle w:val="05Paragraph"/>
      </w:pPr>
      <w:r>
        <w:t xml:space="preserve">The FWC issued its </w:t>
      </w:r>
      <w:r w:rsidRPr="00BF51C2">
        <w:rPr>
          <w:i/>
        </w:rPr>
        <w:t xml:space="preserve">Annual Wage Review </w:t>
      </w:r>
      <w:r>
        <w:rPr>
          <w:i/>
        </w:rPr>
        <w:t>2022-23</w:t>
      </w:r>
      <w:r>
        <w:t xml:space="preserve"> </w:t>
      </w:r>
      <w:r w:rsidR="008D71DF">
        <w:t xml:space="preserve">decision </w:t>
      </w:r>
      <w:r>
        <w:t>on 2 June 2023. The decision, which comes into effect on 1 July 2023, increased modern award minimum wages by 5.75 per cent and the National Minimum Wage (NMW) by a total of 8.6 per cent.</w:t>
      </w:r>
      <w:r w:rsidR="007C3D52">
        <w:rPr>
          <w:rFonts w:ascii="ZWAdobeF" w:hAnsi="ZWAdobeF" w:cs="ZWAdobeF"/>
          <w:color w:val="auto"/>
          <w:sz w:val="2"/>
          <w:szCs w:val="2"/>
        </w:rPr>
        <w:t>30F</w:t>
      </w:r>
      <w:r>
        <w:rPr>
          <w:rStyle w:val="FootnoteReference"/>
        </w:rPr>
        <w:footnoteReference w:id="32"/>
      </w:r>
      <w:r>
        <w:t xml:space="preserve"> The increase to the NMW comprised two components:</w:t>
      </w:r>
      <w:r w:rsidR="007C3D52">
        <w:rPr>
          <w:rFonts w:ascii="ZWAdobeF" w:hAnsi="ZWAdobeF" w:cs="ZWAdobeF"/>
          <w:color w:val="auto"/>
          <w:sz w:val="2"/>
          <w:szCs w:val="2"/>
        </w:rPr>
        <w:t>31F</w:t>
      </w:r>
      <w:r>
        <w:rPr>
          <w:rStyle w:val="FootnoteReference"/>
        </w:rPr>
        <w:footnoteReference w:id="33"/>
      </w:r>
    </w:p>
    <w:p w14:paraId="1894EC26" w14:textId="77777777" w:rsidR="005678FE" w:rsidRDefault="005678FE" w:rsidP="005678FE">
      <w:pPr>
        <w:pStyle w:val="06VIRTBulletpoints"/>
        <w:numPr>
          <w:ilvl w:val="0"/>
          <w:numId w:val="2"/>
        </w:numPr>
      </w:pPr>
      <w:r>
        <w:t>a 2.7 per cent increase resulting from aligning the NMW with the lowest classification rate applicable to ongoing employees in most modern awards</w:t>
      </w:r>
    </w:p>
    <w:p w14:paraId="24343A4F" w14:textId="77777777" w:rsidR="005678FE" w:rsidRDefault="005678FE" w:rsidP="005678FE">
      <w:pPr>
        <w:pStyle w:val="06VIRTBulletpoints"/>
        <w:numPr>
          <w:ilvl w:val="0"/>
          <w:numId w:val="2"/>
        </w:numPr>
      </w:pPr>
      <w:r>
        <w:t>a further 5.75 per cent increase.</w:t>
      </w:r>
    </w:p>
    <w:p w14:paraId="02ADADA3" w14:textId="77777777" w:rsidR="005678FE" w:rsidRDefault="005678FE" w:rsidP="005678FE">
      <w:pPr>
        <w:pStyle w:val="05Paragraph"/>
        <w:keepNext/>
      </w:pPr>
      <w:r>
        <w:t>In determining the amount of the increase to modern award minimum wages, the FWC stated that it:</w:t>
      </w:r>
    </w:p>
    <w:p w14:paraId="5BEAFDE3" w14:textId="2E48B3DE" w:rsidR="005678FE" w:rsidRDefault="005678FE" w:rsidP="005678FE">
      <w:pPr>
        <w:pStyle w:val="07VIRTBreakouttext"/>
      </w:pPr>
      <w:r>
        <w:t>… placed significant weight on the impact of the current rate of inflation on the ability of modern award-reliant employees to meet their basic financial needs. Inflation is reducing the real value of these employees’ incomes and causing households financial stress.</w:t>
      </w:r>
      <w:r w:rsidR="007C3D52">
        <w:rPr>
          <w:rFonts w:ascii="ZWAdobeF" w:hAnsi="ZWAdobeF" w:cs="ZWAdobeF"/>
          <w:i w:val="0"/>
          <w:color w:val="auto"/>
          <w:spacing w:val="0"/>
          <w:sz w:val="2"/>
          <w:szCs w:val="2"/>
        </w:rPr>
        <w:t>32F</w:t>
      </w:r>
      <w:r w:rsidRPr="006F458D">
        <w:rPr>
          <w:rStyle w:val="FootnoteReference"/>
          <w:i w:val="0"/>
          <w:iCs/>
        </w:rPr>
        <w:footnoteReference w:id="34"/>
      </w:r>
    </w:p>
    <w:p w14:paraId="611AC5BB" w14:textId="36291BD3" w:rsidR="005678FE" w:rsidRDefault="005678FE" w:rsidP="005678FE">
      <w:pPr>
        <w:pStyle w:val="05Paragraph"/>
        <w:keepNext/>
      </w:pPr>
      <w:r>
        <w:t>The FWC expects that the increase to modern award minimum wages ‘will not cause or contribute to any wage-price spiral’, and that the increase to the NMW (which applies to fewer than one per cent of employees) ‘will not have any discernible macro</w:t>
      </w:r>
      <w:r>
        <w:noBreakHyphen/>
        <w:t>economic effects’.</w:t>
      </w:r>
      <w:r w:rsidR="007C3D52">
        <w:rPr>
          <w:rFonts w:ascii="ZWAdobeF" w:hAnsi="ZWAdobeF" w:cs="ZWAdobeF"/>
          <w:color w:val="auto"/>
          <w:sz w:val="2"/>
          <w:szCs w:val="2"/>
        </w:rPr>
        <w:t>33F</w:t>
      </w:r>
      <w:r>
        <w:rPr>
          <w:rStyle w:val="FootnoteReference"/>
        </w:rPr>
        <w:footnoteReference w:id="35"/>
      </w:r>
    </w:p>
    <w:p w14:paraId="5B2086BA" w14:textId="5B5C1A36" w:rsidR="005678FE" w:rsidRDefault="005678FE" w:rsidP="005678FE">
      <w:pPr>
        <w:pStyle w:val="05Paragraph"/>
        <w:keepNext/>
      </w:pPr>
      <w:r>
        <w:t xml:space="preserve">The RBA’s forecasts for the Australian economy are reproduced in Table </w:t>
      </w:r>
      <w:r w:rsidR="00E651A0">
        <w:t>3.1</w:t>
      </w:r>
      <w:r>
        <w:t>. In summary:</w:t>
      </w:r>
    </w:p>
    <w:p w14:paraId="09DD67B6" w14:textId="621D2EC3" w:rsidR="005678FE" w:rsidRDefault="005678FE" w:rsidP="005678FE">
      <w:pPr>
        <w:pStyle w:val="06VIRTBulletpoints"/>
      </w:pPr>
      <w:r>
        <w:t>real GDP growth is expected to slow to around 1.25 per cent over 2023, as rising interest rates and cost</w:t>
      </w:r>
      <w:r>
        <w:noBreakHyphen/>
        <w:t>of</w:t>
      </w:r>
      <w:r>
        <w:noBreakHyphen/>
        <w:t>living pressures weigh on growth</w:t>
      </w:r>
      <w:r w:rsidR="007C3D52">
        <w:rPr>
          <w:rFonts w:ascii="ZWAdobeF" w:hAnsi="ZWAdobeF" w:cs="ZWAdobeF"/>
          <w:color w:val="auto"/>
          <w:sz w:val="2"/>
          <w:szCs w:val="2"/>
        </w:rPr>
        <w:t>34F</w:t>
      </w:r>
      <w:r>
        <w:rPr>
          <w:rStyle w:val="FootnoteReference"/>
        </w:rPr>
        <w:footnoteReference w:id="36"/>
      </w:r>
    </w:p>
    <w:p w14:paraId="0DE0784D" w14:textId="1497E920" w:rsidR="005678FE" w:rsidRDefault="005678FE" w:rsidP="005678FE">
      <w:pPr>
        <w:pStyle w:val="06VIRTBulletpoints"/>
      </w:pPr>
      <w:r>
        <w:t>inflation is forecast to decline gradually, with trimmed mean inflation expected to be around the top of the 2-3 per cent target range by mid-2025</w:t>
      </w:r>
      <w:r w:rsidR="007C3D52">
        <w:rPr>
          <w:rFonts w:ascii="ZWAdobeF" w:hAnsi="ZWAdobeF" w:cs="ZWAdobeF"/>
          <w:color w:val="auto"/>
          <w:sz w:val="2"/>
          <w:szCs w:val="2"/>
        </w:rPr>
        <w:t>35F</w:t>
      </w:r>
      <w:r>
        <w:rPr>
          <w:rStyle w:val="FootnoteReference"/>
        </w:rPr>
        <w:footnoteReference w:id="37"/>
      </w:r>
    </w:p>
    <w:p w14:paraId="7773EAE0" w14:textId="22D734E3" w:rsidR="005678FE" w:rsidRDefault="005678FE" w:rsidP="005678FE">
      <w:pPr>
        <w:pStyle w:val="06VIRTBulletpoints"/>
      </w:pPr>
      <w:r>
        <w:t>the national unemployment rate is forecast to steadily increase over the coming years as economic growth slows, but is expected to remain below pre</w:t>
      </w:r>
      <w:r>
        <w:noBreakHyphen/>
        <w:t>pandemic levels</w:t>
      </w:r>
      <w:r w:rsidR="007C3D52">
        <w:rPr>
          <w:rFonts w:ascii="ZWAdobeF" w:hAnsi="ZWAdobeF" w:cs="ZWAdobeF"/>
          <w:color w:val="auto"/>
          <w:sz w:val="2"/>
          <w:szCs w:val="2"/>
        </w:rPr>
        <w:t>36F</w:t>
      </w:r>
      <w:r>
        <w:rPr>
          <w:rStyle w:val="FootnoteReference"/>
        </w:rPr>
        <w:footnoteReference w:id="38"/>
      </w:r>
    </w:p>
    <w:p w14:paraId="35068977" w14:textId="3514AE26" w:rsidR="005678FE" w:rsidRDefault="005678FE" w:rsidP="005678FE">
      <w:pPr>
        <w:pStyle w:val="06VIRTBulletpoints"/>
      </w:pPr>
      <w:r>
        <w:t>WPI growth is expected to peak at around 4 per cent in the second half of 2023, before gradually declining to 3.75 per cent in mid-2025.</w:t>
      </w:r>
      <w:r w:rsidR="007C3D52">
        <w:rPr>
          <w:rFonts w:ascii="ZWAdobeF" w:hAnsi="ZWAdobeF" w:cs="ZWAdobeF"/>
          <w:color w:val="auto"/>
          <w:sz w:val="2"/>
          <w:szCs w:val="2"/>
        </w:rPr>
        <w:t>37F</w:t>
      </w:r>
      <w:r>
        <w:rPr>
          <w:rStyle w:val="FootnoteReference"/>
        </w:rPr>
        <w:footnoteReference w:id="39"/>
      </w:r>
    </w:p>
    <w:p w14:paraId="56D457E5" w14:textId="5C2E182A" w:rsidR="005678FE" w:rsidRPr="001532E3" w:rsidRDefault="005678FE" w:rsidP="005678FE">
      <w:pPr>
        <w:pStyle w:val="08Figuretableboxheading"/>
        <w:rPr>
          <w:rFonts w:ascii="Calibri" w:hAnsi="Calibri" w:cs="Calibri"/>
          <w:vertAlign w:val="superscript"/>
        </w:rPr>
      </w:pPr>
      <w:bookmarkStart w:id="97" w:name="_Toc137639093"/>
      <w:r w:rsidRPr="001532E3">
        <w:rPr>
          <w:rFonts w:ascii="Calibri" w:hAnsi="Calibri" w:cs="Calibri"/>
        </w:rPr>
        <w:t xml:space="preserve">Table </w:t>
      </w:r>
      <w:r w:rsidR="00E651A0" w:rsidRPr="001532E3">
        <w:rPr>
          <w:rFonts w:ascii="Calibri" w:hAnsi="Calibri" w:cs="Calibri"/>
        </w:rPr>
        <w:t>3.1</w:t>
      </w:r>
      <w:r w:rsidRPr="001532E3">
        <w:rPr>
          <w:rFonts w:ascii="Calibri" w:hAnsi="Calibri" w:cs="Calibri"/>
        </w:rPr>
        <w:t>: RBA forecasts for the Australian economy, May 2023</w:t>
      </w:r>
      <w:r w:rsidRPr="001532E3">
        <w:rPr>
          <w:rFonts w:ascii="Calibri" w:hAnsi="Calibri" w:cs="Calibri"/>
          <w:vertAlign w:val="superscript"/>
        </w:rPr>
        <w:t>(a)</w:t>
      </w:r>
      <w:bookmarkEnd w:id="97"/>
    </w:p>
    <w:tbl>
      <w:tblPr>
        <w:tblStyle w:val="ListTable3-Accent21"/>
        <w:tblW w:w="0" w:type="auto"/>
        <w:tblInd w:w="5" w:type="dxa"/>
        <w:tblLook w:val="04A0" w:firstRow="1" w:lastRow="0" w:firstColumn="1" w:lastColumn="0" w:noHBand="0" w:noVBand="1"/>
      </w:tblPr>
      <w:tblGrid>
        <w:gridCol w:w="2263"/>
        <w:gridCol w:w="1247"/>
        <w:gridCol w:w="1247"/>
        <w:gridCol w:w="1247"/>
        <w:gridCol w:w="1247"/>
        <w:gridCol w:w="1248"/>
      </w:tblGrid>
      <w:tr w:rsidR="005678FE" w14:paraId="352F058A" w14:textId="77777777" w:rsidTr="007C3D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148A5D" w:themeColor="accent2"/>
              <w:bottom w:val="single" w:sz="4" w:space="0" w:color="148A5D"/>
            </w:tcBorders>
            <w:shd w:val="clear" w:color="auto" w:fill="auto"/>
          </w:tcPr>
          <w:p w14:paraId="2B3CD8D7" w14:textId="77777777" w:rsidR="005678FE" w:rsidRPr="007C3D52" w:rsidRDefault="005678FE">
            <w:pPr>
              <w:pStyle w:val="10Tabletext"/>
              <w:rPr>
                <w:rFonts w:ascii="Calibri" w:hAnsi="Calibri" w:cs="Calibri"/>
                <w:color w:val="auto"/>
              </w:rPr>
            </w:pPr>
            <w:r w:rsidRPr="007C3D52">
              <w:rPr>
                <w:rFonts w:ascii="Calibri" w:hAnsi="Calibri" w:cs="Calibri"/>
                <w:color w:val="auto"/>
              </w:rPr>
              <w:t>Indicator</w:t>
            </w:r>
          </w:p>
        </w:tc>
        <w:tc>
          <w:tcPr>
            <w:tcW w:w="1247" w:type="dxa"/>
            <w:tcBorders>
              <w:top w:val="single" w:sz="4" w:space="0" w:color="148A5D" w:themeColor="accent2"/>
              <w:bottom w:val="single" w:sz="4" w:space="0" w:color="148A5D"/>
            </w:tcBorders>
            <w:shd w:val="clear" w:color="auto" w:fill="auto"/>
          </w:tcPr>
          <w:p w14:paraId="5857721E"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June 2023</w:t>
            </w:r>
          </w:p>
        </w:tc>
        <w:tc>
          <w:tcPr>
            <w:tcW w:w="1247" w:type="dxa"/>
            <w:tcBorders>
              <w:top w:val="single" w:sz="4" w:space="0" w:color="148A5D" w:themeColor="accent2"/>
              <w:bottom w:val="single" w:sz="4" w:space="0" w:color="148A5D"/>
            </w:tcBorders>
            <w:shd w:val="clear" w:color="auto" w:fill="auto"/>
          </w:tcPr>
          <w:p w14:paraId="2DC1C3B7"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Dec 2023</w:t>
            </w:r>
          </w:p>
        </w:tc>
        <w:tc>
          <w:tcPr>
            <w:tcW w:w="1247" w:type="dxa"/>
            <w:tcBorders>
              <w:top w:val="single" w:sz="4" w:space="0" w:color="148A5D" w:themeColor="accent2"/>
              <w:bottom w:val="single" w:sz="4" w:space="0" w:color="148A5D"/>
            </w:tcBorders>
            <w:shd w:val="clear" w:color="auto" w:fill="auto"/>
          </w:tcPr>
          <w:p w14:paraId="7D7DFCA6"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June 2024</w:t>
            </w:r>
          </w:p>
        </w:tc>
        <w:tc>
          <w:tcPr>
            <w:tcW w:w="1247" w:type="dxa"/>
            <w:tcBorders>
              <w:top w:val="single" w:sz="4" w:space="0" w:color="148A5D" w:themeColor="accent2"/>
              <w:bottom w:val="single" w:sz="4" w:space="0" w:color="148A5D"/>
            </w:tcBorders>
            <w:shd w:val="clear" w:color="auto" w:fill="auto"/>
          </w:tcPr>
          <w:p w14:paraId="65525CD8"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Dec 2024</w:t>
            </w:r>
          </w:p>
        </w:tc>
        <w:tc>
          <w:tcPr>
            <w:tcW w:w="1248" w:type="dxa"/>
            <w:tcBorders>
              <w:top w:val="single" w:sz="4" w:space="0" w:color="148A5D" w:themeColor="accent2"/>
              <w:bottom w:val="single" w:sz="4" w:space="0" w:color="148A5D"/>
            </w:tcBorders>
            <w:shd w:val="clear" w:color="auto" w:fill="auto"/>
          </w:tcPr>
          <w:p w14:paraId="23C0C414"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June 2025</w:t>
            </w:r>
          </w:p>
        </w:tc>
      </w:tr>
      <w:tr w:rsidR="005678FE" w14:paraId="7F285C62" w14:textId="77777777" w:rsidTr="007C3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7F4438A" w14:textId="77777777" w:rsidR="005678FE" w:rsidRPr="001532E3" w:rsidRDefault="005678FE">
            <w:pPr>
              <w:pStyle w:val="10Tabletext"/>
              <w:rPr>
                <w:rFonts w:ascii="Calibri" w:hAnsi="Calibri" w:cs="Calibri"/>
                <w:vertAlign w:val="superscript"/>
              </w:rPr>
            </w:pPr>
            <w:r w:rsidRPr="001532E3">
              <w:rPr>
                <w:rFonts w:ascii="Calibri" w:hAnsi="Calibri" w:cs="Calibri"/>
              </w:rPr>
              <w:t>Real GDP</w:t>
            </w:r>
            <w:r w:rsidRPr="001532E3">
              <w:rPr>
                <w:rFonts w:ascii="Calibri" w:hAnsi="Calibri" w:cs="Calibri"/>
                <w:vertAlign w:val="superscript"/>
              </w:rPr>
              <w:t>(b)</w:t>
            </w:r>
          </w:p>
        </w:tc>
        <w:tc>
          <w:tcPr>
            <w:tcW w:w="1247" w:type="dxa"/>
          </w:tcPr>
          <w:p w14:paraId="20CFFF1E"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1.7</w:t>
            </w:r>
          </w:p>
        </w:tc>
        <w:tc>
          <w:tcPr>
            <w:tcW w:w="1247" w:type="dxa"/>
          </w:tcPr>
          <w:p w14:paraId="667AF0A5"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1.2</w:t>
            </w:r>
          </w:p>
        </w:tc>
        <w:tc>
          <w:tcPr>
            <w:tcW w:w="1247" w:type="dxa"/>
          </w:tcPr>
          <w:p w14:paraId="156EE67A"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1.4</w:t>
            </w:r>
          </w:p>
        </w:tc>
        <w:tc>
          <w:tcPr>
            <w:tcW w:w="1247" w:type="dxa"/>
          </w:tcPr>
          <w:p w14:paraId="5A8C8573"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1.7</w:t>
            </w:r>
          </w:p>
        </w:tc>
        <w:tc>
          <w:tcPr>
            <w:tcW w:w="1248" w:type="dxa"/>
          </w:tcPr>
          <w:p w14:paraId="5BE87048"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2.1</w:t>
            </w:r>
          </w:p>
        </w:tc>
      </w:tr>
      <w:tr w:rsidR="005678FE" w14:paraId="6699596A" w14:textId="77777777">
        <w:tc>
          <w:tcPr>
            <w:cnfStyle w:val="001000000000" w:firstRow="0" w:lastRow="0" w:firstColumn="1" w:lastColumn="0" w:oddVBand="0" w:evenVBand="0" w:oddHBand="0" w:evenHBand="0" w:firstRowFirstColumn="0" w:firstRowLastColumn="0" w:lastRowFirstColumn="0" w:lastRowLastColumn="0"/>
            <w:tcW w:w="2263" w:type="dxa"/>
          </w:tcPr>
          <w:p w14:paraId="4A6D20D3" w14:textId="77777777" w:rsidR="005678FE" w:rsidRPr="001532E3" w:rsidRDefault="005678FE">
            <w:pPr>
              <w:pStyle w:val="10Tabletext"/>
              <w:rPr>
                <w:rFonts w:ascii="Calibri" w:hAnsi="Calibri" w:cs="Calibri"/>
                <w:vertAlign w:val="superscript"/>
              </w:rPr>
            </w:pPr>
            <w:r w:rsidRPr="001532E3">
              <w:rPr>
                <w:rFonts w:ascii="Calibri" w:hAnsi="Calibri" w:cs="Calibri"/>
              </w:rPr>
              <w:t>Unemployment rate</w:t>
            </w:r>
            <w:r w:rsidRPr="001532E3">
              <w:rPr>
                <w:rFonts w:ascii="Calibri" w:hAnsi="Calibri" w:cs="Calibri"/>
                <w:vertAlign w:val="superscript"/>
              </w:rPr>
              <w:t>(c)</w:t>
            </w:r>
          </w:p>
        </w:tc>
        <w:tc>
          <w:tcPr>
            <w:tcW w:w="1247" w:type="dxa"/>
          </w:tcPr>
          <w:p w14:paraId="579116FE"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3.6</w:t>
            </w:r>
          </w:p>
        </w:tc>
        <w:tc>
          <w:tcPr>
            <w:tcW w:w="1247" w:type="dxa"/>
          </w:tcPr>
          <w:p w14:paraId="742BEE07"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4.0</w:t>
            </w:r>
          </w:p>
        </w:tc>
        <w:tc>
          <w:tcPr>
            <w:tcW w:w="1247" w:type="dxa"/>
          </w:tcPr>
          <w:p w14:paraId="545787FD"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4.2</w:t>
            </w:r>
          </w:p>
        </w:tc>
        <w:tc>
          <w:tcPr>
            <w:tcW w:w="1247" w:type="dxa"/>
          </w:tcPr>
          <w:p w14:paraId="3D08E215"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4.4</w:t>
            </w:r>
          </w:p>
        </w:tc>
        <w:tc>
          <w:tcPr>
            <w:tcW w:w="1248" w:type="dxa"/>
          </w:tcPr>
          <w:p w14:paraId="18D60C0F"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4.5</w:t>
            </w:r>
          </w:p>
        </w:tc>
      </w:tr>
      <w:tr w:rsidR="005678FE" w14:paraId="0BF15B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40819AA" w14:textId="77777777" w:rsidR="005678FE" w:rsidRPr="001532E3" w:rsidRDefault="005678FE">
            <w:pPr>
              <w:pStyle w:val="10Tabletext"/>
              <w:rPr>
                <w:rFonts w:ascii="Calibri" w:hAnsi="Calibri" w:cs="Calibri"/>
              </w:rPr>
            </w:pPr>
            <w:r w:rsidRPr="001532E3">
              <w:rPr>
                <w:rFonts w:ascii="Calibri" w:hAnsi="Calibri" w:cs="Calibri"/>
              </w:rPr>
              <w:t>CPI</w:t>
            </w:r>
            <w:r w:rsidRPr="001532E3">
              <w:rPr>
                <w:rFonts w:ascii="Calibri" w:hAnsi="Calibri" w:cs="Calibri"/>
                <w:vertAlign w:val="superscript"/>
              </w:rPr>
              <w:t>(b)</w:t>
            </w:r>
          </w:p>
        </w:tc>
        <w:tc>
          <w:tcPr>
            <w:tcW w:w="1247" w:type="dxa"/>
          </w:tcPr>
          <w:p w14:paraId="65CD66A6"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6.3</w:t>
            </w:r>
          </w:p>
        </w:tc>
        <w:tc>
          <w:tcPr>
            <w:tcW w:w="1247" w:type="dxa"/>
          </w:tcPr>
          <w:p w14:paraId="13E7CA9F"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4.5</w:t>
            </w:r>
          </w:p>
        </w:tc>
        <w:tc>
          <w:tcPr>
            <w:tcW w:w="1247" w:type="dxa"/>
          </w:tcPr>
          <w:p w14:paraId="3E54E0D9"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3.6</w:t>
            </w:r>
          </w:p>
        </w:tc>
        <w:tc>
          <w:tcPr>
            <w:tcW w:w="1247" w:type="dxa"/>
          </w:tcPr>
          <w:p w14:paraId="5942A951"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3.2</w:t>
            </w:r>
          </w:p>
        </w:tc>
        <w:tc>
          <w:tcPr>
            <w:tcW w:w="1248" w:type="dxa"/>
          </w:tcPr>
          <w:p w14:paraId="6D666303"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3.0</w:t>
            </w:r>
          </w:p>
        </w:tc>
      </w:tr>
      <w:tr w:rsidR="005678FE" w14:paraId="779CEB2A" w14:textId="77777777">
        <w:tc>
          <w:tcPr>
            <w:cnfStyle w:val="001000000000" w:firstRow="0" w:lastRow="0" w:firstColumn="1" w:lastColumn="0" w:oddVBand="0" w:evenVBand="0" w:oddHBand="0" w:evenHBand="0" w:firstRowFirstColumn="0" w:firstRowLastColumn="0" w:lastRowFirstColumn="0" w:lastRowLastColumn="0"/>
            <w:tcW w:w="2263" w:type="dxa"/>
          </w:tcPr>
          <w:p w14:paraId="45400B2C" w14:textId="77777777" w:rsidR="005678FE" w:rsidRPr="001532E3" w:rsidRDefault="005678FE">
            <w:pPr>
              <w:pStyle w:val="10Tabletext"/>
              <w:rPr>
                <w:rFonts w:ascii="Calibri" w:hAnsi="Calibri" w:cs="Calibri"/>
              </w:rPr>
            </w:pPr>
            <w:r w:rsidRPr="001532E3">
              <w:rPr>
                <w:rFonts w:ascii="Calibri" w:hAnsi="Calibri" w:cs="Calibri"/>
              </w:rPr>
              <w:t>Australian trimmed mean</w:t>
            </w:r>
            <w:r w:rsidRPr="001532E3">
              <w:rPr>
                <w:rFonts w:ascii="Calibri" w:hAnsi="Calibri" w:cs="Calibri"/>
                <w:vertAlign w:val="superscript"/>
              </w:rPr>
              <w:t>(b)</w:t>
            </w:r>
          </w:p>
        </w:tc>
        <w:tc>
          <w:tcPr>
            <w:tcW w:w="1247" w:type="dxa"/>
          </w:tcPr>
          <w:p w14:paraId="44F968F5"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6.0</w:t>
            </w:r>
          </w:p>
        </w:tc>
        <w:tc>
          <w:tcPr>
            <w:tcW w:w="1247" w:type="dxa"/>
          </w:tcPr>
          <w:p w14:paraId="2F3C4DE8"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4.0</w:t>
            </w:r>
          </w:p>
        </w:tc>
        <w:tc>
          <w:tcPr>
            <w:tcW w:w="1247" w:type="dxa"/>
          </w:tcPr>
          <w:p w14:paraId="37857B06"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3.3</w:t>
            </w:r>
          </w:p>
        </w:tc>
        <w:tc>
          <w:tcPr>
            <w:tcW w:w="1247" w:type="dxa"/>
          </w:tcPr>
          <w:p w14:paraId="16CD626F"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3.1</w:t>
            </w:r>
          </w:p>
        </w:tc>
        <w:tc>
          <w:tcPr>
            <w:tcW w:w="1248" w:type="dxa"/>
          </w:tcPr>
          <w:p w14:paraId="6045FA37"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2.9</w:t>
            </w:r>
          </w:p>
        </w:tc>
      </w:tr>
      <w:tr w:rsidR="005678FE" w14:paraId="681152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9F6ACA2" w14:textId="77777777" w:rsidR="005678FE" w:rsidRPr="001532E3" w:rsidRDefault="005678FE">
            <w:pPr>
              <w:pStyle w:val="10Tabletext"/>
              <w:rPr>
                <w:rFonts w:ascii="Calibri" w:hAnsi="Calibri" w:cs="Calibri"/>
              </w:rPr>
            </w:pPr>
            <w:r w:rsidRPr="001532E3">
              <w:rPr>
                <w:rFonts w:ascii="Calibri" w:hAnsi="Calibri" w:cs="Calibri"/>
              </w:rPr>
              <w:t>WPI growth</w:t>
            </w:r>
            <w:r w:rsidRPr="001532E3">
              <w:rPr>
                <w:rFonts w:ascii="Calibri" w:hAnsi="Calibri" w:cs="Calibri"/>
                <w:vertAlign w:val="superscript"/>
              </w:rPr>
              <w:t>(b)</w:t>
            </w:r>
          </w:p>
        </w:tc>
        <w:tc>
          <w:tcPr>
            <w:tcW w:w="1247" w:type="dxa"/>
          </w:tcPr>
          <w:p w14:paraId="67499EC9"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3.8</w:t>
            </w:r>
          </w:p>
        </w:tc>
        <w:tc>
          <w:tcPr>
            <w:tcW w:w="1247" w:type="dxa"/>
          </w:tcPr>
          <w:p w14:paraId="0E5D805B"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4.0</w:t>
            </w:r>
          </w:p>
        </w:tc>
        <w:tc>
          <w:tcPr>
            <w:tcW w:w="1247" w:type="dxa"/>
          </w:tcPr>
          <w:p w14:paraId="3411D5C9"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3.9</w:t>
            </w:r>
          </w:p>
        </w:tc>
        <w:tc>
          <w:tcPr>
            <w:tcW w:w="1247" w:type="dxa"/>
          </w:tcPr>
          <w:p w14:paraId="2B4358BC"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3.8</w:t>
            </w:r>
          </w:p>
        </w:tc>
        <w:tc>
          <w:tcPr>
            <w:tcW w:w="1248" w:type="dxa"/>
          </w:tcPr>
          <w:p w14:paraId="51B00088"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3.7</w:t>
            </w:r>
          </w:p>
        </w:tc>
      </w:tr>
    </w:tbl>
    <w:p w14:paraId="7B8D29DA" w14:textId="77777777" w:rsidR="005678FE" w:rsidRDefault="005678FE" w:rsidP="005678FE">
      <w:pPr>
        <w:pStyle w:val="09Sourcesandnotesfortablesfiguresboxes"/>
      </w:pPr>
      <w:r>
        <w:t>Notes: (a) Forecasts are rounded to the first decimal point. (b) Year-ended growth. (c) Average rate in the quarter.</w:t>
      </w:r>
    </w:p>
    <w:p w14:paraId="718B90C5" w14:textId="14DDC92F" w:rsidR="005678FE" w:rsidRDefault="005678FE" w:rsidP="005678FE">
      <w:pPr>
        <w:pStyle w:val="09Sourcesandnotesfortablesfiguresboxes"/>
      </w:pPr>
      <w:r>
        <w:t>Source: RBA (2023</w:t>
      </w:r>
      <w:r w:rsidR="006124F9">
        <w:t>a</w:t>
      </w:r>
      <w:r>
        <w:t>).</w:t>
      </w:r>
    </w:p>
    <w:p w14:paraId="123DCA15" w14:textId="7569BECB" w:rsidR="005678FE" w:rsidRDefault="005678FE" w:rsidP="005678FE">
      <w:pPr>
        <w:pStyle w:val="05Paragraph"/>
        <w:keepNext/>
      </w:pPr>
      <w:r>
        <w:t xml:space="preserve">The </w:t>
      </w:r>
      <w:r>
        <w:rPr>
          <w:i/>
          <w:iCs/>
        </w:rPr>
        <w:t xml:space="preserve">Commonwealth </w:t>
      </w:r>
      <w:r w:rsidRPr="00AE132F">
        <w:rPr>
          <w:i/>
          <w:iCs/>
        </w:rPr>
        <w:t>Budget 2023-24</w:t>
      </w:r>
      <w:r>
        <w:t xml:space="preserve">, released in May 2023, included </w:t>
      </w:r>
      <w:r w:rsidR="00210DDA">
        <w:t xml:space="preserve">Treasury </w:t>
      </w:r>
      <w:r>
        <w:t xml:space="preserve">forecasts for the Australian economy (Table </w:t>
      </w:r>
      <w:r w:rsidR="00E651A0">
        <w:t>3.2</w:t>
      </w:r>
      <w:r>
        <w:t>). These were broadly consistent with the RBA’s forecasts, although the Tribunal noted the following differences:</w:t>
      </w:r>
      <w:r w:rsidR="007C3D52">
        <w:rPr>
          <w:rFonts w:ascii="ZWAdobeF" w:hAnsi="ZWAdobeF" w:cs="ZWAdobeF"/>
          <w:color w:val="auto"/>
          <w:sz w:val="2"/>
          <w:szCs w:val="2"/>
        </w:rPr>
        <w:t>38F</w:t>
      </w:r>
      <w:r>
        <w:rPr>
          <w:rStyle w:val="FootnoteReference"/>
        </w:rPr>
        <w:footnoteReference w:id="40"/>
      </w:r>
    </w:p>
    <w:p w14:paraId="677E4C7C" w14:textId="4E41F289" w:rsidR="005678FE" w:rsidRDefault="005678FE" w:rsidP="005678FE">
      <w:pPr>
        <w:pStyle w:val="06VIRTBulletpoints"/>
      </w:pPr>
      <w:r>
        <w:t>Treasury forecast inflation to decline faster, with year-ended CPI growth expected to be around 2.75</w:t>
      </w:r>
      <w:r w:rsidR="00210DDA">
        <w:t xml:space="preserve"> per cent</w:t>
      </w:r>
      <w:r>
        <w:t xml:space="preserve"> in June 2025 (compared to the RBA’s forecast of 3 per cent)</w:t>
      </w:r>
    </w:p>
    <w:p w14:paraId="73492E79" w14:textId="77777777" w:rsidR="005678FE" w:rsidRDefault="005678FE" w:rsidP="005678FE">
      <w:pPr>
        <w:pStyle w:val="06VIRTBulletpoints"/>
      </w:pPr>
      <w:r>
        <w:t>Treasury forecast a sharper decline in wages growth, with WPI growth expected to be 3.25 per cent in June 2025 (compared to the RBA’s forecast of 3.75 per cent).</w:t>
      </w:r>
    </w:p>
    <w:p w14:paraId="5988DAB5" w14:textId="58645777" w:rsidR="005678FE" w:rsidRPr="001532E3" w:rsidRDefault="005678FE" w:rsidP="005678FE">
      <w:pPr>
        <w:pStyle w:val="08Figuretableboxheading"/>
        <w:rPr>
          <w:rFonts w:ascii="Calibri" w:hAnsi="Calibri" w:cs="Calibri"/>
        </w:rPr>
      </w:pPr>
      <w:bookmarkStart w:id="98" w:name="_Toc137639094"/>
      <w:r w:rsidRPr="001532E3">
        <w:rPr>
          <w:rFonts w:ascii="Calibri" w:hAnsi="Calibri" w:cs="Calibri"/>
        </w:rPr>
        <w:t xml:space="preserve">Table </w:t>
      </w:r>
      <w:r w:rsidR="00E651A0" w:rsidRPr="001532E3">
        <w:rPr>
          <w:rFonts w:ascii="Calibri" w:hAnsi="Calibri" w:cs="Calibri"/>
        </w:rPr>
        <w:t>3.2</w:t>
      </w:r>
      <w:r w:rsidRPr="001532E3">
        <w:rPr>
          <w:rFonts w:ascii="Calibri" w:hAnsi="Calibri" w:cs="Calibri"/>
        </w:rPr>
        <w:t>: Commonwealth Budget 2023-24 — forecasts for the Australian economy</w:t>
      </w:r>
      <w:bookmarkEnd w:id="98"/>
    </w:p>
    <w:tbl>
      <w:tblPr>
        <w:tblStyle w:val="ListTable3-Accent21"/>
        <w:tblW w:w="8500" w:type="dxa"/>
        <w:tblInd w:w="5" w:type="dxa"/>
        <w:tblLook w:val="04A0" w:firstRow="1" w:lastRow="0" w:firstColumn="1" w:lastColumn="0" w:noHBand="0" w:noVBand="1"/>
      </w:tblPr>
      <w:tblGrid>
        <w:gridCol w:w="2263"/>
        <w:gridCol w:w="2079"/>
        <w:gridCol w:w="2079"/>
        <w:gridCol w:w="2079"/>
      </w:tblGrid>
      <w:tr w:rsidR="007C3D52" w:rsidRPr="007C3D52" w14:paraId="38DDE94D" w14:textId="77777777" w:rsidTr="007C3D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Borders>
              <w:top w:val="single" w:sz="4" w:space="0" w:color="148A5D" w:themeColor="accent2"/>
              <w:bottom w:val="single" w:sz="4" w:space="0" w:color="148A5D"/>
            </w:tcBorders>
            <w:shd w:val="clear" w:color="auto" w:fill="auto"/>
          </w:tcPr>
          <w:p w14:paraId="723B2A3E" w14:textId="77777777" w:rsidR="005678FE" w:rsidRPr="007C3D52" w:rsidRDefault="005678FE">
            <w:pPr>
              <w:pStyle w:val="10Tabletext"/>
              <w:rPr>
                <w:rFonts w:ascii="Calibri" w:hAnsi="Calibri" w:cs="Calibri"/>
                <w:color w:val="auto"/>
              </w:rPr>
            </w:pPr>
            <w:r w:rsidRPr="007C3D52">
              <w:rPr>
                <w:rFonts w:ascii="Calibri" w:hAnsi="Calibri" w:cs="Calibri"/>
                <w:color w:val="auto"/>
              </w:rPr>
              <w:t>Indicator</w:t>
            </w:r>
          </w:p>
        </w:tc>
        <w:tc>
          <w:tcPr>
            <w:tcW w:w="2079" w:type="dxa"/>
            <w:tcBorders>
              <w:top w:val="single" w:sz="4" w:space="0" w:color="148A5D" w:themeColor="accent2"/>
              <w:bottom w:val="single" w:sz="4" w:space="0" w:color="148A5D"/>
            </w:tcBorders>
            <w:shd w:val="clear" w:color="auto" w:fill="auto"/>
          </w:tcPr>
          <w:p w14:paraId="62D07A37"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2022-23</w:t>
            </w:r>
          </w:p>
        </w:tc>
        <w:tc>
          <w:tcPr>
            <w:tcW w:w="2079" w:type="dxa"/>
            <w:tcBorders>
              <w:top w:val="single" w:sz="4" w:space="0" w:color="148A5D" w:themeColor="accent2"/>
              <w:bottom w:val="single" w:sz="4" w:space="0" w:color="148A5D"/>
            </w:tcBorders>
            <w:shd w:val="clear" w:color="auto" w:fill="auto"/>
          </w:tcPr>
          <w:p w14:paraId="72ED8D2F"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2023-24</w:t>
            </w:r>
          </w:p>
        </w:tc>
        <w:tc>
          <w:tcPr>
            <w:tcW w:w="2079" w:type="dxa"/>
            <w:tcBorders>
              <w:top w:val="single" w:sz="4" w:space="0" w:color="148A5D" w:themeColor="accent2"/>
              <w:bottom w:val="single" w:sz="4" w:space="0" w:color="148A5D"/>
            </w:tcBorders>
            <w:shd w:val="clear" w:color="auto" w:fill="auto"/>
          </w:tcPr>
          <w:p w14:paraId="1E4E31EC"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2024-25</w:t>
            </w:r>
          </w:p>
        </w:tc>
      </w:tr>
      <w:tr w:rsidR="005678FE" w14:paraId="0BC50327" w14:textId="77777777" w:rsidTr="007C3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44BFC26" w14:textId="77777777" w:rsidR="005678FE" w:rsidRPr="001532E3" w:rsidRDefault="005678FE">
            <w:pPr>
              <w:pStyle w:val="10Tabletext"/>
              <w:rPr>
                <w:rFonts w:ascii="Calibri" w:hAnsi="Calibri" w:cs="Calibri"/>
                <w:vertAlign w:val="superscript"/>
              </w:rPr>
            </w:pPr>
            <w:r w:rsidRPr="001532E3">
              <w:rPr>
                <w:rFonts w:ascii="Calibri" w:hAnsi="Calibri" w:cs="Calibri"/>
              </w:rPr>
              <w:t>Real GDP</w:t>
            </w:r>
            <w:r w:rsidRPr="001532E3">
              <w:rPr>
                <w:rFonts w:ascii="Calibri" w:hAnsi="Calibri" w:cs="Calibri"/>
                <w:vertAlign w:val="superscript"/>
              </w:rPr>
              <w:t>(a)</w:t>
            </w:r>
          </w:p>
        </w:tc>
        <w:tc>
          <w:tcPr>
            <w:tcW w:w="2079" w:type="dxa"/>
          </w:tcPr>
          <w:p w14:paraId="62151B17"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3.25</w:t>
            </w:r>
          </w:p>
        </w:tc>
        <w:tc>
          <w:tcPr>
            <w:tcW w:w="2079" w:type="dxa"/>
          </w:tcPr>
          <w:p w14:paraId="5EBD20AA"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1.50</w:t>
            </w:r>
          </w:p>
        </w:tc>
        <w:tc>
          <w:tcPr>
            <w:tcW w:w="2079" w:type="dxa"/>
          </w:tcPr>
          <w:p w14:paraId="189AF566"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2.25</w:t>
            </w:r>
          </w:p>
        </w:tc>
      </w:tr>
      <w:tr w:rsidR="005678FE" w14:paraId="7D5025E4" w14:textId="77777777">
        <w:tc>
          <w:tcPr>
            <w:cnfStyle w:val="001000000000" w:firstRow="0" w:lastRow="0" w:firstColumn="1" w:lastColumn="0" w:oddVBand="0" w:evenVBand="0" w:oddHBand="0" w:evenHBand="0" w:firstRowFirstColumn="0" w:firstRowLastColumn="0" w:lastRowFirstColumn="0" w:lastRowLastColumn="0"/>
            <w:tcW w:w="2263" w:type="dxa"/>
          </w:tcPr>
          <w:p w14:paraId="2016B262" w14:textId="77777777" w:rsidR="005678FE" w:rsidRPr="001532E3" w:rsidRDefault="005678FE">
            <w:pPr>
              <w:pStyle w:val="10Tabletext"/>
              <w:rPr>
                <w:rFonts w:ascii="Calibri" w:hAnsi="Calibri" w:cs="Calibri"/>
                <w:vertAlign w:val="superscript"/>
              </w:rPr>
            </w:pPr>
            <w:r w:rsidRPr="001532E3">
              <w:rPr>
                <w:rFonts w:ascii="Calibri" w:hAnsi="Calibri" w:cs="Calibri"/>
              </w:rPr>
              <w:t>Unemployment rate</w:t>
            </w:r>
            <w:r w:rsidRPr="001532E3">
              <w:rPr>
                <w:rFonts w:ascii="Calibri" w:hAnsi="Calibri" w:cs="Calibri"/>
                <w:vertAlign w:val="superscript"/>
              </w:rPr>
              <w:t>(b)</w:t>
            </w:r>
          </w:p>
        </w:tc>
        <w:tc>
          <w:tcPr>
            <w:tcW w:w="2079" w:type="dxa"/>
          </w:tcPr>
          <w:p w14:paraId="21C60A75"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3.50</w:t>
            </w:r>
          </w:p>
        </w:tc>
        <w:tc>
          <w:tcPr>
            <w:tcW w:w="2079" w:type="dxa"/>
          </w:tcPr>
          <w:p w14:paraId="458BEE77"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4.25</w:t>
            </w:r>
          </w:p>
        </w:tc>
        <w:tc>
          <w:tcPr>
            <w:tcW w:w="2079" w:type="dxa"/>
          </w:tcPr>
          <w:p w14:paraId="24481B68"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4.50</w:t>
            </w:r>
          </w:p>
        </w:tc>
      </w:tr>
      <w:tr w:rsidR="005678FE" w14:paraId="69E273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6CA961D" w14:textId="77777777" w:rsidR="005678FE" w:rsidRPr="001532E3" w:rsidRDefault="005678FE">
            <w:pPr>
              <w:pStyle w:val="10Tabletext"/>
              <w:rPr>
                <w:rFonts w:ascii="Calibri" w:hAnsi="Calibri" w:cs="Calibri"/>
              </w:rPr>
            </w:pPr>
            <w:r w:rsidRPr="001532E3">
              <w:rPr>
                <w:rFonts w:ascii="Calibri" w:hAnsi="Calibri" w:cs="Calibri"/>
              </w:rPr>
              <w:t>CPI</w:t>
            </w:r>
            <w:r w:rsidRPr="001532E3">
              <w:rPr>
                <w:rFonts w:ascii="Calibri" w:hAnsi="Calibri" w:cs="Calibri"/>
                <w:vertAlign w:val="superscript"/>
              </w:rPr>
              <w:t>(c)</w:t>
            </w:r>
          </w:p>
        </w:tc>
        <w:tc>
          <w:tcPr>
            <w:tcW w:w="2079" w:type="dxa"/>
          </w:tcPr>
          <w:p w14:paraId="24ED9ACC"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6.00</w:t>
            </w:r>
          </w:p>
        </w:tc>
        <w:tc>
          <w:tcPr>
            <w:tcW w:w="2079" w:type="dxa"/>
          </w:tcPr>
          <w:p w14:paraId="4A5849CB"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3.25</w:t>
            </w:r>
          </w:p>
        </w:tc>
        <w:tc>
          <w:tcPr>
            <w:tcW w:w="2079" w:type="dxa"/>
          </w:tcPr>
          <w:p w14:paraId="3813C7BD"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2.75</w:t>
            </w:r>
          </w:p>
        </w:tc>
      </w:tr>
      <w:tr w:rsidR="005678FE" w14:paraId="3D352B06" w14:textId="77777777">
        <w:tc>
          <w:tcPr>
            <w:cnfStyle w:val="001000000000" w:firstRow="0" w:lastRow="0" w:firstColumn="1" w:lastColumn="0" w:oddVBand="0" w:evenVBand="0" w:oddHBand="0" w:evenHBand="0" w:firstRowFirstColumn="0" w:firstRowLastColumn="0" w:lastRowFirstColumn="0" w:lastRowLastColumn="0"/>
            <w:tcW w:w="2263" w:type="dxa"/>
          </w:tcPr>
          <w:p w14:paraId="2F65A2CE" w14:textId="77777777" w:rsidR="005678FE" w:rsidRPr="001532E3" w:rsidRDefault="005678FE">
            <w:pPr>
              <w:pStyle w:val="10Tabletext"/>
              <w:rPr>
                <w:rFonts w:ascii="Calibri" w:hAnsi="Calibri" w:cs="Calibri"/>
              </w:rPr>
            </w:pPr>
            <w:r w:rsidRPr="001532E3">
              <w:rPr>
                <w:rFonts w:ascii="Calibri" w:hAnsi="Calibri" w:cs="Calibri"/>
              </w:rPr>
              <w:t>WPI growth</w:t>
            </w:r>
            <w:r w:rsidRPr="001532E3">
              <w:rPr>
                <w:rFonts w:ascii="Calibri" w:hAnsi="Calibri" w:cs="Calibri"/>
                <w:vertAlign w:val="superscript"/>
              </w:rPr>
              <w:t>(c)</w:t>
            </w:r>
          </w:p>
        </w:tc>
        <w:tc>
          <w:tcPr>
            <w:tcW w:w="2079" w:type="dxa"/>
          </w:tcPr>
          <w:p w14:paraId="692378D3"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3.75</w:t>
            </w:r>
          </w:p>
        </w:tc>
        <w:tc>
          <w:tcPr>
            <w:tcW w:w="2079" w:type="dxa"/>
          </w:tcPr>
          <w:p w14:paraId="10DF1524"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4.00</w:t>
            </w:r>
          </w:p>
        </w:tc>
        <w:tc>
          <w:tcPr>
            <w:tcW w:w="2079" w:type="dxa"/>
          </w:tcPr>
          <w:p w14:paraId="593ABB6D"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3.25</w:t>
            </w:r>
          </w:p>
        </w:tc>
      </w:tr>
    </w:tbl>
    <w:p w14:paraId="3BC06AA2" w14:textId="77777777" w:rsidR="005678FE" w:rsidRDefault="005678FE" w:rsidP="005678FE">
      <w:pPr>
        <w:pStyle w:val="09Sourcesandnotesfortablesfiguresboxes"/>
      </w:pPr>
      <w:r>
        <w:t>Notes: (a) Percentage change in year-average terms compared with the previous year. (b) Seasonally adjusted rate for the June quarter. (c) Year</w:t>
      </w:r>
      <w:r>
        <w:noBreakHyphen/>
        <w:t>ended growth to the June quarter.</w:t>
      </w:r>
    </w:p>
    <w:p w14:paraId="5FC7A071" w14:textId="5D39AADD" w:rsidR="005678FE" w:rsidRPr="00297C53" w:rsidRDefault="005678FE" w:rsidP="005678FE">
      <w:pPr>
        <w:pStyle w:val="09Sourcesandnotesfortablesfiguresboxes"/>
      </w:pPr>
      <w:r>
        <w:t xml:space="preserve">Source: Commonwealth </w:t>
      </w:r>
      <w:r w:rsidR="00446880">
        <w:t>of Australia</w:t>
      </w:r>
      <w:r>
        <w:t xml:space="preserve"> (2023), </w:t>
      </w:r>
      <w:r w:rsidRPr="00297C53">
        <w:rPr>
          <w:i/>
        </w:rPr>
        <w:t>Budget Paper No. 1: Budget Strategy and Outlook</w:t>
      </w:r>
      <w:r w:rsidRPr="00297C53">
        <w:t>, p. 58.</w:t>
      </w:r>
    </w:p>
    <w:p w14:paraId="0862F5DB" w14:textId="77777777" w:rsidR="005678FE" w:rsidRDefault="005678FE" w:rsidP="005678FE">
      <w:pPr>
        <w:pStyle w:val="03VIRTHeading3"/>
      </w:pPr>
      <w:bookmarkStart w:id="99" w:name="_Toc138761218"/>
      <w:r w:rsidRPr="00297C53">
        <w:t>Victorian economic cond</w:t>
      </w:r>
      <w:r>
        <w:t>itions</w:t>
      </w:r>
      <w:bookmarkEnd w:id="99"/>
    </w:p>
    <w:p w14:paraId="577E8E20" w14:textId="1A320432" w:rsidR="005678FE" w:rsidRDefault="005678FE" w:rsidP="005678FE">
      <w:pPr>
        <w:pStyle w:val="05Paragraph"/>
      </w:pPr>
      <w:r>
        <w:t>ABS data show that Victoria’s real Gross State Product (GSP) rose 5.6 per cent in 2021</w:t>
      </w:r>
      <w:r>
        <w:noBreakHyphen/>
        <w:t xml:space="preserve">22 </w:t>
      </w:r>
      <w:r w:rsidRPr="00415365">
        <w:t>—</w:t>
      </w:r>
      <w:r>
        <w:t xml:space="preserve"> the highest growth rate of any state or territory.</w:t>
      </w:r>
      <w:r w:rsidR="007C3D52">
        <w:rPr>
          <w:rFonts w:ascii="ZWAdobeF" w:hAnsi="ZWAdobeF" w:cs="ZWAdobeF"/>
          <w:color w:val="auto"/>
          <w:sz w:val="2"/>
          <w:szCs w:val="2"/>
        </w:rPr>
        <w:t>39F</w:t>
      </w:r>
      <w:r>
        <w:rPr>
          <w:rStyle w:val="FootnoteReference"/>
        </w:rPr>
        <w:footnoteReference w:id="41"/>
      </w:r>
      <w:r>
        <w:t xml:space="preserve"> Victoria also recorded the highest growth in seasonally adjusted State Final Demand</w:t>
      </w:r>
      <w:r w:rsidR="007C3D52">
        <w:rPr>
          <w:rFonts w:ascii="ZWAdobeF" w:hAnsi="ZWAdobeF" w:cs="ZWAdobeF"/>
          <w:color w:val="auto"/>
          <w:sz w:val="2"/>
          <w:szCs w:val="2"/>
        </w:rPr>
        <w:t>40F</w:t>
      </w:r>
      <w:r>
        <w:rPr>
          <w:rStyle w:val="FootnoteReference"/>
        </w:rPr>
        <w:footnoteReference w:id="42"/>
      </w:r>
      <w:r>
        <w:t xml:space="preserve"> in 2022 (6</w:t>
      </w:r>
      <w:r w:rsidR="00940FFC">
        <w:t>.1</w:t>
      </w:r>
      <w:r>
        <w:t> per cent), and the second highest growth in the March quarter 2023 (0.7 per cent)</w:t>
      </w:r>
      <w:r w:rsidDel="00322DCE">
        <w:t>.</w:t>
      </w:r>
      <w:r w:rsidR="007C3D52">
        <w:rPr>
          <w:rFonts w:ascii="ZWAdobeF" w:hAnsi="ZWAdobeF" w:cs="ZWAdobeF"/>
          <w:color w:val="auto"/>
          <w:sz w:val="2"/>
          <w:szCs w:val="2"/>
        </w:rPr>
        <w:t>41F</w:t>
      </w:r>
      <w:r>
        <w:rPr>
          <w:rStyle w:val="FootnoteReference"/>
        </w:rPr>
        <w:footnoteReference w:id="43"/>
      </w:r>
    </w:p>
    <w:p w14:paraId="2F9029D1" w14:textId="0BD7B155" w:rsidR="00B27F72" w:rsidRDefault="00B27F72" w:rsidP="00B27F72">
      <w:pPr>
        <w:pStyle w:val="05Paragraph"/>
      </w:pPr>
      <w:r w:rsidRPr="00CD4A14">
        <w:t>The latest ABS labour statistics show that conditions in the Victorian labour market have started to ease, but remain tight by historical standards. Victoria’s seasonally adjusted unemployment rate was 3.7 per cent in May 2023, while the seasonally adjusted participation rate was 67.6 per cent.</w:t>
      </w:r>
      <w:r w:rsidR="007C3D52">
        <w:rPr>
          <w:rFonts w:ascii="ZWAdobeF" w:hAnsi="ZWAdobeF" w:cs="ZWAdobeF"/>
          <w:color w:val="auto"/>
          <w:sz w:val="2"/>
          <w:szCs w:val="2"/>
        </w:rPr>
        <w:t>42F</w:t>
      </w:r>
      <w:r w:rsidRPr="00CD4A14">
        <w:rPr>
          <w:rStyle w:val="FootnoteReference"/>
        </w:rPr>
        <w:footnoteReference w:id="44"/>
      </w:r>
    </w:p>
    <w:p w14:paraId="248C1B22" w14:textId="53B43595" w:rsidR="005678FE" w:rsidRDefault="005678FE" w:rsidP="005678FE">
      <w:pPr>
        <w:pStyle w:val="05Paragraph"/>
      </w:pPr>
      <w:r>
        <w:t>Regarding movements in prices, the Melbourne CPI rose 1.2 per cent in the March quarter 2023. This was the smallest increase since the December quarter 2021, with growth slowing in each of the last two quarters. In year-ended terms, Melbourne CPI growth moderated from 8 per cent in the December quarter 2022 to 6.8 per cent in the March quarter 2023. Despite the decline, 6.8 per cent is the third</w:t>
      </w:r>
      <w:r>
        <w:noBreakHyphen/>
        <w:t xml:space="preserve">highest annual growth recorded in any quarter since </w:t>
      </w:r>
      <w:r w:rsidR="00845BC4">
        <w:t>1991</w:t>
      </w:r>
      <w:r>
        <w:t>. A measure of underlying inflation, the Melbourne CPI excluding ‘volatile items’</w:t>
      </w:r>
      <w:r w:rsidR="007C3D52">
        <w:rPr>
          <w:rFonts w:ascii="ZWAdobeF" w:hAnsi="ZWAdobeF" w:cs="ZWAdobeF"/>
          <w:color w:val="auto"/>
          <w:sz w:val="2"/>
          <w:szCs w:val="2"/>
        </w:rPr>
        <w:t>43F</w:t>
      </w:r>
      <w:r w:rsidR="008F5885">
        <w:rPr>
          <w:rStyle w:val="FootnoteReference"/>
        </w:rPr>
        <w:footnoteReference w:id="45"/>
      </w:r>
      <w:r>
        <w:t>, increased by 7.1 per cent over the same period.</w:t>
      </w:r>
      <w:r w:rsidR="007C3D52">
        <w:rPr>
          <w:rFonts w:ascii="ZWAdobeF" w:hAnsi="ZWAdobeF" w:cs="ZWAdobeF"/>
          <w:color w:val="auto"/>
          <w:sz w:val="2"/>
          <w:szCs w:val="2"/>
        </w:rPr>
        <w:t>44F</w:t>
      </w:r>
      <w:r>
        <w:rPr>
          <w:rStyle w:val="FootnoteReference"/>
        </w:rPr>
        <w:footnoteReference w:id="46"/>
      </w:r>
      <w:r>
        <w:t xml:space="preserve"> </w:t>
      </w:r>
    </w:p>
    <w:p w14:paraId="2DF9B7AD" w14:textId="43787783" w:rsidR="005678FE" w:rsidRDefault="005678FE" w:rsidP="005678FE">
      <w:pPr>
        <w:pStyle w:val="05Paragraph"/>
      </w:pPr>
      <w:r>
        <w:t>Wage growth has picked up in recent quarters, with annual growth in the Victorian WPI increasing to 3.5 per cent in the March quarter 2023. This was the fastest growth since 2012, and was driven primarily by a 3.7 per cent increase in private sector wages. Meanwhile, public sector wages grew by a more subdued 3 per cent, consistent with the recent trend of slower growth relative to the private sector. The private sector has now recorded higher year-ended wage growth than the public sector in each of the last eight quarters.</w:t>
      </w:r>
      <w:r w:rsidR="007C3D52">
        <w:rPr>
          <w:rFonts w:ascii="ZWAdobeF" w:hAnsi="ZWAdobeF" w:cs="ZWAdobeF"/>
          <w:color w:val="auto"/>
          <w:sz w:val="2"/>
          <w:szCs w:val="2"/>
        </w:rPr>
        <w:t>45F</w:t>
      </w:r>
      <w:r>
        <w:rPr>
          <w:rStyle w:val="FootnoteReference"/>
        </w:rPr>
        <w:footnoteReference w:id="47"/>
      </w:r>
    </w:p>
    <w:p w14:paraId="600836E5" w14:textId="77777777" w:rsidR="005678FE" w:rsidRDefault="005678FE" w:rsidP="005678FE">
      <w:pPr>
        <w:pStyle w:val="05Paragraph"/>
        <w:keepNext/>
      </w:pPr>
      <w:r>
        <w:t>The Tribunal also noted the following with regard to wage movements:</w:t>
      </w:r>
    </w:p>
    <w:p w14:paraId="362EE13C" w14:textId="7F8DA305" w:rsidR="005678FE" w:rsidRDefault="0088136E" w:rsidP="005678FE">
      <w:pPr>
        <w:pStyle w:val="06VIRTBulletpoints"/>
      </w:pPr>
      <w:r>
        <w:t xml:space="preserve">full-time </w:t>
      </w:r>
      <w:r w:rsidR="005678FE">
        <w:t xml:space="preserve">Victorian </w:t>
      </w:r>
      <w:r w:rsidR="008352FB">
        <w:t xml:space="preserve">adult </w:t>
      </w:r>
      <w:r w:rsidR="00D02A45">
        <w:t>AWOTE</w:t>
      </w:r>
      <w:r w:rsidR="005678FE">
        <w:t xml:space="preserve"> increased by 2.0 per cent (in seasonally adjusted terms) through the year to November 2022</w:t>
      </w:r>
      <w:r w:rsidR="007C3D52">
        <w:rPr>
          <w:rFonts w:ascii="ZWAdobeF" w:hAnsi="ZWAdobeF" w:cs="ZWAdobeF"/>
          <w:color w:val="auto"/>
          <w:sz w:val="2"/>
          <w:szCs w:val="2"/>
        </w:rPr>
        <w:t>46F</w:t>
      </w:r>
      <w:r w:rsidR="005678FE">
        <w:rPr>
          <w:rStyle w:val="FootnoteReference"/>
        </w:rPr>
        <w:footnoteReference w:id="48"/>
      </w:r>
    </w:p>
    <w:p w14:paraId="3F837FCE" w14:textId="77B3ED20" w:rsidR="005678FE" w:rsidRDefault="005678FE" w:rsidP="005678FE">
      <w:pPr>
        <w:pStyle w:val="06VIRTBulletpoints"/>
      </w:pPr>
      <w:r w:rsidRPr="002056DA">
        <w:t xml:space="preserve">the average annualised wage increase for </w:t>
      </w:r>
      <w:r>
        <w:t>Victorian</w:t>
      </w:r>
      <w:r w:rsidRPr="002056DA">
        <w:t xml:space="preserve"> enterprise agreements </w:t>
      </w:r>
      <w:r>
        <w:t xml:space="preserve">current at 31 December 2022 </w:t>
      </w:r>
      <w:r w:rsidRPr="002056DA">
        <w:t>was 2.</w:t>
      </w:r>
      <w:r>
        <w:t>5 </w:t>
      </w:r>
      <w:r w:rsidRPr="002056DA">
        <w:t>per</w:t>
      </w:r>
      <w:r>
        <w:t> </w:t>
      </w:r>
      <w:r w:rsidRPr="002056DA">
        <w:t>cent</w:t>
      </w:r>
      <w:r>
        <w:t>, and 2.4 per cent for agreements approved in the December quarter 2022</w:t>
      </w:r>
      <w:r w:rsidR="007C3D52">
        <w:rPr>
          <w:rFonts w:ascii="ZWAdobeF" w:hAnsi="ZWAdobeF" w:cs="ZWAdobeF"/>
          <w:color w:val="auto"/>
          <w:sz w:val="2"/>
          <w:szCs w:val="2"/>
        </w:rPr>
        <w:t>47F</w:t>
      </w:r>
      <w:r>
        <w:rPr>
          <w:rStyle w:val="FootnoteReference"/>
        </w:rPr>
        <w:footnoteReference w:id="49"/>
      </w:r>
    </w:p>
    <w:p w14:paraId="32CAE6D7" w14:textId="4C9CDDA2" w:rsidR="005678FE" w:rsidRDefault="005678FE" w:rsidP="005678FE">
      <w:pPr>
        <w:pStyle w:val="06VIRTBulletpoints"/>
      </w:pPr>
      <w:r>
        <w:t>the SEEK Advertised Salary Index rose 4.2 per cent through the year to April 2023.</w:t>
      </w:r>
      <w:r w:rsidR="007C3D52">
        <w:rPr>
          <w:rFonts w:ascii="ZWAdobeF" w:hAnsi="ZWAdobeF" w:cs="ZWAdobeF"/>
          <w:color w:val="auto"/>
          <w:sz w:val="2"/>
          <w:szCs w:val="2"/>
        </w:rPr>
        <w:t>48F</w:t>
      </w:r>
      <w:r>
        <w:rPr>
          <w:rStyle w:val="FootnoteReference"/>
        </w:rPr>
        <w:footnoteReference w:id="50"/>
      </w:r>
    </w:p>
    <w:p w14:paraId="2D069A40" w14:textId="38EF772E" w:rsidR="005678FE" w:rsidRDefault="005678FE" w:rsidP="005678FE">
      <w:pPr>
        <w:pStyle w:val="05Paragraph"/>
      </w:pPr>
      <w:r>
        <w:t xml:space="preserve">The </w:t>
      </w:r>
      <w:r w:rsidRPr="00A55FFC">
        <w:rPr>
          <w:i/>
          <w:iCs/>
        </w:rPr>
        <w:t>Victorian Budget 2023/24</w:t>
      </w:r>
      <w:r>
        <w:t xml:space="preserve"> (Victorian Budget), released in May 2023, stated that ‘the economic outlook [for Victoria] remains positive’, while forecasting subdued growth in 2023-24 as high interest rates and inflation weigh on economic activity.</w:t>
      </w:r>
      <w:r w:rsidR="007C3D52">
        <w:rPr>
          <w:rFonts w:ascii="ZWAdobeF" w:hAnsi="ZWAdobeF" w:cs="ZWAdobeF"/>
          <w:color w:val="auto"/>
          <w:sz w:val="2"/>
          <w:szCs w:val="2"/>
        </w:rPr>
        <w:t>49F</w:t>
      </w:r>
      <w:r>
        <w:rPr>
          <w:rStyle w:val="FootnoteReference"/>
        </w:rPr>
        <w:footnoteReference w:id="51"/>
      </w:r>
    </w:p>
    <w:p w14:paraId="71586269" w14:textId="55BBE5B1" w:rsidR="005678FE" w:rsidRDefault="005678FE" w:rsidP="005678FE">
      <w:pPr>
        <w:pStyle w:val="05Paragraph"/>
        <w:keepNext/>
      </w:pPr>
      <w:r>
        <w:t>The Victorian Budget forecasts for the Victorian economy are reproduced in Table </w:t>
      </w:r>
      <w:r w:rsidR="00E651A0">
        <w:t>3.3</w:t>
      </w:r>
      <w:r>
        <w:t>. In summary:</w:t>
      </w:r>
      <w:r w:rsidR="007C3D52">
        <w:rPr>
          <w:rFonts w:ascii="ZWAdobeF" w:hAnsi="ZWAdobeF" w:cs="ZWAdobeF"/>
          <w:color w:val="auto"/>
          <w:sz w:val="2"/>
          <w:szCs w:val="2"/>
        </w:rPr>
        <w:t>50F</w:t>
      </w:r>
      <w:r>
        <w:rPr>
          <w:rStyle w:val="FootnoteReference"/>
        </w:rPr>
        <w:footnoteReference w:id="52"/>
      </w:r>
    </w:p>
    <w:p w14:paraId="66C45C30" w14:textId="77777777" w:rsidR="005678FE" w:rsidRDefault="005678FE" w:rsidP="005678FE">
      <w:pPr>
        <w:pStyle w:val="06VIRTBulletpoints"/>
      </w:pPr>
      <w:r>
        <w:t>real GSP growth is expected to be 2.75 per cent in 2022-23, before moderating to 1.50 per cent in 2023-24 as rising interest rates and high inflation affect household spending</w:t>
      </w:r>
    </w:p>
    <w:p w14:paraId="16119BFF" w14:textId="77777777" w:rsidR="005678FE" w:rsidRDefault="005678FE" w:rsidP="005678FE">
      <w:pPr>
        <w:pStyle w:val="06VIRTBulletpoints"/>
      </w:pPr>
      <w:r>
        <w:t>the unemployment rate is projected to rise gradually to average 4.75 per cent in 2025-26 and 2026-27</w:t>
      </w:r>
    </w:p>
    <w:p w14:paraId="3C9A3118" w14:textId="77777777" w:rsidR="005678FE" w:rsidRDefault="005678FE" w:rsidP="005678FE">
      <w:pPr>
        <w:pStyle w:val="06VIRTBulletpoints"/>
      </w:pPr>
      <w:r>
        <w:t>growth in the Melbourne CPI is expected to average 7 per cent in 2022-23, before declining to the middle of the RBA’s target range in 2025-26</w:t>
      </w:r>
    </w:p>
    <w:p w14:paraId="025A4D0D" w14:textId="77777777" w:rsidR="005678FE" w:rsidRDefault="005678FE" w:rsidP="005678FE">
      <w:pPr>
        <w:pStyle w:val="06VIRTBulletpoints"/>
      </w:pPr>
      <w:r>
        <w:t>growth in the Victorian WPI is expected to average 3.5 per cent from 2022</w:t>
      </w:r>
      <w:r>
        <w:noBreakHyphen/>
        <w:t>23 through to 2024-25, before moderating to 3.25 per cent in years thereafter.</w:t>
      </w:r>
    </w:p>
    <w:p w14:paraId="5D4A8B57" w14:textId="632567A2" w:rsidR="005678FE" w:rsidRPr="001532E3" w:rsidRDefault="005678FE" w:rsidP="005678FE">
      <w:pPr>
        <w:pStyle w:val="08Figuretableboxheading"/>
        <w:rPr>
          <w:rFonts w:ascii="Calibri" w:hAnsi="Calibri" w:cs="Calibri"/>
        </w:rPr>
      </w:pPr>
      <w:bookmarkStart w:id="100" w:name="_Toc137639095"/>
      <w:r w:rsidRPr="001532E3">
        <w:rPr>
          <w:rFonts w:ascii="Calibri" w:hAnsi="Calibri" w:cs="Calibri"/>
        </w:rPr>
        <w:t xml:space="preserve">Table </w:t>
      </w:r>
      <w:r w:rsidR="00E651A0" w:rsidRPr="001532E3">
        <w:rPr>
          <w:rFonts w:ascii="Calibri" w:hAnsi="Calibri" w:cs="Calibri"/>
        </w:rPr>
        <w:t>3.3</w:t>
      </w:r>
      <w:r w:rsidRPr="001532E3">
        <w:rPr>
          <w:rFonts w:ascii="Calibri" w:hAnsi="Calibri" w:cs="Calibri"/>
        </w:rPr>
        <w:t xml:space="preserve">: Victorian Budget </w:t>
      </w:r>
      <w:r w:rsidR="00063EC0">
        <w:rPr>
          <w:rFonts w:ascii="Calibri" w:hAnsi="Calibri" w:cs="Calibri"/>
        </w:rPr>
        <w:t xml:space="preserve">2023/24 – </w:t>
      </w:r>
      <w:r w:rsidRPr="001532E3">
        <w:rPr>
          <w:rFonts w:ascii="Calibri" w:hAnsi="Calibri" w:cs="Calibri"/>
        </w:rPr>
        <w:t xml:space="preserve">forecasts for </w:t>
      </w:r>
      <w:bookmarkEnd w:id="100"/>
      <w:r w:rsidR="00063EC0">
        <w:rPr>
          <w:rFonts w:ascii="Calibri" w:hAnsi="Calibri" w:cs="Calibri"/>
        </w:rPr>
        <w:t>the Victorian economy</w:t>
      </w:r>
    </w:p>
    <w:tbl>
      <w:tblPr>
        <w:tblStyle w:val="ListTable3-Accent21"/>
        <w:tblW w:w="0" w:type="auto"/>
        <w:tblInd w:w="5" w:type="dxa"/>
        <w:tblLook w:val="04A0" w:firstRow="1" w:lastRow="0" w:firstColumn="1" w:lastColumn="0" w:noHBand="0" w:noVBand="1"/>
      </w:tblPr>
      <w:tblGrid>
        <w:gridCol w:w="2195"/>
        <w:gridCol w:w="1238"/>
        <w:gridCol w:w="1239"/>
        <w:gridCol w:w="1239"/>
        <w:gridCol w:w="1294"/>
        <w:gridCol w:w="1294"/>
      </w:tblGrid>
      <w:tr w:rsidR="005678FE" w14:paraId="363E72C6" w14:textId="77777777" w:rsidTr="007C3D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Borders>
              <w:top w:val="single" w:sz="4" w:space="0" w:color="148A5D" w:themeColor="accent2"/>
              <w:bottom w:val="single" w:sz="4" w:space="0" w:color="148A5D"/>
            </w:tcBorders>
            <w:shd w:val="clear" w:color="auto" w:fill="auto"/>
          </w:tcPr>
          <w:p w14:paraId="0FD07B7A" w14:textId="77777777" w:rsidR="005678FE" w:rsidRPr="007C3D52" w:rsidRDefault="005678FE">
            <w:pPr>
              <w:pStyle w:val="10Tabletext"/>
              <w:rPr>
                <w:rFonts w:ascii="Calibri" w:hAnsi="Calibri" w:cs="Calibri"/>
                <w:color w:val="auto"/>
              </w:rPr>
            </w:pPr>
            <w:r w:rsidRPr="007C3D52">
              <w:rPr>
                <w:rFonts w:ascii="Calibri" w:hAnsi="Calibri" w:cs="Calibri"/>
                <w:color w:val="auto"/>
              </w:rPr>
              <w:t>Indicator</w:t>
            </w:r>
          </w:p>
        </w:tc>
        <w:tc>
          <w:tcPr>
            <w:tcW w:w="1250" w:type="dxa"/>
            <w:tcBorders>
              <w:top w:val="single" w:sz="4" w:space="0" w:color="148A5D" w:themeColor="accent2"/>
              <w:bottom w:val="single" w:sz="4" w:space="0" w:color="148A5D"/>
            </w:tcBorders>
            <w:shd w:val="clear" w:color="auto" w:fill="auto"/>
          </w:tcPr>
          <w:p w14:paraId="4C1DACE5"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7C3D52">
              <w:rPr>
                <w:rFonts w:ascii="Calibri" w:hAnsi="Calibri" w:cs="Calibri"/>
                <w:color w:val="auto"/>
              </w:rPr>
              <w:t>2022-23</w:t>
            </w:r>
          </w:p>
          <w:p w14:paraId="297EA229"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(forecast)</w:t>
            </w:r>
          </w:p>
        </w:tc>
        <w:tc>
          <w:tcPr>
            <w:tcW w:w="1251" w:type="dxa"/>
            <w:tcBorders>
              <w:top w:val="single" w:sz="4" w:space="0" w:color="148A5D" w:themeColor="accent2"/>
              <w:bottom w:val="single" w:sz="4" w:space="0" w:color="148A5D"/>
            </w:tcBorders>
            <w:shd w:val="clear" w:color="auto" w:fill="auto"/>
          </w:tcPr>
          <w:p w14:paraId="7A1FD7FB"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7C3D52">
              <w:rPr>
                <w:rFonts w:ascii="Calibri" w:hAnsi="Calibri" w:cs="Calibri"/>
                <w:color w:val="auto"/>
              </w:rPr>
              <w:t>2023-24</w:t>
            </w:r>
          </w:p>
          <w:p w14:paraId="32ADB743"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(forecast)</w:t>
            </w:r>
          </w:p>
        </w:tc>
        <w:tc>
          <w:tcPr>
            <w:tcW w:w="1251" w:type="dxa"/>
            <w:tcBorders>
              <w:top w:val="single" w:sz="4" w:space="0" w:color="148A5D" w:themeColor="accent2"/>
              <w:bottom w:val="single" w:sz="4" w:space="0" w:color="148A5D"/>
            </w:tcBorders>
            <w:shd w:val="clear" w:color="auto" w:fill="auto"/>
          </w:tcPr>
          <w:p w14:paraId="4D5C6193"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7C3D52">
              <w:rPr>
                <w:rFonts w:ascii="Calibri" w:hAnsi="Calibri" w:cs="Calibri"/>
                <w:color w:val="auto"/>
              </w:rPr>
              <w:t>2024-25</w:t>
            </w:r>
          </w:p>
          <w:p w14:paraId="6C18353E"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(forecast)</w:t>
            </w:r>
          </w:p>
        </w:tc>
        <w:tc>
          <w:tcPr>
            <w:tcW w:w="1251" w:type="dxa"/>
            <w:tcBorders>
              <w:top w:val="single" w:sz="4" w:space="0" w:color="148A5D" w:themeColor="accent2"/>
              <w:bottom w:val="single" w:sz="4" w:space="0" w:color="148A5D"/>
            </w:tcBorders>
            <w:shd w:val="clear" w:color="auto" w:fill="auto"/>
          </w:tcPr>
          <w:p w14:paraId="77BF7A7D"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7C3D52">
              <w:rPr>
                <w:rFonts w:ascii="Calibri" w:hAnsi="Calibri" w:cs="Calibri"/>
                <w:color w:val="auto"/>
              </w:rPr>
              <w:t>2025-26</w:t>
            </w:r>
          </w:p>
          <w:p w14:paraId="07CB0E11"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(projection)</w:t>
            </w:r>
          </w:p>
        </w:tc>
        <w:tc>
          <w:tcPr>
            <w:tcW w:w="1251" w:type="dxa"/>
            <w:tcBorders>
              <w:top w:val="single" w:sz="4" w:space="0" w:color="148A5D" w:themeColor="accent2"/>
              <w:bottom w:val="single" w:sz="4" w:space="0" w:color="148A5D"/>
            </w:tcBorders>
            <w:shd w:val="clear" w:color="auto" w:fill="auto"/>
          </w:tcPr>
          <w:p w14:paraId="13E75102"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r w:rsidRPr="007C3D52">
              <w:rPr>
                <w:rFonts w:ascii="Calibri" w:hAnsi="Calibri" w:cs="Calibri"/>
                <w:color w:val="auto"/>
              </w:rPr>
              <w:t>2026-27</w:t>
            </w:r>
          </w:p>
          <w:p w14:paraId="2C1B815C" w14:textId="77777777" w:rsidR="005678FE" w:rsidRPr="007C3D52" w:rsidRDefault="005678FE">
            <w:pPr>
              <w:pStyle w:val="10Tabletext"/>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7C3D52">
              <w:rPr>
                <w:rFonts w:ascii="Calibri" w:hAnsi="Calibri" w:cs="Calibri"/>
                <w:color w:val="auto"/>
              </w:rPr>
              <w:t>(projection)</w:t>
            </w:r>
          </w:p>
        </w:tc>
      </w:tr>
      <w:tr w:rsidR="005678FE" w14:paraId="2C1FC9BF" w14:textId="77777777" w:rsidTr="007C3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4C5F34B" w14:textId="77777777" w:rsidR="005678FE" w:rsidRPr="001532E3" w:rsidRDefault="005678FE">
            <w:pPr>
              <w:pStyle w:val="10Tabletext"/>
              <w:rPr>
                <w:rFonts w:ascii="Calibri" w:hAnsi="Calibri" w:cs="Calibri"/>
              </w:rPr>
            </w:pPr>
            <w:r w:rsidRPr="001532E3">
              <w:rPr>
                <w:rFonts w:ascii="Calibri" w:hAnsi="Calibri" w:cs="Calibri"/>
              </w:rPr>
              <w:t>Real GSP</w:t>
            </w:r>
            <w:r w:rsidRPr="001532E3">
              <w:rPr>
                <w:rFonts w:ascii="Calibri" w:hAnsi="Calibri" w:cs="Calibri"/>
                <w:vertAlign w:val="superscript"/>
              </w:rPr>
              <w:t>(a)</w:t>
            </w:r>
          </w:p>
        </w:tc>
        <w:tc>
          <w:tcPr>
            <w:tcW w:w="1250" w:type="dxa"/>
          </w:tcPr>
          <w:p w14:paraId="0913442A"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2.75</w:t>
            </w:r>
          </w:p>
        </w:tc>
        <w:tc>
          <w:tcPr>
            <w:tcW w:w="1251" w:type="dxa"/>
          </w:tcPr>
          <w:p w14:paraId="432AB069"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1.50</w:t>
            </w:r>
          </w:p>
        </w:tc>
        <w:tc>
          <w:tcPr>
            <w:tcW w:w="1251" w:type="dxa"/>
          </w:tcPr>
          <w:p w14:paraId="57BE8BFA"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2.50</w:t>
            </w:r>
          </w:p>
        </w:tc>
        <w:tc>
          <w:tcPr>
            <w:tcW w:w="1251" w:type="dxa"/>
          </w:tcPr>
          <w:p w14:paraId="440CDBDF"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2.75</w:t>
            </w:r>
          </w:p>
        </w:tc>
        <w:tc>
          <w:tcPr>
            <w:tcW w:w="1251" w:type="dxa"/>
          </w:tcPr>
          <w:p w14:paraId="3C5BE2FD"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2.75</w:t>
            </w:r>
          </w:p>
        </w:tc>
      </w:tr>
      <w:tr w:rsidR="005678FE" w14:paraId="24A243B0" w14:textId="77777777">
        <w:tc>
          <w:tcPr>
            <w:cnfStyle w:val="001000000000" w:firstRow="0" w:lastRow="0" w:firstColumn="1" w:lastColumn="0" w:oddVBand="0" w:evenVBand="0" w:oddHBand="0" w:evenHBand="0" w:firstRowFirstColumn="0" w:firstRowLastColumn="0" w:lastRowFirstColumn="0" w:lastRowLastColumn="0"/>
            <w:tcW w:w="2245" w:type="dxa"/>
          </w:tcPr>
          <w:p w14:paraId="5A8B62F3" w14:textId="77777777" w:rsidR="005678FE" w:rsidRPr="001532E3" w:rsidRDefault="005678FE">
            <w:pPr>
              <w:pStyle w:val="10Tabletext"/>
              <w:rPr>
                <w:rFonts w:ascii="Calibri" w:hAnsi="Calibri" w:cs="Calibri"/>
                <w:vertAlign w:val="superscript"/>
              </w:rPr>
            </w:pPr>
            <w:r w:rsidRPr="001532E3">
              <w:rPr>
                <w:rFonts w:ascii="Calibri" w:hAnsi="Calibri" w:cs="Calibri"/>
              </w:rPr>
              <w:t>Unemployment rate</w:t>
            </w:r>
            <w:r w:rsidRPr="001532E3">
              <w:rPr>
                <w:rFonts w:ascii="Calibri" w:hAnsi="Calibri" w:cs="Calibri"/>
                <w:vertAlign w:val="superscript"/>
              </w:rPr>
              <w:t>(b)</w:t>
            </w:r>
          </w:p>
        </w:tc>
        <w:tc>
          <w:tcPr>
            <w:tcW w:w="1250" w:type="dxa"/>
          </w:tcPr>
          <w:p w14:paraId="305FF7D1"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3.75</w:t>
            </w:r>
          </w:p>
        </w:tc>
        <w:tc>
          <w:tcPr>
            <w:tcW w:w="1251" w:type="dxa"/>
          </w:tcPr>
          <w:p w14:paraId="6CB2EA36"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4.25</w:t>
            </w:r>
          </w:p>
        </w:tc>
        <w:tc>
          <w:tcPr>
            <w:tcW w:w="1251" w:type="dxa"/>
          </w:tcPr>
          <w:p w14:paraId="26CFF8EE"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4.50</w:t>
            </w:r>
          </w:p>
        </w:tc>
        <w:tc>
          <w:tcPr>
            <w:tcW w:w="1251" w:type="dxa"/>
          </w:tcPr>
          <w:p w14:paraId="138D77BD"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4.75</w:t>
            </w:r>
          </w:p>
        </w:tc>
        <w:tc>
          <w:tcPr>
            <w:tcW w:w="1251" w:type="dxa"/>
          </w:tcPr>
          <w:p w14:paraId="353746C2"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4.75</w:t>
            </w:r>
          </w:p>
        </w:tc>
      </w:tr>
      <w:tr w:rsidR="005678FE" w14:paraId="62639B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00B8E29" w14:textId="77777777" w:rsidR="005678FE" w:rsidRPr="001532E3" w:rsidRDefault="005678FE">
            <w:pPr>
              <w:pStyle w:val="10Tabletext"/>
              <w:rPr>
                <w:rFonts w:ascii="Calibri" w:hAnsi="Calibri" w:cs="Calibri"/>
              </w:rPr>
            </w:pPr>
            <w:r w:rsidRPr="001532E3">
              <w:rPr>
                <w:rFonts w:ascii="Calibri" w:hAnsi="Calibri" w:cs="Calibri"/>
              </w:rPr>
              <w:t>Melbourne CPI</w:t>
            </w:r>
            <w:r w:rsidRPr="001532E3">
              <w:rPr>
                <w:rFonts w:ascii="Calibri" w:hAnsi="Calibri" w:cs="Calibri"/>
                <w:vertAlign w:val="superscript"/>
              </w:rPr>
              <w:t>(a)</w:t>
            </w:r>
          </w:p>
        </w:tc>
        <w:tc>
          <w:tcPr>
            <w:tcW w:w="1250" w:type="dxa"/>
          </w:tcPr>
          <w:p w14:paraId="5659587D"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7.00</w:t>
            </w:r>
          </w:p>
        </w:tc>
        <w:tc>
          <w:tcPr>
            <w:tcW w:w="1251" w:type="dxa"/>
          </w:tcPr>
          <w:p w14:paraId="3CA4A9F3"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4.25</w:t>
            </w:r>
          </w:p>
        </w:tc>
        <w:tc>
          <w:tcPr>
            <w:tcW w:w="1251" w:type="dxa"/>
          </w:tcPr>
          <w:p w14:paraId="14189E08"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2.75</w:t>
            </w:r>
          </w:p>
        </w:tc>
        <w:tc>
          <w:tcPr>
            <w:tcW w:w="1251" w:type="dxa"/>
          </w:tcPr>
          <w:p w14:paraId="0F7348B7"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2.50</w:t>
            </w:r>
          </w:p>
        </w:tc>
        <w:tc>
          <w:tcPr>
            <w:tcW w:w="1251" w:type="dxa"/>
          </w:tcPr>
          <w:p w14:paraId="54B9439C" w14:textId="77777777" w:rsidR="005678FE" w:rsidRPr="001532E3" w:rsidRDefault="005678FE">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532E3">
              <w:rPr>
                <w:rFonts w:ascii="Calibri" w:hAnsi="Calibri" w:cs="Calibri"/>
              </w:rPr>
              <w:t>2.50</w:t>
            </w:r>
          </w:p>
        </w:tc>
      </w:tr>
      <w:tr w:rsidR="005678FE" w14:paraId="3568AD3C" w14:textId="77777777">
        <w:tc>
          <w:tcPr>
            <w:cnfStyle w:val="001000000000" w:firstRow="0" w:lastRow="0" w:firstColumn="1" w:lastColumn="0" w:oddVBand="0" w:evenVBand="0" w:oddHBand="0" w:evenHBand="0" w:firstRowFirstColumn="0" w:firstRowLastColumn="0" w:lastRowFirstColumn="0" w:lastRowLastColumn="0"/>
            <w:tcW w:w="2245" w:type="dxa"/>
          </w:tcPr>
          <w:p w14:paraId="2244EF95" w14:textId="77777777" w:rsidR="005678FE" w:rsidRPr="001532E3" w:rsidRDefault="005678FE">
            <w:pPr>
              <w:pStyle w:val="10Tabletext"/>
              <w:rPr>
                <w:rFonts w:ascii="Calibri" w:hAnsi="Calibri" w:cs="Calibri"/>
              </w:rPr>
            </w:pPr>
            <w:r w:rsidRPr="001532E3">
              <w:rPr>
                <w:rFonts w:ascii="Calibri" w:hAnsi="Calibri" w:cs="Calibri"/>
              </w:rPr>
              <w:t>Victorian WPI</w:t>
            </w:r>
            <w:r w:rsidRPr="001532E3">
              <w:rPr>
                <w:rFonts w:ascii="Calibri" w:hAnsi="Calibri" w:cs="Calibri"/>
                <w:vertAlign w:val="superscript"/>
              </w:rPr>
              <w:t>(a)</w:t>
            </w:r>
          </w:p>
        </w:tc>
        <w:tc>
          <w:tcPr>
            <w:tcW w:w="1250" w:type="dxa"/>
          </w:tcPr>
          <w:p w14:paraId="49A7DFA0"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3.50</w:t>
            </w:r>
          </w:p>
        </w:tc>
        <w:tc>
          <w:tcPr>
            <w:tcW w:w="1251" w:type="dxa"/>
          </w:tcPr>
          <w:p w14:paraId="483AD551"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3.50</w:t>
            </w:r>
          </w:p>
        </w:tc>
        <w:tc>
          <w:tcPr>
            <w:tcW w:w="1251" w:type="dxa"/>
          </w:tcPr>
          <w:p w14:paraId="14165640"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3.50</w:t>
            </w:r>
          </w:p>
        </w:tc>
        <w:tc>
          <w:tcPr>
            <w:tcW w:w="1251" w:type="dxa"/>
          </w:tcPr>
          <w:p w14:paraId="37F79637"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3.25</w:t>
            </w:r>
          </w:p>
        </w:tc>
        <w:tc>
          <w:tcPr>
            <w:tcW w:w="1251" w:type="dxa"/>
          </w:tcPr>
          <w:p w14:paraId="304A81F7" w14:textId="77777777" w:rsidR="005678FE" w:rsidRPr="001532E3" w:rsidRDefault="005678FE">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32E3">
              <w:rPr>
                <w:rFonts w:ascii="Calibri" w:hAnsi="Calibri" w:cs="Calibri"/>
              </w:rPr>
              <w:t>3.25</w:t>
            </w:r>
          </w:p>
        </w:tc>
      </w:tr>
    </w:tbl>
    <w:p w14:paraId="0BCA9BBC" w14:textId="77777777" w:rsidR="005678FE" w:rsidRDefault="005678FE" w:rsidP="005678FE">
      <w:pPr>
        <w:pStyle w:val="09Sourcesandnotesfortablesfiguresboxes"/>
      </w:pPr>
      <w:r>
        <w:t>Notes: (a) Percentage change in year-average terms compared with the previous year. (b) Year average.</w:t>
      </w:r>
    </w:p>
    <w:p w14:paraId="76C532F7" w14:textId="050A363E" w:rsidR="005678FE" w:rsidRDefault="005678FE" w:rsidP="005678FE">
      <w:pPr>
        <w:pStyle w:val="09Sourcesandnotesfortablesfiguresboxes"/>
      </w:pPr>
      <w:r>
        <w:t>Source: DT</w:t>
      </w:r>
      <w:r w:rsidRPr="00D30B83">
        <w:t xml:space="preserve">F (2023), </w:t>
      </w:r>
      <w:r w:rsidRPr="00D30B83">
        <w:rPr>
          <w:i/>
          <w:iCs/>
        </w:rPr>
        <w:t>Budget Paper No. 2: Strategy and Outlook</w:t>
      </w:r>
      <w:r w:rsidRPr="00D30B83">
        <w:t>, p. 22.</w:t>
      </w:r>
    </w:p>
    <w:p w14:paraId="06412C5D" w14:textId="2467AA2B" w:rsidR="005678FE" w:rsidRDefault="005678FE" w:rsidP="005678FE">
      <w:pPr>
        <w:pStyle w:val="05Paragraph"/>
      </w:pPr>
      <w:r>
        <w:t>The Victorian Budget noted that risks to Victoria’s economic outlook remain higher than normal. In terms of upside risks, the tight labour market could lead to higher than expected growth in household consumption. On the other hand, a downside risk is that persistent high inflation could become self-sustaining if inflation expectations become de-anchored and firms and employees ‘build these higher expectations into their wage bargaining and price</w:t>
      </w:r>
      <w:r>
        <w:noBreakHyphen/>
        <w:t>setting behaviour’. This could in turn lead the RBA to raise interest rates further or leave them higher for longer, which would weigh on economic activity. Globally, there is a risk that further escalation in the conflict between Russia and Ukraine could ‘further destabilise energy prices and elevate geopolitical tensions’.</w:t>
      </w:r>
      <w:r w:rsidR="007C3D52">
        <w:rPr>
          <w:rFonts w:ascii="ZWAdobeF" w:hAnsi="ZWAdobeF" w:cs="ZWAdobeF"/>
          <w:color w:val="auto"/>
          <w:sz w:val="2"/>
          <w:szCs w:val="2"/>
        </w:rPr>
        <w:t>51F</w:t>
      </w:r>
      <w:r>
        <w:rPr>
          <w:rStyle w:val="FootnoteReference"/>
        </w:rPr>
        <w:footnoteReference w:id="53"/>
      </w:r>
    </w:p>
    <w:p w14:paraId="0D4F9E5D" w14:textId="64B8D481" w:rsidR="005678FE" w:rsidRDefault="00E651A0" w:rsidP="005678FE">
      <w:pPr>
        <w:pStyle w:val="02VIRTHeading2"/>
      </w:pPr>
      <w:bookmarkStart w:id="101" w:name="_Toc137643846"/>
      <w:bookmarkStart w:id="102" w:name="_Toc138760914"/>
      <w:bookmarkStart w:id="103" w:name="_Toc138761074"/>
      <w:bookmarkStart w:id="104" w:name="_Toc138761219"/>
      <w:bookmarkStart w:id="105" w:name="_Toc138761742"/>
      <w:bookmarkStart w:id="106" w:name="_Toc138859167"/>
      <w:r>
        <w:t>3</w:t>
      </w:r>
      <w:r w:rsidR="005678FE">
        <w:t>.</w:t>
      </w:r>
      <w:r>
        <w:t>2</w:t>
      </w:r>
      <w:r w:rsidR="005678FE">
        <w:tab/>
        <w:t>Financial position and fiscal strategy of the State of Victoria</w:t>
      </w:r>
      <w:bookmarkEnd w:id="101"/>
      <w:bookmarkEnd w:id="102"/>
      <w:bookmarkEnd w:id="103"/>
      <w:bookmarkEnd w:id="104"/>
      <w:bookmarkEnd w:id="105"/>
      <w:bookmarkEnd w:id="106"/>
    </w:p>
    <w:p w14:paraId="427B2090" w14:textId="77777777" w:rsidR="005678FE" w:rsidRPr="00B15A1F" w:rsidRDefault="005678FE" w:rsidP="005678FE">
      <w:pPr>
        <w:pStyle w:val="05Paragraph"/>
      </w:pPr>
      <w:r w:rsidRPr="00B15A1F">
        <w:t xml:space="preserve">The Tribunal’s </w:t>
      </w:r>
      <w:r>
        <w:t>analysis</w:t>
      </w:r>
      <w:r w:rsidRPr="00B15A1F">
        <w:t xml:space="preserve"> of the financial position and fiscal strategy of the State of Victoria has been informed by the Victorian Budget</w:t>
      </w:r>
      <w:r>
        <w:t>, including</w:t>
      </w:r>
      <w:r w:rsidRPr="00B15A1F">
        <w:t xml:space="preserve"> the latest </w:t>
      </w:r>
      <w:r>
        <w:t>quarterly financial statement</w:t>
      </w:r>
      <w:r w:rsidRPr="00B15A1F">
        <w:t>.</w:t>
      </w:r>
    </w:p>
    <w:p w14:paraId="089D18CC" w14:textId="37F7F88E" w:rsidR="005678FE" w:rsidRDefault="005678FE" w:rsidP="005678FE">
      <w:pPr>
        <w:pStyle w:val="05Paragraph"/>
      </w:pPr>
      <w:r>
        <w:t>According to the Victorian Budget, the general government sector recorded an operating deficit of $2.9 billion for the nine months to 31 March 2023. Total revenue increased by $2.1 billion compared to the corresponding period in the previous financial year. This was driven by a 9 per cent increase in taxation revenue, and partially offset by a decrease in grants revenue. Total expenses decreased by $4.4 billion compared to the corresponding period in the previous financial year due to the winding down of business support measures introduced in response to COVID-19.</w:t>
      </w:r>
      <w:r w:rsidR="007C3D52">
        <w:rPr>
          <w:rFonts w:ascii="ZWAdobeF" w:hAnsi="ZWAdobeF" w:cs="ZWAdobeF"/>
          <w:color w:val="auto"/>
          <w:sz w:val="2"/>
          <w:szCs w:val="2"/>
        </w:rPr>
        <w:t>52F</w:t>
      </w:r>
      <w:r>
        <w:rPr>
          <w:rStyle w:val="FootnoteReference"/>
        </w:rPr>
        <w:footnoteReference w:id="54"/>
      </w:r>
    </w:p>
    <w:p w14:paraId="0DCCED7B" w14:textId="3F073D9F" w:rsidR="005678FE" w:rsidRDefault="005678FE" w:rsidP="005678FE">
      <w:pPr>
        <w:pStyle w:val="05Paragraph"/>
      </w:pPr>
      <w:r>
        <w:t xml:space="preserve">The Victorian Budget reiterated the Victorian Government’s four-step fiscal strategy, first outlined in the </w:t>
      </w:r>
      <w:r w:rsidRPr="004809AB">
        <w:rPr>
          <w:i/>
          <w:iCs/>
        </w:rPr>
        <w:t>Victorian Budget 2020/21</w:t>
      </w:r>
      <w:r>
        <w:t xml:space="preserve"> in response to the COVID</w:t>
      </w:r>
      <w:r>
        <w:noBreakHyphen/>
        <w:t>19 pandemic:</w:t>
      </w:r>
      <w:r w:rsidR="007C3D52">
        <w:rPr>
          <w:rFonts w:ascii="ZWAdobeF" w:hAnsi="ZWAdobeF" w:cs="ZWAdobeF"/>
          <w:color w:val="auto"/>
          <w:sz w:val="2"/>
          <w:szCs w:val="2"/>
        </w:rPr>
        <w:t>53F</w:t>
      </w:r>
      <w:r>
        <w:rPr>
          <w:rStyle w:val="FootnoteReference"/>
        </w:rPr>
        <w:footnoteReference w:id="55"/>
      </w:r>
    </w:p>
    <w:p w14:paraId="09BF30F9" w14:textId="77777777" w:rsidR="005678FE" w:rsidRDefault="005678FE" w:rsidP="005678FE">
      <w:pPr>
        <w:pStyle w:val="06VIRTBulletpoints"/>
      </w:pPr>
      <w:r>
        <w:t>Step 1 — creating jobs, reducing unemployment and restoring economic growth</w:t>
      </w:r>
    </w:p>
    <w:p w14:paraId="06C67729" w14:textId="77777777" w:rsidR="005678FE" w:rsidRDefault="005678FE" w:rsidP="005678FE">
      <w:pPr>
        <w:pStyle w:val="06VIRTBulletpoints"/>
      </w:pPr>
      <w:r>
        <w:t>Step 2 — returning to an operating cash surplus</w:t>
      </w:r>
    </w:p>
    <w:p w14:paraId="06D603F0" w14:textId="77777777" w:rsidR="005678FE" w:rsidRDefault="005678FE" w:rsidP="005678FE">
      <w:pPr>
        <w:pStyle w:val="06VIRTBulletpoints"/>
      </w:pPr>
      <w:r>
        <w:t>Step 3 — returning to operating surpluses</w:t>
      </w:r>
    </w:p>
    <w:p w14:paraId="5B61CFD3" w14:textId="77777777" w:rsidR="005678FE" w:rsidRDefault="005678FE" w:rsidP="005678FE">
      <w:pPr>
        <w:pStyle w:val="06VIRTBulletpoints"/>
      </w:pPr>
      <w:r>
        <w:t xml:space="preserve">Step 4 — stabilising </w:t>
      </w:r>
      <w:r w:rsidRPr="008769A1">
        <w:t>debt</w:t>
      </w:r>
      <w:r>
        <w:t xml:space="preserve"> levels.</w:t>
      </w:r>
    </w:p>
    <w:p w14:paraId="526EAFFC" w14:textId="13D3D508" w:rsidR="005678FE" w:rsidRDefault="005678FE" w:rsidP="005678FE">
      <w:pPr>
        <w:pStyle w:val="05Paragraph"/>
      </w:pPr>
      <w:r>
        <w:t>To support its fiscal strategy, the Victorian Government announced a COVID-19 Debt Repayment Plan to help pay down debt incurred as a result of the response to the COVID-19 pandemic, estimated at $31.5 billion. The plan includes a range of revenue and savings measures over 10 years.</w:t>
      </w:r>
      <w:r w:rsidR="007C3D52">
        <w:rPr>
          <w:rFonts w:ascii="ZWAdobeF" w:hAnsi="ZWAdobeF" w:cs="ZWAdobeF"/>
          <w:color w:val="auto"/>
          <w:sz w:val="2"/>
          <w:szCs w:val="2"/>
        </w:rPr>
        <w:t>54F</w:t>
      </w:r>
      <w:r>
        <w:rPr>
          <w:rStyle w:val="FootnoteReference"/>
        </w:rPr>
        <w:footnoteReference w:id="56"/>
      </w:r>
    </w:p>
    <w:p w14:paraId="7B624AAF" w14:textId="40A04655" w:rsidR="005678FE" w:rsidRDefault="005678FE" w:rsidP="005678FE">
      <w:pPr>
        <w:pStyle w:val="05Paragraph"/>
      </w:pPr>
      <w:r>
        <w:t>One of these is the introduction of a temporary COVID-19 Debt Levy, which will levy additional payroll tax on businesses with national payrolls above $10 million per year, decrease the tax</w:t>
      </w:r>
      <w:r>
        <w:noBreakHyphen/>
        <w:t>free threshold for general land taxes and adjust fixed charges and land tax rates. These measures are expected to raise $8.6 billion over four years, with the levy expected to end on 30 June 2033.</w:t>
      </w:r>
      <w:r w:rsidR="007C3D52">
        <w:rPr>
          <w:rFonts w:ascii="ZWAdobeF" w:hAnsi="ZWAdobeF" w:cs="ZWAdobeF"/>
          <w:color w:val="auto"/>
          <w:sz w:val="2"/>
          <w:szCs w:val="2"/>
        </w:rPr>
        <w:t>55F</w:t>
      </w:r>
      <w:r>
        <w:rPr>
          <w:rStyle w:val="FootnoteReference"/>
        </w:rPr>
        <w:footnoteReference w:id="57"/>
      </w:r>
    </w:p>
    <w:p w14:paraId="04D80A3F" w14:textId="5FB70E15" w:rsidR="005678FE" w:rsidRDefault="005678FE" w:rsidP="005678FE">
      <w:pPr>
        <w:pStyle w:val="05Paragraph"/>
      </w:pPr>
      <w:r>
        <w:t>The Victorian Government also announced a range of savings and efficiency initiatives to be implemented across the public sector, including reductions in the number of V</w:t>
      </w:r>
      <w:r w:rsidR="009421AA">
        <w:t>PS</w:t>
      </w:r>
      <w:r>
        <w:t xml:space="preserve"> staff across corporate and back office functions. Further savings will be achieved via reductions in labour hire and consultancy expenditure and efficiencies across public non-financial corporations and public financial corporations. In total, these measures are expected to save $2.1 billion over four years.</w:t>
      </w:r>
      <w:r w:rsidR="007C3D52">
        <w:rPr>
          <w:rFonts w:ascii="ZWAdobeF" w:hAnsi="ZWAdobeF" w:cs="ZWAdobeF"/>
          <w:color w:val="auto"/>
          <w:sz w:val="2"/>
          <w:szCs w:val="2"/>
        </w:rPr>
        <w:t>56F</w:t>
      </w:r>
      <w:r>
        <w:rPr>
          <w:rStyle w:val="FootnoteReference"/>
        </w:rPr>
        <w:footnoteReference w:id="58"/>
      </w:r>
    </w:p>
    <w:p w14:paraId="23C3906B" w14:textId="505B3C8A" w:rsidR="000E08AB" w:rsidRPr="008E1989" w:rsidRDefault="005678FE" w:rsidP="005678FE">
      <w:pPr>
        <w:pStyle w:val="05Paragraph"/>
      </w:pPr>
      <w:r>
        <w:t>An operating deficit for the general government sector of $10.3 billion is forecast for 2022-23, with smaller deficits forecast for the following years before an expected return to an operating surplus in 2025-26. Meanwhile, an operating cash flow surplus of $2.9 billion is forecast for 2022-23.</w:t>
      </w:r>
      <w:r w:rsidR="007C3D52">
        <w:rPr>
          <w:rFonts w:ascii="ZWAdobeF" w:hAnsi="ZWAdobeF" w:cs="ZWAdobeF"/>
          <w:color w:val="auto"/>
          <w:sz w:val="2"/>
          <w:szCs w:val="2"/>
        </w:rPr>
        <w:t>57F</w:t>
      </w:r>
      <w:r>
        <w:rPr>
          <w:rStyle w:val="FootnoteReference"/>
        </w:rPr>
        <w:footnoteReference w:id="59"/>
      </w:r>
      <w:r>
        <w:t xml:space="preserve"> Net debt for the general government sector was approximately $108 billion at 31 March 2023,</w:t>
      </w:r>
      <w:r w:rsidR="007C3D52">
        <w:rPr>
          <w:rFonts w:ascii="ZWAdobeF" w:hAnsi="ZWAdobeF" w:cs="ZWAdobeF"/>
          <w:color w:val="auto"/>
          <w:sz w:val="2"/>
          <w:szCs w:val="2"/>
        </w:rPr>
        <w:t>58F</w:t>
      </w:r>
      <w:r>
        <w:rPr>
          <w:rStyle w:val="FootnoteReference"/>
        </w:rPr>
        <w:footnoteReference w:id="60"/>
      </w:r>
      <w:r>
        <w:t xml:space="preserve"> and is forecast to increase to around $171 billion (24.5 per cent of GSP) by June 2027.</w:t>
      </w:r>
      <w:r w:rsidR="007C3D52">
        <w:rPr>
          <w:rFonts w:ascii="ZWAdobeF" w:hAnsi="ZWAdobeF" w:cs="ZWAdobeF"/>
          <w:color w:val="auto"/>
          <w:sz w:val="2"/>
          <w:szCs w:val="2"/>
        </w:rPr>
        <w:t>59F</w:t>
      </w:r>
      <w:r w:rsidR="00AF3317">
        <w:rPr>
          <w:rStyle w:val="FootnoteReference"/>
        </w:rPr>
        <w:footnoteReference w:id="61"/>
      </w:r>
    </w:p>
    <w:bookmarkEnd w:id="94"/>
    <w:p w14:paraId="24FE7779" w14:textId="20881664" w:rsidR="005C6092" w:rsidRPr="00BE5E7B" w:rsidRDefault="005C6092" w:rsidP="00F16350">
      <w:pPr>
        <w:pStyle w:val="02VIRTHeading2"/>
        <w:ind w:left="0" w:firstLine="0"/>
        <w:rPr>
          <w:noProof/>
          <w:highlight w:val="yellow"/>
          <w:lang w:eastAsia="en-AU"/>
        </w:rPr>
        <w:sectPr w:rsidR="005C6092" w:rsidRPr="00BE5E7B" w:rsidSect="006B7517">
          <w:pgSz w:w="11906" w:h="16838"/>
          <w:pgMar w:top="1701" w:right="1701" w:bottom="1559" w:left="1701" w:header="708" w:footer="708" w:gutter="0"/>
          <w:cols w:space="708"/>
          <w:titlePg/>
          <w:docGrid w:linePitch="360"/>
        </w:sectPr>
      </w:pPr>
    </w:p>
    <w:p w14:paraId="2151F6AE" w14:textId="6672A76E" w:rsidR="00E32580" w:rsidRPr="005C3F8A" w:rsidRDefault="00E32580" w:rsidP="000232F3">
      <w:pPr>
        <w:pStyle w:val="Chapter"/>
      </w:pPr>
      <w:bookmarkStart w:id="107" w:name="_Toc138761743"/>
      <w:bookmarkStart w:id="108" w:name="_Toc138760915"/>
      <w:bookmarkStart w:id="109" w:name="_Toc138761075"/>
      <w:bookmarkStart w:id="110" w:name="_Toc138859168"/>
      <w:r w:rsidRPr="000232F3">
        <w:rPr>
          <w:rStyle w:val="01ChapterheadingChar"/>
        </w:rPr>
        <w:t>4</w:t>
      </w:r>
      <w:r w:rsidRPr="000232F3">
        <w:rPr>
          <w:rStyle w:val="01ChapterheadingChar"/>
        </w:rPr>
        <w:tab/>
        <w:t>Tribunal’s considerations</w:t>
      </w:r>
      <w:bookmarkEnd w:id="107"/>
      <w:bookmarkEnd w:id="110"/>
      <w:r>
        <w:br/>
      </w:r>
      <w:bookmarkEnd w:id="108"/>
      <w:bookmarkEnd w:id="109"/>
    </w:p>
    <w:p w14:paraId="788C8D26" w14:textId="3341A978" w:rsidR="001A01B9" w:rsidRPr="001A01B9" w:rsidRDefault="001A01B9" w:rsidP="00C06D68">
      <w:pPr>
        <w:pStyle w:val="05Paragraph"/>
      </w:pPr>
      <w:r w:rsidRPr="001A01B9">
        <w:t xml:space="preserve">The Tribunal now turns to determining an annual adjustment to the values of the remuneration bands for executives employed in </w:t>
      </w:r>
      <w:r w:rsidR="00B74194">
        <w:t>prescribed public entities</w:t>
      </w:r>
      <w:r w:rsidRPr="001A01B9">
        <w:t>.</w:t>
      </w:r>
    </w:p>
    <w:p w14:paraId="430FD521" w14:textId="3435522A" w:rsidR="001A01B9" w:rsidRPr="001A01B9" w:rsidRDefault="001A01B9" w:rsidP="00C06D68">
      <w:pPr>
        <w:pStyle w:val="05Paragraph"/>
      </w:pPr>
      <w:r w:rsidRPr="001A01B9">
        <w:t xml:space="preserve">The values of the remuneration bands for executives employed in </w:t>
      </w:r>
      <w:r w:rsidR="00B74194">
        <w:t>prescribed public entities</w:t>
      </w:r>
      <w:r w:rsidRPr="001A01B9">
        <w:t xml:space="preserve"> are expressed as a TRP, inclusive of salary and superannuation. Consistent with Victorian Government executive remuneration policies</w:t>
      </w:r>
      <w:r w:rsidR="00592F12">
        <w:t>,</w:t>
      </w:r>
      <w:r w:rsidR="00C36887">
        <w:t xml:space="preserve"> and </w:t>
      </w:r>
      <w:r w:rsidR="00592F12">
        <w:t xml:space="preserve">with </w:t>
      </w:r>
      <w:r w:rsidR="00C36887">
        <w:t xml:space="preserve">the approach </w:t>
      </w:r>
      <w:r w:rsidR="00151D62">
        <w:t>it took</w:t>
      </w:r>
      <w:r w:rsidR="00C36887">
        <w:t xml:space="preserve"> in </w:t>
      </w:r>
      <w:r w:rsidR="00085637">
        <w:t>previous annual adjustments</w:t>
      </w:r>
      <w:r w:rsidRPr="001A01B9">
        <w:t xml:space="preserve">, the Tribunal </w:t>
      </w:r>
      <w:r w:rsidR="0058331B">
        <w:t xml:space="preserve">has </w:t>
      </w:r>
      <w:r w:rsidR="00A738FF">
        <w:t>decided</w:t>
      </w:r>
      <w:r w:rsidR="0058331B">
        <w:t xml:space="preserve"> to </w:t>
      </w:r>
      <w:r w:rsidRPr="001A01B9">
        <w:t>adjust the salary and superannuation components of the remunerations bands separately, by</w:t>
      </w:r>
      <w:r w:rsidR="001E51AE">
        <w:t xml:space="preserve"> adjusting</w:t>
      </w:r>
      <w:r w:rsidR="00E42BBE">
        <w:t xml:space="preserve"> the notional</w:t>
      </w:r>
      <w:r w:rsidRPr="001A01B9">
        <w:t>:</w:t>
      </w:r>
    </w:p>
    <w:p w14:paraId="5170233C" w14:textId="45BD4017" w:rsidR="001A01B9" w:rsidRPr="001A01B9" w:rsidRDefault="001A01B9" w:rsidP="00C06D68">
      <w:pPr>
        <w:pStyle w:val="06VIRTBulletpoints"/>
      </w:pPr>
      <w:r w:rsidRPr="001A01B9">
        <w:t xml:space="preserve">salary component of the remuneration band values </w:t>
      </w:r>
    </w:p>
    <w:p w14:paraId="37AD9288" w14:textId="76E65A3B" w:rsidR="00C36887" w:rsidRDefault="001A01B9" w:rsidP="00C06D68">
      <w:pPr>
        <w:pStyle w:val="06VIRTBulletpoints"/>
      </w:pPr>
      <w:r w:rsidRPr="001A01B9">
        <w:t>superannuation component of each band value to incorporate changes to</w:t>
      </w:r>
      <w:r w:rsidR="00DE08CC">
        <w:t xml:space="preserve"> </w:t>
      </w:r>
      <w:r w:rsidRPr="001A01B9">
        <w:t>superannuation entitlements from</w:t>
      </w:r>
      <w:r w:rsidR="00AF3888">
        <w:t> </w:t>
      </w:r>
      <w:r w:rsidRPr="001A01B9">
        <w:t>1</w:t>
      </w:r>
      <w:r w:rsidR="0059202A">
        <w:t> </w:t>
      </w:r>
      <w:r w:rsidRPr="001A01B9">
        <w:t>July</w:t>
      </w:r>
      <w:r w:rsidR="0059202A">
        <w:t> </w:t>
      </w:r>
      <w:r w:rsidRPr="001A01B9">
        <w:t>202</w:t>
      </w:r>
      <w:r w:rsidR="00085637">
        <w:t>3</w:t>
      </w:r>
      <w:r w:rsidRPr="001A01B9">
        <w:t>.</w:t>
      </w:r>
    </w:p>
    <w:p w14:paraId="399BB4AB" w14:textId="6419AAB8" w:rsidR="00C36887" w:rsidRDefault="00C36887" w:rsidP="00C36887">
      <w:pPr>
        <w:pStyle w:val="02VIRTHeading2"/>
      </w:pPr>
      <w:bookmarkStart w:id="111" w:name="_Toc138760916"/>
      <w:bookmarkStart w:id="112" w:name="_Toc138761076"/>
      <w:bookmarkStart w:id="113" w:name="_Toc138761220"/>
      <w:bookmarkStart w:id="114" w:name="_Toc138761744"/>
      <w:bookmarkStart w:id="115" w:name="_Toc138859169"/>
      <w:r>
        <w:t>4.1</w:t>
      </w:r>
      <w:r>
        <w:tab/>
      </w:r>
      <w:r w:rsidR="00B74194">
        <w:t>S</w:t>
      </w:r>
      <w:r>
        <w:t>alary component</w:t>
      </w:r>
      <w:bookmarkEnd w:id="111"/>
      <w:bookmarkEnd w:id="112"/>
      <w:bookmarkEnd w:id="113"/>
      <w:bookmarkEnd w:id="114"/>
      <w:bookmarkEnd w:id="115"/>
    </w:p>
    <w:p w14:paraId="6869F080" w14:textId="4A2CC853" w:rsidR="00F278BF" w:rsidRDefault="00E64481" w:rsidP="00C06D68">
      <w:pPr>
        <w:pStyle w:val="05Paragraph"/>
      </w:pPr>
      <w:r w:rsidRPr="00D558DB">
        <w:t xml:space="preserve">In determining the increase in the notional salary component, the Tribunal has considered the variety of information on economic conditions and trends available to it, as well as the financial position and the fiscal strategy </w:t>
      </w:r>
      <w:r w:rsidR="00055465">
        <w:t>of</w:t>
      </w:r>
      <w:r w:rsidRPr="00D558DB">
        <w:t xml:space="preserve"> </w:t>
      </w:r>
      <w:r>
        <w:t xml:space="preserve">the State of </w:t>
      </w:r>
      <w:r w:rsidRPr="00D558DB">
        <w:t>Victoria</w:t>
      </w:r>
      <w:r w:rsidR="004F763C">
        <w:t>,</w:t>
      </w:r>
      <w:r w:rsidRPr="00D558DB">
        <w:t xml:space="preserve"> the </w:t>
      </w:r>
      <w:r>
        <w:t>Wages Policy</w:t>
      </w:r>
      <w:r w:rsidR="00AC74D4">
        <w:t xml:space="preserve"> </w:t>
      </w:r>
      <w:r w:rsidR="00AC74D4" w:rsidRPr="00AC74D4">
        <w:t>and relativities between executive and non</w:t>
      </w:r>
      <w:r w:rsidR="000759C8">
        <w:noBreakHyphen/>
      </w:r>
      <w:r w:rsidR="00AC74D4" w:rsidRPr="00AC74D4">
        <w:t>executive remuneration</w:t>
      </w:r>
      <w:r>
        <w:t>.</w:t>
      </w:r>
    </w:p>
    <w:p w14:paraId="4455C90B" w14:textId="77777777" w:rsidR="002C7583" w:rsidRDefault="002C7583" w:rsidP="002C7583">
      <w:pPr>
        <w:pStyle w:val="03VIRTHeading3"/>
      </w:pPr>
      <w:bookmarkStart w:id="116" w:name="_Toc138761221"/>
      <w:r>
        <w:t>Inflation</w:t>
      </w:r>
      <w:bookmarkEnd w:id="116"/>
    </w:p>
    <w:p w14:paraId="2A0E93F9" w14:textId="6370C252" w:rsidR="002C7583" w:rsidRPr="00AB6CA7" w:rsidRDefault="002C7583" w:rsidP="002C7583">
      <w:pPr>
        <w:pStyle w:val="05Paragraph"/>
      </w:pPr>
      <w:r>
        <w:t>Inflation remains high and is only expected to decline gradually through to mid</w:t>
      </w:r>
      <w:r>
        <w:noBreakHyphen/>
        <w:t>2025. T</w:t>
      </w:r>
      <w:r w:rsidRPr="00AB6CA7">
        <w:t xml:space="preserve">he Melbourne CPI </w:t>
      </w:r>
      <w:r>
        <w:t>rose</w:t>
      </w:r>
      <w:r w:rsidRPr="00AB6CA7">
        <w:t xml:space="preserve"> 6.8 per cent through the year to the March quarter 2023, while </w:t>
      </w:r>
      <w:r>
        <w:t xml:space="preserve">national </w:t>
      </w:r>
      <w:r w:rsidRPr="00AB6CA7">
        <w:t>underlying inflation (as measured by the trimmed mean) was 6.6</w:t>
      </w:r>
      <w:r>
        <w:t> </w:t>
      </w:r>
      <w:r w:rsidRPr="00AB6CA7">
        <w:t>per cent</w:t>
      </w:r>
      <w:r>
        <w:t xml:space="preserve"> over the same period. The Victorian Budget has forecast that growth in the Melbourne CPI will average 4.25 per cent in 2023</w:t>
      </w:r>
      <w:r>
        <w:noBreakHyphen/>
        <w:t>24, before declining to 2.5 per cent in 2025-26. The RBA expects</w:t>
      </w:r>
      <w:r w:rsidRPr="00AB6CA7">
        <w:t xml:space="preserve"> </w:t>
      </w:r>
      <w:r>
        <w:t>national underlying</w:t>
      </w:r>
      <w:r w:rsidRPr="00AB6CA7">
        <w:t xml:space="preserve"> inflation </w:t>
      </w:r>
      <w:r>
        <w:t>to</w:t>
      </w:r>
      <w:r w:rsidRPr="00AB6CA7">
        <w:t xml:space="preserve"> be</w:t>
      </w:r>
      <w:r>
        <w:t xml:space="preserve"> around 4</w:t>
      </w:r>
      <w:r w:rsidRPr="00AB6CA7">
        <w:t xml:space="preserve"> per cent </w:t>
      </w:r>
      <w:r>
        <w:t>over</w:t>
      </w:r>
      <w:r w:rsidRPr="00AB6CA7">
        <w:t xml:space="preserve"> 2023</w:t>
      </w:r>
      <w:r>
        <w:t xml:space="preserve">, before declining to less than 4 per cent in 2024 and to be around the top of its 2-3 per cent target range by the end of 2024-25. In June 2023, the RBA increased the cash rate </w:t>
      </w:r>
      <w:r w:rsidR="003C6A4E">
        <w:t xml:space="preserve">target </w:t>
      </w:r>
      <w:r>
        <w:t>to 4.1 per</w:t>
      </w:r>
      <w:r w:rsidR="00C77E0B">
        <w:t xml:space="preserve"> </w:t>
      </w:r>
      <w:r>
        <w:t>cent in response to inflationary pressures.</w:t>
      </w:r>
    </w:p>
    <w:p w14:paraId="0C4F7D4B" w14:textId="77777777" w:rsidR="002C7583" w:rsidRDefault="002C7583" w:rsidP="002C7583">
      <w:pPr>
        <w:pStyle w:val="03VIRTHeading3"/>
      </w:pPr>
      <w:bookmarkStart w:id="117" w:name="_Toc138761222"/>
      <w:r>
        <w:t>Wage growth</w:t>
      </w:r>
      <w:bookmarkEnd w:id="117"/>
    </w:p>
    <w:p w14:paraId="608664CF" w14:textId="572E5A0A" w:rsidR="002C7583" w:rsidRDefault="002C7583" w:rsidP="002C7583">
      <w:pPr>
        <w:pStyle w:val="05Paragraph"/>
      </w:pPr>
      <w:r>
        <w:t>The RBA has pointed out that wages growth has picked up in response to the tight labour market and high inflation, and that growth in public sector wages is expected to pick up further.</w:t>
      </w:r>
      <w:r w:rsidR="007C3D52">
        <w:rPr>
          <w:rFonts w:ascii="ZWAdobeF" w:hAnsi="ZWAdobeF" w:cs="ZWAdobeF"/>
          <w:color w:val="auto"/>
          <w:sz w:val="2"/>
          <w:szCs w:val="2"/>
        </w:rPr>
        <w:t>60F</w:t>
      </w:r>
      <w:r>
        <w:rPr>
          <w:rStyle w:val="FootnoteReference"/>
        </w:rPr>
        <w:footnoteReference w:id="62"/>
      </w:r>
    </w:p>
    <w:p w14:paraId="1ED64CBE" w14:textId="3C6B0A7A" w:rsidR="002C7583" w:rsidRDefault="002C7583" w:rsidP="002C7583">
      <w:pPr>
        <w:pStyle w:val="05Paragraph"/>
      </w:pPr>
      <w:r>
        <w:t>The</w:t>
      </w:r>
      <w:r w:rsidRPr="00CD169D">
        <w:t xml:space="preserve"> Victorian WPI</w:t>
      </w:r>
      <w:r>
        <w:t xml:space="preserve"> rose</w:t>
      </w:r>
      <w:r w:rsidRPr="00CD169D">
        <w:t xml:space="preserve"> 3.5 per cent through the year to the March quarter 2023</w:t>
      </w:r>
      <w:r>
        <w:t xml:space="preserve"> </w:t>
      </w:r>
      <w:r w:rsidRPr="0032493C">
        <w:t>—</w:t>
      </w:r>
      <w:r>
        <w:t xml:space="preserve"> the strongest growth since 2012</w:t>
      </w:r>
      <w:r w:rsidRPr="00CD169D">
        <w:t>.</w:t>
      </w:r>
      <w:r>
        <w:t xml:space="preserve"> </w:t>
      </w:r>
      <w:r w:rsidR="00443799">
        <w:t>Growth in</w:t>
      </w:r>
      <w:r w:rsidR="0058379E">
        <w:t xml:space="preserve"> </w:t>
      </w:r>
      <w:r w:rsidR="00443799">
        <w:t>t</w:t>
      </w:r>
      <w:r>
        <w:t>he national WPI, which increased to 3.7 per cent in the March quarter 2023, is forecast to peak at around 4 per cent in the second half of 2023 before gradually declining.</w:t>
      </w:r>
    </w:p>
    <w:p w14:paraId="1E4ACBF3" w14:textId="162C81DE" w:rsidR="002C7583" w:rsidRDefault="002C7583" w:rsidP="002C7583">
      <w:pPr>
        <w:pStyle w:val="05Paragraph"/>
      </w:pPr>
      <w:r>
        <w:t>T</w:t>
      </w:r>
      <w:r w:rsidRPr="00CD169D">
        <w:t>he</w:t>
      </w:r>
      <w:r>
        <w:t xml:space="preserve"> </w:t>
      </w:r>
      <w:r w:rsidRPr="00CD169D">
        <w:t xml:space="preserve">FWC’s </w:t>
      </w:r>
      <w:r w:rsidRPr="00CD169D">
        <w:rPr>
          <w:i/>
        </w:rPr>
        <w:t xml:space="preserve">Annual Wage Review </w:t>
      </w:r>
      <w:r>
        <w:rPr>
          <w:i/>
        </w:rPr>
        <w:t>2022-23</w:t>
      </w:r>
      <w:r>
        <w:t xml:space="preserve"> </w:t>
      </w:r>
      <w:r w:rsidR="008D71DF">
        <w:t xml:space="preserve">decision </w:t>
      </w:r>
      <w:r>
        <w:t>increased the NMW by 8.6 per cent and modern award minimum wages by 5.75 per cent with effect from 1 July 2023.</w:t>
      </w:r>
    </w:p>
    <w:p w14:paraId="367EE239" w14:textId="6C76CE5E" w:rsidR="002C7583" w:rsidRDefault="002C7583" w:rsidP="002C7583">
      <w:pPr>
        <w:pStyle w:val="05Paragraph"/>
      </w:pPr>
      <w:r w:rsidRPr="00CC56B8">
        <w:t>The Victorian Government’s Wages Policy</w:t>
      </w:r>
      <w:r w:rsidR="005D6FD0" w:rsidRPr="00CC56B8">
        <w:t xml:space="preserve">, under which future </w:t>
      </w:r>
      <w:r w:rsidR="007E24C7" w:rsidRPr="00CC56B8">
        <w:t>enterprise agreements will be negotiated</w:t>
      </w:r>
      <w:r w:rsidR="00CC56B8" w:rsidRPr="00CC56B8">
        <w:t>,</w:t>
      </w:r>
      <w:r w:rsidR="00A84A44" w:rsidRPr="00CC56B8">
        <w:t xml:space="preserve"> </w:t>
      </w:r>
      <w:r w:rsidRPr="00CC56B8">
        <w:t xml:space="preserve">provides for increases in wages and conditions to be funded at a rate of growth of 3 per cent per annum. In addition, </w:t>
      </w:r>
      <w:r w:rsidR="00381355" w:rsidRPr="00CC56B8">
        <w:t>a separate</w:t>
      </w:r>
      <w:r w:rsidRPr="00CC56B8">
        <w:t xml:space="preserve"> lump cash payment equal to 0.5 per cent of overall agreement costs will be available.</w:t>
      </w:r>
    </w:p>
    <w:p w14:paraId="38B434F6" w14:textId="390757D9" w:rsidR="0058379E" w:rsidRDefault="0058379E" w:rsidP="002C7583">
      <w:pPr>
        <w:pStyle w:val="05Paragraph"/>
      </w:pPr>
      <w:r>
        <w:t>As discussed in chapter 2</w:t>
      </w:r>
      <w:r w:rsidR="00296439">
        <w:t>, n</w:t>
      </w:r>
      <w:r w:rsidRPr="0058379E">
        <w:t xml:space="preserve">on-executive employees in prescribed public entities are covered by numerous enterprise agreements, each with their own terms and conditions and commencement and expiry dates. </w:t>
      </w:r>
      <w:r w:rsidR="00296439">
        <w:t xml:space="preserve">However, </w:t>
      </w:r>
      <w:r w:rsidRPr="0058379E">
        <w:t>some agreements are closely aligned with the VPS Enterprise Agreement, which applies to non</w:t>
      </w:r>
      <w:r w:rsidR="0030762B">
        <w:noBreakHyphen/>
      </w:r>
      <w:r w:rsidRPr="0058379E">
        <w:t>executive VPS employees.</w:t>
      </w:r>
    </w:p>
    <w:p w14:paraId="74614B05" w14:textId="7822B467" w:rsidR="00CC56B8" w:rsidRDefault="00416AA1" w:rsidP="002C7583">
      <w:pPr>
        <w:pStyle w:val="05Paragraph"/>
      </w:pPr>
      <w:r>
        <w:t>Th</w:t>
      </w:r>
      <w:r w:rsidR="0058379E">
        <w:t>e</w:t>
      </w:r>
      <w:r w:rsidR="0024246D">
        <w:t xml:space="preserve"> current</w:t>
      </w:r>
      <w:r>
        <w:t xml:space="preserve"> </w:t>
      </w:r>
      <w:r w:rsidR="00555DD6">
        <w:t>VPS Enterprise Agreement</w:t>
      </w:r>
      <w:r w:rsidR="0024246D">
        <w:t xml:space="preserve">, negotiated under a previous </w:t>
      </w:r>
      <w:r w:rsidR="007F5838">
        <w:t>Wages Policy,</w:t>
      </w:r>
      <w:r w:rsidR="00555DD6" w:rsidDel="00555DD6">
        <w:t xml:space="preserve"> </w:t>
      </w:r>
      <w:r w:rsidR="00435440" w:rsidRPr="00435440">
        <w:t>provides for annual increases to the salary bands for non-executive VPS employees averaging 2 per cent per annum. The most recent increase (1.5</w:t>
      </w:r>
      <w:r w:rsidR="003E57C9">
        <w:t> </w:t>
      </w:r>
      <w:r w:rsidR="00435440" w:rsidRPr="00435440">
        <w:t>per</w:t>
      </w:r>
      <w:r w:rsidR="003E57C9">
        <w:t> </w:t>
      </w:r>
      <w:r w:rsidR="00435440" w:rsidRPr="00435440">
        <w:t>cent) occurred on 1 March 2023, with a further 1 per cent increase scheduled for 1 December 2023. Non-executive VPS employees may also be eligible for salary progression at the end of each performance cycle, which — when combined with scheduled increases — can result in annual salary increases above 2 per cent. In addition, the VPS Enterprise Agreement also provides for an annual mobility payment, paid as a lump sum on 1 July each year.</w:t>
      </w:r>
      <w:r w:rsidR="00B7750E">
        <w:t xml:space="preserve"> </w:t>
      </w:r>
    </w:p>
    <w:p w14:paraId="131015E9" w14:textId="55D894C0" w:rsidR="00435FE9" w:rsidRDefault="00435FE9" w:rsidP="00435FE9">
      <w:pPr>
        <w:pStyle w:val="05Paragraph"/>
      </w:pPr>
      <w:r>
        <w:t>For example, over the 12 months to February 2024, a VPS-6 employee with an initial salary (as at February 2023) of $149,025 (the mid-point of the VPS-6 range) could receive a cumulative salary increase of up to 5.2 per cent, consisting of scheduled increases of 1.5 per cent and 1 per cent, and salary progression of 2.6</w:t>
      </w:r>
      <w:r w:rsidR="00AB6CF0">
        <w:t> </w:t>
      </w:r>
      <w:r>
        <w:t>per cent (provided they meet the progression criteria). In addition, they would receive a $2,165 mobility payment on 1 July 2023.</w:t>
      </w:r>
    </w:p>
    <w:p w14:paraId="1F7F5A79" w14:textId="7483892E" w:rsidR="00435FE9" w:rsidRDefault="00435FE9" w:rsidP="00435FE9">
      <w:pPr>
        <w:pStyle w:val="05Paragraph"/>
      </w:pPr>
      <w:r>
        <w:t>An important consideration in the decision to adjust the notional salary component of the remuneration bands was the objective of maintaining relativities between executives and non-executive employees so that executive remuneration remains sufficiently attractive to encourage a steady flow of high</w:t>
      </w:r>
      <w:r w:rsidR="001574F1">
        <w:noBreakHyphen/>
      </w:r>
      <w:r>
        <w:t xml:space="preserve">performing non-executives into executive roles. Taking account of progression </w:t>
      </w:r>
      <w:r w:rsidR="00777F4F">
        <w:t xml:space="preserve">and other relevant </w:t>
      </w:r>
      <w:r>
        <w:t>payments (which are not available to executives) available to non-executive employees more accurately reflects the practical implications of the application of Wages Policy.</w:t>
      </w:r>
    </w:p>
    <w:p w14:paraId="523C8067" w14:textId="52291383" w:rsidR="0011417C" w:rsidRDefault="00966F4D" w:rsidP="0011417C">
      <w:pPr>
        <w:pStyle w:val="03VIRTHeading3"/>
      </w:pPr>
      <w:bookmarkStart w:id="118" w:name="_Toc138761223"/>
      <w:r>
        <w:t>Economic g</w:t>
      </w:r>
      <w:r w:rsidR="0011417C">
        <w:t>rowth</w:t>
      </w:r>
      <w:bookmarkEnd w:id="118"/>
    </w:p>
    <w:p w14:paraId="170B2C36" w14:textId="4A4F63EC" w:rsidR="009F47C5" w:rsidRPr="00C9641B" w:rsidRDefault="00E163DA" w:rsidP="0011417C">
      <w:pPr>
        <w:pStyle w:val="05Paragraph"/>
      </w:pPr>
      <w:r w:rsidRPr="00C9641B">
        <w:t>Australia</w:t>
      </w:r>
      <w:r w:rsidR="00966F4D">
        <w:t>n real</w:t>
      </w:r>
      <w:r w:rsidRPr="00C9641B">
        <w:t xml:space="preserve"> GDP rose 0.2 per cent in the March quarter 2023, the lowest growth since the September quarter 2021 when the economy contracted due to the impact of COVID-19 lockdowns</w:t>
      </w:r>
      <w:r w:rsidR="0011417C" w:rsidRPr="00C9641B">
        <w:t xml:space="preserve">. Household spending rose by 0.2 per cent in the quarter, with discretionary spending down </w:t>
      </w:r>
      <w:r w:rsidR="00A92371">
        <w:t>1</w:t>
      </w:r>
      <w:r w:rsidR="0011417C" w:rsidRPr="00C9641B">
        <w:t xml:space="preserve"> per cent due to the impact of cost-of-living pressures.</w:t>
      </w:r>
    </w:p>
    <w:p w14:paraId="7616BF4A" w14:textId="4A828726" w:rsidR="0011417C" w:rsidRDefault="0011417C" w:rsidP="0011417C">
      <w:pPr>
        <w:pStyle w:val="05Paragraph"/>
      </w:pPr>
      <w:r w:rsidRPr="00C9641B">
        <w:t xml:space="preserve">In year-ended terms, </w:t>
      </w:r>
      <w:r w:rsidR="00F74851">
        <w:t xml:space="preserve">real </w:t>
      </w:r>
      <w:r w:rsidRPr="00C9641B">
        <w:t>GDP growth is forecast to slow to around 1.</w:t>
      </w:r>
      <w:r w:rsidR="002E7498">
        <w:t>5</w:t>
      </w:r>
      <w:r w:rsidRPr="00C9641B">
        <w:t xml:space="preserve"> per cent over 2023-24, as rising interest rates and cost-of-living pressure</w:t>
      </w:r>
      <w:r w:rsidR="001574F1">
        <w:t>s</w:t>
      </w:r>
      <w:r w:rsidRPr="00C9641B">
        <w:t xml:space="preserve"> weigh on economic activity. In year-average terms, the Victorian economy is also forecast to grow by around 1.50 per cent over 2023-24.</w:t>
      </w:r>
    </w:p>
    <w:p w14:paraId="61B56BD9" w14:textId="77777777" w:rsidR="0011417C" w:rsidRDefault="0011417C" w:rsidP="0011417C">
      <w:pPr>
        <w:pStyle w:val="03VIRTHeading3"/>
      </w:pPr>
      <w:bookmarkStart w:id="119" w:name="_Toc138761224"/>
      <w:r>
        <w:t>Financial position and fiscal strategy of the State of Victoria</w:t>
      </w:r>
      <w:bookmarkEnd w:id="119"/>
    </w:p>
    <w:p w14:paraId="07F74851" w14:textId="28411EA8" w:rsidR="0011417C" w:rsidRDefault="0011417C" w:rsidP="0011417C">
      <w:pPr>
        <w:pStyle w:val="05Paragraph"/>
      </w:pPr>
      <w:r>
        <w:t xml:space="preserve">The Victorian general government sector recorded an operating deficit of $2.9 billion for the nine months to 31 March 2023, while net debt is forecast to increase to around $171 billion by June 2027. </w:t>
      </w:r>
      <w:r w:rsidRPr="00E9645F">
        <w:t xml:space="preserve">The total remuneration provided to executives employed in </w:t>
      </w:r>
      <w:r w:rsidR="005270CA" w:rsidRPr="00E9645F">
        <w:t>prescribed public entities</w:t>
      </w:r>
      <w:r w:rsidRPr="00E9645F">
        <w:t xml:space="preserve"> is not in itself a significant component of government expenditure,</w:t>
      </w:r>
      <w:r w:rsidR="007C3D52">
        <w:rPr>
          <w:rFonts w:ascii="ZWAdobeF" w:hAnsi="ZWAdobeF" w:cs="ZWAdobeF"/>
          <w:color w:val="auto"/>
          <w:sz w:val="2"/>
          <w:szCs w:val="2"/>
        </w:rPr>
        <w:t>61F</w:t>
      </w:r>
      <w:r w:rsidR="001E674A">
        <w:rPr>
          <w:rStyle w:val="FootnoteReference"/>
        </w:rPr>
        <w:footnoteReference w:id="63"/>
      </w:r>
      <w:r w:rsidRPr="00E9645F">
        <w:t xml:space="preserve"> although the remuneration for, and remuneration increases awarded to, such executives are relevant to the negotiation or setting of wages for other employees and thereby the State’s financial position and fiscal strategy.</w:t>
      </w:r>
      <w:r>
        <w:t xml:space="preserve"> </w:t>
      </w:r>
      <w:r w:rsidR="0034599F" w:rsidRPr="00DF491F">
        <w:t>Nonetheless, the State needs to provide executive remuneration arrangements that are fair and reasonable to attract and retain talented executives to deliver the government’s agenda.</w:t>
      </w:r>
    </w:p>
    <w:p w14:paraId="54F65D8E" w14:textId="77777777" w:rsidR="008116B7" w:rsidRPr="00D558DB" w:rsidRDefault="008116B7" w:rsidP="008116B7">
      <w:pPr>
        <w:pStyle w:val="03VIRTHeading3"/>
      </w:pPr>
      <w:bookmarkStart w:id="120" w:name="_Toc138761225"/>
      <w:r>
        <w:t>Conclusion on salary component</w:t>
      </w:r>
      <w:bookmarkEnd w:id="120"/>
    </w:p>
    <w:p w14:paraId="63CE1231" w14:textId="77777777" w:rsidR="00BB5C4F" w:rsidRDefault="00BB5C4F" w:rsidP="00BB5C4F">
      <w:pPr>
        <w:pStyle w:val="05Paragraph"/>
      </w:pPr>
      <w:r>
        <w:t>Having regard to all such considerations, the Tribunal has determined to increase the notional salary component of the remuneration bands by 4 per cent.</w:t>
      </w:r>
    </w:p>
    <w:p w14:paraId="208E3DCA" w14:textId="785405AF" w:rsidR="00B77FE0" w:rsidRDefault="002A5806" w:rsidP="00C06D68">
      <w:pPr>
        <w:pStyle w:val="05Paragraph"/>
      </w:pPr>
      <w:r>
        <w:t>The Tribunal</w:t>
      </w:r>
      <w:r w:rsidR="00DE20BE">
        <w:t xml:space="preserve">’s </w:t>
      </w:r>
      <w:r w:rsidR="00487941">
        <w:t>decision</w:t>
      </w:r>
      <w:r w:rsidR="00DE20BE">
        <w:t xml:space="preserve"> maintains the broad alignment </w:t>
      </w:r>
      <w:r w:rsidR="00B5131E">
        <w:t xml:space="preserve">that exists </w:t>
      </w:r>
      <w:r w:rsidR="00DE20BE">
        <w:t xml:space="preserve">between the remuneration bands </w:t>
      </w:r>
      <w:r w:rsidR="00B5131E">
        <w:t xml:space="preserve">that apply </w:t>
      </w:r>
      <w:r w:rsidR="008F1ABE">
        <w:t>to</w:t>
      </w:r>
      <w:r w:rsidR="00DE20BE">
        <w:t xml:space="preserve"> </w:t>
      </w:r>
      <w:r w:rsidR="007242F7">
        <w:t xml:space="preserve">executives employed in prescribed public entities and </w:t>
      </w:r>
      <w:r w:rsidR="00944677">
        <w:t xml:space="preserve">the </w:t>
      </w:r>
      <w:r w:rsidR="00B63D2C">
        <w:t xml:space="preserve">separate </w:t>
      </w:r>
      <w:r w:rsidR="00944677">
        <w:t xml:space="preserve">remuneration bands that apply </w:t>
      </w:r>
      <w:r w:rsidR="008F1ABE">
        <w:t>to</w:t>
      </w:r>
      <w:r w:rsidR="00944677">
        <w:t xml:space="preserve"> </w:t>
      </w:r>
      <w:r w:rsidR="00B63D2C">
        <w:t>executives</w:t>
      </w:r>
      <w:r w:rsidR="00944677">
        <w:t xml:space="preserve"> employed in </w:t>
      </w:r>
      <w:r w:rsidR="008F1ABE">
        <w:t>public service bodies</w:t>
      </w:r>
      <w:r w:rsidR="007242F7">
        <w:t>.</w:t>
      </w:r>
      <w:r w:rsidR="003C7E80">
        <w:t xml:space="preserve"> As noted in the Comprehensive Determination</w:t>
      </w:r>
      <w:r w:rsidR="00F270C2">
        <w:t xml:space="preserve">, </w:t>
      </w:r>
      <w:r w:rsidR="002961FB">
        <w:t>th</w:t>
      </w:r>
      <w:r w:rsidR="00D51CF4">
        <w:t>e purpose of this</w:t>
      </w:r>
      <w:r w:rsidR="002961FB">
        <w:t xml:space="preserve"> alignment</w:t>
      </w:r>
      <w:r w:rsidR="009611DB">
        <w:t xml:space="preserve"> is to</w:t>
      </w:r>
      <w:r w:rsidR="005D4D7B">
        <w:t>:</w:t>
      </w:r>
    </w:p>
    <w:p w14:paraId="72757ECC" w14:textId="6541D185" w:rsidR="005D4D7B" w:rsidRDefault="007C32F7" w:rsidP="005D4D7B">
      <w:pPr>
        <w:pStyle w:val="07VIRTBreakouttext"/>
      </w:pPr>
      <w:r w:rsidRPr="007C32F7">
        <w:t>…</w:t>
      </w:r>
      <w:r w:rsidR="009611DB">
        <w:t xml:space="preserve"> </w:t>
      </w:r>
      <w:r w:rsidR="00D51CF4">
        <w:t xml:space="preserve">further </w:t>
      </w:r>
      <w:r w:rsidRPr="007C32F7">
        <w:t>promote mobility between the VPS and public entities, retention of executives, and fairness in remuneration outcomes across the public sector</w:t>
      </w:r>
      <w:r>
        <w:t>.</w:t>
      </w:r>
      <w:r w:rsidR="007C3D52">
        <w:rPr>
          <w:rFonts w:ascii="ZWAdobeF" w:hAnsi="ZWAdobeF" w:cs="ZWAdobeF"/>
          <w:i w:val="0"/>
          <w:color w:val="auto"/>
          <w:spacing w:val="0"/>
          <w:sz w:val="2"/>
          <w:szCs w:val="2"/>
        </w:rPr>
        <w:t>62F</w:t>
      </w:r>
      <w:r w:rsidR="00EC03B8" w:rsidRPr="00EC03B8">
        <w:rPr>
          <w:rStyle w:val="FootnoteReference"/>
          <w:i w:val="0"/>
          <w:iCs/>
        </w:rPr>
        <w:footnoteReference w:id="64"/>
      </w:r>
    </w:p>
    <w:p w14:paraId="48C3902E" w14:textId="3078F9D0" w:rsidR="00BB5C4F" w:rsidRDefault="00BB5C4F" w:rsidP="00BB5C4F">
      <w:pPr>
        <w:pStyle w:val="05Paragraph"/>
      </w:pPr>
      <w:r>
        <w:t xml:space="preserve">Table 4.1 shows the impact of applying the </w:t>
      </w:r>
      <w:r w:rsidR="003A3256">
        <w:t xml:space="preserve">4 per cent </w:t>
      </w:r>
      <w:r>
        <w:t>adjustment on the notional salary component of the values of the VPS executive remuneration bands.</w:t>
      </w:r>
    </w:p>
    <w:p w14:paraId="217A04BF" w14:textId="629A2308" w:rsidR="0008426A" w:rsidRPr="009C684D" w:rsidRDefault="00C020F7" w:rsidP="0008426A">
      <w:pPr>
        <w:pStyle w:val="08Figuretableboxheading"/>
        <w:rPr>
          <w:rFonts w:ascii="Calibri" w:hAnsi="Calibri" w:cs="Calibri"/>
        </w:rPr>
      </w:pPr>
      <w:r w:rsidRPr="009C684D">
        <w:rPr>
          <w:rFonts w:ascii="Calibri" w:hAnsi="Calibri" w:cs="Calibri"/>
        </w:rPr>
        <w:t>Table</w:t>
      </w:r>
      <w:r w:rsidR="0008426A" w:rsidRPr="009C684D">
        <w:rPr>
          <w:rFonts w:ascii="Calibri" w:hAnsi="Calibri" w:cs="Calibri"/>
        </w:rPr>
        <w:t xml:space="preserve"> </w:t>
      </w:r>
      <w:r w:rsidR="00053BD5" w:rsidRPr="009C684D">
        <w:rPr>
          <w:rFonts w:ascii="Calibri" w:hAnsi="Calibri" w:cs="Calibri"/>
        </w:rPr>
        <w:t>4</w:t>
      </w:r>
      <w:r w:rsidR="0008426A" w:rsidRPr="009C684D">
        <w:rPr>
          <w:rFonts w:ascii="Calibri" w:hAnsi="Calibri" w:cs="Calibri"/>
        </w:rPr>
        <w:t xml:space="preserve">.1: Change to notional salary component of the remuneration bands due to the </w:t>
      </w:r>
      <w:r w:rsidR="009C684D">
        <w:rPr>
          <w:rFonts w:ascii="Calibri" w:hAnsi="Calibri" w:cs="Calibri"/>
        </w:rPr>
        <w:t>annual</w:t>
      </w:r>
      <w:r w:rsidR="0008426A" w:rsidRPr="009C684D">
        <w:rPr>
          <w:rFonts w:ascii="Calibri" w:hAnsi="Calibri" w:cs="Calibri"/>
        </w:rPr>
        <w:t xml:space="preserve"> adjustment</w:t>
      </w:r>
    </w:p>
    <w:tbl>
      <w:tblPr>
        <w:tblStyle w:val="ListTable3-Accent214"/>
        <w:tblW w:w="8505" w:type="dxa"/>
        <w:tblLook w:val="04A0" w:firstRow="1" w:lastRow="0" w:firstColumn="1" w:lastColumn="0" w:noHBand="0" w:noVBand="1"/>
      </w:tblPr>
      <w:tblGrid>
        <w:gridCol w:w="2268"/>
        <w:gridCol w:w="1772"/>
        <w:gridCol w:w="1772"/>
        <w:gridCol w:w="2693"/>
      </w:tblGrid>
      <w:tr w:rsidR="007C3D52" w:rsidRPr="007C3D52" w14:paraId="76E957CA" w14:textId="77777777" w:rsidTr="007C3D52">
        <w:trPr>
          <w:cnfStyle w:val="100000000000" w:firstRow="1" w:lastRow="0" w:firstColumn="0" w:lastColumn="0" w:oddVBand="0" w:evenVBand="0" w:oddHBand="0" w:evenHBand="0" w:firstRowFirstColumn="0" w:firstRowLastColumn="0" w:lastRowFirstColumn="0" w:lastRowLastColumn="0"/>
          <w:trHeight w:val="635"/>
          <w:tblHeader/>
        </w:trPr>
        <w:tc>
          <w:tcPr>
            <w:cnfStyle w:val="001000000100" w:firstRow="0" w:lastRow="0" w:firstColumn="1" w:lastColumn="0" w:oddVBand="0" w:evenVBand="0" w:oddHBand="0" w:evenHBand="0" w:firstRowFirstColumn="1" w:firstRowLastColumn="0" w:lastRowFirstColumn="0" w:lastRowLastColumn="0"/>
            <w:tcW w:w="2268" w:type="dxa"/>
            <w:tcBorders>
              <w:top w:val="single" w:sz="4" w:space="0" w:color="148A5D" w:themeColor="accent2"/>
              <w:bottom w:val="single" w:sz="4" w:space="0" w:color="148A5D"/>
            </w:tcBorders>
            <w:shd w:val="clear" w:color="auto" w:fill="auto"/>
            <w:vAlign w:val="top"/>
          </w:tcPr>
          <w:p w14:paraId="6BB79E84" w14:textId="7A49244F" w:rsidR="00044946" w:rsidRPr="007C3D52" w:rsidRDefault="007C3D52" w:rsidP="007C3D52">
            <w:pPr>
              <w:keepNext/>
              <w:spacing w:after="0"/>
              <w:rPr>
                <w:rFonts w:ascii="Calibri" w:eastAsia="Rockwell" w:hAnsi="Calibri" w:cs="Calibri"/>
                <w:color w:val="auto"/>
                <w:sz w:val="22"/>
              </w:rPr>
            </w:pPr>
            <w:r w:rsidRPr="007C3D52">
              <w:rPr>
                <w:rFonts w:ascii="Calibri" w:eastAsia="Rockwell" w:hAnsi="Calibri" w:cs="Calibri"/>
                <w:color w:val="auto"/>
                <w:sz w:val="22"/>
              </w:rPr>
              <w:t>Classification</w:t>
            </w:r>
          </w:p>
        </w:tc>
        <w:tc>
          <w:tcPr>
            <w:tcW w:w="1772" w:type="dxa"/>
            <w:tcBorders>
              <w:top w:val="single" w:sz="4" w:space="0" w:color="148A5D" w:themeColor="accent2"/>
              <w:bottom w:val="single" w:sz="4" w:space="0" w:color="148A5D"/>
            </w:tcBorders>
            <w:shd w:val="clear" w:color="auto" w:fill="auto"/>
            <w:vAlign w:val="top"/>
          </w:tcPr>
          <w:p w14:paraId="67D999A8" w14:textId="77CB293D" w:rsidR="00044946" w:rsidRPr="007C3D52" w:rsidRDefault="00044946" w:rsidP="007C3D52">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7C3D52">
              <w:rPr>
                <w:rFonts w:ascii="Calibri" w:eastAsia="Rockwell" w:hAnsi="Calibri" w:cs="Calibri"/>
                <w:color w:val="auto"/>
                <w:sz w:val="22"/>
              </w:rPr>
              <w:t>TRP value</w:t>
            </w:r>
            <w:r w:rsidR="007C3D52" w:rsidRPr="007C3D52">
              <w:rPr>
                <w:rFonts w:ascii="Calibri" w:eastAsia="Rockwell" w:hAnsi="Calibri" w:cs="Calibri"/>
                <w:color w:val="auto"/>
                <w:sz w:val="22"/>
              </w:rPr>
              <w:t xml:space="preserve"> at 30 June 2023</w:t>
            </w:r>
          </w:p>
          <w:p w14:paraId="23519302" w14:textId="77777777" w:rsidR="00F330B5" w:rsidRPr="007C3D52" w:rsidRDefault="00F330B5" w:rsidP="007C3D52">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p>
          <w:p w14:paraId="7E490EFB" w14:textId="4528D98A" w:rsidR="00F330B5" w:rsidRPr="007C3D52" w:rsidRDefault="007C3D52" w:rsidP="007C3D52">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C3D52">
              <w:rPr>
                <w:rFonts w:ascii="Calibri" w:eastAsia="Rockwell" w:hAnsi="Calibri" w:cs="Calibri"/>
                <w:color w:val="auto"/>
                <w:sz w:val="22"/>
              </w:rPr>
              <w:t>(</w:t>
            </w:r>
            <w:r w:rsidR="00F330B5" w:rsidRPr="007C3D52">
              <w:rPr>
                <w:rFonts w:ascii="Calibri" w:eastAsia="Rockwell" w:hAnsi="Calibri" w:cs="Calibri"/>
                <w:color w:val="auto"/>
                <w:sz w:val="22"/>
              </w:rPr>
              <w:t>$ p.a.</w:t>
            </w:r>
            <w:r w:rsidRPr="007C3D52">
              <w:rPr>
                <w:rFonts w:ascii="Calibri" w:eastAsia="Rockwell" w:hAnsi="Calibri" w:cs="Calibri"/>
                <w:color w:val="auto"/>
                <w:sz w:val="22"/>
              </w:rPr>
              <w:t>)</w:t>
            </w:r>
          </w:p>
        </w:tc>
        <w:tc>
          <w:tcPr>
            <w:tcW w:w="1772" w:type="dxa"/>
            <w:tcBorders>
              <w:top w:val="single" w:sz="4" w:space="0" w:color="148A5D" w:themeColor="accent2"/>
              <w:bottom w:val="single" w:sz="4" w:space="0" w:color="148A5D"/>
            </w:tcBorders>
            <w:shd w:val="clear" w:color="auto" w:fill="auto"/>
            <w:vAlign w:val="top"/>
          </w:tcPr>
          <w:p w14:paraId="495AAC87" w14:textId="3A8155E2" w:rsidR="00D50AA0" w:rsidRPr="007C3D52" w:rsidRDefault="00044946" w:rsidP="007C3D52">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vertAlign w:val="superscript"/>
              </w:rPr>
            </w:pPr>
            <w:r w:rsidRPr="007C3D52">
              <w:rPr>
                <w:rFonts w:ascii="Calibri" w:eastAsia="Rockwell" w:hAnsi="Calibri" w:cs="Calibri"/>
                <w:color w:val="auto"/>
                <w:sz w:val="22"/>
              </w:rPr>
              <w:t>Notional salary component</w:t>
            </w:r>
            <w:r w:rsidR="007C3D52" w:rsidRPr="007C3D52">
              <w:rPr>
                <w:rFonts w:ascii="Calibri" w:eastAsia="Rockwell" w:hAnsi="Calibri" w:cs="Calibri"/>
                <w:color w:val="auto"/>
                <w:sz w:val="22"/>
              </w:rPr>
              <w:t xml:space="preserve"> at 30 June 2023</w:t>
            </w:r>
            <w:r w:rsidRPr="007C3D52">
              <w:rPr>
                <w:rFonts w:ascii="Calibri" w:eastAsia="Rockwell" w:hAnsi="Calibri" w:cs="Calibri"/>
                <w:color w:val="auto"/>
                <w:sz w:val="22"/>
                <w:vertAlign w:val="superscript"/>
              </w:rPr>
              <w:t>(a)</w:t>
            </w:r>
          </w:p>
          <w:p w14:paraId="53D0BC14" w14:textId="4C2A7435" w:rsidR="00F330B5" w:rsidRPr="007C3D52" w:rsidRDefault="007C3D52" w:rsidP="007C3D52">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C3D52">
              <w:rPr>
                <w:rFonts w:ascii="Calibri" w:eastAsia="Rockwell" w:hAnsi="Calibri" w:cs="Calibri"/>
                <w:color w:val="auto"/>
                <w:sz w:val="22"/>
              </w:rPr>
              <w:t>(</w:t>
            </w:r>
            <w:r w:rsidR="00F330B5" w:rsidRPr="007C3D52">
              <w:rPr>
                <w:rFonts w:ascii="Calibri" w:eastAsia="Rockwell" w:hAnsi="Calibri" w:cs="Calibri"/>
                <w:color w:val="auto"/>
                <w:sz w:val="22"/>
              </w:rPr>
              <w:t>$ p.a.</w:t>
            </w:r>
            <w:r w:rsidRPr="007C3D52">
              <w:rPr>
                <w:rFonts w:ascii="Calibri" w:eastAsia="Rockwell" w:hAnsi="Calibri" w:cs="Calibri"/>
                <w:color w:val="auto"/>
                <w:sz w:val="22"/>
              </w:rPr>
              <w:t>)</w:t>
            </w:r>
          </w:p>
        </w:tc>
        <w:tc>
          <w:tcPr>
            <w:tcW w:w="2693" w:type="dxa"/>
            <w:tcBorders>
              <w:top w:val="single" w:sz="4" w:space="0" w:color="148A5D" w:themeColor="accent2"/>
              <w:bottom w:val="single" w:sz="4" w:space="0" w:color="148A5D"/>
            </w:tcBorders>
            <w:shd w:val="clear" w:color="auto" w:fill="auto"/>
            <w:vAlign w:val="top"/>
          </w:tcPr>
          <w:p w14:paraId="7441F814" w14:textId="0EC8A23C" w:rsidR="007C3D52" w:rsidRPr="007C3D52" w:rsidRDefault="007C3D52" w:rsidP="007C3D52">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vertAlign w:val="superscript"/>
              </w:rPr>
            </w:pPr>
            <w:r w:rsidRPr="007C3D52">
              <w:rPr>
                <w:rFonts w:ascii="Calibri" w:eastAsia="Rockwell" w:hAnsi="Calibri" w:cs="Calibri"/>
                <w:color w:val="auto"/>
                <w:sz w:val="22"/>
              </w:rPr>
              <w:t>Change to notional salary component due to annual adjustment</w:t>
            </w:r>
            <w:r w:rsidRPr="007C3D52">
              <w:rPr>
                <w:rFonts w:ascii="Calibri" w:eastAsia="Rockwell" w:hAnsi="Calibri" w:cs="Calibri"/>
                <w:color w:val="auto"/>
                <w:sz w:val="22"/>
                <w:vertAlign w:val="superscript"/>
              </w:rPr>
              <w:t>(b)</w:t>
            </w:r>
          </w:p>
          <w:p w14:paraId="09CC1FB7" w14:textId="38EFDAEF" w:rsidR="00044946" w:rsidRPr="007C3D52" w:rsidRDefault="007C3D52" w:rsidP="007C3D52">
            <w:pPr>
              <w:keepNext/>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7C3D52">
              <w:rPr>
                <w:rFonts w:ascii="Calibri" w:eastAsia="Rockwell" w:hAnsi="Calibri" w:cs="Calibri"/>
                <w:color w:val="auto"/>
                <w:sz w:val="22"/>
              </w:rPr>
              <w:t>(</w:t>
            </w:r>
            <w:r w:rsidRPr="007C3D52">
              <w:rPr>
                <w:rFonts w:ascii="Calibri" w:eastAsia="Rockwell" w:hAnsi="Calibri" w:cs="Calibri"/>
                <w:color w:val="auto"/>
                <w:sz w:val="22"/>
              </w:rPr>
              <w:t>$</w:t>
            </w:r>
            <w:r w:rsidRPr="007C3D52">
              <w:rPr>
                <w:rFonts w:ascii="Calibri" w:eastAsia="Rockwell" w:hAnsi="Calibri" w:cs="Calibri"/>
                <w:color w:val="auto"/>
                <w:sz w:val="22"/>
              </w:rPr>
              <w:t>)</w:t>
            </w:r>
          </w:p>
        </w:tc>
      </w:tr>
      <w:tr w:rsidR="00435D74" w:rsidRPr="0008426A" w14:paraId="40523493" w14:textId="77777777" w:rsidTr="003341EB">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6D506172" w14:textId="77777777" w:rsidR="00435D74" w:rsidRPr="00411ADC" w:rsidRDefault="00435D74" w:rsidP="00435D74">
            <w:pPr>
              <w:keepNext/>
              <w:spacing w:after="160" w:line="276" w:lineRule="auto"/>
              <w:contextualSpacing/>
              <w:rPr>
                <w:rFonts w:ascii="Calibri" w:eastAsia="Calibri" w:hAnsi="Calibri" w:cs="Calibri"/>
                <w:b w:val="0"/>
                <w:bCs w:val="0"/>
                <w:color w:val="auto"/>
                <w:sz w:val="22"/>
              </w:rPr>
            </w:pPr>
            <w:r w:rsidRPr="00411ADC">
              <w:rPr>
                <w:rFonts w:ascii="Calibri" w:eastAsia="Calibri" w:hAnsi="Calibri" w:cs="Calibri"/>
                <w:color w:val="auto"/>
                <w:sz w:val="22"/>
              </w:rPr>
              <w:t>PESES-1</w:t>
            </w:r>
            <w:r w:rsidRPr="00411ADC">
              <w:rPr>
                <w:rFonts w:ascii="Calibri" w:eastAsia="Calibri" w:hAnsi="Calibri" w:cs="Calibri"/>
                <w:color w:val="auto"/>
                <w:sz w:val="22"/>
              </w:rPr>
              <w:br/>
            </w:r>
            <w:r w:rsidRPr="00411ADC">
              <w:rPr>
                <w:rFonts w:ascii="Calibri" w:eastAsia="Calibri" w:hAnsi="Calibri" w:cs="Calibri"/>
                <w:b w:val="0"/>
                <w:bCs w:val="0"/>
                <w:color w:val="auto"/>
                <w:sz w:val="22"/>
              </w:rPr>
              <w:t>base of band</w:t>
            </w:r>
          </w:p>
          <w:p w14:paraId="6FF17E9A" w14:textId="3FB7426F" w:rsidR="00435D74" w:rsidRPr="00411ADC" w:rsidRDefault="00435D74" w:rsidP="00435D74">
            <w:pPr>
              <w:keepNext/>
              <w:spacing w:after="0"/>
              <w:contextualSpacing/>
              <w:rPr>
                <w:rFonts w:ascii="Calibri" w:eastAsia="Rockwell" w:hAnsi="Calibri" w:cs="Calibri"/>
                <w:color w:val="auto"/>
                <w:sz w:val="22"/>
                <w:lang w:val="en-US"/>
              </w:rPr>
            </w:pPr>
            <w:r w:rsidRPr="00411ADC">
              <w:rPr>
                <w:rFonts w:ascii="Calibri" w:eastAsia="Rockwell" w:hAnsi="Calibri" w:cs="Calibri"/>
                <w:b w:val="0"/>
                <w:bCs w:val="0"/>
                <w:color w:val="auto"/>
                <w:sz w:val="22"/>
                <w:lang w:val="en-US"/>
              </w:rPr>
              <w:t>top of band</w:t>
            </w:r>
          </w:p>
        </w:tc>
        <w:tc>
          <w:tcPr>
            <w:tcW w:w="1772" w:type="dxa"/>
            <w:vAlign w:val="bottom"/>
          </w:tcPr>
          <w:p w14:paraId="29DBFB66" w14:textId="77777777"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77483664" w14:textId="54263D93"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144,666</w:t>
            </w:r>
          </w:p>
          <w:p w14:paraId="1DAF26BA" w14:textId="70D4F46D"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267,445</w:t>
            </w:r>
          </w:p>
        </w:tc>
        <w:tc>
          <w:tcPr>
            <w:tcW w:w="1772" w:type="dxa"/>
            <w:vAlign w:val="bottom"/>
          </w:tcPr>
          <w:p w14:paraId="7AB71098" w14:textId="6651CCBB"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130,919</w:t>
            </w:r>
          </w:p>
          <w:p w14:paraId="7A52AB70" w14:textId="5C049FA9"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242,153</w:t>
            </w:r>
          </w:p>
        </w:tc>
        <w:tc>
          <w:tcPr>
            <w:tcW w:w="2693" w:type="dxa"/>
            <w:vAlign w:val="bottom"/>
          </w:tcPr>
          <w:p w14:paraId="3F5FD38C" w14:textId="77777777"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5A436631" w14:textId="3096E89F" w:rsidR="00435D74" w:rsidRPr="00411ADC" w:rsidRDefault="00501200"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5,237</w:t>
            </w:r>
          </w:p>
          <w:p w14:paraId="1D64D529" w14:textId="6E6233CC" w:rsidR="00435D74" w:rsidRPr="00411ADC" w:rsidRDefault="009A07ED"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9,686</w:t>
            </w:r>
          </w:p>
        </w:tc>
      </w:tr>
      <w:tr w:rsidR="00435D74" w:rsidRPr="0008426A" w14:paraId="7763BF68" w14:textId="77777777" w:rsidTr="003341EB">
        <w:trPr>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633E986A" w14:textId="77777777" w:rsidR="00435D74" w:rsidRPr="00411ADC" w:rsidRDefault="00435D74" w:rsidP="00435D74">
            <w:pPr>
              <w:keepNext/>
              <w:spacing w:after="160" w:line="276" w:lineRule="auto"/>
              <w:contextualSpacing/>
              <w:rPr>
                <w:rFonts w:ascii="Calibri" w:eastAsia="Calibri" w:hAnsi="Calibri" w:cs="Calibri"/>
                <w:b w:val="0"/>
                <w:bCs w:val="0"/>
                <w:color w:val="auto"/>
                <w:sz w:val="22"/>
              </w:rPr>
            </w:pPr>
            <w:r w:rsidRPr="00411ADC">
              <w:rPr>
                <w:rFonts w:ascii="Calibri" w:eastAsia="Calibri" w:hAnsi="Calibri" w:cs="Calibri"/>
                <w:color w:val="auto"/>
                <w:sz w:val="22"/>
              </w:rPr>
              <w:t>PESES-2</w:t>
            </w:r>
            <w:r w:rsidRPr="00411ADC">
              <w:rPr>
                <w:rFonts w:ascii="Calibri" w:eastAsia="Calibri" w:hAnsi="Calibri" w:cs="Calibri"/>
                <w:color w:val="auto"/>
                <w:sz w:val="22"/>
              </w:rPr>
              <w:br/>
            </w:r>
            <w:r w:rsidRPr="00411ADC">
              <w:rPr>
                <w:rFonts w:ascii="Calibri" w:eastAsia="Calibri" w:hAnsi="Calibri" w:cs="Calibri"/>
                <w:b w:val="0"/>
                <w:bCs w:val="0"/>
                <w:color w:val="auto"/>
                <w:sz w:val="22"/>
              </w:rPr>
              <w:t>base of band</w:t>
            </w:r>
          </w:p>
          <w:p w14:paraId="22054277" w14:textId="736A06ED" w:rsidR="00435D74" w:rsidRPr="00411ADC" w:rsidRDefault="00435D74" w:rsidP="00435D74">
            <w:pPr>
              <w:keepNext/>
              <w:spacing w:after="0"/>
              <w:contextualSpacing/>
              <w:rPr>
                <w:rFonts w:ascii="Calibri" w:eastAsia="Rockwell" w:hAnsi="Calibri" w:cs="Calibri"/>
                <w:color w:val="auto"/>
                <w:sz w:val="22"/>
                <w:lang w:val="en-US"/>
              </w:rPr>
            </w:pPr>
            <w:r w:rsidRPr="00411ADC">
              <w:rPr>
                <w:rFonts w:ascii="Calibri" w:eastAsia="Rockwell" w:hAnsi="Calibri" w:cs="Calibri"/>
                <w:b w:val="0"/>
                <w:bCs w:val="0"/>
                <w:color w:val="auto"/>
                <w:sz w:val="22"/>
                <w:lang w:val="en-US"/>
              </w:rPr>
              <w:t>top of band</w:t>
            </w:r>
          </w:p>
        </w:tc>
        <w:tc>
          <w:tcPr>
            <w:tcW w:w="1772" w:type="dxa"/>
            <w:vAlign w:val="bottom"/>
          </w:tcPr>
          <w:p w14:paraId="3ED3857B" w14:textId="77777777" w:rsidR="00435D74" w:rsidRPr="00411ADC" w:rsidRDefault="00435D74" w:rsidP="00435D7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53B486A4" w14:textId="2B227E0C" w:rsidR="00435D74" w:rsidRPr="00411ADC" w:rsidRDefault="00435D74" w:rsidP="00435D7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267,446</w:t>
            </w:r>
          </w:p>
          <w:p w14:paraId="4F9E1BF1" w14:textId="2F75E221" w:rsidR="00435D74" w:rsidRPr="00411ADC" w:rsidRDefault="00435D74" w:rsidP="00435D7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384,540</w:t>
            </w:r>
          </w:p>
        </w:tc>
        <w:tc>
          <w:tcPr>
            <w:tcW w:w="1772" w:type="dxa"/>
            <w:vAlign w:val="bottom"/>
          </w:tcPr>
          <w:p w14:paraId="71128C83" w14:textId="77777777" w:rsidR="00435D74" w:rsidRPr="00411ADC" w:rsidRDefault="00435D74" w:rsidP="00435D7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242,154</w:t>
            </w:r>
          </w:p>
          <w:p w14:paraId="22F7F81F" w14:textId="6FA570E7" w:rsidR="00435D74" w:rsidRPr="00411ADC" w:rsidRDefault="00435D74" w:rsidP="00435D7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359,248</w:t>
            </w:r>
          </w:p>
        </w:tc>
        <w:tc>
          <w:tcPr>
            <w:tcW w:w="2693" w:type="dxa"/>
            <w:vAlign w:val="bottom"/>
          </w:tcPr>
          <w:p w14:paraId="781D93E6" w14:textId="13C313A0" w:rsidR="00435D74" w:rsidRPr="00411ADC" w:rsidRDefault="009A07ED" w:rsidP="00435D7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9,686</w:t>
            </w:r>
          </w:p>
          <w:p w14:paraId="16B6A1A4" w14:textId="5516DF77" w:rsidR="00435D74" w:rsidRPr="00411ADC" w:rsidRDefault="009A07ED" w:rsidP="00435D74">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14,370</w:t>
            </w:r>
          </w:p>
        </w:tc>
      </w:tr>
      <w:tr w:rsidR="00435D74" w:rsidRPr="0008426A" w14:paraId="76D4C066" w14:textId="77777777" w:rsidTr="003341EB">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0D08B0CA" w14:textId="77777777" w:rsidR="00435D74" w:rsidRPr="00411ADC" w:rsidRDefault="00435D74" w:rsidP="00435D74">
            <w:pPr>
              <w:keepNext/>
              <w:spacing w:after="160" w:line="276" w:lineRule="auto"/>
              <w:contextualSpacing/>
              <w:rPr>
                <w:rFonts w:ascii="Calibri" w:eastAsia="Calibri" w:hAnsi="Calibri" w:cs="Calibri"/>
                <w:b w:val="0"/>
                <w:bCs w:val="0"/>
                <w:color w:val="auto"/>
                <w:sz w:val="22"/>
              </w:rPr>
            </w:pPr>
            <w:r w:rsidRPr="00411ADC">
              <w:rPr>
                <w:rFonts w:ascii="Calibri" w:eastAsia="Calibri" w:hAnsi="Calibri" w:cs="Calibri"/>
                <w:color w:val="auto"/>
                <w:sz w:val="22"/>
              </w:rPr>
              <w:t>PESES-3</w:t>
            </w:r>
            <w:r w:rsidRPr="00411ADC">
              <w:rPr>
                <w:rFonts w:ascii="Calibri" w:eastAsia="Calibri" w:hAnsi="Calibri" w:cs="Calibri"/>
                <w:color w:val="auto"/>
                <w:sz w:val="22"/>
              </w:rPr>
              <w:br/>
            </w:r>
            <w:r w:rsidRPr="00411ADC">
              <w:rPr>
                <w:rFonts w:ascii="Calibri" w:eastAsia="Calibri" w:hAnsi="Calibri" w:cs="Calibri"/>
                <w:b w:val="0"/>
                <w:bCs w:val="0"/>
                <w:color w:val="auto"/>
                <w:sz w:val="22"/>
              </w:rPr>
              <w:t>base of band</w:t>
            </w:r>
          </w:p>
          <w:p w14:paraId="124C2CA6" w14:textId="2172FB5E" w:rsidR="00435D74" w:rsidRPr="00411ADC" w:rsidRDefault="00435D74" w:rsidP="00435D74">
            <w:pPr>
              <w:keepNext/>
              <w:spacing w:after="0"/>
              <w:contextualSpacing/>
              <w:rPr>
                <w:rFonts w:ascii="Calibri" w:eastAsia="Rockwell" w:hAnsi="Calibri" w:cs="Calibri"/>
                <w:color w:val="auto"/>
                <w:sz w:val="22"/>
                <w:lang w:val="en-US"/>
              </w:rPr>
            </w:pPr>
            <w:r w:rsidRPr="00411ADC">
              <w:rPr>
                <w:rFonts w:ascii="Calibri" w:eastAsia="Rockwell" w:hAnsi="Calibri" w:cs="Calibri"/>
                <w:b w:val="0"/>
                <w:bCs w:val="0"/>
                <w:color w:val="auto"/>
                <w:sz w:val="22"/>
                <w:lang w:val="en-US"/>
              </w:rPr>
              <w:t>top of band</w:t>
            </w:r>
          </w:p>
        </w:tc>
        <w:tc>
          <w:tcPr>
            <w:tcW w:w="1772" w:type="dxa"/>
            <w:vAlign w:val="bottom"/>
          </w:tcPr>
          <w:p w14:paraId="0F59934E" w14:textId="77777777"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7A74D73F" w14:textId="18354879"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384,541</w:t>
            </w:r>
          </w:p>
          <w:p w14:paraId="6F7289C4" w14:textId="654A2044"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511,862</w:t>
            </w:r>
          </w:p>
        </w:tc>
        <w:tc>
          <w:tcPr>
            <w:tcW w:w="1772" w:type="dxa"/>
            <w:vAlign w:val="bottom"/>
          </w:tcPr>
          <w:p w14:paraId="66CBEB03" w14:textId="77777777"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359,249</w:t>
            </w:r>
          </w:p>
          <w:p w14:paraId="05D3B367" w14:textId="3803AF74" w:rsidR="00435D74" w:rsidRPr="00411ADC" w:rsidRDefault="00435D74"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486,570</w:t>
            </w:r>
          </w:p>
        </w:tc>
        <w:tc>
          <w:tcPr>
            <w:tcW w:w="2693" w:type="dxa"/>
            <w:vAlign w:val="bottom"/>
          </w:tcPr>
          <w:p w14:paraId="3CA72066" w14:textId="3B5A5453" w:rsidR="00435D74" w:rsidRPr="00411ADC" w:rsidRDefault="009A07ED"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14,370</w:t>
            </w:r>
          </w:p>
          <w:p w14:paraId="0A6243EE" w14:textId="5AED9AA6" w:rsidR="00435D74" w:rsidRPr="00411ADC" w:rsidRDefault="009A07ED" w:rsidP="00435D74">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19,463</w:t>
            </w:r>
          </w:p>
        </w:tc>
      </w:tr>
    </w:tbl>
    <w:p w14:paraId="27B3FF74" w14:textId="1EAF899B" w:rsidR="0008426A" w:rsidRPr="0008426A" w:rsidRDefault="0008426A" w:rsidP="001A03C0">
      <w:pPr>
        <w:pStyle w:val="09Sourcesandnotesfortablesfiguresboxes"/>
      </w:pPr>
      <w:r w:rsidRPr="0008426A">
        <w:t>Note</w:t>
      </w:r>
      <w:r w:rsidR="00401C7A">
        <w:t>s</w:t>
      </w:r>
      <w:r w:rsidRPr="0008426A">
        <w:t>: (a) Calculated by reducing the TRP value by the amount of the superannuation entitlement, as at 30</w:t>
      </w:r>
      <w:r w:rsidR="00D64480">
        <w:t> </w:t>
      </w:r>
      <w:r w:rsidRPr="0008426A">
        <w:t>June</w:t>
      </w:r>
      <w:r w:rsidR="00D64480">
        <w:t> </w:t>
      </w:r>
      <w:r w:rsidRPr="0008426A">
        <w:t>202</w:t>
      </w:r>
      <w:r w:rsidR="00435D74">
        <w:t>3</w:t>
      </w:r>
      <w:r w:rsidRPr="0008426A">
        <w:t>. The superannuation entitlement is based on Commonwealth superannuation law at 30 June 202</w:t>
      </w:r>
      <w:r w:rsidR="00435D74">
        <w:t>3</w:t>
      </w:r>
      <w:r w:rsidRPr="0008426A">
        <w:t xml:space="preserve"> — SG rate of </w:t>
      </w:r>
      <w:r>
        <w:t>10</w:t>
      </w:r>
      <w:r w:rsidR="00435D74">
        <w:t>.5</w:t>
      </w:r>
      <w:r w:rsidRPr="0008426A">
        <w:t xml:space="preserve">% and MSCB of </w:t>
      </w:r>
      <w:r w:rsidR="00D32B5F">
        <w:t>$2</w:t>
      </w:r>
      <w:r w:rsidR="00435D74">
        <w:t>40,880</w:t>
      </w:r>
      <w:r>
        <w:t xml:space="preserve"> per annum</w:t>
      </w:r>
      <w:r w:rsidRPr="0008426A">
        <w:t>.</w:t>
      </w:r>
      <w:r w:rsidR="00AE44D6">
        <w:t xml:space="preserve"> (b) Calculated by multiplying </w:t>
      </w:r>
      <w:r w:rsidR="000D755F">
        <w:t xml:space="preserve">the notional salary component by the </w:t>
      </w:r>
      <w:r w:rsidR="004F4FB3">
        <w:t xml:space="preserve">annual </w:t>
      </w:r>
      <w:r w:rsidR="005C427E">
        <w:t>adjustment</w:t>
      </w:r>
      <w:r w:rsidR="000D755F">
        <w:t xml:space="preserve"> of </w:t>
      </w:r>
      <w:r w:rsidR="009A07ED">
        <w:t>4</w:t>
      </w:r>
      <w:r w:rsidR="000D755F">
        <w:t xml:space="preserve"> per cent.</w:t>
      </w:r>
    </w:p>
    <w:p w14:paraId="2B25BB02" w14:textId="70516D13" w:rsidR="00C36887" w:rsidRDefault="00C36887" w:rsidP="00C36887">
      <w:pPr>
        <w:pStyle w:val="02VIRTHeading2"/>
      </w:pPr>
      <w:bookmarkStart w:id="121" w:name="_Toc138760917"/>
      <w:bookmarkStart w:id="122" w:name="_Toc138761077"/>
      <w:bookmarkStart w:id="123" w:name="_Toc138761226"/>
      <w:bookmarkStart w:id="124" w:name="_Toc138761745"/>
      <w:bookmarkStart w:id="125" w:name="_Toc138859170"/>
      <w:r>
        <w:t>4.2</w:t>
      </w:r>
      <w:r>
        <w:tab/>
      </w:r>
      <w:r w:rsidR="00B74194">
        <w:t>S</w:t>
      </w:r>
      <w:r>
        <w:t>uperannuation component</w:t>
      </w:r>
      <w:bookmarkEnd w:id="121"/>
      <w:bookmarkEnd w:id="122"/>
      <w:bookmarkEnd w:id="123"/>
      <w:bookmarkEnd w:id="124"/>
      <w:bookmarkEnd w:id="125"/>
    </w:p>
    <w:p w14:paraId="607324B6" w14:textId="0478107E" w:rsidR="005C425D" w:rsidRPr="005C425D" w:rsidRDefault="005C425D" w:rsidP="00C06D68">
      <w:pPr>
        <w:pStyle w:val="05Paragraph"/>
      </w:pPr>
      <w:r w:rsidRPr="005C425D">
        <w:t>On 1 July 202</w:t>
      </w:r>
      <w:r w:rsidR="00D40CF5">
        <w:t>3</w:t>
      </w:r>
      <w:r w:rsidRPr="005C425D">
        <w:t xml:space="preserve">, the superannuation entitlements of </w:t>
      </w:r>
      <w:r w:rsidR="00DF1F33">
        <w:t xml:space="preserve">eligible employees, including prescribed public entity </w:t>
      </w:r>
      <w:r w:rsidRPr="005C425D">
        <w:t xml:space="preserve">executives </w:t>
      </w:r>
      <w:r w:rsidR="00DF1F33">
        <w:t xml:space="preserve">in an accumulation scheme, </w:t>
      </w:r>
      <w:r w:rsidRPr="005C425D">
        <w:t xml:space="preserve">will increase under Commonwealth law. </w:t>
      </w:r>
      <w:r w:rsidR="009B2A43">
        <w:t>Where an executive is on the Standard Contract, t</w:t>
      </w:r>
      <w:r w:rsidRPr="005C425D">
        <w:t>he Superannuation Policy requires employers to bear the cost of th</w:t>
      </w:r>
      <w:r w:rsidR="00371386">
        <w:t>e</w:t>
      </w:r>
      <w:r w:rsidRPr="005C425D">
        <w:t>se increases. Th</w:t>
      </w:r>
      <w:r w:rsidR="00371386">
        <w:t>is</w:t>
      </w:r>
      <w:r w:rsidRPr="005C425D">
        <w:t xml:space="preserve"> means that employers must</w:t>
      </w:r>
      <w:r w:rsidR="00A32E03">
        <w:t xml:space="preserve">, </w:t>
      </w:r>
      <w:r w:rsidRPr="005C425D">
        <w:t xml:space="preserve">in addition to any annual adjustment made to </w:t>
      </w:r>
      <w:r w:rsidR="00982772">
        <w:t xml:space="preserve">the </w:t>
      </w:r>
      <w:r w:rsidR="00C81EC0">
        <w:t xml:space="preserve">salary component of </w:t>
      </w:r>
      <w:r w:rsidRPr="005C425D">
        <w:t>an executive’s TRP</w:t>
      </w:r>
      <w:r w:rsidR="00A32E03">
        <w:t>,</w:t>
      </w:r>
      <w:r w:rsidRPr="005C425D">
        <w:t xml:space="preserve"> increase </w:t>
      </w:r>
      <w:r w:rsidR="004B5A3F">
        <w:t>that</w:t>
      </w:r>
      <w:r w:rsidR="00476603" w:rsidRPr="005C425D">
        <w:t xml:space="preserve"> </w:t>
      </w:r>
      <w:r w:rsidRPr="005C425D">
        <w:t xml:space="preserve">executive’s TRP to </w:t>
      </w:r>
      <w:r w:rsidR="00476603">
        <w:t>reflect</w:t>
      </w:r>
      <w:r w:rsidR="00476603" w:rsidRPr="005C425D">
        <w:t xml:space="preserve"> </w:t>
      </w:r>
      <w:r w:rsidRPr="005C425D">
        <w:t xml:space="preserve">the </w:t>
      </w:r>
      <w:r w:rsidR="00253318">
        <w:t>increase</w:t>
      </w:r>
      <w:r w:rsidR="00476603">
        <w:t xml:space="preserve"> in</w:t>
      </w:r>
      <w:r w:rsidR="00253318">
        <w:t xml:space="preserve"> </w:t>
      </w:r>
      <w:r w:rsidRPr="005C425D">
        <w:t>superannuation entitlements.</w:t>
      </w:r>
    </w:p>
    <w:p w14:paraId="3C543648" w14:textId="2608C732" w:rsidR="005C425D" w:rsidRPr="005C425D" w:rsidRDefault="005C425D" w:rsidP="00C06D68">
      <w:pPr>
        <w:pStyle w:val="05Paragraph"/>
      </w:pPr>
      <w:r w:rsidRPr="005C425D">
        <w:t>Taking into account the factors it is required to consider</w:t>
      </w:r>
      <w:r w:rsidR="00E44D20">
        <w:t xml:space="preserve"> under the VIRTIPS Act</w:t>
      </w:r>
      <w:r w:rsidRPr="005C425D">
        <w:t xml:space="preserve">, </w:t>
      </w:r>
      <w:r w:rsidR="0030503A">
        <w:t xml:space="preserve">and consistent with the approach </w:t>
      </w:r>
      <w:r w:rsidR="000227FF">
        <w:t>taken in</w:t>
      </w:r>
      <w:r w:rsidR="0030503A">
        <w:t xml:space="preserve"> </w:t>
      </w:r>
      <w:r w:rsidR="000227FF">
        <w:t>previous annual adjustments</w:t>
      </w:r>
      <w:r w:rsidR="0030503A">
        <w:t xml:space="preserve">, </w:t>
      </w:r>
      <w:r w:rsidRPr="005C425D">
        <w:t>the Tribunal has de</w:t>
      </w:r>
      <w:r w:rsidR="000F3117">
        <w:t>termined</w:t>
      </w:r>
      <w:r w:rsidRPr="005C425D">
        <w:t xml:space="preserve"> to increase the </w:t>
      </w:r>
      <w:r w:rsidR="000F3117">
        <w:t xml:space="preserve">notional </w:t>
      </w:r>
      <w:r w:rsidRPr="005C425D">
        <w:t>superannuation component of the remuneration bands in line with the Superannuation Policy (</w:t>
      </w:r>
      <w:r w:rsidR="00C020F7">
        <w:t>Table</w:t>
      </w:r>
      <w:r w:rsidRPr="005C425D">
        <w:t xml:space="preserve"> 4.2).</w:t>
      </w:r>
    </w:p>
    <w:p w14:paraId="3DFD4885" w14:textId="6A552567" w:rsidR="00163D05" w:rsidRDefault="005C425D" w:rsidP="00C06D68">
      <w:pPr>
        <w:pStyle w:val="05Paragraph"/>
      </w:pPr>
      <w:r w:rsidRPr="005C425D">
        <w:t xml:space="preserve">The increase to the </w:t>
      </w:r>
      <w:r w:rsidR="000F3117">
        <w:t xml:space="preserve">notional </w:t>
      </w:r>
      <w:r w:rsidRPr="005C425D">
        <w:t>superannuation component reflects changes to the</w:t>
      </w:r>
      <w:r w:rsidR="000F3117">
        <w:t xml:space="preserve"> notional</w:t>
      </w:r>
      <w:r w:rsidRPr="005C425D">
        <w:t xml:space="preserve"> salary component </w:t>
      </w:r>
      <w:r w:rsidR="00053316">
        <w:t xml:space="preserve">as </w:t>
      </w:r>
      <w:r w:rsidRPr="005C425D">
        <w:t xml:space="preserve">determined by the Tribunal, </w:t>
      </w:r>
      <w:r w:rsidR="00C020F7">
        <w:t>as well as</w:t>
      </w:r>
      <w:r w:rsidRPr="005C425D">
        <w:t xml:space="preserve"> changes to the </w:t>
      </w:r>
      <w:r w:rsidR="00BC7D58">
        <w:t xml:space="preserve">SG and </w:t>
      </w:r>
      <w:r w:rsidRPr="005C425D">
        <w:t>MSCB that will take effect on 1 July 202</w:t>
      </w:r>
      <w:r w:rsidR="00D40CF5">
        <w:t>3</w:t>
      </w:r>
      <w:r w:rsidR="00BC7D58">
        <w:t xml:space="preserve"> </w:t>
      </w:r>
      <w:r w:rsidR="00022293" w:rsidRPr="00022293">
        <w:t>—</w:t>
      </w:r>
      <w:r w:rsidR="00BC7D58">
        <w:t xml:space="preserve"> the SG will increase from 10</w:t>
      </w:r>
      <w:r w:rsidR="00D40CF5">
        <w:t>.5</w:t>
      </w:r>
      <w:r w:rsidR="00BC7D58">
        <w:t xml:space="preserve"> to </w:t>
      </w:r>
      <w:r w:rsidR="00D40CF5">
        <w:t>11</w:t>
      </w:r>
      <w:r w:rsidR="00BC7D58">
        <w:t xml:space="preserve"> per cent, and the MSCB will increase from $</w:t>
      </w:r>
      <w:r w:rsidR="00D40CF5">
        <w:t>240,880</w:t>
      </w:r>
      <w:r w:rsidR="00BC7D58">
        <w:t xml:space="preserve"> to $</w:t>
      </w:r>
      <w:r w:rsidR="0031653A">
        <w:t>249,080</w:t>
      </w:r>
      <w:r w:rsidRPr="005C425D">
        <w:t>.</w:t>
      </w:r>
    </w:p>
    <w:p w14:paraId="357A62A9" w14:textId="77777777" w:rsidR="00163D05" w:rsidRDefault="00163D05" w:rsidP="00C06D68">
      <w:pPr>
        <w:pStyle w:val="05Paragraph"/>
      </w:pPr>
    </w:p>
    <w:p w14:paraId="010296A3" w14:textId="38D3EEBC" w:rsidR="00163D05" w:rsidRPr="00163D05" w:rsidRDefault="00163D05" w:rsidP="00163D05">
      <w:pPr>
        <w:sectPr w:rsidR="00163D05" w:rsidRPr="00163D05" w:rsidSect="006B7517">
          <w:pgSz w:w="11906" w:h="16838"/>
          <w:pgMar w:top="1701" w:right="1701" w:bottom="1559" w:left="1701" w:header="708" w:footer="708" w:gutter="0"/>
          <w:cols w:space="708"/>
          <w:titlePg/>
          <w:docGrid w:linePitch="360"/>
        </w:sectPr>
      </w:pPr>
    </w:p>
    <w:p w14:paraId="3D5C119B" w14:textId="18F7981C" w:rsidR="003045CA" w:rsidRPr="00411ADC" w:rsidRDefault="003045CA" w:rsidP="003045CA">
      <w:pPr>
        <w:pStyle w:val="08Figuretableboxheading"/>
        <w:rPr>
          <w:rFonts w:ascii="Calibri" w:hAnsi="Calibri" w:cs="Calibri"/>
        </w:rPr>
      </w:pPr>
      <w:r w:rsidRPr="00411ADC">
        <w:rPr>
          <w:rFonts w:ascii="Calibri" w:hAnsi="Calibri" w:cs="Calibri"/>
        </w:rPr>
        <w:t xml:space="preserve">Table 4.2: Change to the </w:t>
      </w:r>
      <w:r w:rsidR="000F3117" w:rsidRPr="00411ADC">
        <w:rPr>
          <w:rFonts w:ascii="Calibri" w:hAnsi="Calibri" w:cs="Calibri"/>
        </w:rPr>
        <w:t xml:space="preserve">notional </w:t>
      </w:r>
      <w:r w:rsidRPr="00411ADC">
        <w:rPr>
          <w:rFonts w:ascii="Calibri" w:hAnsi="Calibri" w:cs="Calibri"/>
        </w:rPr>
        <w:t>superannuation component of the remuneration bands</w:t>
      </w:r>
    </w:p>
    <w:tbl>
      <w:tblPr>
        <w:tblStyle w:val="ListTable3-Accent215"/>
        <w:tblW w:w="13608" w:type="dxa"/>
        <w:tblLayout w:type="fixed"/>
        <w:tblLook w:val="04A0" w:firstRow="1" w:lastRow="0" w:firstColumn="1" w:lastColumn="0" w:noHBand="0" w:noVBand="1"/>
      </w:tblPr>
      <w:tblGrid>
        <w:gridCol w:w="2127"/>
        <w:gridCol w:w="1795"/>
        <w:gridCol w:w="1795"/>
        <w:gridCol w:w="1938"/>
        <w:gridCol w:w="1842"/>
        <w:gridCol w:w="1985"/>
        <w:gridCol w:w="2126"/>
      </w:tblGrid>
      <w:tr w:rsidR="00DF1805" w:rsidRPr="00DF1805" w14:paraId="0F0D77A5" w14:textId="77777777" w:rsidTr="00DF1805">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2127" w:type="dxa"/>
            <w:tcBorders>
              <w:top w:val="single" w:sz="4" w:space="0" w:color="148A5D" w:themeColor="accent2"/>
              <w:bottom w:val="single" w:sz="4" w:space="0" w:color="148A5D"/>
            </w:tcBorders>
            <w:shd w:val="clear" w:color="auto" w:fill="auto"/>
            <w:vAlign w:val="top"/>
          </w:tcPr>
          <w:p w14:paraId="34A17972" w14:textId="6213FB78" w:rsidR="00B12F28" w:rsidRPr="00DF1805" w:rsidRDefault="00DF1805" w:rsidP="00DF1805">
            <w:pPr>
              <w:spacing w:after="0"/>
              <w:rPr>
                <w:rFonts w:ascii="Calibri" w:eastAsia="Rockwell" w:hAnsi="Calibri" w:cs="Calibri"/>
                <w:color w:val="auto"/>
                <w:sz w:val="22"/>
              </w:rPr>
            </w:pPr>
            <w:r w:rsidRPr="00DF1805">
              <w:rPr>
                <w:rFonts w:ascii="Calibri" w:eastAsia="Rockwell" w:hAnsi="Calibri" w:cs="Calibri"/>
                <w:color w:val="auto"/>
                <w:sz w:val="22"/>
              </w:rPr>
              <w:t>Classification</w:t>
            </w:r>
          </w:p>
        </w:tc>
        <w:tc>
          <w:tcPr>
            <w:tcW w:w="1795" w:type="dxa"/>
            <w:tcBorders>
              <w:top w:val="single" w:sz="4" w:space="0" w:color="148A5D" w:themeColor="accent2"/>
              <w:bottom w:val="single" w:sz="4" w:space="0" w:color="148A5D"/>
            </w:tcBorders>
            <w:shd w:val="clear" w:color="auto" w:fill="auto"/>
            <w:vAlign w:val="bottom"/>
          </w:tcPr>
          <w:p w14:paraId="31BCE4EE" w14:textId="174C6656"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DF1805">
              <w:rPr>
                <w:rFonts w:ascii="Calibri" w:eastAsia="Rockwell" w:hAnsi="Calibri" w:cs="Calibri"/>
                <w:color w:val="auto"/>
                <w:sz w:val="22"/>
              </w:rPr>
              <w:t>TRP</w:t>
            </w:r>
            <w:r w:rsidR="007C3D52" w:rsidRPr="00DF1805">
              <w:rPr>
                <w:rFonts w:ascii="Calibri" w:eastAsia="Rockwell" w:hAnsi="Calibri" w:cs="Calibri"/>
                <w:color w:val="auto"/>
                <w:sz w:val="22"/>
              </w:rPr>
              <w:t xml:space="preserve"> value at </w:t>
            </w:r>
            <w:r w:rsidR="007C3D52" w:rsidRPr="00DF1805">
              <w:rPr>
                <w:rFonts w:ascii="Calibri" w:eastAsia="Rockwell" w:hAnsi="Calibri" w:cs="Calibri"/>
                <w:color w:val="auto"/>
                <w:sz w:val="22"/>
              </w:rPr>
              <w:br/>
              <w:t>30 June 2023</w:t>
            </w:r>
          </w:p>
          <w:p w14:paraId="36A7421F" w14:textId="77777777"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p>
          <w:p w14:paraId="49A079ED" w14:textId="77777777"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 p.a.</w:t>
            </w:r>
          </w:p>
        </w:tc>
        <w:tc>
          <w:tcPr>
            <w:tcW w:w="1795" w:type="dxa"/>
            <w:tcBorders>
              <w:top w:val="single" w:sz="4" w:space="0" w:color="148A5D" w:themeColor="accent2"/>
              <w:bottom w:val="single" w:sz="4" w:space="0" w:color="148A5D"/>
            </w:tcBorders>
            <w:shd w:val="clear" w:color="auto" w:fill="auto"/>
          </w:tcPr>
          <w:p w14:paraId="2C724AB2" w14:textId="0E8FE96B"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Salary component</w:t>
            </w:r>
            <w:r w:rsidR="007C3D52" w:rsidRPr="00DF1805">
              <w:rPr>
                <w:rFonts w:ascii="Calibri" w:eastAsia="Rockwell" w:hAnsi="Calibri" w:cs="Calibri"/>
                <w:color w:val="auto"/>
                <w:sz w:val="22"/>
              </w:rPr>
              <w:t xml:space="preserve"> at </w:t>
            </w:r>
            <w:r w:rsidR="007C3D52" w:rsidRPr="00DF1805">
              <w:rPr>
                <w:rFonts w:ascii="Calibri" w:eastAsia="Rockwell" w:hAnsi="Calibri" w:cs="Calibri"/>
                <w:color w:val="auto"/>
                <w:sz w:val="22"/>
              </w:rPr>
              <w:br/>
              <w:t>30 June 2023</w:t>
            </w:r>
          </w:p>
          <w:p w14:paraId="37A86116" w14:textId="77777777"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 p.a.</w:t>
            </w:r>
          </w:p>
        </w:tc>
        <w:tc>
          <w:tcPr>
            <w:tcW w:w="1938" w:type="dxa"/>
            <w:tcBorders>
              <w:top w:val="single" w:sz="4" w:space="0" w:color="148A5D" w:themeColor="accent2"/>
              <w:bottom w:val="single" w:sz="4" w:space="0" w:color="148A5D"/>
            </w:tcBorders>
            <w:shd w:val="clear" w:color="auto" w:fill="auto"/>
          </w:tcPr>
          <w:p w14:paraId="51A15B56" w14:textId="50216944"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Superannuation component</w:t>
            </w:r>
            <w:r w:rsidR="00DF1805" w:rsidRPr="00DF1805">
              <w:rPr>
                <w:rFonts w:ascii="Calibri" w:eastAsia="Rockwell" w:hAnsi="Calibri" w:cs="Calibri"/>
                <w:color w:val="auto"/>
                <w:sz w:val="22"/>
              </w:rPr>
              <w:t xml:space="preserve"> at </w:t>
            </w:r>
            <w:r w:rsidR="00DF1805" w:rsidRPr="00DF1805">
              <w:rPr>
                <w:rFonts w:ascii="Calibri" w:eastAsia="Rockwell" w:hAnsi="Calibri" w:cs="Calibri"/>
                <w:color w:val="auto"/>
                <w:sz w:val="22"/>
              </w:rPr>
              <w:br/>
              <w:t>30 June 2023</w:t>
            </w:r>
            <w:r w:rsidRPr="00DF1805">
              <w:rPr>
                <w:rFonts w:ascii="Calibri" w:eastAsia="Rockwell" w:hAnsi="Calibri" w:cs="Calibri"/>
                <w:color w:val="auto"/>
                <w:sz w:val="22"/>
                <w:vertAlign w:val="superscript"/>
              </w:rPr>
              <w:t>(a)</w:t>
            </w:r>
          </w:p>
          <w:p w14:paraId="3639E3FC" w14:textId="77777777"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 p.a.</w:t>
            </w:r>
          </w:p>
        </w:tc>
        <w:tc>
          <w:tcPr>
            <w:tcW w:w="1842" w:type="dxa"/>
            <w:tcBorders>
              <w:top w:val="single" w:sz="4" w:space="0" w:color="148A5D" w:themeColor="accent2"/>
              <w:bottom w:val="single" w:sz="4" w:space="0" w:color="148A5D"/>
            </w:tcBorders>
            <w:shd w:val="clear" w:color="auto" w:fill="auto"/>
          </w:tcPr>
          <w:p w14:paraId="65EC0A0B" w14:textId="02B6183B"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Salary component</w:t>
            </w:r>
            <w:r w:rsidR="00DF1805" w:rsidRPr="00DF1805">
              <w:rPr>
                <w:rFonts w:ascii="Calibri" w:eastAsia="Rockwell" w:hAnsi="Calibri" w:cs="Calibri"/>
                <w:color w:val="auto"/>
                <w:sz w:val="22"/>
              </w:rPr>
              <w:t xml:space="preserve"> at </w:t>
            </w:r>
            <w:r w:rsidR="00DF1805" w:rsidRPr="00DF1805">
              <w:rPr>
                <w:rFonts w:ascii="Calibri" w:eastAsia="Rockwell" w:hAnsi="Calibri" w:cs="Calibri"/>
                <w:color w:val="auto"/>
                <w:sz w:val="22"/>
              </w:rPr>
              <w:br/>
              <w:t>1 July 2023</w:t>
            </w:r>
            <w:r w:rsidRPr="00DF1805">
              <w:rPr>
                <w:rFonts w:ascii="Calibri" w:eastAsia="Rockwell" w:hAnsi="Calibri" w:cs="Calibri"/>
                <w:color w:val="auto"/>
                <w:sz w:val="22"/>
                <w:vertAlign w:val="superscript"/>
              </w:rPr>
              <w:t>(b)</w:t>
            </w:r>
          </w:p>
          <w:p w14:paraId="2B4A3D7C" w14:textId="77777777"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 p.a.</w:t>
            </w:r>
          </w:p>
        </w:tc>
        <w:tc>
          <w:tcPr>
            <w:tcW w:w="1985" w:type="dxa"/>
            <w:tcBorders>
              <w:top w:val="single" w:sz="4" w:space="0" w:color="148A5D" w:themeColor="accent2"/>
              <w:bottom w:val="single" w:sz="4" w:space="0" w:color="148A5D"/>
            </w:tcBorders>
            <w:shd w:val="clear" w:color="auto" w:fill="auto"/>
          </w:tcPr>
          <w:p w14:paraId="5A2590B1" w14:textId="7A569DF0"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Superannuation component</w:t>
            </w:r>
            <w:r w:rsidR="00DF1805" w:rsidRPr="00DF1805">
              <w:rPr>
                <w:rFonts w:ascii="Calibri" w:eastAsia="Rockwell" w:hAnsi="Calibri" w:cs="Calibri"/>
                <w:color w:val="auto"/>
                <w:sz w:val="22"/>
              </w:rPr>
              <w:t xml:space="preserve"> at </w:t>
            </w:r>
            <w:r w:rsidR="00DF1805" w:rsidRPr="00DF1805">
              <w:rPr>
                <w:rFonts w:ascii="Calibri" w:eastAsia="Rockwell" w:hAnsi="Calibri" w:cs="Calibri"/>
                <w:color w:val="auto"/>
                <w:sz w:val="22"/>
              </w:rPr>
              <w:br/>
              <w:t>1 July 2023</w:t>
            </w:r>
            <w:r w:rsidRPr="00DF1805">
              <w:rPr>
                <w:rFonts w:ascii="Calibri" w:eastAsia="Rockwell" w:hAnsi="Calibri" w:cs="Calibri"/>
                <w:color w:val="auto"/>
                <w:sz w:val="22"/>
                <w:vertAlign w:val="superscript"/>
              </w:rPr>
              <w:t>(c)</w:t>
            </w:r>
          </w:p>
          <w:p w14:paraId="6E2CBD8D" w14:textId="77777777" w:rsidR="00B12F28" w:rsidRPr="00DF1805" w:rsidRDefault="00B12F28">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 p.a.</w:t>
            </w:r>
          </w:p>
        </w:tc>
        <w:tc>
          <w:tcPr>
            <w:tcW w:w="2126" w:type="dxa"/>
            <w:tcBorders>
              <w:top w:val="single" w:sz="4" w:space="0" w:color="148A5D" w:themeColor="accent2"/>
              <w:bottom w:val="single" w:sz="4" w:space="0" w:color="148A5D"/>
            </w:tcBorders>
            <w:shd w:val="clear" w:color="auto" w:fill="auto"/>
            <w:vAlign w:val="top"/>
          </w:tcPr>
          <w:p w14:paraId="23D8829F" w14:textId="77777777"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Change to the superannuation component</w:t>
            </w:r>
            <w:r w:rsidRPr="00DF1805">
              <w:rPr>
                <w:rFonts w:ascii="Calibri" w:eastAsia="Rockwell" w:hAnsi="Calibri" w:cs="Calibri"/>
                <w:color w:val="auto"/>
                <w:sz w:val="22"/>
                <w:vertAlign w:val="superscript"/>
              </w:rPr>
              <w:t>(d)</w:t>
            </w:r>
            <w:r w:rsidRPr="00DF1805">
              <w:rPr>
                <w:rFonts w:ascii="Calibri" w:eastAsia="Rockwell" w:hAnsi="Calibri" w:cs="Calibri"/>
                <w:color w:val="auto"/>
                <w:sz w:val="22"/>
              </w:rPr>
              <w:t xml:space="preserve"> </w:t>
            </w:r>
          </w:p>
          <w:p w14:paraId="4570AF9A" w14:textId="4417DEFC" w:rsidR="00B12F28"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w:t>
            </w:r>
          </w:p>
        </w:tc>
      </w:tr>
      <w:tr w:rsidR="00B12F28" w:rsidRPr="003045CA" w14:paraId="062C283D" w14:textId="77777777" w:rsidTr="00DF180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7A73B66C" w14:textId="77777777" w:rsidR="00B12F28" w:rsidRPr="00411ADC" w:rsidRDefault="00B12F28" w:rsidP="00B12F28">
            <w:pPr>
              <w:spacing w:after="160" w:line="276" w:lineRule="auto"/>
              <w:contextualSpacing/>
              <w:rPr>
                <w:rFonts w:ascii="Calibri" w:eastAsia="Calibri" w:hAnsi="Calibri" w:cs="Calibri"/>
                <w:b w:val="0"/>
                <w:bCs w:val="0"/>
                <w:color w:val="auto"/>
                <w:sz w:val="22"/>
              </w:rPr>
            </w:pPr>
            <w:r w:rsidRPr="00411ADC">
              <w:rPr>
                <w:rFonts w:ascii="Calibri" w:eastAsia="Calibri" w:hAnsi="Calibri" w:cs="Calibri"/>
                <w:color w:val="auto"/>
                <w:sz w:val="22"/>
              </w:rPr>
              <w:t>PESES-1</w:t>
            </w:r>
            <w:r w:rsidRPr="00411ADC">
              <w:rPr>
                <w:rFonts w:ascii="Calibri" w:eastAsia="Calibri" w:hAnsi="Calibri" w:cs="Calibri"/>
                <w:color w:val="auto"/>
                <w:sz w:val="22"/>
              </w:rPr>
              <w:br/>
            </w:r>
            <w:r w:rsidRPr="00411ADC">
              <w:rPr>
                <w:rFonts w:ascii="Calibri" w:eastAsia="Calibri" w:hAnsi="Calibri" w:cs="Calibri"/>
                <w:b w:val="0"/>
                <w:bCs w:val="0"/>
                <w:color w:val="auto"/>
                <w:sz w:val="22"/>
              </w:rPr>
              <w:t>base of band</w:t>
            </w:r>
          </w:p>
          <w:p w14:paraId="14EB9908" w14:textId="442A3C21" w:rsidR="00B12F28" w:rsidRPr="00411ADC" w:rsidRDefault="00B12F28" w:rsidP="00B12F28">
            <w:pPr>
              <w:spacing w:after="0"/>
              <w:contextualSpacing/>
              <w:rPr>
                <w:rFonts w:ascii="Calibri" w:eastAsia="Rockwell" w:hAnsi="Calibri" w:cs="Calibri"/>
                <w:color w:val="auto"/>
                <w:sz w:val="22"/>
                <w:lang w:val="en-US"/>
              </w:rPr>
            </w:pPr>
            <w:r w:rsidRPr="00411ADC">
              <w:rPr>
                <w:rFonts w:ascii="Calibri" w:eastAsia="Rockwell" w:hAnsi="Calibri" w:cs="Calibri"/>
                <w:b w:val="0"/>
                <w:bCs w:val="0"/>
                <w:color w:val="auto"/>
                <w:sz w:val="22"/>
                <w:lang w:val="en-US"/>
              </w:rPr>
              <w:t>top of band</w:t>
            </w:r>
          </w:p>
        </w:tc>
        <w:tc>
          <w:tcPr>
            <w:tcW w:w="1795" w:type="dxa"/>
            <w:shd w:val="clear" w:color="auto" w:fill="F2F2F2"/>
            <w:vAlign w:val="bottom"/>
          </w:tcPr>
          <w:p w14:paraId="0B3D7D12" w14:textId="77777777" w:rsidR="00B12F28" w:rsidRPr="00411ADC" w:rsidRDefault="00B12F28" w:rsidP="00B12F28">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50F3DFF3" w14:textId="77777777" w:rsidR="00B12F28" w:rsidRPr="00411ADC" w:rsidRDefault="00B12F28" w:rsidP="00B12F28">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144,666</w:t>
            </w:r>
          </w:p>
          <w:p w14:paraId="4851E880" w14:textId="36E340E6"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267,445</w:t>
            </w:r>
          </w:p>
        </w:tc>
        <w:tc>
          <w:tcPr>
            <w:tcW w:w="1795" w:type="dxa"/>
            <w:shd w:val="clear" w:color="auto" w:fill="F2F2F2"/>
            <w:vAlign w:val="bottom"/>
          </w:tcPr>
          <w:p w14:paraId="1E563481" w14:textId="77777777" w:rsidR="00B12F28" w:rsidRPr="00411ADC" w:rsidRDefault="00B12F28" w:rsidP="00B12F28">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130,919</w:t>
            </w:r>
          </w:p>
          <w:p w14:paraId="10D15C47" w14:textId="6C290E5B"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242,153</w:t>
            </w:r>
          </w:p>
        </w:tc>
        <w:tc>
          <w:tcPr>
            <w:tcW w:w="1938" w:type="dxa"/>
            <w:shd w:val="clear" w:color="auto" w:fill="F2F2F2"/>
            <w:vAlign w:val="bottom"/>
          </w:tcPr>
          <w:p w14:paraId="113B228C" w14:textId="77777777"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13,747</w:t>
            </w:r>
          </w:p>
          <w:p w14:paraId="55D11CD2" w14:textId="24A90D6F"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25,293</w:t>
            </w:r>
          </w:p>
        </w:tc>
        <w:tc>
          <w:tcPr>
            <w:tcW w:w="1842" w:type="dxa"/>
            <w:shd w:val="clear" w:color="auto" w:fill="D1F5EB"/>
            <w:vAlign w:val="bottom"/>
          </w:tcPr>
          <w:p w14:paraId="1A91B6F7" w14:textId="77777777"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136,156</w:t>
            </w:r>
          </w:p>
          <w:p w14:paraId="351B8AB2" w14:textId="6324E311"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251,839</w:t>
            </w:r>
          </w:p>
        </w:tc>
        <w:tc>
          <w:tcPr>
            <w:tcW w:w="1985" w:type="dxa"/>
            <w:shd w:val="clear" w:color="auto" w:fill="D1F5EB"/>
            <w:vAlign w:val="bottom"/>
          </w:tcPr>
          <w:p w14:paraId="2B959A43" w14:textId="77777777"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14,978</w:t>
            </w:r>
          </w:p>
          <w:p w14:paraId="5300F89F" w14:textId="254BC326"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27,399</w:t>
            </w:r>
          </w:p>
        </w:tc>
        <w:tc>
          <w:tcPr>
            <w:tcW w:w="2126" w:type="dxa"/>
            <w:shd w:val="clear" w:color="auto" w:fill="auto"/>
            <w:vAlign w:val="bottom"/>
          </w:tcPr>
          <w:p w14:paraId="63F49CC3" w14:textId="77777777"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1,231</w:t>
            </w:r>
          </w:p>
          <w:p w14:paraId="561BDE4E" w14:textId="3A2EC6FF"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2,107</w:t>
            </w:r>
          </w:p>
        </w:tc>
      </w:tr>
      <w:tr w:rsidR="00B12F28" w:rsidRPr="003045CA" w14:paraId="1C09A8C3" w14:textId="77777777">
        <w:trPr>
          <w:trHeight w:val="41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01A8A35C" w14:textId="77777777" w:rsidR="00B12F28" w:rsidRPr="00411ADC" w:rsidRDefault="00B12F28" w:rsidP="00B12F28">
            <w:pPr>
              <w:spacing w:after="160" w:line="276" w:lineRule="auto"/>
              <w:contextualSpacing/>
              <w:rPr>
                <w:rFonts w:ascii="Calibri" w:eastAsia="Calibri" w:hAnsi="Calibri" w:cs="Calibri"/>
                <w:b w:val="0"/>
                <w:bCs w:val="0"/>
                <w:color w:val="auto"/>
                <w:sz w:val="22"/>
              </w:rPr>
            </w:pPr>
            <w:r w:rsidRPr="00411ADC">
              <w:rPr>
                <w:rFonts w:ascii="Calibri" w:eastAsia="Calibri" w:hAnsi="Calibri" w:cs="Calibri"/>
                <w:color w:val="auto"/>
                <w:sz w:val="22"/>
              </w:rPr>
              <w:t>PESES-2</w:t>
            </w:r>
            <w:r w:rsidRPr="00411ADC">
              <w:rPr>
                <w:rFonts w:ascii="Calibri" w:eastAsia="Calibri" w:hAnsi="Calibri" w:cs="Calibri"/>
                <w:color w:val="auto"/>
                <w:sz w:val="22"/>
              </w:rPr>
              <w:br/>
            </w:r>
            <w:r w:rsidRPr="00411ADC">
              <w:rPr>
                <w:rFonts w:ascii="Calibri" w:eastAsia="Calibri" w:hAnsi="Calibri" w:cs="Calibri"/>
                <w:b w:val="0"/>
                <w:bCs w:val="0"/>
                <w:color w:val="auto"/>
                <w:sz w:val="22"/>
              </w:rPr>
              <w:t>base of band</w:t>
            </w:r>
          </w:p>
          <w:p w14:paraId="7782C0CB" w14:textId="3D8FAB82" w:rsidR="00B12F28" w:rsidRPr="00411ADC" w:rsidRDefault="00B12F28" w:rsidP="00B12F28">
            <w:pPr>
              <w:spacing w:after="0"/>
              <w:contextualSpacing/>
              <w:rPr>
                <w:rFonts w:ascii="Calibri" w:eastAsia="Rockwell" w:hAnsi="Calibri" w:cs="Calibri"/>
                <w:color w:val="auto"/>
                <w:sz w:val="22"/>
                <w:lang w:val="en-US"/>
              </w:rPr>
            </w:pPr>
            <w:r w:rsidRPr="00411ADC">
              <w:rPr>
                <w:rFonts w:ascii="Calibri" w:eastAsia="Rockwell" w:hAnsi="Calibri" w:cs="Calibri"/>
                <w:b w:val="0"/>
                <w:bCs w:val="0"/>
                <w:color w:val="auto"/>
                <w:sz w:val="22"/>
                <w:lang w:val="en-US"/>
              </w:rPr>
              <w:t>top of band</w:t>
            </w:r>
          </w:p>
        </w:tc>
        <w:tc>
          <w:tcPr>
            <w:tcW w:w="1795" w:type="dxa"/>
            <w:shd w:val="clear" w:color="auto" w:fill="F2F2F2"/>
            <w:vAlign w:val="bottom"/>
          </w:tcPr>
          <w:p w14:paraId="3B45522C" w14:textId="77777777" w:rsidR="00B12F28" w:rsidRPr="00411ADC" w:rsidRDefault="00B12F28" w:rsidP="00B12F2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6D6E2498" w14:textId="77777777" w:rsidR="00B12F28" w:rsidRPr="00411ADC" w:rsidRDefault="00B12F28" w:rsidP="00B12F2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267,446</w:t>
            </w:r>
          </w:p>
          <w:p w14:paraId="38E9A666" w14:textId="357EC76B"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384,540</w:t>
            </w:r>
          </w:p>
        </w:tc>
        <w:tc>
          <w:tcPr>
            <w:tcW w:w="1795" w:type="dxa"/>
            <w:shd w:val="clear" w:color="auto" w:fill="F2F2F2"/>
            <w:vAlign w:val="bottom"/>
          </w:tcPr>
          <w:p w14:paraId="4C911FDD" w14:textId="77777777" w:rsidR="00B12F28" w:rsidRPr="00411ADC" w:rsidRDefault="00B12F28" w:rsidP="00B12F2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242,154</w:t>
            </w:r>
          </w:p>
          <w:p w14:paraId="2A4F748C" w14:textId="76803E91"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359,248</w:t>
            </w:r>
          </w:p>
        </w:tc>
        <w:tc>
          <w:tcPr>
            <w:tcW w:w="1938" w:type="dxa"/>
            <w:shd w:val="clear" w:color="auto" w:fill="F2F2F2"/>
            <w:vAlign w:val="bottom"/>
          </w:tcPr>
          <w:p w14:paraId="19B09FF9" w14:textId="77777777"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25,293</w:t>
            </w:r>
          </w:p>
          <w:p w14:paraId="6569254E" w14:textId="27F5CC8E"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25,293</w:t>
            </w:r>
          </w:p>
        </w:tc>
        <w:tc>
          <w:tcPr>
            <w:tcW w:w="1842" w:type="dxa"/>
            <w:shd w:val="clear" w:color="auto" w:fill="D1F5EB"/>
            <w:vAlign w:val="bottom"/>
          </w:tcPr>
          <w:p w14:paraId="0F9E3754" w14:textId="77777777"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251,840</w:t>
            </w:r>
          </w:p>
          <w:p w14:paraId="767A8F6D" w14:textId="43BD557A"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373,618</w:t>
            </w:r>
          </w:p>
        </w:tc>
        <w:tc>
          <w:tcPr>
            <w:tcW w:w="1985" w:type="dxa"/>
            <w:shd w:val="clear" w:color="auto" w:fill="D1F5EB"/>
            <w:vAlign w:val="bottom"/>
          </w:tcPr>
          <w:p w14:paraId="75643E3F" w14:textId="77777777"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27,399</w:t>
            </w:r>
          </w:p>
          <w:p w14:paraId="7F1F962B" w14:textId="21B4F12C"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27,399</w:t>
            </w:r>
          </w:p>
        </w:tc>
        <w:tc>
          <w:tcPr>
            <w:tcW w:w="2126" w:type="dxa"/>
            <w:shd w:val="clear" w:color="auto" w:fill="auto"/>
            <w:vAlign w:val="bottom"/>
          </w:tcPr>
          <w:p w14:paraId="2CC4DB92" w14:textId="77777777"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2,107</w:t>
            </w:r>
          </w:p>
          <w:p w14:paraId="5FBE2120" w14:textId="17284709" w:rsidR="00B12F28" w:rsidRPr="00411ADC" w:rsidRDefault="00B12F28" w:rsidP="00B12F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2,107</w:t>
            </w:r>
          </w:p>
        </w:tc>
      </w:tr>
      <w:tr w:rsidR="00B12F28" w:rsidRPr="003045CA" w14:paraId="347C9BB0" w14:textId="7777777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127" w:type="dxa"/>
            <w:vAlign w:val="bottom"/>
          </w:tcPr>
          <w:p w14:paraId="686CF3B0" w14:textId="77777777" w:rsidR="00B12F28" w:rsidRPr="00411ADC" w:rsidRDefault="00B12F28" w:rsidP="00B12F28">
            <w:pPr>
              <w:spacing w:after="160" w:line="276" w:lineRule="auto"/>
              <w:contextualSpacing/>
              <w:rPr>
                <w:rFonts w:ascii="Calibri" w:eastAsia="Calibri" w:hAnsi="Calibri" w:cs="Calibri"/>
                <w:b w:val="0"/>
                <w:bCs w:val="0"/>
                <w:color w:val="auto"/>
                <w:sz w:val="22"/>
              </w:rPr>
            </w:pPr>
            <w:r w:rsidRPr="00411ADC">
              <w:rPr>
                <w:rFonts w:ascii="Calibri" w:eastAsia="Calibri" w:hAnsi="Calibri" w:cs="Calibri"/>
                <w:color w:val="auto"/>
                <w:sz w:val="22"/>
              </w:rPr>
              <w:t>PESES-3</w:t>
            </w:r>
            <w:r w:rsidRPr="00411ADC">
              <w:rPr>
                <w:rFonts w:ascii="Calibri" w:eastAsia="Calibri" w:hAnsi="Calibri" w:cs="Calibri"/>
                <w:color w:val="auto"/>
                <w:sz w:val="22"/>
              </w:rPr>
              <w:br/>
            </w:r>
            <w:r w:rsidRPr="00411ADC">
              <w:rPr>
                <w:rFonts w:ascii="Calibri" w:eastAsia="Calibri" w:hAnsi="Calibri" w:cs="Calibri"/>
                <w:b w:val="0"/>
                <w:bCs w:val="0"/>
                <w:color w:val="auto"/>
                <w:sz w:val="22"/>
              </w:rPr>
              <w:t>base of band</w:t>
            </w:r>
          </w:p>
          <w:p w14:paraId="2F3AB620" w14:textId="36CD8D5E" w:rsidR="00B12F28" w:rsidRPr="00411ADC" w:rsidRDefault="00B12F28" w:rsidP="00B12F28">
            <w:pPr>
              <w:spacing w:after="0"/>
              <w:contextualSpacing/>
              <w:rPr>
                <w:rFonts w:ascii="Calibri" w:eastAsia="Rockwell" w:hAnsi="Calibri" w:cs="Calibri"/>
                <w:color w:val="auto"/>
                <w:sz w:val="22"/>
                <w:lang w:val="en-US"/>
              </w:rPr>
            </w:pPr>
            <w:r w:rsidRPr="00411ADC">
              <w:rPr>
                <w:rFonts w:ascii="Calibri" w:eastAsia="Rockwell" w:hAnsi="Calibri" w:cs="Calibri"/>
                <w:b w:val="0"/>
                <w:bCs w:val="0"/>
                <w:color w:val="auto"/>
                <w:sz w:val="22"/>
                <w:lang w:val="en-US"/>
              </w:rPr>
              <w:t>top of band</w:t>
            </w:r>
          </w:p>
        </w:tc>
        <w:tc>
          <w:tcPr>
            <w:tcW w:w="1795" w:type="dxa"/>
            <w:shd w:val="clear" w:color="auto" w:fill="F2F2F2"/>
            <w:vAlign w:val="bottom"/>
          </w:tcPr>
          <w:p w14:paraId="6AF011C0" w14:textId="77777777" w:rsidR="00B12F28" w:rsidRPr="00411ADC" w:rsidRDefault="00B12F28" w:rsidP="00B12F28">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16E5D98E" w14:textId="77777777" w:rsidR="00B12F28" w:rsidRPr="00411ADC" w:rsidRDefault="00B12F28" w:rsidP="00B12F28">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384,541</w:t>
            </w:r>
          </w:p>
          <w:p w14:paraId="4B06B563" w14:textId="0AD7D828"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511,862</w:t>
            </w:r>
          </w:p>
        </w:tc>
        <w:tc>
          <w:tcPr>
            <w:tcW w:w="1795" w:type="dxa"/>
            <w:shd w:val="clear" w:color="auto" w:fill="F2F2F2"/>
            <w:vAlign w:val="bottom"/>
          </w:tcPr>
          <w:p w14:paraId="3F8765A1" w14:textId="77777777" w:rsidR="00B12F28" w:rsidRPr="00411ADC" w:rsidRDefault="00B12F28" w:rsidP="00B12F28">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359,249</w:t>
            </w:r>
          </w:p>
          <w:p w14:paraId="79C86198" w14:textId="4852A1D0"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486,570</w:t>
            </w:r>
          </w:p>
        </w:tc>
        <w:tc>
          <w:tcPr>
            <w:tcW w:w="1938" w:type="dxa"/>
            <w:shd w:val="clear" w:color="auto" w:fill="F2F2F2"/>
            <w:vAlign w:val="bottom"/>
          </w:tcPr>
          <w:p w14:paraId="69F78DB6" w14:textId="77777777"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25,293</w:t>
            </w:r>
          </w:p>
          <w:p w14:paraId="35664016" w14:textId="59046A7D"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25,293</w:t>
            </w:r>
          </w:p>
        </w:tc>
        <w:tc>
          <w:tcPr>
            <w:tcW w:w="1842" w:type="dxa"/>
            <w:shd w:val="clear" w:color="auto" w:fill="D1F5EB"/>
            <w:vAlign w:val="bottom"/>
          </w:tcPr>
          <w:p w14:paraId="641310A7" w14:textId="77777777"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373,619</w:t>
            </w:r>
          </w:p>
          <w:p w14:paraId="7E4D225A" w14:textId="4A72AFD5"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506,032</w:t>
            </w:r>
          </w:p>
        </w:tc>
        <w:tc>
          <w:tcPr>
            <w:tcW w:w="1985" w:type="dxa"/>
            <w:shd w:val="clear" w:color="auto" w:fill="D1F5EB"/>
            <w:vAlign w:val="bottom"/>
          </w:tcPr>
          <w:p w14:paraId="50B563ED" w14:textId="77777777"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27,399</w:t>
            </w:r>
          </w:p>
          <w:p w14:paraId="5C0870ED" w14:textId="59C76C50"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411ADC">
              <w:rPr>
                <w:rFonts w:ascii="Calibri" w:eastAsia="Rockwell" w:hAnsi="Calibri" w:cs="Calibri"/>
                <w:bCs/>
                <w:color w:val="auto"/>
                <w:sz w:val="22"/>
                <w:lang w:val="en-US"/>
              </w:rPr>
              <w:t>27,399</w:t>
            </w:r>
          </w:p>
        </w:tc>
        <w:tc>
          <w:tcPr>
            <w:tcW w:w="2126" w:type="dxa"/>
            <w:shd w:val="clear" w:color="auto" w:fill="auto"/>
            <w:vAlign w:val="bottom"/>
          </w:tcPr>
          <w:p w14:paraId="71EC7B32" w14:textId="77777777"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411ADC">
              <w:rPr>
                <w:rFonts w:ascii="Calibri" w:eastAsia="Rockwell" w:hAnsi="Calibri" w:cs="Calibri"/>
                <w:bCs/>
                <w:color w:val="auto"/>
                <w:sz w:val="22"/>
                <w:lang w:val="en-US"/>
              </w:rPr>
              <w:t>2,107</w:t>
            </w:r>
          </w:p>
          <w:p w14:paraId="37257EC2" w14:textId="183F238E" w:rsidR="00B12F28" w:rsidRPr="00411ADC" w:rsidRDefault="00B12F28" w:rsidP="00B12F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highlight w:val="yellow"/>
                <w:lang w:val="en-US"/>
              </w:rPr>
            </w:pPr>
            <w:r w:rsidRPr="00411ADC">
              <w:rPr>
                <w:rFonts w:ascii="Calibri" w:eastAsia="Rockwell" w:hAnsi="Calibri" w:cs="Calibri"/>
                <w:bCs/>
                <w:color w:val="auto"/>
                <w:sz w:val="22"/>
                <w:lang w:val="en-US"/>
              </w:rPr>
              <w:t>2,107</w:t>
            </w:r>
          </w:p>
        </w:tc>
      </w:tr>
    </w:tbl>
    <w:p w14:paraId="7C4F0E74" w14:textId="52583E67" w:rsidR="003045CA" w:rsidRDefault="003045CA" w:rsidP="001A03C0">
      <w:pPr>
        <w:pStyle w:val="09Sourcesandnotesfortablesfiguresboxes"/>
        <w:sectPr w:rsidR="003045CA" w:rsidSect="003045CA">
          <w:pgSz w:w="16838" w:h="11906" w:orient="landscape"/>
          <w:pgMar w:top="1701" w:right="1701" w:bottom="1701" w:left="1559" w:header="708" w:footer="708" w:gutter="0"/>
          <w:cols w:space="708"/>
          <w:titlePg/>
          <w:docGrid w:linePitch="360"/>
        </w:sectPr>
      </w:pPr>
      <w:r w:rsidRPr="003045CA">
        <w:t xml:space="preserve">Notes: (a) </w:t>
      </w:r>
      <w:r w:rsidR="00F31B82">
        <w:t>S</w:t>
      </w:r>
      <w:r w:rsidRPr="003045CA">
        <w:t>uperannuation entitlement based on Commonwealth superannuation law as at 30 June 202</w:t>
      </w:r>
      <w:r w:rsidR="00C7380D">
        <w:t>3</w:t>
      </w:r>
      <w:r w:rsidRPr="003045CA">
        <w:t xml:space="preserve"> — SG rate of </w:t>
      </w:r>
      <w:r>
        <w:t>10</w:t>
      </w:r>
      <w:r w:rsidR="00C7380D">
        <w:t>.5</w:t>
      </w:r>
      <w:r w:rsidRPr="003045CA">
        <w:t>% and MSCB of $</w:t>
      </w:r>
      <w:r w:rsidR="00C7380D">
        <w:t>240,880</w:t>
      </w:r>
      <w:r w:rsidRPr="003045CA">
        <w:t xml:space="preserve"> p.a. (b) Equal to 30 June 202</w:t>
      </w:r>
      <w:r w:rsidR="00C7380D">
        <w:t>3</w:t>
      </w:r>
      <w:r w:rsidRPr="003045CA">
        <w:t xml:space="preserve"> value </w:t>
      </w:r>
      <w:r w:rsidR="00B76DBC">
        <w:t>plus</w:t>
      </w:r>
      <w:r w:rsidRPr="003045CA">
        <w:t xml:space="preserve"> the </w:t>
      </w:r>
      <w:r w:rsidR="00212552">
        <w:t>4</w:t>
      </w:r>
      <w:r w:rsidR="00C7380D">
        <w:t xml:space="preserve"> </w:t>
      </w:r>
      <w:r w:rsidRPr="003045CA">
        <w:t xml:space="preserve">per cent </w:t>
      </w:r>
      <w:r w:rsidR="00895E10">
        <w:t>annual adjustment</w:t>
      </w:r>
      <w:r w:rsidRPr="003045CA">
        <w:t xml:space="preserve">. (c) </w:t>
      </w:r>
      <w:r w:rsidR="00B76DBC">
        <w:t>S</w:t>
      </w:r>
      <w:r w:rsidRPr="003045CA">
        <w:t xml:space="preserve">uperannuation entitlement </w:t>
      </w:r>
      <w:r w:rsidR="00654163" w:rsidRPr="00E5573D">
        <w:t>(rounded up to the nearest dollar)</w:t>
      </w:r>
      <w:r w:rsidR="00654163">
        <w:t xml:space="preserve"> </w:t>
      </w:r>
      <w:r w:rsidRPr="003045CA">
        <w:t>based on Commonwealth superannuation law as at 1 July 202</w:t>
      </w:r>
      <w:r w:rsidR="00C7380D">
        <w:t>3</w:t>
      </w:r>
      <w:r w:rsidRPr="003045CA">
        <w:t xml:space="preserve"> — SG rate of </w:t>
      </w:r>
      <w:r w:rsidR="00C7380D">
        <w:t>11</w:t>
      </w:r>
      <w:r w:rsidRPr="003045CA">
        <w:t>% and MSCB of $</w:t>
      </w:r>
      <w:r w:rsidR="000F5F66">
        <w:t>249,080</w:t>
      </w:r>
      <w:r w:rsidRPr="003045CA">
        <w:t xml:space="preserve"> p.a. (d) </w:t>
      </w:r>
      <w:r w:rsidR="006A71D7">
        <w:t>C</w:t>
      </w:r>
      <w:r w:rsidRPr="003045CA">
        <w:t>alculated by subtracting the superannuation component as at 30 June 202</w:t>
      </w:r>
      <w:r w:rsidR="00C7380D">
        <w:t>3</w:t>
      </w:r>
      <w:r w:rsidRPr="003045CA">
        <w:t xml:space="preserve"> from the superannuation component as at 1 July 202</w:t>
      </w:r>
      <w:r w:rsidR="00C7380D">
        <w:t>3</w:t>
      </w:r>
      <w:r w:rsidRPr="003045CA">
        <w:t xml:space="preserve">. </w:t>
      </w:r>
      <w:r w:rsidR="00732081">
        <w:t>Differences in this table between the change to the superannuation component and the result of subtracting the superannuation component at 30 June 2023 from the superannuation component at 1</w:t>
      </w:r>
      <w:r w:rsidR="000F045E">
        <w:t> </w:t>
      </w:r>
      <w:r w:rsidR="00732081">
        <w:t>July 2023 are due to rounding.</w:t>
      </w:r>
    </w:p>
    <w:p w14:paraId="7636E0FE" w14:textId="6409A0F2" w:rsidR="003045CA" w:rsidRDefault="00991DD7" w:rsidP="00991DD7">
      <w:pPr>
        <w:pStyle w:val="02VIRTHeading2"/>
      </w:pPr>
      <w:bookmarkStart w:id="126" w:name="_Toc138760918"/>
      <w:bookmarkStart w:id="127" w:name="_Toc138761078"/>
      <w:bookmarkStart w:id="128" w:name="_Toc138761227"/>
      <w:bookmarkStart w:id="129" w:name="_Toc138761746"/>
      <w:bookmarkStart w:id="130" w:name="_Toc138859171"/>
      <w:r>
        <w:t>4.3</w:t>
      </w:r>
      <w:r>
        <w:tab/>
        <w:t>Total adjustment to the bands</w:t>
      </w:r>
      <w:bookmarkEnd w:id="126"/>
      <w:bookmarkEnd w:id="127"/>
      <w:bookmarkEnd w:id="128"/>
      <w:bookmarkEnd w:id="129"/>
      <w:bookmarkEnd w:id="130"/>
    </w:p>
    <w:p w14:paraId="62457467" w14:textId="5E6D2EAA" w:rsidR="00991DD7" w:rsidRPr="00991DD7" w:rsidRDefault="003C1315" w:rsidP="00C06D68">
      <w:pPr>
        <w:pStyle w:val="05Paragraph"/>
      </w:pPr>
      <w:r w:rsidRPr="00991DD7">
        <w:t>The values of the remuneration bands that will apply from 1 July 202</w:t>
      </w:r>
      <w:r w:rsidR="00123C4D">
        <w:t>3</w:t>
      </w:r>
      <w:r w:rsidRPr="00991DD7">
        <w:t xml:space="preserve"> are shown in </w:t>
      </w:r>
      <w:r>
        <w:t>T</w:t>
      </w:r>
      <w:r w:rsidRPr="00991DD7">
        <w:t>able 4.3.</w:t>
      </w:r>
      <w:r>
        <w:t xml:space="preserve"> </w:t>
      </w:r>
      <w:r w:rsidR="00991DD7" w:rsidRPr="00991DD7">
        <w:t xml:space="preserve">The Tribunal has determined that the annual adjustment </w:t>
      </w:r>
      <w:r w:rsidR="00E72D9C">
        <w:t>to</w:t>
      </w:r>
      <w:r w:rsidR="00991DD7" w:rsidRPr="00991DD7">
        <w:t xml:space="preserve"> each of the remuneration band values is equal to the sum of:</w:t>
      </w:r>
    </w:p>
    <w:p w14:paraId="1D8F8B15" w14:textId="7D4A2920" w:rsidR="00991DD7" w:rsidRPr="00991DD7" w:rsidRDefault="00FA79B4" w:rsidP="00C06D68">
      <w:pPr>
        <w:pStyle w:val="06VIRTBulletpoints"/>
      </w:pPr>
      <w:r>
        <w:t xml:space="preserve">a 4 per cent </w:t>
      </w:r>
      <w:r w:rsidR="00991DD7" w:rsidRPr="00991DD7">
        <w:t>adjustment applied to the salary component of the remuneration bands</w:t>
      </w:r>
    </w:p>
    <w:p w14:paraId="26D75B2E" w14:textId="73EA5EC5" w:rsidR="00991DD7" w:rsidRPr="00991DD7" w:rsidRDefault="00991DD7" w:rsidP="00C06D68">
      <w:pPr>
        <w:pStyle w:val="06VIRTBulletpoints"/>
      </w:pPr>
      <w:r w:rsidRPr="00991DD7">
        <w:t xml:space="preserve">adjustments applied to the superannuation component of the remuneration bands to </w:t>
      </w:r>
      <w:r w:rsidR="006A2773">
        <w:t>reflect</w:t>
      </w:r>
      <w:r w:rsidRPr="00991DD7">
        <w:t xml:space="preserve"> changes to superannuation entitlements that will occur on 1</w:t>
      </w:r>
      <w:r w:rsidR="006A74DC">
        <w:t> </w:t>
      </w:r>
      <w:r w:rsidRPr="00991DD7">
        <w:t>July</w:t>
      </w:r>
      <w:r w:rsidR="006A74DC">
        <w:t> </w:t>
      </w:r>
      <w:r w:rsidRPr="00991DD7">
        <w:t>202</w:t>
      </w:r>
      <w:r w:rsidR="00123C4D">
        <w:t>3</w:t>
      </w:r>
      <w:r w:rsidRPr="00991DD7">
        <w:t xml:space="preserve"> under Commonwealth law.</w:t>
      </w:r>
    </w:p>
    <w:p w14:paraId="3D609E97" w14:textId="7B3118FF" w:rsidR="00991DD7" w:rsidRPr="00C2021F" w:rsidRDefault="00991DD7" w:rsidP="00AB77D6">
      <w:pPr>
        <w:pStyle w:val="08Figuretableboxheading"/>
        <w:rPr>
          <w:rFonts w:ascii="Calibri" w:hAnsi="Calibri" w:cs="Calibri"/>
        </w:rPr>
      </w:pPr>
      <w:r w:rsidRPr="00C2021F">
        <w:rPr>
          <w:rFonts w:ascii="Calibri" w:hAnsi="Calibri" w:cs="Calibri"/>
        </w:rPr>
        <w:t xml:space="preserve">Table 4.3: </w:t>
      </w:r>
      <w:r w:rsidR="00216041" w:rsidRPr="00C2021F">
        <w:rPr>
          <w:rFonts w:ascii="Calibri" w:hAnsi="Calibri" w:cs="Calibri"/>
        </w:rPr>
        <w:t>A</w:t>
      </w:r>
      <w:r w:rsidRPr="00C2021F">
        <w:rPr>
          <w:rFonts w:ascii="Calibri" w:hAnsi="Calibri" w:cs="Calibri"/>
        </w:rPr>
        <w:t>nnual adjustment to the remuneration band</w:t>
      </w:r>
      <w:r w:rsidR="00A736F9" w:rsidRPr="00C2021F">
        <w:rPr>
          <w:rFonts w:ascii="Calibri" w:hAnsi="Calibri" w:cs="Calibri"/>
        </w:rPr>
        <w:t xml:space="preserve"> </w:t>
      </w:r>
      <w:r w:rsidRPr="00C2021F">
        <w:rPr>
          <w:rFonts w:ascii="Calibri" w:hAnsi="Calibri" w:cs="Calibri"/>
        </w:rPr>
        <w:t>values as at 1 July 202</w:t>
      </w:r>
      <w:r w:rsidR="00CC15AB" w:rsidRPr="00C2021F">
        <w:rPr>
          <w:rFonts w:ascii="Calibri" w:hAnsi="Calibri" w:cs="Calibri"/>
        </w:rPr>
        <w:t>3</w:t>
      </w:r>
    </w:p>
    <w:tbl>
      <w:tblPr>
        <w:tblStyle w:val="ListTable3-Accent216"/>
        <w:tblW w:w="8504" w:type="dxa"/>
        <w:tblLayout w:type="fixed"/>
        <w:tblLook w:val="04A0" w:firstRow="1" w:lastRow="0" w:firstColumn="1" w:lastColumn="0" w:noHBand="0" w:noVBand="1"/>
      </w:tblPr>
      <w:tblGrid>
        <w:gridCol w:w="1560"/>
        <w:gridCol w:w="1417"/>
        <w:gridCol w:w="1418"/>
        <w:gridCol w:w="1701"/>
        <w:gridCol w:w="1417"/>
        <w:gridCol w:w="991"/>
      </w:tblGrid>
      <w:tr w:rsidR="00DF1805" w:rsidRPr="00DF1805" w14:paraId="4CB3D9B0" w14:textId="77777777" w:rsidTr="00DF1805">
        <w:trPr>
          <w:cnfStyle w:val="100000000000" w:firstRow="1" w:lastRow="0" w:firstColumn="0" w:lastColumn="0" w:oddVBand="0" w:evenVBand="0" w:oddHBand="0" w:evenHBand="0" w:firstRowFirstColumn="0" w:firstRowLastColumn="0" w:lastRowFirstColumn="0" w:lastRowLastColumn="0"/>
          <w:trHeight w:val="745"/>
          <w:tblHeader/>
        </w:trPr>
        <w:tc>
          <w:tcPr>
            <w:cnfStyle w:val="001000000100" w:firstRow="0" w:lastRow="0" w:firstColumn="1" w:lastColumn="0" w:oddVBand="0" w:evenVBand="0" w:oddHBand="0" w:evenHBand="0" w:firstRowFirstColumn="1" w:firstRowLastColumn="0" w:lastRowFirstColumn="0" w:lastRowLastColumn="0"/>
            <w:tcW w:w="1560" w:type="dxa"/>
            <w:tcBorders>
              <w:top w:val="single" w:sz="4" w:space="0" w:color="148A5D" w:themeColor="accent2"/>
              <w:bottom w:val="single" w:sz="4" w:space="0" w:color="148A5D"/>
            </w:tcBorders>
            <w:shd w:val="clear" w:color="auto" w:fill="auto"/>
            <w:vAlign w:val="top"/>
          </w:tcPr>
          <w:p w14:paraId="269A82BB" w14:textId="0E01A7D3" w:rsidR="00DF1805" w:rsidRPr="00DF1805" w:rsidRDefault="00DF1805" w:rsidP="00DF1805">
            <w:pPr>
              <w:spacing w:after="0"/>
              <w:rPr>
                <w:rFonts w:ascii="Calibri" w:eastAsia="Rockwell" w:hAnsi="Calibri" w:cs="Calibri"/>
                <w:color w:val="auto"/>
                <w:sz w:val="22"/>
              </w:rPr>
            </w:pPr>
            <w:r w:rsidRPr="00DF1805">
              <w:rPr>
                <w:rFonts w:ascii="Calibri" w:eastAsia="Rockwell" w:hAnsi="Calibri" w:cs="Calibri"/>
                <w:color w:val="auto"/>
                <w:sz w:val="22"/>
              </w:rPr>
              <w:t>Classification</w:t>
            </w:r>
          </w:p>
        </w:tc>
        <w:tc>
          <w:tcPr>
            <w:tcW w:w="1417" w:type="dxa"/>
            <w:tcBorders>
              <w:top w:val="single" w:sz="4" w:space="0" w:color="148A5D" w:themeColor="accent2"/>
              <w:bottom w:val="single" w:sz="4" w:space="0" w:color="148A5D"/>
            </w:tcBorders>
            <w:shd w:val="clear" w:color="auto" w:fill="auto"/>
            <w:vAlign w:val="top"/>
          </w:tcPr>
          <w:p w14:paraId="708FF40F" w14:textId="386C4CFB"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 xml:space="preserve">Value at </w:t>
            </w:r>
            <w:r w:rsidRPr="00DF1805">
              <w:rPr>
                <w:rFonts w:ascii="Calibri" w:eastAsia="Rockwell" w:hAnsi="Calibri" w:cs="Calibri"/>
                <w:color w:val="auto"/>
                <w:sz w:val="22"/>
              </w:rPr>
              <w:br/>
            </w:r>
            <w:r w:rsidRPr="00DF1805">
              <w:rPr>
                <w:rFonts w:ascii="Calibri" w:eastAsia="Rockwell" w:hAnsi="Calibri" w:cs="Calibri"/>
                <w:color w:val="auto"/>
                <w:sz w:val="22"/>
              </w:rPr>
              <w:t>30 June 2023</w:t>
            </w:r>
          </w:p>
          <w:p w14:paraId="5D92DC4F" w14:textId="77777777"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p>
          <w:p w14:paraId="10960F10" w14:textId="3D595D5B"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w:t>
            </w:r>
            <w:r w:rsidRPr="00DF1805">
              <w:rPr>
                <w:rFonts w:ascii="Calibri" w:eastAsia="Rockwell" w:hAnsi="Calibri" w:cs="Calibri"/>
                <w:color w:val="auto"/>
                <w:sz w:val="22"/>
              </w:rPr>
              <w:t>$ p.a.</w:t>
            </w:r>
            <w:r w:rsidRPr="00DF1805">
              <w:rPr>
                <w:rFonts w:ascii="Calibri" w:eastAsia="Rockwell" w:hAnsi="Calibri" w:cs="Calibri"/>
                <w:color w:val="auto"/>
                <w:sz w:val="22"/>
              </w:rPr>
              <w:t>)</w:t>
            </w:r>
          </w:p>
        </w:tc>
        <w:tc>
          <w:tcPr>
            <w:tcW w:w="1418" w:type="dxa"/>
            <w:tcBorders>
              <w:top w:val="single" w:sz="4" w:space="0" w:color="148A5D" w:themeColor="accent2"/>
              <w:bottom w:val="single" w:sz="4" w:space="0" w:color="148A5D"/>
            </w:tcBorders>
            <w:shd w:val="clear" w:color="auto" w:fill="auto"/>
          </w:tcPr>
          <w:p w14:paraId="037BFD23" w14:textId="7CD36758"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DF1805">
              <w:rPr>
                <w:rFonts w:ascii="Calibri" w:eastAsia="Rockwell" w:hAnsi="Calibri" w:cs="Calibri"/>
                <w:color w:val="auto"/>
                <w:sz w:val="22"/>
              </w:rPr>
              <w:t>Adjustment to salary component</w:t>
            </w:r>
          </w:p>
          <w:p w14:paraId="67CC8518" w14:textId="66D05F57"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w:t>
            </w:r>
          </w:p>
        </w:tc>
        <w:tc>
          <w:tcPr>
            <w:tcW w:w="1701" w:type="dxa"/>
            <w:tcBorders>
              <w:top w:val="single" w:sz="4" w:space="0" w:color="148A5D" w:themeColor="accent2"/>
              <w:bottom w:val="single" w:sz="4" w:space="0" w:color="148A5D"/>
            </w:tcBorders>
            <w:shd w:val="clear" w:color="auto" w:fill="auto"/>
          </w:tcPr>
          <w:p w14:paraId="4FFC1805" w14:textId="0A09D208"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DF1805">
              <w:rPr>
                <w:rFonts w:ascii="Calibri" w:eastAsia="Rockwell" w:hAnsi="Calibri" w:cs="Calibri"/>
                <w:color w:val="auto"/>
                <w:sz w:val="22"/>
              </w:rPr>
              <w:t>Adjustment to superannuation component</w:t>
            </w:r>
          </w:p>
          <w:p w14:paraId="2C1AD0F9" w14:textId="40A95EE6"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w:t>
            </w:r>
          </w:p>
        </w:tc>
        <w:tc>
          <w:tcPr>
            <w:tcW w:w="1417" w:type="dxa"/>
            <w:tcBorders>
              <w:top w:val="single" w:sz="4" w:space="0" w:color="148A5D" w:themeColor="accent2"/>
              <w:bottom w:val="single" w:sz="4" w:space="0" w:color="148A5D"/>
            </w:tcBorders>
            <w:shd w:val="clear" w:color="auto" w:fill="auto"/>
            <w:vAlign w:val="top"/>
          </w:tcPr>
          <w:p w14:paraId="7FE268AB" w14:textId="77777777"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pacing w:val="-4"/>
                <w:sz w:val="22"/>
                <w:vertAlign w:val="superscript"/>
              </w:rPr>
            </w:pPr>
            <w:r w:rsidRPr="00DF1805">
              <w:rPr>
                <w:rFonts w:ascii="Calibri" w:eastAsia="Rockwell" w:hAnsi="Calibri" w:cs="Calibri"/>
                <w:color w:val="auto"/>
                <w:spacing w:val="-4"/>
                <w:sz w:val="22"/>
              </w:rPr>
              <w:t>Total adjustment</w:t>
            </w:r>
            <w:r w:rsidRPr="00DF1805">
              <w:rPr>
                <w:rFonts w:ascii="Calibri" w:eastAsia="Rockwell" w:hAnsi="Calibri" w:cs="Calibri"/>
                <w:color w:val="auto"/>
                <w:spacing w:val="-4"/>
                <w:sz w:val="22"/>
                <w:vertAlign w:val="superscript"/>
              </w:rPr>
              <w:t>(a)</w:t>
            </w:r>
          </w:p>
          <w:p w14:paraId="5C0562F8" w14:textId="77777777" w:rsidR="00DF1805" w:rsidRPr="00DF1805" w:rsidRDefault="00DF1805" w:rsidP="00DF1805">
            <w:pPr>
              <w:spacing w:after="0"/>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p>
          <w:p w14:paraId="1BCF9F79" w14:textId="729390C8"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w:t>
            </w:r>
            <w:r w:rsidRPr="00DF1805">
              <w:rPr>
                <w:rFonts w:ascii="Calibri" w:eastAsia="Rockwell" w:hAnsi="Calibri" w:cs="Calibri"/>
                <w:color w:val="auto"/>
                <w:sz w:val="22"/>
              </w:rPr>
              <w:t>$</w:t>
            </w:r>
            <w:r w:rsidRPr="00DF1805">
              <w:rPr>
                <w:rFonts w:ascii="Calibri" w:eastAsia="Rockwell" w:hAnsi="Calibri" w:cs="Calibri"/>
                <w:color w:val="auto"/>
                <w:sz w:val="22"/>
              </w:rPr>
              <w:t>)</w:t>
            </w:r>
          </w:p>
        </w:tc>
        <w:tc>
          <w:tcPr>
            <w:tcW w:w="991" w:type="dxa"/>
            <w:tcBorders>
              <w:top w:val="single" w:sz="4" w:space="0" w:color="148A5D" w:themeColor="accent2"/>
              <w:bottom w:val="single" w:sz="4" w:space="0" w:color="148A5D"/>
            </w:tcBorders>
            <w:shd w:val="clear" w:color="auto" w:fill="auto"/>
            <w:vAlign w:val="top"/>
          </w:tcPr>
          <w:p w14:paraId="4213B7F8" w14:textId="00A17183"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b w:val="0"/>
                <w:bCs w:val="0"/>
                <w:color w:val="auto"/>
                <w:sz w:val="22"/>
              </w:rPr>
            </w:pPr>
            <w:r w:rsidRPr="00DF1805">
              <w:rPr>
                <w:rFonts w:ascii="Calibri" w:eastAsia="Rockwell" w:hAnsi="Calibri" w:cs="Calibri"/>
                <w:color w:val="auto"/>
                <w:sz w:val="22"/>
              </w:rPr>
              <w:t xml:space="preserve">Value at 1 July 2023 </w:t>
            </w:r>
          </w:p>
          <w:p w14:paraId="0725B595" w14:textId="32C0067E" w:rsidR="00DF1805" w:rsidRPr="00DF1805" w:rsidRDefault="00DF1805" w:rsidP="00DF1805">
            <w:pPr>
              <w:spacing w:after="0"/>
              <w:jc w:val="right"/>
              <w:cnfStyle w:val="100000000000" w:firstRow="1" w:lastRow="0" w:firstColumn="0" w:lastColumn="0" w:oddVBand="0" w:evenVBand="0" w:oddHBand="0" w:evenHBand="0" w:firstRowFirstColumn="0" w:firstRowLastColumn="0" w:lastRowFirstColumn="0" w:lastRowLastColumn="0"/>
              <w:rPr>
                <w:rFonts w:ascii="Calibri" w:eastAsia="Rockwell" w:hAnsi="Calibri" w:cs="Calibri"/>
                <w:color w:val="auto"/>
                <w:sz w:val="22"/>
              </w:rPr>
            </w:pPr>
            <w:r w:rsidRPr="00DF1805">
              <w:rPr>
                <w:rFonts w:ascii="Calibri" w:eastAsia="Rockwell" w:hAnsi="Calibri" w:cs="Calibri"/>
                <w:color w:val="auto"/>
                <w:sz w:val="22"/>
              </w:rPr>
              <w:t>(</w:t>
            </w:r>
            <w:r w:rsidRPr="00DF1805">
              <w:rPr>
                <w:rFonts w:ascii="Calibri" w:eastAsia="Rockwell" w:hAnsi="Calibri" w:cs="Calibri"/>
                <w:color w:val="auto"/>
                <w:sz w:val="22"/>
              </w:rPr>
              <w:t>$ p.a.</w:t>
            </w:r>
            <w:r w:rsidRPr="00DF1805">
              <w:rPr>
                <w:rFonts w:ascii="Calibri" w:eastAsia="Rockwell" w:hAnsi="Calibri" w:cs="Calibri"/>
                <w:color w:val="auto"/>
                <w:sz w:val="22"/>
              </w:rPr>
              <w:t>)</w:t>
            </w:r>
          </w:p>
        </w:tc>
      </w:tr>
      <w:tr w:rsidR="00CF50DC" w:rsidRPr="00991DD7" w14:paraId="1AB76FE3" w14:textId="77777777" w:rsidTr="00DF180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560" w:type="dxa"/>
            <w:vAlign w:val="bottom"/>
          </w:tcPr>
          <w:p w14:paraId="2AB3167F" w14:textId="2CFEE3A1" w:rsidR="00CF50DC" w:rsidRPr="00C2021F" w:rsidRDefault="00CF50DC" w:rsidP="00CF50DC">
            <w:pPr>
              <w:spacing w:after="0" w:line="276" w:lineRule="auto"/>
              <w:contextualSpacing/>
              <w:rPr>
                <w:rFonts w:ascii="Calibri" w:eastAsia="Calibri" w:hAnsi="Calibri" w:cs="Calibri"/>
                <w:b w:val="0"/>
                <w:bCs w:val="0"/>
                <w:color w:val="auto"/>
                <w:sz w:val="22"/>
              </w:rPr>
            </w:pPr>
            <w:r w:rsidRPr="00C2021F">
              <w:rPr>
                <w:rFonts w:ascii="Calibri" w:eastAsia="Calibri" w:hAnsi="Calibri" w:cs="Calibri"/>
                <w:color w:val="auto"/>
                <w:sz w:val="22"/>
              </w:rPr>
              <w:t>PESES-1</w:t>
            </w:r>
            <w:r w:rsidRPr="00C2021F">
              <w:rPr>
                <w:rFonts w:ascii="Calibri" w:eastAsia="Calibri" w:hAnsi="Calibri" w:cs="Calibri"/>
                <w:color w:val="auto"/>
                <w:sz w:val="22"/>
              </w:rPr>
              <w:br/>
            </w:r>
            <w:r w:rsidRPr="00C2021F">
              <w:rPr>
                <w:rFonts w:ascii="Calibri" w:eastAsia="Calibri" w:hAnsi="Calibri" w:cs="Calibri"/>
                <w:b w:val="0"/>
                <w:bCs w:val="0"/>
                <w:color w:val="auto"/>
                <w:sz w:val="22"/>
              </w:rPr>
              <w:t>base of band</w:t>
            </w:r>
          </w:p>
          <w:p w14:paraId="3372CCA5" w14:textId="77777777" w:rsidR="00CF50DC" w:rsidRPr="00C2021F" w:rsidRDefault="00CF50DC" w:rsidP="00CF50DC">
            <w:pPr>
              <w:spacing w:after="0"/>
              <w:contextualSpacing/>
              <w:rPr>
                <w:rFonts w:ascii="Calibri" w:eastAsia="Rockwell" w:hAnsi="Calibri" w:cs="Calibri"/>
                <w:color w:val="auto"/>
                <w:sz w:val="22"/>
                <w:lang w:val="en-US"/>
              </w:rPr>
            </w:pPr>
            <w:r w:rsidRPr="00C2021F">
              <w:rPr>
                <w:rFonts w:ascii="Calibri" w:eastAsia="Rockwell" w:hAnsi="Calibri" w:cs="Calibri"/>
                <w:b w:val="0"/>
                <w:bCs w:val="0"/>
                <w:color w:val="auto"/>
                <w:sz w:val="22"/>
                <w:lang w:val="en-US"/>
              </w:rPr>
              <w:t>top of band</w:t>
            </w:r>
          </w:p>
        </w:tc>
        <w:tc>
          <w:tcPr>
            <w:tcW w:w="1417" w:type="dxa"/>
            <w:vAlign w:val="bottom"/>
          </w:tcPr>
          <w:p w14:paraId="0DB0BC10" w14:textId="77777777" w:rsidR="00CF50DC" w:rsidRPr="00C2021F" w:rsidRDefault="00CF50DC" w:rsidP="00CF50DC">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502B7D57" w14:textId="77777777" w:rsidR="00CF50DC" w:rsidRPr="00C2021F" w:rsidRDefault="00CF50DC" w:rsidP="00CF50DC">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144,666</w:t>
            </w:r>
          </w:p>
          <w:p w14:paraId="168C172C" w14:textId="2F74500B"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267,445</w:t>
            </w:r>
          </w:p>
        </w:tc>
        <w:tc>
          <w:tcPr>
            <w:tcW w:w="1418" w:type="dxa"/>
            <w:tcMar>
              <w:right w:w="0" w:type="dxa"/>
            </w:tcMar>
            <w:vAlign w:val="bottom"/>
          </w:tcPr>
          <w:p w14:paraId="2346D901" w14:textId="77777777" w:rsidR="00CF50DC" w:rsidRPr="00C2021F" w:rsidRDefault="00CF50DC" w:rsidP="00CF50DC">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6FFFC05F" w14:textId="638E31C5" w:rsidR="00CF50DC" w:rsidRPr="00C2021F" w:rsidRDefault="00CF50DC" w:rsidP="00CF50DC">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5,237</w:t>
            </w:r>
          </w:p>
          <w:p w14:paraId="1A0D7997" w14:textId="4183E184" w:rsidR="00CF50DC" w:rsidRPr="00C2021F" w:rsidRDefault="00CF50DC" w:rsidP="00CF50DC">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9,686</w:t>
            </w:r>
          </w:p>
        </w:tc>
        <w:tc>
          <w:tcPr>
            <w:tcW w:w="1701" w:type="dxa"/>
            <w:vAlign w:val="bottom"/>
          </w:tcPr>
          <w:p w14:paraId="79B9ED3E" w14:textId="0F8CFF6A"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C2021F">
              <w:rPr>
                <w:rFonts w:ascii="Calibri" w:eastAsia="Rockwell" w:hAnsi="Calibri" w:cs="Calibri"/>
                <w:bCs/>
                <w:color w:val="auto"/>
                <w:sz w:val="22"/>
                <w:lang w:val="en-US"/>
              </w:rPr>
              <w:t>1,231</w:t>
            </w:r>
          </w:p>
          <w:p w14:paraId="66AE6CC0" w14:textId="6CCF69B8"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2,107</w:t>
            </w:r>
          </w:p>
        </w:tc>
        <w:tc>
          <w:tcPr>
            <w:tcW w:w="1417" w:type="dxa"/>
            <w:vAlign w:val="bottom"/>
          </w:tcPr>
          <w:p w14:paraId="6114231C" w14:textId="5D4E6F0C" w:rsidR="00CF50DC" w:rsidRPr="00C2021F" w:rsidRDefault="005A7C00"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C2021F">
              <w:rPr>
                <w:rFonts w:ascii="Calibri" w:eastAsia="Rockwell" w:hAnsi="Calibri" w:cs="Calibri"/>
                <w:bCs/>
                <w:color w:val="auto"/>
                <w:sz w:val="22"/>
                <w:lang w:val="en-US"/>
              </w:rPr>
              <w:t>6,468</w:t>
            </w:r>
          </w:p>
          <w:p w14:paraId="23EC0F18" w14:textId="5C93D84A"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11,793</w:t>
            </w:r>
          </w:p>
        </w:tc>
        <w:tc>
          <w:tcPr>
            <w:tcW w:w="991" w:type="dxa"/>
            <w:vAlign w:val="bottom"/>
          </w:tcPr>
          <w:p w14:paraId="012C5A2F" w14:textId="637B87E5" w:rsidR="00CF50DC" w:rsidRPr="00C2021F" w:rsidRDefault="005A7C00"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C2021F">
              <w:rPr>
                <w:rFonts w:ascii="Calibri" w:eastAsia="Rockwell" w:hAnsi="Calibri" w:cs="Calibri"/>
                <w:bCs/>
                <w:color w:val="auto"/>
                <w:sz w:val="22"/>
                <w:lang w:val="en-US"/>
              </w:rPr>
              <w:t>151,134</w:t>
            </w:r>
          </w:p>
          <w:p w14:paraId="083CACA2" w14:textId="1D8C5C3F"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279,238</w:t>
            </w:r>
          </w:p>
        </w:tc>
      </w:tr>
      <w:tr w:rsidR="00CF50DC" w:rsidRPr="00991DD7" w14:paraId="03605A50" w14:textId="77777777" w:rsidTr="00DF1805">
        <w:trPr>
          <w:trHeight w:val="417"/>
        </w:trPr>
        <w:tc>
          <w:tcPr>
            <w:cnfStyle w:val="001000000000" w:firstRow="0" w:lastRow="0" w:firstColumn="1" w:lastColumn="0" w:oddVBand="0" w:evenVBand="0" w:oddHBand="0" w:evenHBand="0" w:firstRowFirstColumn="0" w:firstRowLastColumn="0" w:lastRowFirstColumn="0" w:lastRowLastColumn="0"/>
            <w:tcW w:w="1560" w:type="dxa"/>
            <w:vAlign w:val="bottom"/>
          </w:tcPr>
          <w:p w14:paraId="0A4C1150" w14:textId="1609EF2E" w:rsidR="00CF50DC" w:rsidRPr="00C2021F" w:rsidRDefault="00CF50DC" w:rsidP="00CF50DC">
            <w:pPr>
              <w:spacing w:after="0" w:line="276" w:lineRule="auto"/>
              <w:contextualSpacing/>
              <w:rPr>
                <w:rFonts w:ascii="Calibri" w:eastAsia="Calibri" w:hAnsi="Calibri" w:cs="Calibri"/>
                <w:b w:val="0"/>
                <w:bCs w:val="0"/>
                <w:color w:val="auto"/>
                <w:sz w:val="22"/>
              </w:rPr>
            </w:pPr>
            <w:r w:rsidRPr="00C2021F">
              <w:rPr>
                <w:rFonts w:ascii="Calibri" w:eastAsia="Calibri" w:hAnsi="Calibri" w:cs="Calibri"/>
                <w:color w:val="auto"/>
                <w:sz w:val="22"/>
              </w:rPr>
              <w:t>PESES-2</w:t>
            </w:r>
            <w:r w:rsidRPr="00C2021F">
              <w:rPr>
                <w:rFonts w:ascii="Calibri" w:eastAsia="Calibri" w:hAnsi="Calibri" w:cs="Calibri"/>
                <w:color w:val="auto"/>
                <w:sz w:val="22"/>
              </w:rPr>
              <w:br/>
            </w:r>
            <w:r w:rsidRPr="00C2021F">
              <w:rPr>
                <w:rFonts w:ascii="Calibri" w:eastAsia="Calibri" w:hAnsi="Calibri" w:cs="Calibri"/>
                <w:b w:val="0"/>
                <w:bCs w:val="0"/>
                <w:color w:val="auto"/>
                <w:sz w:val="22"/>
              </w:rPr>
              <w:t>base of band</w:t>
            </w:r>
          </w:p>
          <w:p w14:paraId="2340E63B" w14:textId="77777777" w:rsidR="00CF50DC" w:rsidRPr="00C2021F" w:rsidRDefault="00CF50DC" w:rsidP="00CF50DC">
            <w:pPr>
              <w:spacing w:after="0"/>
              <w:contextualSpacing/>
              <w:rPr>
                <w:rFonts w:ascii="Calibri" w:eastAsia="Rockwell" w:hAnsi="Calibri" w:cs="Calibri"/>
                <w:color w:val="auto"/>
                <w:sz w:val="22"/>
                <w:lang w:val="en-US"/>
              </w:rPr>
            </w:pPr>
            <w:r w:rsidRPr="00C2021F">
              <w:rPr>
                <w:rFonts w:ascii="Calibri" w:eastAsia="Rockwell" w:hAnsi="Calibri" w:cs="Calibri"/>
                <w:b w:val="0"/>
                <w:bCs w:val="0"/>
                <w:color w:val="auto"/>
                <w:sz w:val="22"/>
                <w:lang w:val="en-US"/>
              </w:rPr>
              <w:t>top of band</w:t>
            </w:r>
          </w:p>
        </w:tc>
        <w:tc>
          <w:tcPr>
            <w:tcW w:w="1417" w:type="dxa"/>
            <w:vAlign w:val="bottom"/>
          </w:tcPr>
          <w:p w14:paraId="64D69722" w14:textId="77777777" w:rsidR="00CF50DC" w:rsidRPr="00C2021F" w:rsidRDefault="00CF50DC" w:rsidP="00CF50DC">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p>
          <w:p w14:paraId="1770D390" w14:textId="77777777" w:rsidR="00CF50DC" w:rsidRPr="00C2021F" w:rsidRDefault="00CF50DC" w:rsidP="00CF50DC">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267,446</w:t>
            </w:r>
          </w:p>
          <w:p w14:paraId="42D7B6D1" w14:textId="5E70F77A" w:rsidR="00CF50DC" w:rsidRPr="00C2021F" w:rsidRDefault="00CF50DC" w:rsidP="00CF50DC">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384,540</w:t>
            </w:r>
          </w:p>
        </w:tc>
        <w:tc>
          <w:tcPr>
            <w:tcW w:w="1418" w:type="dxa"/>
            <w:tcMar>
              <w:right w:w="0" w:type="dxa"/>
            </w:tcMar>
            <w:vAlign w:val="bottom"/>
          </w:tcPr>
          <w:p w14:paraId="35D9F7B7" w14:textId="77777777" w:rsidR="00CF50DC" w:rsidRPr="00C2021F" w:rsidRDefault="00CF50DC" w:rsidP="00CF50DC">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9,686</w:t>
            </w:r>
          </w:p>
          <w:p w14:paraId="0F3CB6EA" w14:textId="0600EB8F" w:rsidR="00CF50DC" w:rsidRPr="00C2021F" w:rsidRDefault="00CF50DC" w:rsidP="00CF50DC">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14,370</w:t>
            </w:r>
          </w:p>
        </w:tc>
        <w:tc>
          <w:tcPr>
            <w:tcW w:w="1701" w:type="dxa"/>
            <w:vAlign w:val="bottom"/>
          </w:tcPr>
          <w:p w14:paraId="3DE066F4" w14:textId="77777777" w:rsidR="00CF50DC" w:rsidRPr="00C2021F" w:rsidRDefault="00CF50DC" w:rsidP="00CF50DC">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2,107</w:t>
            </w:r>
          </w:p>
          <w:p w14:paraId="24BA4ACF" w14:textId="64DA8451" w:rsidR="00CF50DC" w:rsidRPr="00C2021F" w:rsidRDefault="00CF50DC" w:rsidP="00CF50DC">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2,107</w:t>
            </w:r>
          </w:p>
        </w:tc>
        <w:tc>
          <w:tcPr>
            <w:tcW w:w="1417" w:type="dxa"/>
            <w:vAlign w:val="bottom"/>
          </w:tcPr>
          <w:p w14:paraId="2A8A4F2D" w14:textId="77777777" w:rsidR="00CF50DC" w:rsidRPr="00C2021F" w:rsidRDefault="00CF50DC" w:rsidP="00CF50DC">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C2021F">
              <w:rPr>
                <w:rFonts w:ascii="Calibri" w:eastAsia="Rockwell" w:hAnsi="Calibri" w:cs="Calibri"/>
                <w:bCs/>
                <w:color w:val="auto"/>
                <w:sz w:val="22"/>
                <w:lang w:val="en-US"/>
              </w:rPr>
              <w:t>11,793</w:t>
            </w:r>
          </w:p>
          <w:p w14:paraId="0E5B1836" w14:textId="170C2E0B" w:rsidR="00CF50DC" w:rsidRPr="00C2021F" w:rsidRDefault="00CF50DC" w:rsidP="00CF50DC">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16,477</w:t>
            </w:r>
          </w:p>
        </w:tc>
        <w:tc>
          <w:tcPr>
            <w:tcW w:w="991" w:type="dxa"/>
            <w:vAlign w:val="bottom"/>
          </w:tcPr>
          <w:p w14:paraId="79CF1E17" w14:textId="77777777" w:rsidR="00CF50DC" w:rsidRPr="00C2021F" w:rsidRDefault="00CF50DC" w:rsidP="00CF50DC">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color w:val="auto"/>
                <w:sz w:val="22"/>
                <w:lang w:val="en-US"/>
              </w:rPr>
            </w:pPr>
            <w:r w:rsidRPr="00C2021F">
              <w:rPr>
                <w:rFonts w:ascii="Calibri" w:eastAsia="Rockwell" w:hAnsi="Calibri" w:cs="Calibri"/>
                <w:bCs/>
                <w:color w:val="auto"/>
                <w:sz w:val="22"/>
                <w:lang w:val="en-US"/>
              </w:rPr>
              <w:t>279,239</w:t>
            </w:r>
          </w:p>
          <w:p w14:paraId="74CD4F19" w14:textId="19C254AA" w:rsidR="00CF50DC" w:rsidRPr="00C2021F" w:rsidRDefault="00CF50DC" w:rsidP="00CF50DC">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401,017</w:t>
            </w:r>
          </w:p>
        </w:tc>
      </w:tr>
      <w:tr w:rsidR="00CF50DC" w:rsidRPr="00991DD7" w14:paraId="7EBC7C16" w14:textId="77777777" w:rsidTr="00DF180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560" w:type="dxa"/>
            <w:vAlign w:val="bottom"/>
          </w:tcPr>
          <w:p w14:paraId="227555A7" w14:textId="3430C431" w:rsidR="00CF50DC" w:rsidRPr="00C2021F" w:rsidRDefault="00CF50DC" w:rsidP="00CF50DC">
            <w:pPr>
              <w:spacing w:after="0" w:line="276" w:lineRule="auto"/>
              <w:contextualSpacing/>
              <w:rPr>
                <w:rFonts w:ascii="Calibri" w:eastAsia="Calibri" w:hAnsi="Calibri" w:cs="Calibri"/>
                <w:b w:val="0"/>
                <w:bCs w:val="0"/>
                <w:color w:val="auto"/>
                <w:sz w:val="22"/>
              </w:rPr>
            </w:pPr>
            <w:r w:rsidRPr="00C2021F">
              <w:rPr>
                <w:rFonts w:ascii="Calibri" w:eastAsia="Calibri" w:hAnsi="Calibri" w:cs="Calibri"/>
                <w:color w:val="auto"/>
                <w:sz w:val="22"/>
              </w:rPr>
              <w:t>PESES-3</w:t>
            </w:r>
            <w:r w:rsidRPr="00C2021F">
              <w:rPr>
                <w:rFonts w:ascii="Calibri" w:eastAsia="Calibri" w:hAnsi="Calibri" w:cs="Calibri"/>
                <w:color w:val="auto"/>
                <w:sz w:val="22"/>
              </w:rPr>
              <w:br/>
            </w:r>
            <w:r w:rsidRPr="00C2021F">
              <w:rPr>
                <w:rFonts w:ascii="Calibri" w:eastAsia="Calibri" w:hAnsi="Calibri" w:cs="Calibri"/>
                <w:b w:val="0"/>
                <w:bCs w:val="0"/>
                <w:color w:val="auto"/>
                <w:sz w:val="22"/>
              </w:rPr>
              <w:t>base of band</w:t>
            </w:r>
          </w:p>
          <w:p w14:paraId="0A63B00D" w14:textId="77777777" w:rsidR="00CF50DC" w:rsidRPr="00C2021F" w:rsidRDefault="00CF50DC" w:rsidP="00CF50DC">
            <w:pPr>
              <w:spacing w:after="0"/>
              <w:contextualSpacing/>
              <w:rPr>
                <w:rFonts w:ascii="Calibri" w:eastAsia="Rockwell" w:hAnsi="Calibri" w:cs="Calibri"/>
                <w:color w:val="auto"/>
                <w:sz w:val="22"/>
                <w:lang w:val="en-US"/>
              </w:rPr>
            </w:pPr>
            <w:r w:rsidRPr="00C2021F">
              <w:rPr>
                <w:rFonts w:ascii="Calibri" w:eastAsia="Rockwell" w:hAnsi="Calibri" w:cs="Calibri"/>
                <w:b w:val="0"/>
                <w:bCs w:val="0"/>
                <w:color w:val="auto"/>
                <w:sz w:val="22"/>
                <w:lang w:val="en-US"/>
              </w:rPr>
              <w:t>top of band</w:t>
            </w:r>
          </w:p>
        </w:tc>
        <w:tc>
          <w:tcPr>
            <w:tcW w:w="1417" w:type="dxa"/>
            <w:vAlign w:val="bottom"/>
          </w:tcPr>
          <w:p w14:paraId="6F6926CA" w14:textId="77777777" w:rsidR="00CF50DC" w:rsidRPr="00C2021F" w:rsidRDefault="00CF50DC" w:rsidP="00CF50DC">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p>
          <w:p w14:paraId="30020D11" w14:textId="77777777" w:rsidR="00CF50DC" w:rsidRPr="00C2021F" w:rsidRDefault="00CF50DC" w:rsidP="00CF50DC">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384,541</w:t>
            </w:r>
          </w:p>
          <w:p w14:paraId="0EFE93E6" w14:textId="59BC1E6A"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511,862</w:t>
            </w:r>
          </w:p>
        </w:tc>
        <w:tc>
          <w:tcPr>
            <w:tcW w:w="1418" w:type="dxa"/>
            <w:tcMar>
              <w:right w:w="0" w:type="dxa"/>
            </w:tcMar>
            <w:vAlign w:val="bottom"/>
          </w:tcPr>
          <w:p w14:paraId="023405B6" w14:textId="77777777" w:rsidR="00CF50DC" w:rsidRPr="00C2021F" w:rsidRDefault="00CF50DC" w:rsidP="00CF50DC">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14,370</w:t>
            </w:r>
          </w:p>
          <w:p w14:paraId="611AAD27" w14:textId="20CBCDBE" w:rsidR="00CF50DC" w:rsidRPr="00C2021F" w:rsidRDefault="00CF50DC" w:rsidP="00CF50DC">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19,463</w:t>
            </w:r>
          </w:p>
        </w:tc>
        <w:tc>
          <w:tcPr>
            <w:tcW w:w="1701" w:type="dxa"/>
            <w:vAlign w:val="bottom"/>
          </w:tcPr>
          <w:p w14:paraId="415E4CA1" w14:textId="77777777"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C2021F">
              <w:rPr>
                <w:rFonts w:ascii="Calibri" w:eastAsia="Rockwell" w:hAnsi="Calibri" w:cs="Calibri"/>
                <w:bCs/>
                <w:color w:val="auto"/>
                <w:sz w:val="22"/>
                <w:lang w:val="en-US"/>
              </w:rPr>
              <w:t>2,107</w:t>
            </w:r>
          </w:p>
          <w:p w14:paraId="79B20049" w14:textId="59AE9161"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2,107</w:t>
            </w:r>
          </w:p>
        </w:tc>
        <w:tc>
          <w:tcPr>
            <w:tcW w:w="1417" w:type="dxa"/>
            <w:vAlign w:val="bottom"/>
          </w:tcPr>
          <w:p w14:paraId="03694C0C" w14:textId="77777777"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C2021F">
              <w:rPr>
                <w:rFonts w:ascii="Calibri" w:eastAsia="Rockwell" w:hAnsi="Calibri" w:cs="Calibri"/>
                <w:bCs/>
                <w:color w:val="auto"/>
                <w:sz w:val="22"/>
                <w:lang w:val="en-US"/>
              </w:rPr>
              <w:t>16,477</w:t>
            </w:r>
          </w:p>
          <w:p w14:paraId="75B00CCC" w14:textId="79971DDB"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21,569</w:t>
            </w:r>
          </w:p>
        </w:tc>
        <w:tc>
          <w:tcPr>
            <w:tcW w:w="991" w:type="dxa"/>
            <w:vAlign w:val="bottom"/>
          </w:tcPr>
          <w:p w14:paraId="711D9104" w14:textId="77777777"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color w:val="auto"/>
                <w:sz w:val="22"/>
                <w:lang w:val="en-US"/>
              </w:rPr>
            </w:pPr>
            <w:r w:rsidRPr="00C2021F">
              <w:rPr>
                <w:rFonts w:ascii="Calibri" w:eastAsia="Rockwell" w:hAnsi="Calibri" w:cs="Calibri"/>
                <w:bCs/>
                <w:color w:val="auto"/>
                <w:sz w:val="22"/>
                <w:lang w:val="en-US"/>
              </w:rPr>
              <w:t>401,018</w:t>
            </w:r>
          </w:p>
          <w:p w14:paraId="45A5A51F" w14:textId="16514C21" w:rsidR="00CF50DC" w:rsidRPr="00C2021F" w:rsidRDefault="00CF50DC" w:rsidP="00CF50DC">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w:eastAsia="Rockwell" w:hAnsi="Calibri" w:cs="Calibri"/>
                <w:bCs/>
                <w:color w:val="auto"/>
                <w:sz w:val="22"/>
                <w:lang w:val="en-US"/>
              </w:rPr>
            </w:pPr>
            <w:r w:rsidRPr="00C2021F">
              <w:rPr>
                <w:rFonts w:ascii="Calibri" w:eastAsia="Rockwell" w:hAnsi="Calibri" w:cs="Calibri"/>
                <w:bCs/>
                <w:color w:val="auto"/>
                <w:sz w:val="22"/>
                <w:lang w:val="en-US"/>
              </w:rPr>
              <w:t>533,431</w:t>
            </w:r>
          </w:p>
        </w:tc>
      </w:tr>
    </w:tbl>
    <w:p w14:paraId="4A5140F1" w14:textId="356266D9" w:rsidR="006A11C7" w:rsidRDefault="006A11C7" w:rsidP="006A11C7">
      <w:pPr>
        <w:pStyle w:val="09Sourcesandnotesfortablesfiguresboxes"/>
      </w:pPr>
      <w:r>
        <w:t xml:space="preserve">Note: (a) </w:t>
      </w:r>
      <w:r w:rsidRPr="00BC6EC5">
        <w:t>Differences in this table between the total adjustment and the sum of the</w:t>
      </w:r>
      <w:r>
        <w:t xml:space="preserve"> adjustments to the</w:t>
      </w:r>
      <w:r w:rsidRPr="00BC6EC5">
        <w:t xml:space="preserve"> salary component and superannuation component are due to rounding.</w:t>
      </w:r>
    </w:p>
    <w:p w14:paraId="7BE3C9E3" w14:textId="290FC7E4" w:rsidR="00C96DDE" w:rsidRPr="003D3B19" w:rsidRDefault="00C96DDE" w:rsidP="00C96DDE">
      <w:pPr>
        <w:pStyle w:val="05Paragraph"/>
        <w:rPr>
          <w:color w:val="auto"/>
        </w:rPr>
      </w:pPr>
      <w:r w:rsidRPr="004734EE">
        <w:t xml:space="preserve">The </w:t>
      </w:r>
      <w:r w:rsidR="000B795B" w:rsidRPr="004734EE">
        <w:t>Tribunal</w:t>
      </w:r>
      <w:r w:rsidR="0094305F">
        <w:t xml:space="preserve"> notes that it</w:t>
      </w:r>
      <w:r w:rsidR="000B795B">
        <w:t xml:space="preserve"> does</w:t>
      </w:r>
      <w:r w:rsidR="000B795B" w:rsidRPr="004734EE">
        <w:t xml:space="preserve"> not</w:t>
      </w:r>
      <w:r w:rsidR="0021523F" w:rsidRPr="004734EE">
        <w:t xml:space="preserve"> adjust </w:t>
      </w:r>
      <w:r w:rsidRPr="004734EE">
        <w:t xml:space="preserve">the remuneration </w:t>
      </w:r>
      <w:r w:rsidR="0021523F" w:rsidRPr="004734EE">
        <w:t>for</w:t>
      </w:r>
      <w:r w:rsidRPr="004734EE">
        <w:t xml:space="preserve"> individual executives</w:t>
      </w:r>
      <w:r w:rsidRPr="00A2007D">
        <w:t xml:space="preserve">, which is a matter for their employer. Nonetheless, under the </w:t>
      </w:r>
      <w:r w:rsidR="00572F98" w:rsidRPr="00A2007D">
        <w:t>PEER Policy</w:t>
      </w:r>
      <w:r w:rsidRPr="00A2007D">
        <w:t>, an executive must be remunerated within the relevant band set by the Tribunal.</w:t>
      </w:r>
      <w:r w:rsidR="007C3D52">
        <w:rPr>
          <w:rFonts w:ascii="ZWAdobeF" w:hAnsi="ZWAdobeF" w:cs="ZWAdobeF"/>
          <w:color w:val="auto"/>
          <w:sz w:val="2"/>
          <w:szCs w:val="2"/>
        </w:rPr>
        <w:t>63F</w:t>
      </w:r>
      <w:r w:rsidRPr="00A2007D">
        <w:rPr>
          <w:rStyle w:val="FootnoteReference"/>
        </w:rPr>
        <w:footnoteReference w:id="65"/>
      </w:r>
      <w:r w:rsidRPr="00A2007D">
        <w:t xml:space="preserve"> As a consequence, executives remunerated at or near the base of the relevant band immediately prior to 1 July 2023 will receive a TRP uplift to ensure </w:t>
      </w:r>
      <w:r w:rsidR="004E6A4C" w:rsidRPr="00A2007D">
        <w:t xml:space="preserve">that </w:t>
      </w:r>
      <w:r w:rsidRPr="00A2007D">
        <w:t xml:space="preserve">they continue to be remunerated within that band. </w:t>
      </w:r>
    </w:p>
    <w:p w14:paraId="46E486E2" w14:textId="59DAC747" w:rsidR="00B0425A" w:rsidRDefault="00B0425A" w:rsidP="009B4296">
      <w:pPr>
        <w:pStyle w:val="02VIRTHeading2"/>
      </w:pPr>
      <w:bookmarkStart w:id="131" w:name="_Toc138760919"/>
      <w:bookmarkStart w:id="132" w:name="_Toc138761079"/>
      <w:bookmarkStart w:id="133" w:name="_Toc138761228"/>
      <w:bookmarkStart w:id="134" w:name="_Toc138761747"/>
      <w:bookmarkStart w:id="135" w:name="_Toc138859172"/>
      <w:r>
        <w:t>4.4</w:t>
      </w:r>
      <w:r>
        <w:tab/>
        <w:t>Other considerations</w:t>
      </w:r>
      <w:bookmarkEnd w:id="131"/>
      <w:bookmarkEnd w:id="132"/>
      <w:bookmarkEnd w:id="133"/>
      <w:bookmarkEnd w:id="134"/>
      <w:bookmarkEnd w:id="135"/>
    </w:p>
    <w:p w14:paraId="61BEEF5F" w14:textId="41CF867F" w:rsidR="00B0425A" w:rsidRDefault="00B0425A" w:rsidP="00C06D68">
      <w:pPr>
        <w:pStyle w:val="05Paragraph"/>
      </w:pPr>
      <w:r w:rsidRPr="00304224">
        <w:t xml:space="preserve">Clause 7.2 of the Comprehensive Determination </w:t>
      </w:r>
      <w:r w:rsidR="00DD538D">
        <w:t xml:space="preserve">(as made) </w:t>
      </w:r>
      <w:r w:rsidR="00304224">
        <w:t>provided</w:t>
      </w:r>
      <w:r w:rsidRPr="00304224">
        <w:t xml:space="preserve"> that</w:t>
      </w:r>
      <w:r w:rsidR="001569F9" w:rsidRPr="00304224">
        <w:t>,</w:t>
      </w:r>
      <w:r w:rsidRPr="00304224">
        <w:t xml:space="preserve"> whe</w:t>
      </w:r>
      <w:r w:rsidR="00304224">
        <w:t>re</w:t>
      </w:r>
      <w:r w:rsidRPr="00304224">
        <w:t xml:space="preserve"> the work value of an executive’s position has been assessed using the </w:t>
      </w:r>
      <w:r w:rsidR="003E0A49" w:rsidRPr="00304224">
        <w:t xml:space="preserve">VPSC’s Public Entity Executive Classification Framework </w:t>
      </w:r>
      <w:r w:rsidR="001147AD">
        <w:t xml:space="preserve">(PEECF) </w:t>
      </w:r>
      <w:r w:rsidRPr="00304224">
        <w:t xml:space="preserve">and the position has a work value score of at least 21 points, the executive’s TRP must be </w:t>
      </w:r>
      <w:r w:rsidR="002206CF">
        <w:t>no less than</w:t>
      </w:r>
      <w:r w:rsidRPr="00304224">
        <w:t xml:space="preserve"> $192,800 per annum (for a 1.0 Full Time Equivalent position). This corresponded to the base of the </w:t>
      </w:r>
      <w:r w:rsidR="00AB3B15" w:rsidRPr="00304224">
        <w:t>Senior Executive Service-1 (</w:t>
      </w:r>
      <w:r w:rsidRPr="00304224">
        <w:t>SES-1</w:t>
      </w:r>
      <w:r w:rsidR="00AB3B15" w:rsidRPr="00304224">
        <w:t>)</w:t>
      </w:r>
      <w:r w:rsidRPr="00304224">
        <w:t xml:space="preserve"> remuneration band at the time the Comprehensive Determination was made.</w:t>
      </w:r>
    </w:p>
    <w:p w14:paraId="22E88DF4" w14:textId="76BEB663" w:rsidR="00B0425A" w:rsidRDefault="00BF7D5E" w:rsidP="00C06D68">
      <w:pPr>
        <w:pStyle w:val="05Paragraph"/>
      </w:pPr>
      <w:r>
        <w:t>T</w:t>
      </w:r>
      <w:r w:rsidR="00FC471F">
        <w:t xml:space="preserve">he Tribunal </w:t>
      </w:r>
      <w:r w:rsidR="00F36D9A">
        <w:t>maintained th</w:t>
      </w:r>
      <w:r w:rsidR="00025C46">
        <w:t>is nexus</w:t>
      </w:r>
      <w:r>
        <w:t xml:space="preserve"> </w:t>
      </w:r>
      <w:r w:rsidR="00604912">
        <w:t xml:space="preserve">when it made the 2021 and 2022 </w:t>
      </w:r>
      <w:r w:rsidR="00047916">
        <w:t>a</w:t>
      </w:r>
      <w:r w:rsidR="00604912">
        <w:t xml:space="preserve">nnual </w:t>
      </w:r>
      <w:r w:rsidR="00047916">
        <w:t>a</w:t>
      </w:r>
      <w:r w:rsidR="00604912">
        <w:t>djustment Determinations</w:t>
      </w:r>
      <w:r w:rsidR="00F27D45">
        <w:t xml:space="preserve">. </w:t>
      </w:r>
      <w:r w:rsidR="00B0425A" w:rsidRPr="00304224">
        <w:t>Consistent with th</w:t>
      </w:r>
      <w:r w:rsidR="00853195" w:rsidRPr="00304224">
        <w:t>at</w:t>
      </w:r>
      <w:r w:rsidR="00B0425A" w:rsidRPr="00304224">
        <w:t xml:space="preserve"> approach, the Tribunal</w:t>
      </w:r>
      <w:r w:rsidR="00853195" w:rsidRPr="00304224">
        <w:t xml:space="preserve"> has determined to increase the minimum TRP that </w:t>
      </w:r>
      <w:r w:rsidR="00AF59F2">
        <w:t>must</w:t>
      </w:r>
      <w:r w:rsidR="00AF59F2" w:rsidRPr="00304224">
        <w:t xml:space="preserve"> </w:t>
      </w:r>
      <w:r w:rsidR="00853195" w:rsidRPr="00304224">
        <w:t xml:space="preserve">be provided to an executive in a prescribed public entity </w:t>
      </w:r>
      <w:r w:rsidR="00DF38A2">
        <w:t>whose</w:t>
      </w:r>
      <w:r w:rsidR="00853195" w:rsidRPr="00304224">
        <w:t xml:space="preserve"> position has a work value score of at least 21 points to $</w:t>
      </w:r>
      <w:r w:rsidR="00A72C5E">
        <w:t>216,376</w:t>
      </w:r>
      <w:r w:rsidR="00853195" w:rsidRPr="00304224">
        <w:t xml:space="preserve"> per annum</w:t>
      </w:r>
      <w:r w:rsidR="00E70A0E">
        <w:t xml:space="preserve">, being </w:t>
      </w:r>
      <w:r w:rsidR="00853195" w:rsidRPr="00304224">
        <w:t>the value of the base of the SES-</w:t>
      </w:r>
      <w:r w:rsidR="0020263D" w:rsidRPr="00304224">
        <w:t>1</w:t>
      </w:r>
      <w:r w:rsidR="00853195" w:rsidRPr="00304224">
        <w:t xml:space="preserve"> remuneration band </w:t>
      </w:r>
      <w:r w:rsidR="002206CF">
        <w:t>from</w:t>
      </w:r>
      <w:r w:rsidR="0020263D" w:rsidRPr="00304224">
        <w:t> </w:t>
      </w:r>
      <w:r w:rsidR="00853195" w:rsidRPr="00304224">
        <w:t>1</w:t>
      </w:r>
      <w:r w:rsidR="0020263D" w:rsidRPr="00304224">
        <w:t> </w:t>
      </w:r>
      <w:r w:rsidR="00853195" w:rsidRPr="00304224">
        <w:t>July 202</w:t>
      </w:r>
      <w:r w:rsidR="00A72C5E">
        <w:t>3</w:t>
      </w:r>
      <w:r w:rsidR="00853195" w:rsidRPr="00304224">
        <w:t>.</w:t>
      </w:r>
    </w:p>
    <w:p w14:paraId="4D23FC74" w14:textId="00492BE7" w:rsidR="000137CD" w:rsidRPr="0081529E" w:rsidRDefault="000137CD" w:rsidP="00C06D68">
      <w:pPr>
        <w:pStyle w:val="05Paragraph"/>
      </w:pPr>
      <w:r w:rsidRPr="00121CFD">
        <w:t xml:space="preserve">The Comprehensive Determination also </w:t>
      </w:r>
      <w:r w:rsidR="00A25025" w:rsidRPr="00121CFD">
        <w:t>set arrangements for executives</w:t>
      </w:r>
      <w:r w:rsidR="002B29BD" w:rsidRPr="00121CFD">
        <w:t xml:space="preserve"> employed in prescribed public entities </w:t>
      </w:r>
      <w:r w:rsidR="00A25025" w:rsidRPr="00121CFD">
        <w:t xml:space="preserve">whose position does not meet the minimum work value score under </w:t>
      </w:r>
      <w:r w:rsidR="002B29BD" w:rsidRPr="00121CFD">
        <w:t>the PEECF</w:t>
      </w:r>
      <w:r w:rsidR="00A25025" w:rsidRPr="00121CFD">
        <w:t>.</w:t>
      </w:r>
      <w:r w:rsidR="0008446D" w:rsidRPr="00121CFD">
        <w:t xml:space="preserve"> The effect of the 2023 PE Annual Adjustment Determination </w:t>
      </w:r>
      <w:r w:rsidR="00976857" w:rsidRPr="00121CFD">
        <w:t xml:space="preserve">for this cohort </w:t>
      </w:r>
      <w:r w:rsidR="00606D83" w:rsidRPr="00121CFD">
        <w:t xml:space="preserve">is that </w:t>
      </w:r>
      <w:r w:rsidRPr="00121CFD">
        <w:t xml:space="preserve">the only executives in prescribed public entities with a TRP between </w:t>
      </w:r>
      <w:r w:rsidR="00606D83" w:rsidRPr="00121CFD">
        <w:t>$151,134 and $216,375</w:t>
      </w:r>
      <w:r w:rsidRPr="00121CFD">
        <w:t xml:space="preserve"> may be Chief Executive Officers (or equivalent) whose position does not </w:t>
      </w:r>
      <w:r w:rsidR="00E77858" w:rsidRPr="00121CFD">
        <w:t xml:space="preserve">have a work value score of 21 points </w:t>
      </w:r>
      <w:r w:rsidR="004348F8" w:rsidRPr="00121CFD">
        <w:t>under the PEECF</w:t>
      </w:r>
      <w:r w:rsidRPr="00121CFD">
        <w:t>.</w:t>
      </w:r>
    </w:p>
    <w:p w14:paraId="04E93BC7" w14:textId="440507DA" w:rsidR="009B4296" w:rsidRPr="00B0425A" w:rsidRDefault="009B4296" w:rsidP="00B0425A">
      <w:pPr>
        <w:pStyle w:val="02VIRTHeading2"/>
      </w:pPr>
      <w:bookmarkStart w:id="136" w:name="_Toc138760920"/>
      <w:bookmarkStart w:id="137" w:name="_Toc138761080"/>
      <w:bookmarkStart w:id="138" w:name="_Toc138761229"/>
      <w:bookmarkStart w:id="139" w:name="_Toc138761748"/>
      <w:bookmarkStart w:id="140" w:name="_Toc138859173"/>
      <w:r w:rsidRPr="00B0425A">
        <w:t>4.</w:t>
      </w:r>
      <w:r w:rsidR="00B0425A" w:rsidRPr="00B0425A">
        <w:t>5</w:t>
      </w:r>
      <w:r w:rsidRPr="00B0425A">
        <w:tab/>
        <w:t>Conclusion</w:t>
      </w:r>
      <w:bookmarkEnd w:id="136"/>
      <w:bookmarkEnd w:id="137"/>
      <w:bookmarkEnd w:id="138"/>
      <w:bookmarkEnd w:id="139"/>
      <w:bookmarkEnd w:id="140"/>
    </w:p>
    <w:p w14:paraId="61691FAF" w14:textId="6874202E" w:rsidR="009B4296" w:rsidRPr="009B4296" w:rsidRDefault="009B4296" w:rsidP="00C06D68">
      <w:pPr>
        <w:pStyle w:val="05Paragraph"/>
      </w:pPr>
      <w:r w:rsidRPr="009B4296">
        <w:t xml:space="preserve">This Statement of Reasons explains the Tribunal’s considerations in making the </w:t>
      </w:r>
      <w:r w:rsidR="002150F7">
        <w:t>202</w:t>
      </w:r>
      <w:r w:rsidR="000D4DCD">
        <w:t>3</w:t>
      </w:r>
      <w:r w:rsidR="002150F7">
        <w:t xml:space="preserve"> </w:t>
      </w:r>
      <w:r w:rsidR="007A3D9B">
        <w:t>PE</w:t>
      </w:r>
      <w:r w:rsidRPr="009B4296">
        <w:t xml:space="preserve"> Annual Adjustment Determination.</w:t>
      </w:r>
    </w:p>
    <w:p w14:paraId="18F15FEF" w14:textId="722E425D" w:rsidR="009B4296" w:rsidRPr="009B4296" w:rsidRDefault="009B4296" w:rsidP="00C06D68">
      <w:pPr>
        <w:pStyle w:val="05Paragraph"/>
      </w:pPr>
      <w:r w:rsidRPr="009B4296">
        <w:t xml:space="preserve">In </w:t>
      </w:r>
      <w:r w:rsidR="000B438F">
        <w:t>March</w:t>
      </w:r>
      <w:r w:rsidRPr="009B4296">
        <w:t xml:space="preserve"> 202</w:t>
      </w:r>
      <w:r w:rsidR="000B438F">
        <w:t>3</w:t>
      </w:r>
      <w:r w:rsidRPr="009B4296">
        <w:t xml:space="preserve">, the Tribunal published </w:t>
      </w:r>
      <w:r>
        <w:t>notice of its intention to make a</w:t>
      </w:r>
      <w:r w:rsidRPr="009B4296">
        <w:t xml:space="preserve"> Determination on its website, including details about the proposed Determination and a summary of the matters it was required to consider. The Tribunal also gave any affected person or class of affected persons a reasonable opportunity to make a submission regarding the proposed Determination. </w:t>
      </w:r>
      <w:r w:rsidR="00304F00">
        <w:t xml:space="preserve">The Tribunal received </w:t>
      </w:r>
      <w:r w:rsidR="007E1879">
        <w:t>one</w:t>
      </w:r>
      <w:r w:rsidR="00304F00">
        <w:t xml:space="preserve"> </w:t>
      </w:r>
      <w:r w:rsidR="007E1879">
        <w:t xml:space="preserve">confidential </w:t>
      </w:r>
      <w:r w:rsidR="00304F00">
        <w:t>submission.</w:t>
      </w:r>
    </w:p>
    <w:p w14:paraId="7EFA01C0" w14:textId="6EF425AC" w:rsidR="009B4296" w:rsidRPr="009B4296" w:rsidRDefault="009B4296" w:rsidP="00C06D68">
      <w:pPr>
        <w:pStyle w:val="05Paragraph"/>
      </w:pPr>
      <w:r w:rsidRPr="009B4296">
        <w:t>In accordance with the VIRTIPS Act, the Tribunal has determined to make an annual adjustment to the values of the remuneration bands, taking into account a range of considerations including:</w:t>
      </w:r>
    </w:p>
    <w:p w14:paraId="58223037" w14:textId="2D5FB59C" w:rsidR="009B4296" w:rsidRPr="009B4296" w:rsidRDefault="000F3117" w:rsidP="00C06D68">
      <w:pPr>
        <w:pStyle w:val="06VIRTBulletpoints"/>
      </w:pPr>
      <w:r>
        <w:t xml:space="preserve">current Victorian Government </w:t>
      </w:r>
      <w:r w:rsidRPr="006B7517">
        <w:t>statement</w:t>
      </w:r>
      <w:r>
        <w:t>s</w:t>
      </w:r>
      <w:r w:rsidRPr="006B7517">
        <w:t xml:space="preserve"> or polic</w:t>
      </w:r>
      <w:r>
        <w:t>ies</w:t>
      </w:r>
      <w:r w:rsidRPr="006B7517">
        <w:t xml:space="preserve"> with respect to </w:t>
      </w:r>
      <w:r w:rsidR="004346AA">
        <w:t xml:space="preserve">its </w:t>
      </w:r>
      <w:r w:rsidRPr="006B7517">
        <w:t>wages</w:t>
      </w:r>
      <w:r w:rsidR="004346AA">
        <w:t xml:space="preserve"> policy</w:t>
      </w:r>
      <w:r w:rsidRPr="006B7517">
        <w:t xml:space="preserve"> (or equivalent) and </w:t>
      </w:r>
      <w:r w:rsidRPr="00BC4D7D">
        <w:t>the remuneration and allowances of any specified occupational group</w:t>
      </w:r>
      <w:r w:rsidR="009B4296" w:rsidRPr="009B4296">
        <w:t xml:space="preserve"> (s</w:t>
      </w:r>
      <w:r w:rsidR="009B4296">
        <w:t xml:space="preserve">. </w:t>
      </w:r>
      <w:r w:rsidR="009B4296" w:rsidRPr="009B4296">
        <w:t>24(2)(a))</w:t>
      </w:r>
    </w:p>
    <w:p w14:paraId="532B5919" w14:textId="6B12281F" w:rsidR="009B4296" w:rsidRPr="009B4296" w:rsidRDefault="009B4296" w:rsidP="00C06D68">
      <w:pPr>
        <w:pStyle w:val="06VIRTBulletpoints"/>
      </w:pPr>
      <w:r w:rsidRPr="009B4296">
        <w:t>the financial position and fiscal strategy of the State of Victoria (s</w:t>
      </w:r>
      <w:r>
        <w:t xml:space="preserve">. </w:t>
      </w:r>
      <w:r w:rsidRPr="009B4296">
        <w:t xml:space="preserve">24(2)(b)) </w:t>
      </w:r>
    </w:p>
    <w:p w14:paraId="69FA66F9" w14:textId="77777777" w:rsidR="000F3117" w:rsidRDefault="009B4296" w:rsidP="00C06D68">
      <w:pPr>
        <w:pStyle w:val="06VIRTBulletpoints"/>
      </w:pPr>
      <w:r w:rsidRPr="009B4296">
        <w:t>current and projected economic conditions and trends (s</w:t>
      </w:r>
      <w:r>
        <w:t xml:space="preserve">. </w:t>
      </w:r>
      <w:r w:rsidRPr="009B4296">
        <w:t>24(2)(c))</w:t>
      </w:r>
    </w:p>
    <w:p w14:paraId="4105FE41" w14:textId="20AA6D74" w:rsidR="009B4296" w:rsidRPr="009B4296" w:rsidRDefault="000F3117" w:rsidP="00C06D68">
      <w:pPr>
        <w:pStyle w:val="06VIRTBulletpoints"/>
      </w:pPr>
      <w:r>
        <w:t>submissions received (s. 24(2)(d))</w:t>
      </w:r>
      <w:r w:rsidR="009B4296" w:rsidRPr="009B4296">
        <w:t>.</w:t>
      </w:r>
    </w:p>
    <w:p w14:paraId="59F4B1F1" w14:textId="5CE59A10" w:rsidR="00885EDA" w:rsidRDefault="00885EDA" w:rsidP="00C06D68">
      <w:pPr>
        <w:pStyle w:val="05Paragraph"/>
      </w:pPr>
      <w:r w:rsidRPr="00885EDA">
        <w:t>In doing so, the Tribunal has been mindful of continuing to ensure that public entity employers are able to offer remuneration arrangements that are fair and reasonable.</w:t>
      </w:r>
    </w:p>
    <w:p w14:paraId="1DF7EC37" w14:textId="4F390180" w:rsidR="009B4296" w:rsidRPr="009B4296" w:rsidRDefault="009B4296" w:rsidP="00C06D68">
      <w:pPr>
        <w:pStyle w:val="05Paragraph"/>
      </w:pPr>
      <w:r w:rsidRPr="009B4296">
        <w:t>Th</w:t>
      </w:r>
      <w:r>
        <w:t>is</w:t>
      </w:r>
      <w:r w:rsidRPr="009B4296">
        <w:t xml:space="preserve"> Determination adjusts the values of the remuneration bands by:</w:t>
      </w:r>
    </w:p>
    <w:p w14:paraId="4B2DC356" w14:textId="68DBB18C" w:rsidR="009B4296" w:rsidRPr="009B4296" w:rsidRDefault="009B4296" w:rsidP="00C06D68">
      <w:pPr>
        <w:pStyle w:val="06VIRTBulletpoints"/>
      </w:pPr>
      <w:r w:rsidRPr="009B4296">
        <w:t xml:space="preserve">a </w:t>
      </w:r>
      <w:r w:rsidR="00DF38A2">
        <w:t>4</w:t>
      </w:r>
      <w:r w:rsidRPr="009B4296">
        <w:t xml:space="preserve"> per cent</w:t>
      </w:r>
      <w:r w:rsidR="00215A9C">
        <w:t xml:space="preserve"> adjustment</w:t>
      </w:r>
      <w:r w:rsidRPr="009B4296">
        <w:t xml:space="preserve"> applied to the notional salary component of the remuneration bands</w:t>
      </w:r>
    </w:p>
    <w:p w14:paraId="115CE6D0" w14:textId="3DE2F271" w:rsidR="009B4296" w:rsidRPr="009B4296" w:rsidRDefault="009B4296" w:rsidP="00C06D68">
      <w:pPr>
        <w:pStyle w:val="06VIRTBulletpoints"/>
        <w:rPr>
          <w:b/>
        </w:rPr>
      </w:pPr>
      <w:r w:rsidRPr="009B4296">
        <w:t>a further amount, ranging from $</w:t>
      </w:r>
      <w:r w:rsidR="00DF38A2">
        <w:t>1,231</w:t>
      </w:r>
      <w:r w:rsidRPr="009B4296">
        <w:t xml:space="preserve"> to $</w:t>
      </w:r>
      <w:r w:rsidR="00DF38A2">
        <w:t>2,107</w:t>
      </w:r>
      <w:r w:rsidRPr="009B4296">
        <w:t>, to take into account</w:t>
      </w:r>
      <w:r w:rsidRPr="009B4296" w:rsidDel="00470451">
        <w:t xml:space="preserve"> </w:t>
      </w:r>
      <w:r w:rsidRPr="009B4296">
        <w:t xml:space="preserve">changes </w:t>
      </w:r>
      <w:r w:rsidRPr="009B4296" w:rsidDel="00B50676">
        <w:t xml:space="preserve">to </w:t>
      </w:r>
      <w:r w:rsidRPr="009B4296">
        <w:t>superannuation entitlements</w:t>
      </w:r>
      <w:r w:rsidR="00134E7A">
        <w:t xml:space="preserve"> </w:t>
      </w:r>
      <w:r w:rsidR="00134E7A" w:rsidRPr="00134E7A">
        <w:t>that will occur on 1</w:t>
      </w:r>
      <w:r w:rsidR="00DD50BE">
        <w:t> </w:t>
      </w:r>
      <w:r w:rsidR="00134E7A" w:rsidRPr="00134E7A">
        <w:t>July</w:t>
      </w:r>
      <w:r w:rsidR="00DD50BE">
        <w:t> </w:t>
      </w:r>
      <w:r w:rsidR="00134E7A" w:rsidRPr="00134E7A">
        <w:t>2023</w:t>
      </w:r>
      <w:r w:rsidRPr="009B4296">
        <w:t>.</w:t>
      </w:r>
    </w:p>
    <w:p w14:paraId="1900214E" w14:textId="269587AE" w:rsidR="005C425D" w:rsidRPr="005C425D" w:rsidRDefault="009B4296" w:rsidP="00C06D68">
      <w:pPr>
        <w:pStyle w:val="05Paragraph"/>
      </w:pPr>
      <w:r w:rsidRPr="009B4296">
        <w:t>Th</w:t>
      </w:r>
      <w:r>
        <w:t>is</w:t>
      </w:r>
      <w:r w:rsidRPr="009B4296">
        <w:t xml:space="preserve"> Determination will take effect on 1 July 202</w:t>
      </w:r>
      <w:r w:rsidR="00D32FC9">
        <w:t>3</w:t>
      </w:r>
      <w:r w:rsidRPr="009B4296">
        <w:t>.</w:t>
      </w:r>
    </w:p>
    <w:p w14:paraId="2D7AE8FE" w14:textId="77777777" w:rsidR="00B17602" w:rsidRDefault="00B17602" w:rsidP="00051414">
      <w:pPr>
        <w:pStyle w:val="Chapterheading"/>
        <w:sectPr w:rsidR="00B17602" w:rsidSect="003045CA">
          <w:pgSz w:w="11906" w:h="16838"/>
          <w:pgMar w:top="1701" w:right="1701" w:bottom="1559" w:left="1701" w:header="708" w:footer="708" w:gutter="0"/>
          <w:cols w:space="708"/>
          <w:titlePg/>
          <w:docGrid w:linePitch="360"/>
        </w:sectPr>
      </w:pPr>
    </w:p>
    <w:p w14:paraId="44A542F0" w14:textId="2EABA580" w:rsidR="00051414" w:rsidRPr="00907DBA" w:rsidRDefault="00051414" w:rsidP="000232F3">
      <w:pPr>
        <w:pStyle w:val="Chapter"/>
      </w:pPr>
      <w:bookmarkStart w:id="141" w:name="_Toc138761749"/>
      <w:bookmarkStart w:id="142" w:name="_Toc138760921"/>
      <w:bookmarkStart w:id="143" w:name="_Toc138859174"/>
      <w:r w:rsidRPr="000232F3">
        <w:rPr>
          <w:rStyle w:val="01ChapterheadingChar"/>
        </w:rPr>
        <w:t>References</w:t>
      </w:r>
      <w:bookmarkEnd w:id="141"/>
      <w:bookmarkEnd w:id="143"/>
      <w:r>
        <w:br/>
      </w:r>
      <w:bookmarkEnd w:id="142"/>
    </w:p>
    <w:p w14:paraId="5E28E47B" w14:textId="5F300435" w:rsidR="00BD51A7" w:rsidRDefault="00BD51A7" w:rsidP="00217ADC">
      <w:pPr>
        <w:pStyle w:val="05Paragraph"/>
        <w:spacing w:before="160"/>
        <w:ind w:left="720" w:hanging="720"/>
        <w:jc w:val="left"/>
      </w:pPr>
      <w:r w:rsidRPr="0086110F">
        <w:t>Australian Bureau of Statistics (ABS) (</w:t>
      </w:r>
      <w:r>
        <w:t>2022</w:t>
      </w:r>
      <w:r w:rsidRPr="0086110F">
        <w:t xml:space="preserve">), </w:t>
      </w:r>
      <w:r w:rsidRPr="00BB62A9">
        <w:rPr>
          <w:i/>
          <w:iCs/>
        </w:rPr>
        <w:t xml:space="preserve">Australian National Accounts: </w:t>
      </w:r>
      <w:r w:rsidR="005433EF" w:rsidRPr="00BB62A9">
        <w:rPr>
          <w:i/>
          <w:iCs/>
        </w:rPr>
        <w:t>State Accounts</w:t>
      </w:r>
      <w:r w:rsidR="005433EF" w:rsidRPr="006D63B8">
        <w:t xml:space="preserve">, </w:t>
      </w:r>
      <w:r w:rsidR="005433EF">
        <w:t>2021-22 financial year</w:t>
      </w:r>
      <w:r w:rsidRPr="006D63B8">
        <w:t>.</w:t>
      </w:r>
    </w:p>
    <w:p w14:paraId="61D22703" w14:textId="441A4222" w:rsidR="00BD51A7" w:rsidRDefault="00BD51A7" w:rsidP="00217ADC">
      <w:pPr>
        <w:pStyle w:val="05Paragraph"/>
        <w:spacing w:before="160"/>
        <w:ind w:left="720" w:hanging="720"/>
        <w:jc w:val="left"/>
      </w:pPr>
      <w:r w:rsidRPr="005B51BA">
        <w:t>——— (202</w:t>
      </w:r>
      <w:r w:rsidR="005433EF">
        <w:t>3a</w:t>
      </w:r>
      <w:r w:rsidRPr="005B51BA">
        <w:t>),</w:t>
      </w:r>
      <w:r>
        <w:t xml:space="preserve"> </w:t>
      </w:r>
      <w:r w:rsidRPr="00BB62A9">
        <w:rPr>
          <w:i/>
          <w:iCs/>
        </w:rPr>
        <w:t xml:space="preserve">Australian National Accounts: </w:t>
      </w:r>
      <w:r w:rsidR="00027E8D">
        <w:rPr>
          <w:i/>
          <w:iCs/>
        </w:rPr>
        <w:t>National Income, Expenditure and Product</w:t>
      </w:r>
      <w:r w:rsidRPr="006D63B8">
        <w:t xml:space="preserve">, </w:t>
      </w:r>
      <w:r w:rsidR="00027E8D">
        <w:t>March quarter 2023</w:t>
      </w:r>
      <w:r>
        <w:t>.</w:t>
      </w:r>
    </w:p>
    <w:p w14:paraId="7FBD5F48" w14:textId="5F757766" w:rsidR="00F40ADD" w:rsidRDefault="00F40ADD" w:rsidP="00217ADC">
      <w:pPr>
        <w:pStyle w:val="05Paragraph"/>
        <w:spacing w:before="160"/>
        <w:ind w:left="720" w:hanging="720"/>
        <w:jc w:val="left"/>
      </w:pPr>
      <w:r>
        <w:t xml:space="preserve">——— (2023b), </w:t>
      </w:r>
      <w:r w:rsidRPr="36E40301">
        <w:rPr>
          <w:i/>
          <w:iCs/>
        </w:rPr>
        <w:t>Average Weekly Earnings, Australia</w:t>
      </w:r>
      <w:r>
        <w:t xml:space="preserve">, </w:t>
      </w:r>
      <w:r w:rsidR="00E95127">
        <w:t xml:space="preserve">reference period </w:t>
      </w:r>
      <w:r>
        <w:t>November 2022.</w:t>
      </w:r>
    </w:p>
    <w:p w14:paraId="7757C8C6" w14:textId="604C846B" w:rsidR="00BD51A7" w:rsidRDefault="00BD51A7" w:rsidP="00217ADC">
      <w:pPr>
        <w:pStyle w:val="05Paragraph"/>
        <w:spacing w:before="160"/>
        <w:ind w:left="720" w:hanging="720"/>
        <w:jc w:val="left"/>
      </w:pPr>
      <w:r w:rsidRPr="005B51BA">
        <w:t>——— (202</w:t>
      </w:r>
      <w:r>
        <w:t>3</w:t>
      </w:r>
      <w:r w:rsidR="005433EF">
        <w:t>c</w:t>
      </w:r>
      <w:r w:rsidRPr="005B51BA">
        <w:t xml:space="preserve">), </w:t>
      </w:r>
      <w:r w:rsidRPr="00BB62A9">
        <w:rPr>
          <w:i/>
          <w:iCs/>
        </w:rPr>
        <w:t>Consumer Price Index, Australia</w:t>
      </w:r>
      <w:r w:rsidRPr="005B51BA">
        <w:t xml:space="preserve">, March </w:t>
      </w:r>
      <w:r>
        <w:t xml:space="preserve">quarter </w:t>
      </w:r>
      <w:r w:rsidRPr="005B51BA">
        <w:t>202</w:t>
      </w:r>
      <w:r>
        <w:t>3</w:t>
      </w:r>
      <w:r w:rsidRPr="005B51BA">
        <w:t>.</w:t>
      </w:r>
    </w:p>
    <w:p w14:paraId="4B851104" w14:textId="684DF6A7" w:rsidR="00257682" w:rsidRPr="005B51BA" w:rsidRDefault="00257682" w:rsidP="00217ADC">
      <w:pPr>
        <w:pStyle w:val="05Paragraph"/>
        <w:spacing w:before="160"/>
        <w:ind w:left="720" w:hanging="720"/>
        <w:jc w:val="left"/>
      </w:pPr>
      <w:r w:rsidRPr="00257682">
        <w:t xml:space="preserve">——— (2023d), </w:t>
      </w:r>
      <w:r w:rsidRPr="00257682">
        <w:rPr>
          <w:i/>
          <w:iCs/>
        </w:rPr>
        <w:t>Consumer Price Index, Australia, methodology</w:t>
      </w:r>
      <w:r w:rsidRPr="00257682">
        <w:t xml:space="preserve">, reference period March quarter 2023, </w:t>
      </w:r>
      <w:hyperlink r:id="rId20" w:history="1">
        <w:r w:rsidR="00B565DC" w:rsidRPr="001B78D7">
          <w:rPr>
            <w:rStyle w:val="Hyperlink"/>
          </w:rPr>
          <w:t>https://www.abs.gov.au/methodologies/consumer-price-index-australia-methodology/mar-quarter-2023</w:t>
        </w:r>
      </w:hyperlink>
      <w:r w:rsidRPr="00257682">
        <w:t>, last updated 26</w:t>
      </w:r>
      <w:r w:rsidR="000E7CA6">
        <w:t> </w:t>
      </w:r>
      <w:r w:rsidRPr="00257682">
        <w:t>April 2023.</w:t>
      </w:r>
    </w:p>
    <w:p w14:paraId="7DBE569A" w14:textId="3B6C1542" w:rsidR="00BD51A7" w:rsidRPr="005B51BA" w:rsidRDefault="00BD51A7" w:rsidP="00217ADC">
      <w:pPr>
        <w:pStyle w:val="05Paragraph"/>
        <w:spacing w:before="160"/>
        <w:ind w:left="720" w:hanging="720"/>
        <w:jc w:val="left"/>
      </w:pPr>
      <w:r w:rsidRPr="005B51BA">
        <w:t>——— (202</w:t>
      </w:r>
      <w:r>
        <w:t>3</w:t>
      </w:r>
      <w:r w:rsidR="00B567F2">
        <w:t>e</w:t>
      </w:r>
      <w:r w:rsidRPr="005B51BA">
        <w:t xml:space="preserve">), </w:t>
      </w:r>
      <w:r w:rsidRPr="00BB62A9">
        <w:rPr>
          <w:i/>
          <w:iCs/>
        </w:rPr>
        <w:t>Labour Force, Australia</w:t>
      </w:r>
      <w:r w:rsidRPr="005B51BA">
        <w:t>, May 202</w:t>
      </w:r>
      <w:r>
        <w:t>3</w:t>
      </w:r>
      <w:r w:rsidRPr="005B51BA">
        <w:t>.</w:t>
      </w:r>
    </w:p>
    <w:p w14:paraId="0A0D49C2" w14:textId="0AEE6411" w:rsidR="00BD51A7" w:rsidRPr="005B51BA" w:rsidRDefault="00BD51A7" w:rsidP="00217ADC">
      <w:pPr>
        <w:pStyle w:val="05Paragraph"/>
        <w:spacing w:before="160"/>
        <w:ind w:left="720" w:hanging="720"/>
        <w:jc w:val="left"/>
      </w:pPr>
      <w:r w:rsidRPr="005B51BA">
        <w:t>——— (202</w:t>
      </w:r>
      <w:r>
        <w:t>3</w:t>
      </w:r>
      <w:r w:rsidR="00B567F2">
        <w:t>f</w:t>
      </w:r>
      <w:r w:rsidRPr="005B51BA">
        <w:t xml:space="preserve">), </w:t>
      </w:r>
      <w:r w:rsidRPr="00BB62A9">
        <w:rPr>
          <w:i/>
          <w:iCs/>
        </w:rPr>
        <w:t>Wage Price Index, Australia</w:t>
      </w:r>
      <w:r w:rsidRPr="005B51BA">
        <w:t xml:space="preserve">, March </w:t>
      </w:r>
      <w:r>
        <w:t xml:space="preserve">quarter </w:t>
      </w:r>
      <w:r w:rsidRPr="005B51BA">
        <w:t>202</w:t>
      </w:r>
      <w:r>
        <w:t>3</w:t>
      </w:r>
      <w:r w:rsidRPr="005B51BA">
        <w:t>.</w:t>
      </w:r>
    </w:p>
    <w:p w14:paraId="33F7E25D" w14:textId="7D45C3C9" w:rsidR="00692671" w:rsidRPr="004E146F" w:rsidRDefault="00BD51A7" w:rsidP="00217ADC">
      <w:pPr>
        <w:pStyle w:val="05Paragraph"/>
        <w:spacing w:before="160"/>
        <w:ind w:left="720" w:hanging="720"/>
        <w:jc w:val="left"/>
      </w:pPr>
      <w:r w:rsidRPr="004E146F">
        <w:t>Australian Taxation Office (202</w:t>
      </w:r>
      <w:r>
        <w:t>3</w:t>
      </w:r>
      <w:r w:rsidRPr="004E146F">
        <w:t xml:space="preserve">), </w:t>
      </w:r>
      <w:r w:rsidRPr="00B565DC">
        <w:rPr>
          <w:i/>
          <w:iCs/>
        </w:rPr>
        <w:t>Maximum super contribution base</w:t>
      </w:r>
      <w:r w:rsidRPr="004E146F">
        <w:t xml:space="preserve">, </w:t>
      </w:r>
      <w:hyperlink r:id="rId21" w:history="1">
        <w:r w:rsidR="00692671" w:rsidRPr="00692671">
          <w:rPr>
            <w:rStyle w:val="Hyperlink"/>
          </w:rPr>
          <w:t>https://www.ato.gov.au/rates/key-superannuation-rates-and-thresholds/?anchor=Maximumsupercontributionbase</w:t>
        </w:r>
      </w:hyperlink>
      <w:r w:rsidRPr="004E146F">
        <w:t xml:space="preserve">, last updated </w:t>
      </w:r>
      <w:r w:rsidR="00364123">
        <w:t>1</w:t>
      </w:r>
      <w:r>
        <w:t>5</w:t>
      </w:r>
      <w:r w:rsidR="00364123">
        <w:t> June</w:t>
      </w:r>
      <w:r w:rsidRPr="004E146F">
        <w:t xml:space="preserve"> 202</w:t>
      </w:r>
      <w:r>
        <w:t>3</w:t>
      </w:r>
      <w:r w:rsidR="00364123">
        <w:t>.</w:t>
      </w:r>
    </w:p>
    <w:p w14:paraId="597EA6D3" w14:textId="4AD25AF2" w:rsidR="00BD51A7" w:rsidRPr="004E146F" w:rsidRDefault="00BD51A7" w:rsidP="00217ADC">
      <w:pPr>
        <w:pStyle w:val="05Paragraph"/>
        <w:spacing w:before="160"/>
        <w:ind w:left="720" w:hanging="720"/>
        <w:jc w:val="left"/>
      </w:pPr>
      <w:r w:rsidRPr="00531A88">
        <w:t xml:space="preserve">Commonwealth of Australia (2023), </w:t>
      </w:r>
      <w:r w:rsidRPr="00531A88">
        <w:rPr>
          <w:i/>
          <w:iCs/>
        </w:rPr>
        <w:t>Budget 2023-24</w:t>
      </w:r>
      <w:r w:rsidRPr="00531A88">
        <w:t>.</w:t>
      </w:r>
    </w:p>
    <w:p w14:paraId="6AD2D985" w14:textId="6C7C56E2" w:rsidR="00BD51A7" w:rsidRDefault="00BD51A7" w:rsidP="00217ADC">
      <w:pPr>
        <w:pStyle w:val="05Paragraph"/>
        <w:spacing w:before="160"/>
        <w:ind w:left="720" w:hanging="720"/>
        <w:jc w:val="left"/>
      </w:pPr>
      <w:r w:rsidRPr="00A30602">
        <w:t xml:space="preserve">Department </w:t>
      </w:r>
      <w:r>
        <w:t>of</w:t>
      </w:r>
      <w:r w:rsidRPr="00A30602">
        <w:t xml:space="preserve"> Employment and Workplace Relations</w:t>
      </w:r>
      <w:r w:rsidR="3F713081">
        <w:t xml:space="preserve"> (2023</w:t>
      </w:r>
      <w:r w:rsidRPr="00A30602">
        <w:t xml:space="preserve">), </w:t>
      </w:r>
      <w:r w:rsidRPr="00A30602">
        <w:rPr>
          <w:i/>
          <w:iCs/>
        </w:rPr>
        <w:t xml:space="preserve">Trends in Enterprise Bargaining </w:t>
      </w:r>
      <w:r w:rsidRPr="00531A88">
        <w:rPr>
          <w:i/>
          <w:iCs/>
        </w:rPr>
        <w:t>—</w:t>
      </w:r>
      <w:r w:rsidRPr="00A30602">
        <w:rPr>
          <w:i/>
          <w:iCs/>
        </w:rPr>
        <w:t xml:space="preserve"> December quarter 2022</w:t>
      </w:r>
      <w:r w:rsidRPr="00A30602">
        <w:t>.</w:t>
      </w:r>
    </w:p>
    <w:p w14:paraId="35EFC099" w14:textId="54CD6840" w:rsidR="00BD51A7" w:rsidRDefault="00BD51A7" w:rsidP="00217ADC">
      <w:pPr>
        <w:pStyle w:val="05Paragraph"/>
        <w:spacing w:before="160"/>
        <w:ind w:left="720" w:hanging="720"/>
        <w:jc w:val="left"/>
      </w:pPr>
      <w:r w:rsidRPr="004E146F">
        <w:t>Department of Treasury and Finance</w:t>
      </w:r>
      <w:r w:rsidR="009F481C">
        <w:t xml:space="preserve"> </w:t>
      </w:r>
      <w:r w:rsidRPr="004E146F">
        <w:t>(DTF) (202</w:t>
      </w:r>
      <w:r>
        <w:t>3</w:t>
      </w:r>
      <w:r w:rsidRPr="004E146F">
        <w:t xml:space="preserve">), </w:t>
      </w:r>
      <w:r w:rsidRPr="003B1F4E">
        <w:rPr>
          <w:i/>
          <w:iCs/>
        </w:rPr>
        <w:t>Victorian Budget 2023/24</w:t>
      </w:r>
      <w:r w:rsidRPr="004E146F">
        <w:t>.</w:t>
      </w:r>
    </w:p>
    <w:p w14:paraId="169ABD4B" w14:textId="661630EB" w:rsidR="00BD51A7" w:rsidRPr="004E146F" w:rsidRDefault="00BD51A7" w:rsidP="00217ADC">
      <w:pPr>
        <w:pStyle w:val="05Paragraph"/>
        <w:spacing w:before="160"/>
        <w:ind w:left="720" w:hanging="720"/>
        <w:jc w:val="left"/>
      </w:pPr>
      <w:r w:rsidRPr="004E146F">
        <w:t>Fair Work Commission (FWC) (202</w:t>
      </w:r>
      <w:r>
        <w:t>3</w:t>
      </w:r>
      <w:r w:rsidRPr="004E146F">
        <w:t xml:space="preserve">), </w:t>
      </w:r>
      <w:r w:rsidR="00880425" w:rsidRPr="00841E2D">
        <w:rPr>
          <w:i/>
          <w:iCs/>
        </w:rPr>
        <w:t xml:space="preserve">Decision — </w:t>
      </w:r>
      <w:r w:rsidRPr="001810FC">
        <w:rPr>
          <w:i/>
          <w:iCs/>
        </w:rPr>
        <w:t>Annual Wage Review 2022-23</w:t>
      </w:r>
      <w:r w:rsidR="00222C6C">
        <w:t>,</w:t>
      </w:r>
      <w:r w:rsidR="00F51438">
        <w:t xml:space="preserve"> </w:t>
      </w:r>
      <w:hyperlink r:id="rId22" w:history="1">
        <w:r w:rsidR="00222C6C" w:rsidRPr="00073AB9">
          <w:rPr>
            <w:rStyle w:val="Hyperlink"/>
          </w:rPr>
          <w:t>https://www.fwc.gov.au/documents/resources/2023fwcfb3500.pdf</w:t>
        </w:r>
      </w:hyperlink>
      <w:r w:rsidR="00222C6C" w:rsidRPr="00222C6C">
        <w:t>, last accessed 26 June 2023</w:t>
      </w:r>
      <w:r w:rsidRPr="004E146F">
        <w:t>.</w:t>
      </w:r>
    </w:p>
    <w:p w14:paraId="495CA1E4" w14:textId="77777777" w:rsidR="00BD51A7" w:rsidRPr="004E146F" w:rsidRDefault="00BD51A7" w:rsidP="00217ADC">
      <w:pPr>
        <w:pStyle w:val="05Paragraph"/>
        <w:spacing w:before="160"/>
        <w:ind w:left="720" w:hanging="720"/>
        <w:jc w:val="left"/>
      </w:pPr>
      <w:r w:rsidRPr="004E146F">
        <w:t>Industrial Relations Victoria (202</w:t>
      </w:r>
      <w:r>
        <w:t>3</w:t>
      </w:r>
      <w:r w:rsidRPr="004E146F">
        <w:t xml:space="preserve">), </w:t>
      </w:r>
      <w:r w:rsidRPr="001810FC">
        <w:rPr>
          <w:i/>
          <w:iCs/>
        </w:rPr>
        <w:t>Wages Policy and the Enterprise Bargaining Framework</w:t>
      </w:r>
      <w:r w:rsidRPr="004E146F">
        <w:t>.</w:t>
      </w:r>
    </w:p>
    <w:p w14:paraId="45D7E03B" w14:textId="2E0E0B07" w:rsidR="00F977B5" w:rsidRDefault="00BD51A7" w:rsidP="00217ADC">
      <w:pPr>
        <w:pStyle w:val="05Paragraph"/>
        <w:spacing w:before="160"/>
        <w:ind w:left="720" w:hanging="720"/>
      </w:pPr>
      <w:r w:rsidRPr="004E146F">
        <w:t>Reserve Bank of Australia (RBA) (202</w:t>
      </w:r>
      <w:r w:rsidR="00E61C4A">
        <w:t>3</w:t>
      </w:r>
      <w:r w:rsidRPr="004E146F">
        <w:t>a),</w:t>
      </w:r>
      <w:r>
        <w:t xml:space="preserve"> </w:t>
      </w:r>
      <w:r w:rsidR="00F977B5" w:rsidRPr="00F977B5">
        <w:rPr>
          <w:i/>
          <w:iCs/>
        </w:rPr>
        <w:t>Forecast Table – May 2023</w:t>
      </w:r>
      <w:r w:rsidR="00F977B5">
        <w:t>.</w:t>
      </w:r>
    </w:p>
    <w:p w14:paraId="01BB71C9" w14:textId="239A78A6" w:rsidR="00BD51A7" w:rsidRPr="004E146F" w:rsidRDefault="00F977B5" w:rsidP="00B66C5D">
      <w:pPr>
        <w:pStyle w:val="05Paragraph"/>
        <w:spacing w:before="160"/>
        <w:ind w:left="720" w:hanging="720"/>
      </w:pPr>
      <w:r w:rsidRPr="004E146F">
        <w:t>———</w:t>
      </w:r>
      <w:r>
        <w:t xml:space="preserve"> (2023b) </w:t>
      </w:r>
      <w:r w:rsidR="00BD51A7" w:rsidRPr="0008245C">
        <w:rPr>
          <w:i/>
          <w:iCs/>
        </w:rPr>
        <w:t xml:space="preserve">Statement by Philip Lowe, Governor: Monetary </w:t>
      </w:r>
      <w:r w:rsidR="00BD51A7" w:rsidRPr="00B66C5D">
        <w:rPr>
          <w:i/>
          <w:iCs/>
        </w:rPr>
        <w:t>Policy Decision</w:t>
      </w:r>
      <w:r w:rsidR="00AF425C" w:rsidRPr="00B66C5D">
        <w:rPr>
          <w:i/>
          <w:iCs/>
        </w:rPr>
        <w:t xml:space="preserve"> –</w:t>
      </w:r>
      <w:r w:rsidR="00BD51A7" w:rsidRPr="00B66C5D">
        <w:rPr>
          <w:i/>
          <w:iCs/>
        </w:rPr>
        <w:t xml:space="preserve"> </w:t>
      </w:r>
      <w:r w:rsidR="00B66C5D" w:rsidRPr="00B66C5D">
        <w:rPr>
          <w:i/>
          <w:iCs/>
        </w:rPr>
        <w:t xml:space="preserve">June </w:t>
      </w:r>
      <w:r w:rsidR="00BD51A7" w:rsidRPr="00B66C5D">
        <w:rPr>
          <w:i/>
          <w:iCs/>
        </w:rPr>
        <w:t>2023</w:t>
      </w:r>
      <w:r w:rsidR="00BD51A7" w:rsidRPr="004E146F">
        <w:t>.</w:t>
      </w:r>
    </w:p>
    <w:p w14:paraId="0F08EA37" w14:textId="3345DFA1" w:rsidR="00BD51A7" w:rsidRDefault="00BD51A7" w:rsidP="00217ADC">
      <w:pPr>
        <w:pStyle w:val="05Paragraph"/>
        <w:spacing w:before="160"/>
        <w:ind w:left="720" w:hanging="720"/>
      </w:pPr>
      <w:r w:rsidRPr="004E146F">
        <w:t>——— (202</w:t>
      </w:r>
      <w:r w:rsidR="00E61C4A">
        <w:t>3</w:t>
      </w:r>
      <w:r w:rsidR="00F977B5">
        <w:t>c</w:t>
      </w:r>
      <w:r w:rsidRPr="004E146F">
        <w:t xml:space="preserve">), </w:t>
      </w:r>
      <w:r w:rsidRPr="00EB12C7">
        <w:rPr>
          <w:i/>
          <w:iCs/>
        </w:rPr>
        <w:t xml:space="preserve">Statement on Monetary Policy </w:t>
      </w:r>
      <w:r w:rsidRPr="00531A88">
        <w:rPr>
          <w:i/>
          <w:iCs/>
        </w:rPr>
        <w:t>—</w:t>
      </w:r>
      <w:r w:rsidRPr="00EB12C7">
        <w:rPr>
          <w:i/>
          <w:iCs/>
        </w:rPr>
        <w:t xml:space="preserve"> May 2023</w:t>
      </w:r>
      <w:r w:rsidRPr="004E146F">
        <w:t>.</w:t>
      </w:r>
    </w:p>
    <w:p w14:paraId="640DEA51" w14:textId="6EA9C2D4" w:rsidR="00BD51A7" w:rsidRPr="004E146F" w:rsidRDefault="00BD51A7" w:rsidP="00217ADC">
      <w:pPr>
        <w:pStyle w:val="05Paragraph"/>
        <w:spacing w:before="160"/>
        <w:ind w:left="720" w:hanging="720"/>
      </w:pPr>
      <w:r>
        <w:t xml:space="preserve">SEEK (2023), </w:t>
      </w:r>
      <w:r w:rsidRPr="00D72166">
        <w:rPr>
          <w:i/>
          <w:iCs/>
        </w:rPr>
        <w:t>Advertised Salary Index</w:t>
      </w:r>
      <w:r>
        <w:t xml:space="preserve">, </w:t>
      </w:r>
      <w:r w:rsidR="00B35018">
        <w:t>April</w:t>
      </w:r>
      <w:r>
        <w:t xml:space="preserve"> 2023.</w:t>
      </w:r>
    </w:p>
    <w:p w14:paraId="6CD3BD15" w14:textId="628598AD" w:rsidR="00330599" w:rsidRDefault="00F35887" w:rsidP="00217ADC">
      <w:pPr>
        <w:pStyle w:val="05Paragraph"/>
        <w:spacing w:before="160"/>
        <w:ind w:left="720" w:hanging="720"/>
        <w:rPr>
          <w:i/>
        </w:rPr>
      </w:pPr>
      <w:r>
        <w:t xml:space="preserve">State </w:t>
      </w:r>
      <w:r w:rsidR="00330599">
        <w:t>Government</w:t>
      </w:r>
      <w:r>
        <w:t xml:space="preserve"> of Victoria</w:t>
      </w:r>
      <w:r w:rsidR="00330599">
        <w:t xml:space="preserve"> (202</w:t>
      </w:r>
      <w:r w:rsidR="007422B6">
        <w:t>0</w:t>
      </w:r>
      <w:r w:rsidR="00330599">
        <w:t xml:space="preserve">), </w:t>
      </w:r>
      <w:r w:rsidR="00466262" w:rsidRPr="680AA49D">
        <w:rPr>
          <w:i/>
          <w:iCs/>
        </w:rPr>
        <w:t xml:space="preserve">Victorian Government </w:t>
      </w:r>
      <w:r w:rsidR="00330599" w:rsidRPr="680AA49D">
        <w:rPr>
          <w:i/>
          <w:iCs/>
        </w:rPr>
        <w:t xml:space="preserve">Public </w:t>
      </w:r>
      <w:r w:rsidR="00466262" w:rsidRPr="680AA49D">
        <w:rPr>
          <w:i/>
          <w:iCs/>
        </w:rPr>
        <w:t>E</w:t>
      </w:r>
      <w:r w:rsidR="00330599" w:rsidRPr="680AA49D">
        <w:rPr>
          <w:i/>
          <w:iCs/>
        </w:rPr>
        <w:t xml:space="preserve">ntity </w:t>
      </w:r>
      <w:r w:rsidR="00466262" w:rsidRPr="680AA49D">
        <w:rPr>
          <w:i/>
          <w:iCs/>
        </w:rPr>
        <w:t>E</w:t>
      </w:r>
      <w:r w:rsidR="00330599" w:rsidRPr="680AA49D">
        <w:rPr>
          <w:i/>
          <w:iCs/>
        </w:rPr>
        <w:t xml:space="preserve">xecutive </w:t>
      </w:r>
      <w:r w:rsidR="00466262" w:rsidRPr="680AA49D">
        <w:rPr>
          <w:i/>
          <w:iCs/>
        </w:rPr>
        <w:t>R</w:t>
      </w:r>
      <w:r w:rsidR="00330599" w:rsidRPr="680AA49D">
        <w:rPr>
          <w:i/>
          <w:iCs/>
        </w:rPr>
        <w:t xml:space="preserve">emuneration </w:t>
      </w:r>
      <w:r w:rsidR="00466262" w:rsidRPr="680AA49D">
        <w:rPr>
          <w:i/>
          <w:iCs/>
        </w:rPr>
        <w:t>P</w:t>
      </w:r>
      <w:r w:rsidR="00330599" w:rsidRPr="680AA49D">
        <w:rPr>
          <w:i/>
          <w:iCs/>
        </w:rPr>
        <w:t>olicy</w:t>
      </w:r>
      <w:r w:rsidR="70CC0A6A" w:rsidRPr="680AA49D">
        <w:rPr>
          <w:i/>
          <w:iCs/>
        </w:rPr>
        <w:t xml:space="preserve">, </w:t>
      </w:r>
      <w:hyperlink r:id="rId23" w:anchor="page=65" w:history="1">
        <w:r w:rsidR="005712AE" w:rsidRPr="005B46E0">
          <w:rPr>
            <w:rStyle w:val="Hyperlink"/>
            <w:i/>
            <w:iCs/>
          </w:rPr>
          <w:t>http://www.gazette.vic.gov.au/ gazette/Gazettes2020/GG2020G050.pdf#page=65</w:t>
        </w:r>
      </w:hyperlink>
      <w:r w:rsidR="70CC0A6A" w:rsidRPr="0E7CF972">
        <w:t>, last updated 17</w:t>
      </w:r>
      <w:r w:rsidR="005712AE">
        <w:t> </w:t>
      </w:r>
      <w:r w:rsidR="70CC0A6A" w:rsidRPr="0E7CF972">
        <w:t>December 2020.</w:t>
      </w:r>
    </w:p>
    <w:p w14:paraId="5BE6341C" w14:textId="2B64570A" w:rsidR="00B82AF4" w:rsidRDefault="00B82AF4" w:rsidP="00217ADC">
      <w:pPr>
        <w:pStyle w:val="05Paragraph"/>
        <w:spacing w:before="160"/>
        <w:ind w:left="720" w:hanging="720"/>
        <w:jc w:val="left"/>
      </w:pPr>
      <w:r w:rsidRPr="00487BAD">
        <w:t>———</w:t>
      </w:r>
      <w:r>
        <w:t xml:space="preserve"> (2022), </w:t>
      </w:r>
      <w:r w:rsidRPr="00692671">
        <w:rPr>
          <w:i/>
          <w:iCs/>
        </w:rPr>
        <w:t>Public entity executive remuneration policy</w:t>
      </w:r>
      <w:r>
        <w:t>,</w:t>
      </w:r>
      <w:r w:rsidR="00347A30">
        <w:br/>
      </w:r>
      <w:hyperlink r:id="rId24" w:history="1">
        <w:r w:rsidR="00692671" w:rsidRPr="00984DB9">
          <w:rPr>
            <w:rStyle w:val="Hyperlink"/>
          </w:rPr>
          <w:t>https://www.vic.gov.au/public-entity-executive-remuneration-policy</w:t>
        </w:r>
      </w:hyperlink>
      <w:r w:rsidR="00692671">
        <w:t xml:space="preserve">, </w:t>
      </w:r>
      <w:r>
        <w:t>last updated</w:t>
      </w:r>
      <w:r w:rsidR="00692671">
        <w:t xml:space="preserve"> 4 July 2022.</w:t>
      </w:r>
    </w:p>
    <w:p w14:paraId="12C76C85" w14:textId="08389A39" w:rsidR="00487BAD" w:rsidRDefault="00487BAD" w:rsidP="00217ADC">
      <w:pPr>
        <w:pStyle w:val="05Paragraph"/>
        <w:spacing w:before="160"/>
        <w:ind w:left="720" w:hanging="720"/>
      </w:pPr>
      <w:r w:rsidRPr="00487BAD">
        <w:t xml:space="preserve">——— (2023), </w:t>
      </w:r>
      <w:r w:rsidRPr="00487BAD">
        <w:rPr>
          <w:i/>
          <w:iCs/>
        </w:rPr>
        <w:t>New Wages Policy Strikes Responsible Balance for Victoria</w:t>
      </w:r>
      <w:r w:rsidRPr="00487BAD">
        <w:t xml:space="preserve">, </w:t>
      </w:r>
      <w:hyperlink r:id="rId25" w:history="1">
        <w:r w:rsidR="00FB09BF" w:rsidRPr="005B46E0">
          <w:rPr>
            <w:rStyle w:val="Hyperlink"/>
          </w:rPr>
          <w:t>https://www.premier.vic.gov.au/site-4/new-wages-policy-strikes-responsible-balance-victoria</w:t>
        </w:r>
      </w:hyperlink>
      <w:r w:rsidR="008D185A" w:rsidRPr="008D185A">
        <w:t>, last updated 4 April 2023.</w:t>
      </w:r>
    </w:p>
    <w:p w14:paraId="766142E2" w14:textId="0C4FBFF5" w:rsidR="004A1BF0" w:rsidRDefault="004A1BF0" w:rsidP="00217ADC">
      <w:pPr>
        <w:pStyle w:val="05Paragraph"/>
        <w:spacing w:before="160"/>
        <w:ind w:left="720" w:hanging="720"/>
      </w:pPr>
      <w:r>
        <w:t xml:space="preserve">Victorian Independent Remuneration Tribunal (2020), </w:t>
      </w:r>
      <w:r w:rsidRPr="004A1BF0">
        <w:rPr>
          <w:i/>
          <w:iCs/>
        </w:rPr>
        <w:t>Remuneration bands for executives employed in prescribed public entities (Victoria) Determination No. 01/2020</w:t>
      </w:r>
      <w:r w:rsidRPr="004A1BF0">
        <w:t>.</w:t>
      </w:r>
    </w:p>
    <w:p w14:paraId="0FC70C18" w14:textId="7BC8C8A7" w:rsidR="009E47F7" w:rsidRDefault="009E47F7" w:rsidP="00217ADC">
      <w:pPr>
        <w:pStyle w:val="05Paragraph"/>
        <w:spacing w:before="160"/>
        <w:ind w:left="720" w:hanging="720"/>
      </w:pPr>
      <w:r w:rsidRPr="00487BAD">
        <w:t>———</w:t>
      </w:r>
      <w:r>
        <w:t xml:space="preserve"> (2021), </w:t>
      </w:r>
      <w:r w:rsidRPr="004A1BF0">
        <w:rPr>
          <w:i/>
          <w:iCs/>
        </w:rPr>
        <w:t xml:space="preserve">Remuneration bands for executives employed in </w:t>
      </w:r>
      <w:r>
        <w:rPr>
          <w:i/>
          <w:iCs/>
        </w:rPr>
        <w:t>prescribed public entities</w:t>
      </w:r>
      <w:r w:rsidRPr="004A1BF0">
        <w:rPr>
          <w:i/>
          <w:iCs/>
        </w:rPr>
        <w:t xml:space="preserve"> (Victoria) </w:t>
      </w:r>
      <w:r>
        <w:rPr>
          <w:i/>
          <w:iCs/>
        </w:rPr>
        <w:t xml:space="preserve">Annual Adjustment </w:t>
      </w:r>
      <w:r w:rsidRPr="004A1BF0">
        <w:rPr>
          <w:i/>
          <w:iCs/>
        </w:rPr>
        <w:t xml:space="preserve">Determination </w:t>
      </w:r>
      <w:r>
        <w:rPr>
          <w:i/>
          <w:iCs/>
        </w:rPr>
        <w:t>2021</w:t>
      </w:r>
      <w:r w:rsidRPr="004A1BF0">
        <w:t>.</w:t>
      </w:r>
    </w:p>
    <w:p w14:paraId="71597414" w14:textId="1D9C0DC4" w:rsidR="009E47F7" w:rsidRDefault="009E47F7" w:rsidP="00217ADC">
      <w:pPr>
        <w:pStyle w:val="05Paragraph"/>
        <w:spacing w:before="160"/>
        <w:ind w:left="720" w:hanging="720"/>
      </w:pPr>
      <w:r w:rsidRPr="00487BAD">
        <w:t>———</w:t>
      </w:r>
      <w:r>
        <w:t xml:space="preserve"> (2022), </w:t>
      </w:r>
      <w:r w:rsidRPr="004A1BF0">
        <w:rPr>
          <w:i/>
          <w:iCs/>
        </w:rPr>
        <w:t xml:space="preserve">Remuneration bands for executives employed in </w:t>
      </w:r>
      <w:r>
        <w:rPr>
          <w:i/>
          <w:iCs/>
        </w:rPr>
        <w:t>prescribed public entities</w:t>
      </w:r>
      <w:r w:rsidRPr="004A1BF0">
        <w:rPr>
          <w:i/>
          <w:iCs/>
        </w:rPr>
        <w:t xml:space="preserve"> (Victoria) </w:t>
      </w:r>
      <w:r>
        <w:rPr>
          <w:i/>
          <w:iCs/>
        </w:rPr>
        <w:t xml:space="preserve">Annual Adjustment </w:t>
      </w:r>
      <w:r w:rsidRPr="004A1BF0">
        <w:rPr>
          <w:i/>
          <w:iCs/>
        </w:rPr>
        <w:t xml:space="preserve">Determination </w:t>
      </w:r>
      <w:r>
        <w:rPr>
          <w:i/>
          <w:iCs/>
        </w:rPr>
        <w:t>2022</w:t>
      </w:r>
      <w:r w:rsidRPr="004A1BF0">
        <w:t>.</w:t>
      </w:r>
    </w:p>
    <w:p w14:paraId="0456465B" w14:textId="1D48DC14" w:rsidR="0048649A" w:rsidRDefault="00151DCB" w:rsidP="00217ADC">
      <w:pPr>
        <w:pStyle w:val="05Paragraph"/>
        <w:spacing w:before="160"/>
        <w:ind w:left="720" w:hanging="720"/>
      </w:pPr>
      <w:r>
        <w:t>Victorian Public Sector Commission (VPSC) (</w:t>
      </w:r>
      <w:r w:rsidR="00BD51A7">
        <w:t>2022</w:t>
      </w:r>
      <w:r w:rsidR="00AD6548">
        <w:t>a</w:t>
      </w:r>
      <w:r>
        <w:t xml:space="preserve">), </w:t>
      </w:r>
      <w:r w:rsidR="007073FA" w:rsidRPr="007073FA">
        <w:rPr>
          <w:i/>
        </w:rPr>
        <w:t>Victorian public entity executive employment</w:t>
      </w:r>
      <w:r w:rsidR="007073FA" w:rsidRPr="0048649A">
        <w:rPr>
          <w:iCs/>
        </w:rPr>
        <w:t xml:space="preserve">, </w:t>
      </w:r>
      <w:hyperlink r:id="rId26" w:history="1">
        <w:r w:rsidR="00455A33" w:rsidRPr="00073AB9">
          <w:rPr>
            <w:rStyle w:val="Hyperlink"/>
            <w:iCs/>
          </w:rPr>
          <w:t>https://vpsc.vic.gov.au/executive-employment/ victorian-public-entity-executive-employment/</w:t>
        </w:r>
      </w:hyperlink>
      <w:r w:rsidR="007073FA" w:rsidRPr="0048649A">
        <w:rPr>
          <w:iCs/>
        </w:rPr>
        <w:t xml:space="preserve">, </w:t>
      </w:r>
      <w:r w:rsidR="006E67F4">
        <w:rPr>
          <w:iCs/>
        </w:rPr>
        <w:t>last updated 19 September</w:t>
      </w:r>
      <w:r w:rsidR="00455A33">
        <w:rPr>
          <w:iCs/>
        </w:rPr>
        <w:t> </w:t>
      </w:r>
      <w:r w:rsidR="007073FA" w:rsidRPr="0048649A">
        <w:rPr>
          <w:iCs/>
        </w:rPr>
        <w:t>2023</w:t>
      </w:r>
      <w:r w:rsidR="007073FA">
        <w:rPr>
          <w:iCs/>
        </w:rPr>
        <w:t>.</w:t>
      </w:r>
    </w:p>
    <w:p w14:paraId="2CE78C45" w14:textId="5B1F5043" w:rsidR="00151DCB" w:rsidRDefault="007073FA" w:rsidP="00217ADC">
      <w:pPr>
        <w:pStyle w:val="05Paragraph"/>
        <w:spacing w:before="160"/>
        <w:ind w:left="720" w:hanging="720"/>
      </w:pPr>
      <w:r w:rsidRPr="00487BAD">
        <w:t>———</w:t>
      </w:r>
      <w:r>
        <w:t xml:space="preserve"> (2022</w:t>
      </w:r>
      <w:r w:rsidR="00AD6548">
        <w:t>b</w:t>
      </w:r>
      <w:r>
        <w:t>)</w:t>
      </w:r>
      <w:r w:rsidRPr="0048649A">
        <w:rPr>
          <w:iCs/>
        </w:rPr>
        <w:t>,</w:t>
      </w:r>
      <w:r>
        <w:rPr>
          <w:iCs/>
        </w:rPr>
        <w:t xml:space="preserve"> </w:t>
      </w:r>
      <w:r w:rsidR="00151DCB" w:rsidRPr="0F0D0D73">
        <w:rPr>
          <w:i/>
          <w:iCs/>
        </w:rPr>
        <w:t xml:space="preserve">Victorian Public </w:t>
      </w:r>
      <w:r w:rsidR="00DC0767" w:rsidRPr="0F0D0D73">
        <w:rPr>
          <w:i/>
          <w:iCs/>
        </w:rPr>
        <w:t>Entity</w:t>
      </w:r>
      <w:r w:rsidR="00151DCB" w:rsidRPr="0F0D0D73">
        <w:rPr>
          <w:i/>
          <w:iCs/>
        </w:rPr>
        <w:t xml:space="preserve"> Executive Employment Handbook</w:t>
      </w:r>
      <w:r w:rsidR="1EEDAFB8" w:rsidRPr="3E1C1CBF">
        <w:t xml:space="preserve">, </w:t>
      </w:r>
      <w:hyperlink r:id="rId27">
        <w:r w:rsidR="1EEDAFB8" w:rsidRPr="3E1C1CBF">
          <w:rPr>
            <w:rStyle w:val="Hyperlink"/>
          </w:rPr>
          <w:t>https://vpsc.vic.gov.au/executive-employment/victorian-public-entity-executive-employment/public-entity-executive-handbook/</w:t>
        </w:r>
      </w:hyperlink>
      <w:r w:rsidR="1EEDAFB8" w:rsidRPr="3E1C1CBF">
        <w:t>, last updated 2 September 2022.</w:t>
      </w:r>
    </w:p>
    <w:p w14:paraId="09CAC92C" w14:textId="4EDFEB19" w:rsidR="0048649A" w:rsidRPr="00CE21D2" w:rsidRDefault="00657B6D" w:rsidP="00690EDF">
      <w:pPr>
        <w:pStyle w:val="05Paragraph"/>
        <w:rPr>
          <w:iCs/>
        </w:rPr>
      </w:pPr>
      <w:r w:rsidRPr="00657B6D">
        <w:rPr>
          <w:iCs/>
        </w:rPr>
        <w:t>Victorian Public Service Enterprise Agreement 2020 [AG2020/2580].</w:t>
      </w:r>
    </w:p>
    <w:sectPr w:rsidR="0048649A" w:rsidRPr="00CE21D2" w:rsidSect="003045CA">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FBB8" w14:textId="77777777" w:rsidR="005630B2" w:rsidRPr="00333B58" w:rsidRDefault="005630B2" w:rsidP="00333B58">
      <w:r>
        <w:separator/>
      </w:r>
    </w:p>
  </w:endnote>
  <w:endnote w:type="continuationSeparator" w:id="0">
    <w:p w14:paraId="22C0711F" w14:textId="77777777" w:rsidR="005630B2" w:rsidRPr="00333B58" w:rsidRDefault="005630B2" w:rsidP="00333B58">
      <w:r>
        <w:continuationSeparator/>
      </w:r>
    </w:p>
  </w:endnote>
  <w:endnote w:type="continuationNotice" w:id="1">
    <w:p w14:paraId="33CE9E80" w14:textId="77777777" w:rsidR="005630B2" w:rsidRDefault="005630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PMincho">
    <w:altName w:val="@Yu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2AFF" w:usb1="C0007841"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3D6" w14:textId="09F8E231" w:rsidR="00C3360F" w:rsidRDefault="00DF1805" w:rsidP="00FF6EB1">
    <w:pPr>
      <w:pStyle w:val="Footer"/>
      <w:jc w:val="center"/>
    </w:pPr>
    <w:sdt>
      <w:sdtPr>
        <w:rPr>
          <w:color w:val="auto"/>
        </w:rPr>
        <w:id w:val="-1742943516"/>
        <w:docPartObj>
          <w:docPartGallery w:val="Page Numbers (Bottom of Page)"/>
          <w:docPartUnique/>
        </w:docPartObj>
      </w:sdtPr>
      <w:sdtEndPr>
        <w:rPr>
          <w:noProof/>
        </w:rPr>
      </w:sdtEndPr>
      <w:sdtContent>
        <w:r w:rsidR="00C3360F" w:rsidRPr="00DF1805">
          <w:rPr>
            <w:rFonts w:ascii="Calibri Light" w:hAnsi="Calibri Light" w:cs="Calibri Light"/>
            <w:color w:val="auto"/>
          </w:rPr>
          <w:fldChar w:fldCharType="begin"/>
        </w:r>
        <w:r w:rsidR="00C3360F" w:rsidRPr="00DF1805">
          <w:rPr>
            <w:rFonts w:ascii="Calibri Light" w:hAnsi="Calibri Light" w:cs="Calibri Light"/>
            <w:color w:val="auto"/>
          </w:rPr>
          <w:instrText xml:space="preserve"> PAGE   \* MERGEFORMAT </w:instrText>
        </w:r>
        <w:r w:rsidR="00C3360F" w:rsidRPr="00DF1805">
          <w:rPr>
            <w:rFonts w:ascii="Calibri Light" w:hAnsi="Calibri Light" w:cs="Calibri Light"/>
            <w:color w:val="auto"/>
          </w:rPr>
          <w:fldChar w:fldCharType="separate"/>
        </w:r>
        <w:r w:rsidR="00C3360F" w:rsidRPr="00DF1805">
          <w:rPr>
            <w:rFonts w:ascii="Calibri Light" w:hAnsi="Calibri Light" w:cs="Calibri Light"/>
            <w:color w:val="auto"/>
          </w:rPr>
          <w:t>25</w:t>
        </w:r>
        <w:r w:rsidR="00C3360F" w:rsidRPr="00DF1805">
          <w:rPr>
            <w:rFonts w:ascii="Calibri Light" w:hAnsi="Calibri Light" w:cs="Calibri Light"/>
            <w:noProof/>
            <w:color w:val="auto"/>
          </w:rPr>
          <w:fldChar w:fldCharType="end"/>
        </w:r>
      </w:sdtContent>
    </w:sdt>
  </w:p>
  <w:p w14:paraId="5935A9C6" w14:textId="0A35CAEB" w:rsidR="00C3360F" w:rsidRDefault="00C33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56C" w14:textId="266E43A5" w:rsidR="003515D8" w:rsidRDefault="00DF1805" w:rsidP="00735993">
    <w:pPr>
      <w:pStyle w:val="Footer"/>
      <w:jc w:val="center"/>
    </w:pPr>
    <w:sdt>
      <w:sdtPr>
        <w:rPr>
          <w:color w:val="auto"/>
        </w:rPr>
        <w:id w:val="-998491005"/>
        <w:docPartObj>
          <w:docPartGallery w:val="Page Numbers (Bottom of Page)"/>
          <w:docPartUnique/>
        </w:docPartObj>
      </w:sdtPr>
      <w:sdtEndPr>
        <w:rPr>
          <w:noProof/>
        </w:rPr>
      </w:sdtEndPr>
      <w:sdtContent>
        <w:r w:rsidR="008448A9" w:rsidRPr="00DF1805">
          <w:rPr>
            <w:color w:val="auto"/>
          </w:rPr>
          <w:fldChar w:fldCharType="begin"/>
        </w:r>
        <w:r w:rsidR="008448A9" w:rsidRPr="00DF1805">
          <w:rPr>
            <w:color w:val="auto"/>
          </w:rPr>
          <w:instrText xml:space="preserve"> PAGE   \* MERGEFORMAT </w:instrText>
        </w:r>
        <w:r w:rsidR="008448A9" w:rsidRPr="00DF1805">
          <w:rPr>
            <w:color w:val="auto"/>
          </w:rPr>
          <w:fldChar w:fldCharType="separate"/>
        </w:r>
        <w:r w:rsidR="008448A9" w:rsidRPr="00DF1805">
          <w:rPr>
            <w:noProof/>
            <w:color w:val="auto"/>
          </w:rPr>
          <w:t>2</w:t>
        </w:r>
        <w:r w:rsidR="008448A9" w:rsidRPr="00DF1805">
          <w:rPr>
            <w:noProof/>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0EDE" w14:textId="77777777" w:rsidR="005630B2" w:rsidRPr="00333B58" w:rsidRDefault="005630B2" w:rsidP="0014700E">
      <w:pPr>
        <w:spacing w:after="0"/>
      </w:pPr>
      <w:r>
        <w:separator/>
      </w:r>
    </w:p>
  </w:footnote>
  <w:footnote w:type="continuationSeparator" w:id="0">
    <w:p w14:paraId="47F57538" w14:textId="77777777" w:rsidR="005630B2" w:rsidRPr="00FB39CD" w:rsidRDefault="005630B2" w:rsidP="00FB39CD">
      <w:pPr>
        <w:spacing w:after="0"/>
        <w:rPr>
          <w:sz w:val="2"/>
          <w:szCs w:val="2"/>
        </w:rPr>
      </w:pPr>
      <w:r>
        <w:continuationSeparator/>
      </w:r>
    </w:p>
  </w:footnote>
  <w:footnote w:type="continuationNotice" w:id="1">
    <w:p w14:paraId="1D8BE38E" w14:textId="77777777" w:rsidR="005630B2" w:rsidRPr="00FB39CD" w:rsidRDefault="005630B2">
      <w:pPr>
        <w:spacing w:after="0"/>
        <w:rPr>
          <w:sz w:val="2"/>
          <w:szCs w:val="4"/>
        </w:rPr>
      </w:pPr>
    </w:p>
  </w:footnote>
  <w:footnote w:id="2">
    <w:p w14:paraId="53267D1A" w14:textId="0F235BF6" w:rsidR="009E05B1" w:rsidRPr="006C2CFD" w:rsidRDefault="009E05B1" w:rsidP="00343D58">
      <w:pPr>
        <w:pStyle w:val="Footnotes"/>
        <w:rPr>
          <w:rFonts w:ascii="Calibri" w:hAnsi="Calibri" w:cs="Calibri"/>
        </w:rPr>
      </w:pPr>
      <w:r w:rsidRPr="006C2CFD">
        <w:rPr>
          <w:rStyle w:val="FootnoteReference"/>
          <w:rFonts w:ascii="Calibri" w:hAnsi="Calibri" w:cs="Calibri"/>
        </w:rPr>
        <w:footnoteRef/>
      </w:r>
      <w:r w:rsidR="00DB078C" w:rsidRPr="006C2CFD">
        <w:rPr>
          <w:rFonts w:ascii="Calibri" w:hAnsi="Calibri" w:cs="Calibri"/>
        </w:rPr>
        <w:tab/>
      </w:r>
      <w:r w:rsidRPr="006C2CFD">
        <w:rPr>
          <w:rFonts w:ascii="Calibri" w:hAnsi="Calibri" w:cs="Calibri"/>
        </w:rPr>
        <w:t xml:space="preserve">Public entities are prescribed through the </w:t>
      </w:r>
      <w:r w:rsidRPr="006C2CFD">
        <w:rPr>
          <w:rFonts w:ascii="Calibri" w:hAnsi="Calibri" w:cs="Calibri"/>
          <w:i/>
          <w:iCs/>
        </w:rPr>
        <w:t>Victorian Independent Remuneration Tribunal and Improving Parliamentary Standards (Prescribed Public Entities) Regulations 2021</w:t>
      </w:r>
      <w:r w:rsidRPr="006C2CFD">
        <w:rPr>
          <w:rFonts w:ascii="Calibri" w:hAnsi="Calibri" w:cs="Calibri"/>
        </w:rPr>
        <w:t xml:space="preserve"> (Vic).</w:t>
      </w:r>
    </w:p>
  </w:footnote>
  <w:footnote w:id="3">
    <w:p w14:paraId="069A3EC4" w14:textId="06453494" w:rsidR="009E05B1" w:rsidRPr="006C2CFD" w:rsidRDefault="009E05B1" w:rsidP="00E6127E">
      <w:pPr>
        <w:pStyle w:val="Footnotes"/>
        <w:rPr>
          <w:rFonts w:ascii="Calibri" w:hAnsi="Calibri" w:cs="Calibri"/>
        </w:rPr>
      </w:pPr>
      <w:r w:rsidRPr="006C2CFD">
        <w:rPr>
          <w:rStyle w:val="FootnoteReference"/>
          <w:rFonts w:ascii="Calibri" w:hAnsi="Calibri" w:cs="Calibri"/>
        </w:rPr>
        <w:footnoteRef/>
      </w:r>
      <w:r w:rsidRPr="006C2CFD">
        <w:rPr>
          <w:rFonts w:ascii="Calibri" w:hAnsi="Calibri" w:cs="Calibri"/>
        </w:rPr>
        <w:t xml:space="preserve"> </w:t>
      </w:r>
      <w:r w:rsidR="006C2CFD" w:rsidRPr="006C2CFD">
        <w:rPr>
          <w:rFonts w:ascii="Calibri" w:hAnsi="Calibri" w:cs="Calibri"/>
        </w:rPr>
        <w:tab/>
      </w:r>
      <w:r w:rsidRPr="006C2CFD">
        <w:rPr>
          <w:rFonts w:ascii="Calibri" w:hAnsi="Calibri" w:cs="Calibri"/>
        </w:rPr>
        <w:t>VIRTIPS Act, s. 22.</w:t>
      </w:r>
    </w:p>
  </w:footnote>
  <w:footnote w:id="4">
    <w:p w14:paraId="6666A364" w14:textId="27FED162" w:rsidR="009E05B1" w:rsidRPr="006C2CFD" w:rsidRDefault="009E05B1" w:rsidP="00E6127E">
      <w:pPr>
        <w:pStyle w:val="Footnotes"/>
        <w:rPr>
          <w:rFonts w:ascii="Calibri" w:hAnsi="Calibri" w:cs="Calibri"/>
        </w:rPr>
      </w:pPr>
      <w:r w:rsidRPr="006C2CFD">
        <w:rPr>
          <w:rStyle w:val="FootnoteReference"/>
          <w:rFonts w:ascii="Calibri" w:hAnsi="Calibri" w:cs="Calibri"/>
        </w:rPr>
        <w:footnoteRef/>
      </w:r>
      <w:r w:rsidRPr="006C2CFD">
        <w:rPr>
          <w:rFonts w:ascii="Calibri" w:hAnsi="Calibri" w:cs="Calibri"/>
        </w:rPr>
        <w:t xml:space="preserve"> </w:t>
      </w:r>
      <w:r w:rsidR="006C2CFD" w:rsidRPr="006C2CFD">
        <w:rPr>
          <w:rFonts w:ascii="Calibri" w:hAnsi="Calibri" w:cs="Calibri"/>
        </w:rPr>
        <w:tab/>
      </w:r>
      <w:r w:rsidRPr="006C2CFD">
        <w:rPr>
          <w:rFonts w:ascii="Calibri" w:hAnsi="Calibri" w:cs="Calibri"/>
        </w:rPr>
        <w:t>Victorian Independent Remuneration Tribunal (2020)</w:t>
      </w:r>
      <w:r w:rsidR="004A1BF0" w:rsidRPr="006C2CFD">
        <w:rPr>
          <w:rFonts w:ascii="Calibri" w:hAnsi="Calibri" w:cs="Calibri"/>
        </w:rPr>
        <w:t>.</w:t>
      </w:r>
    </w:p>
  </w:footnote>
  <w:footnote w:id="5">
    <w:p w14:paraId="10A2D116" w14:textId="75B3583E" w:rsidR="00A77FB1" w:rsidRPr="006C2CFD" w:rsidRDefault="00A77FB1" w:rsidP="00E6127E">
      <w:pPr>
        <w:pStyle w:val="Footnotes"/>
        <w:rPr>
          <w:rFonts w:ascii="Calibri" w:hAnsi="Calibri" w:cs="Calibri"/>
        </w:rPr>
      </w:pPr>
      <w:r w:rsidRPr="006C2CFD">
        <w:rPr>
          <w:rStyle w:val="FootnoteReference"/>
          <w:rFonts w:ascii="Calibri" w:hAnsi="Calibri" w:cs="Calibri"/>
        </w:rPr>
        <w:footnoteRef/>
      </w:r>
      <w:r w:rsidRPr="006C2CFD">
        <w:rPr>
          <w:rFonts w:ascii="Calibri" w:hAnsi="Calibri" w:cs="Calibri"/>
        </w:rPr>
        <w:t xml:space="preserve"> </w:t>
      </w:r>
      <w:r w:rsidR="006C2CFD" w:rsidRPr="006C2CFD">
        <w:rPr>
          <w:rFonts w:ascii="Calibri" w:hAnsi="Calibri" w:cs="Calibri"/>
        </w:rPr>
        <w:tab/>
      </w:r>
      <w:r w:rsidRPr="006C2CFD">
        <w:rPr>
          <w:rFonts w:ascii="Calibri" w:hAnsi="Calibri" w:cs="Calibri"/>
        </w:rPr>
        <w:t>Victorian Independent Remuneration Tribunal (2021); Victorian Independent Remuneration Tribunal (2022).</w:t>
      </w:r>
    </w:p>
  </w:footnote>
  <w:footnote w:id="6">
    <w:p w14:paraId="0A972A65" w14:textId="7C4D32D6" w:rsidR="009E05B1" w:rsidRPr="006C2CFD" w:rsidRDefault="009E05B1" w:rsidP="00E6127E">
      <w:pPr>
        <w:pStyle w:val="Footnotes"/>
        <w:rPr>
          <w:rFonts w:ascii="Calibri" w:hAnsi="Calibri" w:cs="Calibri"/>
        </w:rPr>
      </w:pPr>
      <w:r w:rsidRPr="006C2CFD">
        <w:rPr>
          <w:rStyle w:val="FootnoteReference"/>
          <w:rFonts w:ascii="Calibri" w:hAnsi="Calibri" w:cs="Calibri"/>
        </w:rPr>
        <w:footnoteRef/>
      </w:r>
      <w:r w:rsidRPr="006C2CFD">
        <w:rPr>
          <w:rFonts w:ascii="Calibri" w:hAnsi="Calibri" w:cs="Calibri"/>
        </w:rPr>
        <w:t xml:space="preserve"> </w:t>
      </w:r>
      <w:r w:rsidR="006C2CFD" w:rsidRPr="006C2CFD">
        <w:rPr>
          <w:rFonts w:ascii="Calibri" w:hAnsi="Calibri" w:cs="Calibri"/>
        </w:rPr>
        <w:tab/>
      </w:r>
      <w:r w:rsidRPr="006C2CFD">
        <w:rPr>
          <w:rFonts w:ascii="Calibri" w:hAnsi="Calibri" w:cs="Calibri"/>
        </w:rPr>
        <w:t>VIRTIPS Act, s. 24(3).</w:t>
      </w:r>
    </w:p>
  </w:footnote>
  <w:footnote w:id="7">
    <w:p w14:paraId="4732D1B0" w14:textId="38A446BC" w:rsidR="00D36780" w:rsidRDefault="00D36780" w:rsidP="00E6127E">
      <w:pPr>
        <w:pStyle w:val="Footnotes"/>
      </w:pPr>
      <w:r w:rsidRPr="006C2CFD">
        <w:rPr>
          <w:rStyle w:val="FootnoteReference"/>
          <w:rFonts w:ascii="Calibri" w:hAnsi="Calibri" w:cs="Calibri"/>
        </w:rPr>
        <w:footnoteRef/>
      </w:r>
      <w:r w:rsidRPr="006C2CFD">
        <w:rPr>
          <w:rFonts w:ascii="Calibri" w:hAnsi="Calibri" w:cs="Calibri"/>
        </w:rPr>
        <w:t xml:space="preserve"> </w:t>
      </w:r>
      <w:r w:rsidR="006C2CFD" w:rsidRPr="006C2CFD">
        <w:rPr>
          <w:rFonts w:ascii="Calibri" w:hAnsi="Calibri" w:cs="Calibri"/>
        </w:rPr>
        <w:tab/>
      </w:r>
      <w:r w:rsidRPr="006C2CFD">
        <w:rPr>
          <w:rFonts w:ascii="Calibri" w:hAnsi="Calibri" w:cs="Calibri"/>
        </w:rPr>
        <w:t>The Comprehensive Determination specifies that the</w:t>
      </w:r>
      <w:r w:rsidR="00FD07B1" w:rsidRPr="006C2CFD">
        <w:rPr>
          <w:rFonts w:ascii="Calibri" w:hAnsi="Calibri" w:cs="Calibri"/>
        </w:rPr>
        <w:t xml:space="preserve"> remuneration bands for executives in prescribed public entities </w:t>
      </w:r>
      <w:r w:rsidR="00BF2FE9" w:rsidRPr="006C2CFD">
        <w:rPr>
          <w:rFonts w:ascii="Calibri" w:hAnsi="Calibri" w:cs="Calibri"/>
        </w:rPr>
        <w:t xml:space="preserve">who are </w:t>
      </w:r>
      <w:r w:rsidR="00FD07B1" w:rsidRPr="006C2CFD">
        <w:rPr>
          <w:rFonts w:ascii="Calibri" w:hAnsi="Calibri" w:cs="Calibri"/>
        </w:rPr>
        <w:t>employed under Part 3 of the PAA are those whic</w:t>
      </w:r>
      <w:r w:rsidR="00E64467" w:rsidRPr="006C2CFD">
        <w:rPr>
          <w:rFonts w:ascii="Calibri" w:hAnsi="Calibri" w:cs="Calibri"/>
        </w:rPr>
        <w:t>h apply to executives employed in public service bodies</w:t>
      </w:r>
      <w:r w:rsidR="00BF2FE9" w:rsidRPr="006C2CFD">
        <w:rPr>
          <w:rFonts w:ascii="Calibri" w:hAnsi="Calibri" w:cs="Calibri"/>
        </w:rPr>
        <w:t>. Victorian Independent Remuneration Tribunal (2020), p. 5.</w:t>
      </w:r>
    </w:p>
  </w:footnote>
  <w:footnote w:id="8">
    <w:p w14:paraId="003244FA" w14:textId="57BABF7C" w:rsidR="009663D2" w:rsidRPr="009404BA" w:rsidRDefault="009663D2" w:rsidP="009404BA">
      <w:pPr>
        <w:pStyle w:val="Footnotes"/>
        <w:rPr>
          <w:rFonts w:ascii="Calibri" w:hAnsi="Calibri" w:cs="Calibri"/>
        </w:rPr>
      </w:pPr>
      <w:r w:rsidRPr="009404BA">
        <w:rPr>
          <w:rStyle w:val="FootnoteReference"/>
          <w:rFonts w:ascii="Calibri" w:hAnsi="Calibri" w:cs="Calibri"/>
        </w:rPr>
        <w:footnoteRef/>
      </w:r>
      <w:r w:rsidRPr="009404BA">
        <w:rPr>
          <w:rFonts w:ascii="Calibri" w:hAnsi="Calibri" w:cs="Calibri"/>
        </w:rPr>
        <w:t xml:space="preserve"> </w:t>
      </w:r>
      <w:r w:rsidR="006C2CFD" w:rsidRPr="009404BA">
        <w:rPr>
          <w:rFonts w:ascii="Calibri" w:hAnsi="Calibri" w:cs="Calibri"/>
        </w:rPr>
        <w:tab/>
      </w:r>
      <w:r w:rsidR="00ED2B07" w:rsidRPr="009404BA">
        <w:rPr>
          <w:rFonts w:ascii="Calibri" w:hAnsi="Calibri" w:cs="Calibri"/>
        </w:rPr>
        <w:t>VIRTIPS Act, s. 24(1).</w:t>
      </w:r>
    </w:p>
  </w:footnote>
  <w:footnote w:id="9">
    <w:p w14:paraId="7926B8CF" w14:textId="3250E84A" w:rsidR="00ED2B07" w:rsidRPr="009404BA" w:rsidRDefault="00ED2B07" w:rsidP="009404BA">
      <w:pPr>
        <w:pStyle w:val="Footnotes"/>
        <w:rPr>
          <w:rFonts w:ascii="Calibri" w:hAnsi="Calibri" w:cs="Calibri"/>
        </w:rPr>
      </w:pPr>
      <w:r w:rsidRPr="009404BA">
        <w:rPr>
          <w:rStyle w:val="FootnoteReference"/>
          <w:rFonts w:ascii="Calibri" w:hAnsi="Calibri" w:cs="Calibri"/>
        </w:rPr>
        <w:footnoteRef/>
      </w:r>
      <w:r w:rsidRPr="009404BA">
        <w:rPr>
          <w:rFonts w:ascii="Calibri" w:hAnsi="Calibri" w:cs="Calibri"/>
        </w:rPr>
        <w:t xml:space="preserve"> </w:t>
      </w:r>
      <w:r w:rsidR="006C2CFD" w:rsidRPr="009404BA">
        <w:rPr>
          <w:rFonts w:ascii="Calibri" w:hAnsi="Calibri" w:cs="Calibri"/>
        </w:rPr>
        <w:tab/>
      </w:r>
      <w:r w:rsidRPr="009404BA">
        <w:rPr>
          <w:rFonts w:ascii="Calibri" w:hAnsi="Calibri" w:cs="Calibri"/>
        </w:rPr>
        <w:t>VIRTIPS Act, s. 24(2).</w:t>
      </w:r>
    </w:p>
  </w:footnote>
  <w:footnote w:id="10">
    <w:p w14:paraId="6386C7D7" w14:textId="64EC3C77" w:rsidR="00033D4B" w:rsidRDefault="00033D4B" w:rsidP="009404BA">
      <w:pPr>
        <w:pStyle w:val="Footnotes"/>
      </w:pPr>
      <w:r w:rsidRPr="009404BA">
        <w:rPr>
          <w:rStyle w:val="FootnoteReference"/>
          <w:rFonts w:ascii="Calibri" w:hAnsi="Calibri" w:cs="Calibri"/>
        </w:rPr>
        <w:footnoteRef/>
      </w:r>
      <w:r w:rsidRPr="009404BA">
        <w:rPr>
          <w:rFonts w:ascii="Calibri" w:hAnsi="Calibri" w:cs="Calibri"/>
        </w:rPr>
        <w:t xml:space="preserve"> </w:t>
      </w:r>
      <w:r w:rsidR="006C2CFD" w:rsidRPr="009404BA">
        <w:rPr>
          <w:rFonts w:ascii="Calibri" w:hAnsi="Calibri" w:cs="Calibri"/>
        </w:rPr>
        <w:tab/>
      </w:r>
      <w:r w:rsidRPr="009404BA">
        <w:rPr>
          <w:rFonts w:ascii="Calibri" w:hAnsi="Calibri" w:cs="Calibri"/>
        </w:rPr>
        <w:t>VIRTIPS Act, s. 5.</w:t>
      </w:r>
    </w:p>
  </w:footnote>
  <w:footnote w:id="11">
    <w:p w14:paraId="1905129F" w14:textId="683CB31E" w:rsidR="00C22E8A" w:rsidRPr="004D51C2" w:rsidRDefault="00C22E8A" w:rsidP="006C2CFD">
      <w:pPr>
        <w:pStyle w:val="Footnotes"/>
        <w:rPr>
          <w:rFonts w:ascii="Calibri" w:hAnsi="Calibri" w:cs="Calibri"/>
        </w:rPr>
      </w:pPr>
      <w:r w:rsidRPr="004D51C2">
        <w:rPr>
          <w:rStyle w:val="FootnoteReference"/>
          <w:rFonts w:ascii="Calibri" w:hAnsi="Calibri" w:cs="Calibri"/>
        </w:rPr>
        <w:footnoteRef/>
      </w:r>
      <w:r w:rsidRPr="004D51C2">
        <w:rPr>
          <w:rFonts w:ascii="Calibri" w:hAnsi="Calibri" w:cs="Calibri"/>
        </w:rPr>
        <w:t xml:space="preserve"> </w:t>
      </w:r>
      <w:r w:rsidR="006C2CFD" w:rsidRPr="004D51C2">
        <w:rPr>
          <w:rFonts w:ascii="Calibri" w:hAnsi="Calibri" w:cs="Calibri"/>
        </w:rPr>
        <w:tab/>
      </w:r>
      <w:r w:rsidR="004A1BF0" w:rsidRPr="004D51C2">
        <w:rPr>
          <w:rFonts w:ascii="Calibri" w:hAnsi="Calibri" w:cs="Calibri"/>
        </w:rPr>
        <w:t>State Government of Victoria (2023)</w:t>
      </w:r>
      <w:r w:rsidR="00487BAD" w:rsidRPr="004D51C2">
        <w:rPr>
          <w:rFonts w:ascii="Calibri" w:hAnsi="Calibri" w:cs="Calibri"/>
        </w:rPr>
        <w:t>.</w:t>
      </w:r>
    </w:p>
  </w:footnote>
  <w:footnote w:id="12">
    <w:p w14:paraId="5E9C4325" w14:textId="091FA057" w:rsidR="00F3434C" w:rsidRDefault="00F3434C" w:rsidP="006C2CFD">
      <w:pPr>
        <w:pStyle w:val="Footnotes"/>
      </w:pPr>
      <w:r w:rsidRPr="004D51C2">
        <w:rPr>
          <w:rStyle w:val="FootnoteReference"/>
          <w:rFonts w:ascii="Calibri" w:hAnsi="Calibri" w:cs="Calibri"/>
        </w:rPr>
        <w:footnoteRef/>
      </w:r>
      <w:r w:rsidRPr="004D51C2">
        <w:rPr>
          <w:rFonts w:ascii="Calibri" w:hAnsi="Calibri" w:cs="Calibri"/>
        </w:rPr>
        <w:t xml:space="preserve"> </w:t>
      </w:r>
      <w:r w:rsidR="006C2CFD" w:rsidRPr="004D51C2">
        <w:rPr>
          <w:rFonts w:ascii="Calibri" w:hAnsi="Calibri" w:cs="Calibri"/>
        </w:rPr>
        <w:tab/>
      </w:r>
      <w:r w:rsidRPr="004D51C2">
        <w:rPr>
          <w:rFonts w:ascii="Calibri" w:hAnsi="Calibri" w:cs="Calibri"/>
        </w:rPr>
        <w:t>Industrial Relations Victoria (2023)</w:t>
      </w:r>
      <w:r w:rsidR="002F4259" w:rsidRPr="004D51C2">
        <w:rPr>
          <w:rFonts w:ascii="Calibri" w:hAnsi="Calibri" w:cs="Calibri"/>
        </w:rPr>
        <w:t>, p. 3.</w:t>
      </w:r>
    </w:p>
  </w:footnote>
  <w:footnote w:id="13">
    <w:p w14:paraId="2070AC8A" w14:textId="38B20996" w:rsidR="00ED306A" w:rsidRDefault="00ED306A">
      <w:pPr>
        <w:pStyle w:val="FootnoteText"/>
      </w:pPr>
      <w:r>
        <w:rPr>
          <w:rStyle w:val="FootnoteReference"/>
        </w:rPr>
        <w:footnoteRef/>
      </w:r>
      <w:r>
        <w:t xml:space="preserve"> </w:t>
      </w:r>
      <w:r w:rsidRPr="0006283B">
        <w:rPr>
          <w:rFonts w:ascii="Calibri" w:hAnsi="Calibri" w:cs="Calibri"/>
        </w:rPr>
        <w:tab/>
      </w:r>
      <w:r w:rsidR="000D1BAD">
        <w:rPr>
          <w:rFonts w:ascii="Calibri" w:hAnsi="Calibri" w:cs="Calibri"/>
        </w:rPr>
        <w:t>VPS Enterprise Agreement, p. 71.</w:t>
      </w:r>
    </w:p>
  </w:footnote>
  <w:footnote w:id="14">
    <w:p w14:paraId="1ED83F44" w14:textId="29B57CE5" w:rsidR="00100E8D" w:rsidRPr="0006283B" w:rsidRDefault="00100E8D" w:rsidP="00393990">
      <w:pPr>
        <w:pStyle w:val="Footnotes"/>
        <w:rPr>
          <w:rFonts w:ascii="Calibri" w:hAnsi="Calibri" w:cs="Calibri"/>
        </w:rPr>
      </w:pPr>
      <w:r w:rsidRPr="0006283B">
        <w:rPr>
          <w:rStyle w:val="FootnoteReference"/>
          <w:rFonts w:ascii="Calibri" w:hAnsi="Calibri" w:cs="Calibri"/>
        </w:rPr>
        <w:footnoteRef/>
      </w:r>
      <w:r w:rsidRPr="0006283B">
        <w:rPr>
          <w:rFonts w:ascii="Calibri" w:hAnsi="Calibri" w:cs="Calibri"/>
        </w:rPr>
        <w:t xml:space="preserve"> </w:t>
      </w:r>
      <w:r w:rsidR="00393990" w:rsidRPr="0006283B">
        <w:rPr>
          <w:rFonts w:ascii="Calibri" w:hAnsi="Calibri" w:cs="Calibri"/>
        </w:rPr>
        <w:tab/>
      </w:r>
      <w:r w:rsidR="007422B6" w:rsidRPr="0006283B">
        <w:rPr>
          <w:rFonts w:ascii="Calibri" w:hAnsi="Calibri" w:cs="Calibri"/>
        </w:rPr>
        <w:t>State</w:t>
      </w:r>
      <w:r w:rsidRPr="0006283B">
        <w:rPr>
          <w:rFonts w:ascii="Calibri" w:hAnsi="Calibri" w:cs="Calibri"/>
        </w:rPr>
        <w:t xml:space="preserve"> Government </w:t>
      </w:r>
      <w:r w:rsidR="007422B6" w:rsidRPr="0006283B">
        <w:rPr>
          <w:rFonts w:ascii="Calibri" w:hAnsi="Calibri" w:cs="Calibri"/>
        </w:rPr>
        <w:t xml:space="preserve">of Victoria </w:t>
      </w:r>
      <w:r w:rsidRPr="0006283B">
        <w:rPr>
          <w:rFonts w:ascii="Calibri" w:hAnsi="Calibri" w:cs="Calibri"/>
        </w:rPr>
        <w:t xml:space="preserve">(2020), </w:t>
      </w:r>
      <w:r w:rsidR="007422B6" w:rsidRPr="0006283B">
        <w:rPr>
          <w:rFonts w:ascii="Calibri" w:hAnsi="Calibri" w:cs="Calibri"/>
        </w:rPr>
        <w:t>clause</w:t>
      </w:r>
      <w:r w:rsidRPr="0006283B">
        <w:rPr>
          <w:rFonts w:ascii="Calibri" w:hAnsi="Calibri" w:cs="Calibri"/>
        </w:rPr>
        <w:t xml:space="preserve"> 7.1. </w:t>
      </w:r>
    </w:p>
  </w:footnote>
  <w:footnote w:id="15">
    <w:p w14:paraId="0359EA3D" w14:textId="22C181A8" w:rsidR="002841B4" w:rsidRPr="0006283B" w:rsidRDefault="002841B4" w:rsidP="00393990">
      <w:pPr>
        <w:pStyle w:val="Footnotes"/>
        <w:rPr>
          <w:rFonts w:ascii="Calibri" w:hAnsi="Calibri" w:cs="Calibri"/>
        </w:rPr>
      </w:pPr>
      <w:r w:rsidRPr="0006283B">
        <w:rPr>
          <w:rStyle w:val="FootnoteReference"/>
          <w:rFonts w:ascii="Calibri" w:hAnsi="Calibri" w:cs="Calibri"/>
        </w:rPr>
        <w:footnoteRef/>
      </w:r>
      <w:r w:rsidRPr="0006283B">
        <w:rPr>
          <w:rFonts w:ascii="Calibri" w:hAnsi="Calibri" w:cs="Calibri"/>
        </w:rPr>
        <w:t xml:space="preserve"> </w:t>
      </w:r>
      <w:r w:rsidR="00393990" w:rsidRPr="0006283B">
        <w:rPr>
          <w:rFonts w:ascii="Calibri" w:hAnsi="Calibri" w:cs="Calibri"/>
        </w:rPr>
        <w:tab/>
      </w:r>
      <w:r w:rsidR="006A124C" w:rsidRPr="0006283B">
        <w:rPr>
          <w:rFonts w:ascii="Calibri" w:hAnsi="Calibri" w:cs="Calibri"/>
        </w:rPr>
        <w:t>Non-salary benefits may include a motor vehicle obtained through either the Executive Vehicle Scheme or novated leasing arrangement, the VPS health insurance scheme and salary sacrificed superannuation contributions. VPSC (2022</w:t>
      </w:r>
      <w:r w:rsidR="009421C1">
        <w:rPr>
          <w:rFonts w:ascii="Calibri" w:hAnsi="Calibri" w:cs="Calibri"/>
        </w:rPr>
        <w:t>b</w:t>
      </w:r>
      <w:r w:rsidR="006A124C" w:rsidRPr="0006283B">
        <w:rPr>
          <w:rFonts w:ascii="Calibri" w:hAnsi="Calibri" w:cs="Calibri"/>
        </w:rPr>
        <w:t>), p. 34.</w:t>
      </w:r>
      <w:r w:rsidR="00121B42" w:rsidRPr="0006283B">
        <w:rPr>
          <w:rFonts w:ascii="Calibri" w:hAnsi="Calibri" w:cs="Calibri"/>
        </w:rPr>
        <w:t xml:space="preserve"> </w:t>
      </w:r>
    </w:p>
  </w:footnote>
  <w:footnote w:id="16">
    <w:p w14:paraId="01969592" w14:textId="53B1CCC3" w:rsidR="00633994" w:rsidRPr="0006283B" w:rsidRDefault="00633994" w:rsidP="00393990">
      <w:pPr>
        <w:pStyle w:val="Footnotes"/>
        <w:rPr>
          <w:rFonts w:ascii="Calibri" w:hAnsi="Calibri" w:cs="Calibri"/>
        </w:rPr>
      </w:pPr>
      <w:r w:rsidRPr="0006283B">
        <w:rPr>
          <w:rStyle w:val="FootnoteReference"/>
          <w:rFonts w:ascii="Calibri" w:hAnsi="Calibri" w:cs="Calibri"/>
        </w:rPr>
        <w:footnoteRef/>
      </w:r>
      <w:r w:rsidRPr="0006283B">
        <w:rPr>
          <w:rFonts w:ascii="Calibri" w:hAnsi="Calibri" w:cs="Calibri"/>
        </w:rPr>
        <w:t xml:space="preserve"> </w:t>
      </w:r>
      <w:r w:rsidR="00393990" w:rsidRPr="0006283B">
        <w:rPr>
          <w:rFonts w:ascii="Calibri" w:hAnsi="Calibri" w:cs="Calibri"/>
        </w:rPr>
        <w:tab/>
      </w:r>
      <w:r w:rsidR="007422B6" w:rsidRPr="0006283B">
        <w:rPr>
          <w:rFonts w:ascii="Calibri" w:hAnsi="Calibri" w:cs="Calibri"/>
        </w:rPr>
        <w:t>State Government of Victoria (2020)</w:t>
      </w:r>
      <w:r w:rsidRPr="0006283B">
        <w:rPr>
          <w:rFonts w:ascii="Calibri" w:hAnsi="Calibri" w:cs="Calibri"/>
        </w:rPr>
        <w:t xml:space="preserve">, </w:t>
      </w:r>
      <w:r w:rsidR="00C110BB" w:rsidRPr="0006283B">
        <w:rPr>
          <w:rFonts w:ascii="Calibri" w:hAnsi="Calibri" w:cs="Calibri"/>
        </w:rPr>
        <w:t>clause</w:t>
      </w:r>
      <w:r w:rsidRPr="0006283B">
        <w:rPr>
          <w:rFonts w:ascii="Calibri" w:hAnsi="Calibri" w:cs="Calibri"/>
        </w:rPr>
        <w:t xml:space="preserve"> 7.2.</w:t>
      </w:r>
      <w:r w:rsidR="00120F90" w:rsidRPr="0006283B">
        <w:rPr>
          <w:rFonts w:ascii="Calibri" w:hAnsi="Calibri" w:cs="Calibri"/>
        </w:rPr>
        <w:t xml:space="preserve"> </w:t>
      </w:r>
    </w:p>
  </w:footnote>
  <w:footnote w:id="17">
    <w:p w14:paraId="4149F1DA" w14:textId="51B51E72" w:rsidR="00455597" w:rsidRPr="004E526A" w:rsidRDefault="00455597" w:rsidP="004E526A">
      <w:pPr>
        <w:pStyle w:val="FootnoteText"/>
      </w:pPr>
      <w:r w:rsidRPr="00E429B6">
        <w:rPr>
          <w:rStyle w:val="FootnoteReference"/>
          <w:rFonts w:ascii="Calibri" w:hAnsi="Calibri" w:cs="Calibri"/>
        </w:rPr>
        <w:footnoteRef/>
      </w:r>
      <w:r w:rsidRPr="004E526A">
        <w:t xml:space="preserve"> </w:t>
      </w:r>
      <w:r w:rsidR="00E429B6" w:rsidRPr="0006283B">
        <w:rPr>
          <w:rFonts w:ascii="Calibri" w:hAnsi="Calibri" w:cs="Calibri"/>
        </w:rPr>
        <w:tab/>
      </w:r>
      <w:r w:rsidR="003A32E2" w:rsidRPr="00E429B6">
        <w:rPr>
          <w:rFonts w:ascii="Calibri" w:hAnsi="Calibri" w:cs="Calibri"/>
        </w:rPr>
        <w:t>VPSC</w:t>
      </w:r>
      <w:r w:rsidR="0042749D" w:rsidRPr="00E429B6">
        <w:rPr>
          <w:rFonts w:ascii="Calibri" w:hAnsi="Calibri" w:cs="Calibri"/>
        </w:rPr>
        <w:t xml:space="preserve"> (2022a).</w:t>
      </w:r>
      <w:r w:rsidR="003A32E2" w:rsidRPr="00E429B6">
        <w:rPr>
          <w:rFonts w:ascii="Calibri" w:hAnsi="Calibri" w:cs="Calibri"/>
        </w:rPr>
        <w:t xml:space="preserve"> </w:t>
      </w:r>
    </w:p>
  </w:footnote>
  <w:footnote w:id="18">
    <w:p w14:paraId="123D288B" w14:textId="5A69CA13" w:rsidR="00077086" w:rsidRDefault="00077086" w:rsidP="00AF1901">
      <w:pPr>
        <w:pStyle w:val="FootnoteText"/>
      </w:pPr>
      <w:r w:rsidRPr="0006283B">
        <w:rPr>
          <w:rStyle w:val="FootnoteReference"/>
          <w:rFonts w:ascii="Calibri" w:hAnsi="Calibri" w:cs="Calibri"/>
        </w:rPr>
        <w:footnoteRef/>
      </w:r>
      <w:r w:rsidRPr="0006283B">
        <w:rPr>
          <w:rFonts w:ascii="Calibri" w:hAnsi="Calibri" w:cs="Calibri"/>
          <w:i/>
          <w:iCs/>
        </w:rPr>
        <w:t xml:space="preserve"> </w:t>
      </w:r>
      <w:r w:rsidR="00393990" w:rsidRPr="0006283B">
        <w:rPr>
          <w:rFonts w:ascii="Calibri" w:hAnsi="Calibri" w:cs="Calibri"/>
        </w:rPr>
        <w:tab/>
      </w:r>
      <w:r w:rsidRPr="0006283B">
        <w:rPr>
          <w:rFonts w:ascii="Calibri" w:hAnsi="Calibri" w:cs="Calibri"/>
          <w:i/>
          <w:iCs/>
        </w:rPr>
        <w:t>Superannuation Guarantee (Administration) Act 1992</w:t>
      </w:r>
      <w:r w:rsidRPr="0006283B">
        <w:rPr>
          <w:rFonts w:ascii="Calibri" w:hAnsi="Calibri" w:cs="Calibri"/>
        </w:rPr>
        <w:t xml:space="preserve"> (Cth), s</w:t>
      </w:r>
      <w:r w:rsidR="00270718" w:rsidRPr="0006283B">
        <w:rPr>
          <w:rFonts w:ascii="Calibri" w:hAnsi="Calibri" w:cs="Calibri"/>
        </w:rPr>
        <w:t xml:space="preserve">. </w:t>
      </w:r>
      <w:r w:rsidRPr="0006283B">
        <w:rPr>
          <w:rFonts w:ascii="Calibri" w:hAnsi="Calibri" w:cs="Calibri"/>
        </w:rPr>
        <w:t>6(1).</w:t>
      </w:r>
    </w:p>
  </w:footnote>
  <w:footnote w:id="19">
    <w:p w14:paraId="5F1F3780" w14:textId="2D962CE0" w:rsidR="00C33F89" w:rsidRPr="00412497" w:rsidRDefault="00C33F89" w:rsidP="00AF1901">
      <w:pPr>
        <w:pStyle w:val="FootnoteText"/>
        <w:rPr>
          <w:rFonts w:ascii="Calibri" w:hAnsi="Calibri" w:cs="Calibri"/>
        </w:rPr>
      </w:pPr>
      <w:r w:rsidRPr="00412497">
        <w:rPr>
          <w:rStyle w:val="FootnoteReference"/>
          <w:rFonts w:ascii="Calibri" w:hAnsi="Calibri" w:cs="Calibri"/>
        </w:rPr>
        <w:footnoteRef/>
      </w:r>
      <w:r w:rsidRPr="00412497">
        <w:rPr>
          <w:rFonts w:ascii="Calibri" w:hAnsi="Calibri" w:cs="Calibri"/>
        </w:rPr>
        <w:t xml:space="preserve"> </w:t>
      </w:r>
      <w:r w:rsidR="00412497" w:rsidRPr="00412497">
        <w:rPr>
          <w:rFonts w:ascii="Calibri" w:hAnsi="Calibri" w:cs="Calibri"/>
        </w:rPr>
        <w:tab/>
      </w:r>
      <w:r w:rsidRPr="00412497">
        <w:rPr>
          <w:rFonts w:ascii="Calibri" w:hAnsi="Calibri" w:cs="Calibri"/>
          <w:i/>
          <w:iCs/>
        </w:rPr>
        <w:t>Superannuation Guarantee (Administration) Act 1992</w:t>
      </w:r>
      <w:r w:rsidRPr="00412497">
        <w:rPr>
          <w:rFonts w:ascii="Calibri" w:hAnsi="Calibri" w:cs="Calibri"/>
        </w:rPr>
        <w:t xml:space="preserve"> (Cth), s. 19(2).</w:t>
      </w:r>
    </w:p>
  </w:footnote>
  <w:footnote w:id="20">
    <w:p w14:paraId="4BA10164" w14:textId="7544500F" w:rsidR="00C33F89" w:rsidRPr="00412497" w:rsidRDefault="00C33F89" w:rsidP="00AF1901">
      <w:pPr>
        <w:pStyle w:val="FootnoteText"/>
        <w:rPr>
          <w:rFonts w:ascii="Calibri" w:hAnsi="Calibri" w:cs="Calibri"/>
        </w:rPr>
      </w:pPr>
      <w:r w:rsidRPr="00412497">
        <w:rPr>
          <w:rStyle w:val="FootnoteReference"/>
          <w:rFonts w:ascii="Calibri" w:hAnsi="Calibri" w:cs="Calibri"/>
        </w:rPr>
        <w:footnoteRef/>
      </w:r>
      <w:r w:rsidRPr="00412497">
        <w:rPr>
          <w:rFonts w:ascii="Calibri" w:hAnsi="Calibri" w:cs="Calibri"/>
        </w:rPr>
        <w:t xml:space="preserve"> </w:t>
      </w:r>
      <w:r w:rsidR="00412497" w:rsidRPr="00412497">
        <w:rPr>
          <w:rFonts w:ascii="Calibri" w:hAnsi="Calibri" w:cs="Calibri"/>
        </w:rPr>
        <w:tab/>
      </w:r>
      <w:r w:rsidRPr="00412497">
        <w:rPr>
          <w:rFonts w:ascii="Calibri" w:hAnsi="Calibri" w:cs="Calibri"/>
        </w:rPr>
        <w:t>Australian Taxation Office (202</w:t>
      </w:r>
      <w:r w:rsidR="0006303E" w:rsidRPr="00412497">
        <w:rPr>
          <w:rFonts w:ascii="Calibri" w:hAnsi="Calibri" w:cs="Calibri"/>
        </w:rPr>
        <w:t>3</w:t>
      </w:r>
      <w:r w:rsidRPr="00412497">
        <w:rPr>
          <w:rFonts w:ascii="Calibri" w:hAnsi="Calibri" w:cs="Calibri"/>
        </w:rPr>
        <w:t>).</w:t>
      </w:r>
      <w:r w:rsidR="000847B4" w:rsidRPr="00412497">
        <w:rPr>
          <w:rFonts w:ascii="Calibri" w:hAnsi="Calibri" w:cs="Calibri"/>
        </w:rPr>
        <w:t xml:space="preserve"> </w:t>
      </w:r>
    </w:p>
  </w:footnote>
  <w:footnote w:id="21">
    <w:p w14:paraId="4B1EA02D" w14:textId="50147AAC" w:rsidR="00FC702B" w:rsidRPr="00412497" w:rsidRDefault="00FC702B" w:rsidP="00AF1901">
      <w:pPr>
        <w:pStyle w:val="FootnoteText"/>
        <w:rPr>
          <w:rFonts w:ascii="Calibri" w:hAnsi="Calibri" w:cs="Calibri"/>
        </w:rPr>
      </w:pPr>
      <w:r w:rsidRPr="00412497">
        <w:rPr>
          <w:rStyle w:val="FootnoteReference"/>
          <w:rFonts w:ascii="Calibri" w:hAnsi="Calibri" w:cs="Calibri"/>
        </w:rPr>
        <w:footnoteRef/>
      </w:r>
      <w:r w:rsidRPr="00412497">
        <w:rPr>
          <w:rFonts w:ascii="Calibri" w:hAnsi="Calibri" w:cs="Calibri"/>
        </w:rPr>
        <w:t xml:space="preserve"> </w:t>
      </w:r>
      <w:r w:rsidR="00412497" w:rsidRPr="00412497">
        <w:rPr>
          <w:rFonts w:ascii="Calibri" w:hAnsi="Calibri" w:cs="Calibri"/>
        </w:rPr>
        <w:tab/>
      </w:r>
      <w:r w:rsidR="002B2232" w:rsidRPr="00412497">
        <w:rPr>
          <w:rFonts w:ascii="Calibri" w:hAnsi="Calibri" w:cs="Calibri"/>
        </w:rPr>
        <w:t>The Handbook goes on to say: ‘P</w:t>
      </w:r>
      <w:r w:rsidRPr="00412497">
        <w:rPr>
          <w:rFonts w:ascii="Calibri" w:hAnsi="Calibri" w:cs="Calibri"/>
        </w:rPr>
        <w:t>ublic entities whose executives use another contract are required to comply with the terms of that contract. However, if there is discretion within the terms of the contract, employers are encouraged to follow the approach set out above that applies to the Standard Contract, to promote consistency across the public sector</w:t>
      </w:r>
      <w:r w:rsidR="006C3595">
        <w:rPr>
          <w:rFonts w:ascii="Calibri" w:hAnsi="Calibri" w:cs="Calibri"/>
        </w:rPr>
        <w:t>’</w:t>
      </w:r>
      <w:r w:rsidRPr="00412497">
        <w:rPr>
          <w:rFonts w:ascii="Calibri" w:hAnsi="Calibri" w:cs="Calibri"/>
        </w:rPr>
        <w:t>.</w:t>
      </w:r>
      <w:r w:rsidR="00706CBB" w:rsidRPr="00412497">
        <w:rPr>
          <w:rFonts w:ascii="Calibri" w:hAnsi="Calibri" w:cs="Calibri"/>
        </w:rPr>
        <w:t xml:space="preserve"> VPSC (</w:t>
      </w:r>
      <w:r w:rsidR="007907A4" w:rsidRPr="00412497">
        <w:rPr>
          <w:rFonts w:ascii="Calibri" w:hAnsi="Calibri" w:cs="Calibri"/>
        </w:rPr>
        <w:t>2022</w:t>
      </w:r>
      <w:r w:rsidR="009421C1">
        <w:rPr>
          <w:rFonts w:ascii="Calibri" w:hAnsi="Calibri" w:cs="Calibri"/>
        </w:rPr>
        <w:t>b</w:t>
      </w:r>
      <w:r w:rsidR="00706CBB" w:rsidRPr="00412497">
        <w:rPr>
          <w:rFonts w:ascii="Calibri" w:hAnsi="Calibri" w:cs="Calibri"/>
        </w:rPr>
        <w:t xml:space="preserve">), p. </w:t>
      </w:r>
      <w:r w:rsidR="007907A4" w:rsidRPr="00412497">
        <w:rPr>
          <w:rFonts w:ascii="Calibri" w:hAnsi="Calibri" w:cs="Calibri"/>
        </w:rPr>
        <w:t>43</w:t>
      </w:r>
      <w:r w:rsidR="00706CBB" w:rsidRPr="00412497">
        <w:rPr>
          <w:rFonts w:ascii="Calibri" w:hAnsi="Calibri" w:cs="Calibri"/>
        </w:rPr>
        <w:t>.</w:t>
      </w:r>
      <w:r w:rsidR="00121B42" w:rsidRPr="00412497">
        <w:rPr>
          <w:rFonts w:ascii="Calibri" w:hAnsi="Calibri" w:cs="Calibri"/>
        </w:rPr>
        <w:t xml:space="preserve"> </w:t>
      </w:r>
    </w:p>
  </w:footnote>
  <w:footnote w:id="22">
    <w:p w14:paraId="429CFACA" w14:textId="6F407733" w:rsidR="00270718" w:rsidRPr="00412497" w:rsidRDefault="00270718" w:rsidP="00037331">
      <w:pPr>
        <w:pStyle w:val="Footnotes"/>
        <w:rPr>
          <w:rFonts w:ascii="Calibri" w:hAnsi="Calibri" w:cs="Calibri"/>
        </w:rPr>
      </w:pPr>
      <w:r w:rsidRPr="00412497">
        <w:rPr>
          <w:rStyle w:val="FootnoteReference"/>
          <w:rFonts w:ascii="Calibri" w:hAnsi="Calibri" w:cs="Calibri"/>
        </w:rPr>
        <w:footnoteRef/>
      </w:r>
      <w:r w:rsidRPr="00412497">
        <w:rPr>
          <w:rFonts w:ascii="Calibri" w:hAnsi="Calibri" w:cs="Calibri"/>
        </w:rPr>
        <w:t xml:space="preserve"> </w:t>
      </w:r>
      <w:r w:rsidR="00412497" w:rsidRPr="00412497">
        <w:rPr>
          <w:rFonts w:ascii="Calibri" w:hAnsi="Calibri" w:cs="Calibri"/>
        </w:rPr>
        <w:tab/>
      </w:r>
      <w:r w:rsidRPr="00412497">
        <w:rPr>
          <w:rFonts w:ascii="Calibri" w:hAnsi="Calibri" w:cs="Calibri"/>
        </w:rPr>
        <w:t>VPSC</w:t>
      </w:r>
      <w:r w:rsidR="00ED65DA" w:rsidRPr="00412497">
        <w:rPr>
          <w:rFonts w:ascii="Calibri" w:hAnsi="Calibri" w:cs="Calibri"/>
        </w:rPr>
        <w:t xml:space="preserve"> (</w:t>
      </w:r>
      <w:r w:rsidR="004822EE" w:rsidRPr="00412497">
        <w:rPr>
          <w:rFonts w:ascii="Calibri" w:hAnsi="Calibri" w:cs="Calibri"/>
        </w:rPr>
        <w:t>2022</w:t>
      </w:r>
      <w:r w:rsidR="009421C1">
        <w:rPr>
          <w:rFonts w:ascii="Calibri" w:hAnsi="Calibri" w:cs="Calibri"/>
        </w:rPr>
        <w:t>b</w:t>
      </w:r>
      <w:r w:rsidR="00ED65DA" w:rsidRPr="00412497">
        <w:rPr>
          <w:rFonts w:ascii="Calibri" w:hAnsi="Calibri" w:cs="Calibri"/>
        </w:rPr>
        <w:t>)</w:t>
      </w:r>
      <w:r w:rsidRPr="00412497">
        <w:rPr>
          <w:rFonts w:ascii="Calibri" w:hAnsi="Calibri" w:cs="Calibri"/>
        </w:rPr>
        <w:t xml:space="preserve">, </w:t>
      </w:r>
      <w:r w:rsidR="00597E29" w:rsidRPr="00412497">
        <w:rPr>
          <w:rFonts w:ascii="Calibri" w:hAnsi="Calibri" w:cs="Calibri"/>
        </w:rPr>
        <w:t xml:space="preserve">p. </w:t>
      </w:r>
      <w:r w:rsidR="004822EE" w:rsidRPr="00412497">
        <w:rPr>
          <w:rFonts w:ascii="Calibri" w:hAnsi="Calibri" w:cs="Calibri"/>
        </w:rPr>
        <w:t>43</w:t>
      </w:r>
      <w:r w:rsidRPr="00412497">
        <w:rPr>
          <w:rFonts w:ascii="Calibri" w:hAnsi="Calibri" w:cs="Calibri"/>
        </w:rPr>
        <w:t>.</w:t>
      </w:r>
      <w:r w:rsidR="00121B42" w:rsidRPr="00412497">
        <w:rPr>
          <w:rFonts w:ascii="Calibri" w:hAnsi="Calibri" w:cs="Calibri"/>
        </w:rPr>
        <w:t xml:space="preserve"> </w:t>
      </w:r>
    </w:p>
  </w:footnote>
  <w:footnote w:id="23">
    <w:p w14:paraId="0071913B" w14:textId="3C6148E4" w:rsidR="005A3295" w:rsidRDefault="005A3295" w:rsidP="00037331">
      <w:pPr>
        <w:pStyle w:val="Footnotes"/>
      </w:pPr>
      <w:r w:rsidRPr="00412497">
        <w:rPr>
          <w:rFonts w:ascii="Calibri" w:hAnsi="Calibri" w:cs="Calibri"/>
          <w:vertAlign w:val="superscript"/>
        </w:rPr>
        <w:footnoteRef/>
      </w:r>
      <w:r w:rsidRPr="00412497">
        <w:rPr>
          <w:rFonts w:ascii="Calibri" w:hAnsi="Calibri" w:cs="Calibri"/>
        </w:rPr>
        <w:t xml:space="preserve"> </w:t>
      </w:r>
      <w:r w:rsidR="00412497" w:rsidRPr="00412497">
        <w:rPr>
          <w:rFonts w:ascii="Calibri" w:hAnsi="Calibri" w:cs="Calibri"/>
        </w:rPr>
        <w:tab/>
      </w:r>
      <w:r w:rsidRPr="00412497">
        <w:rPr>
          <w:rFonts w:ascii="Calibri" w:hAnsi="Calibri" w:cs="Calibri"/>
        </w:rPr>
        <w:t>State Government of Victoria (2022).</w:t>
      </w:r>
      <w:r w:rsidR="00121B42" w:rsidRPr="001532E3">
        <w:t xml:space="preserve"> </w:t>
      </w:r>
    </w:p>
  </w:footnote>
  <w:footnote w:id="24">
    <w:p w14:paraId="00235C94" w14:textId="69BFE53D" w:rsidR="005678FE" w:rsidRPr="00F777CE" w:rsidRDefault="005678FE" w:rsidP="00F777CE">
      <w:pPr>
        <w:pStyle w:val="Footnotes"/>
        <w:rPr>
          <w:rFonts w:ascii="Calibri" w:hAnsi="Calibri" w:cs="Calibri"/>
        </w:rPr>
      </w:pPr>
      <w:r w:rsidRPr="00F777CE">
        <w:rPr>
          <w:rStyle w:val="FootnoteReference"/>
          <w:rFonts w:ascii="Calibri" w:hAnsi="Calibri" w:cs="Calibri"/>
        </w:rPr>
        <w:footnoteRef/>
      </w:r>
      <w:r w:rsidRPr="00F777CE">
        <w:rPr>
          <w:rFonts w:ascii="Calibri" w:hAnsi="Calibri" w:cs="Calibri"/>
        </w:rPr>
        <w:t xml:space="preserve"> </w:t>
      </w:r>
      <w:r w:rsidR="00F777CE" w:rsidRPr="00F777CE">
        <w:rPr>
          <w:rFonts w:ascii="Calibri" w:hAnsi="Calibri" w:cs="Calibri"/>
        </w:rPr>
        <w:tab/>
      </w:r>
      <w:r w:rsidRPr="00F777CE">
        <w:rPr>
          <w:rFonts w:ascii="Calibri" w:hAnsi="Calibri" w:cs="Calibri"/>
        </w:rPr>
        <w:t>RBA (2023</w:t>
      </w:r>
      <w:r w:rsidR="00B600BD" w:rsidRPr="00F777CE">
        <w:rPr>
          <w:rFonts w:ascii="Calibri" w:hAnsi="Calibri" w:cs="Calibri"/>
        </w:rPr>
        <w:t>c</w:t>
      </w:r>
      <w:r w:rsidRPr="00F777CE">
        <w:rPr>
          <w:rFonts w:ascii="Calibri" w:hAnsi="Calibri" w:cs="Calibri"/>
        </w:rPr>
        <w:t>), pp. 5-</w:t>
      </w:r>
      <w:r w:rsidR="00C03A49">
        <w:rPr>
          <w:rFonts w:ascii="Calibri" w:hAnsi="Calibri" w:cs="Calibri"/>
        </w:rPr>
        <w:t>7</w:t>
      </w:r>
      <w:r w:rsidRPr="00F777CE">
        <w:rPr>
          <w:rFonts w:ascii="Calibri" w:hAnsi="Calibri" w:cs="Calibri"/>
        </w:rPr>
        <w:t>.</w:t>
      </w:r>
    </w:p>
  </w:footnote>
  <w:footnote w:id="25">
    <w:p w14:paraId="67A358EE" w14:textId="081FDB8A" w:rsidR="005678FE" w:rsidRPr="00A04D47" w:rsidRDefault="005678FE" w:rsidP="000C176F">
      <w:pPr>
        <w:pStyle w:val="Footnotes"/>
        <w:rPr>
          <w:rFonts w:ascii="Calibri" w:hAnsi="Calibri" w:cs="Calibri"/>
        </w:rPr>
      </w:pPr>
      <w:r w:rsidRPr="00A04D47">
        <w:rPr>
          <w:rStyle w:val="FootnoteReference"/>
          <w:rFonts w:ascii="Calibri" w:hAnsi="Calibri" w:cs="Calibri"/>
        </w:rPr>
        <w:footnoteRef/>
      </w:r>
      <w:r w:rsidRPr="00A04D47">
        <w:rPr>
          <w:rFonts w:ascii="Calibri" w:hAnsi="Calibri" w:cs="Calibri"/>
        </w:rPr>
        <w:t xml:space="preserve"> </w:t>
      </w:r>
      <w:r w:rsidR="000C176F" w:rsidRPr="00A04D47">
        <w:rPr>
          <w:rFonts w:ascii="Calibri" w:hAnsi="Calibri" w:cs="Calibri"/>
        </w:rPr>
        <w:tab/>
      </w:r>
      <w:r w:rsidRPr="00A04D47">
        <w:rPr>
          <w:rFonts w:ascii="Calibri" w:hAnsi="Calibri" w:cs="Calibri"/>
        </w:rPr>
        <w:t>ABS (2023</w:t>
      </w:r>
      <w:r w:rsidR="00DA7770" w:rsidRPr="00A04D47">
        <w:rPr>
          <w:rFonts w:ascii="Calibri" w:hAnsi="Calibri" w:cs="Calibri"/>
        </w:rPr>
        <w:t>a</w:t>
      </w:r>
      <w:r w:rsidRPr="00A04D47">
        <w:rPr>
          <w:rFonts w:ascii="Calibri" w:hAnsi="Calibri" w:cs="Calibri"/>
        </w:rPr>
        <w:t>).</w:t>
      </w:r>
    </w:p>
  </w:footnote>
  <w:footnote w:id="26">
    <w:p w14:paraId="00978107" w14:textId="70DEB9FA" w:rsidR="005678FE" w:rsidRPr="00A04D47" w:rsidRDefault="005678FE" w:rsidP="000C176F">
      <w:pPr>
        <w:pStyle w:val="Footnotes"/>
        <w:rPr>
          <w:rFonts w:ascii="Calibri" w:hAnsi="Calibri" w:cs="Calibri"/>
        </w:rPr>
      </w:pPr>
      <w:r w:rsidRPr="00A04D47">
        <w:rPr>
          <w:rStyle w:val="FootnoteReference"/>
          <w:rFonts w:ascii="Calibri" w:hAnsi="Calibri" w:cs="Calibri"/>
        </w:rPr>
        <w:footnoteRef/>
      </w:r>
      <w:r w:rsidRPr="00A04D47">
        <w:rPr>
          <w:rFonts w:ascii="Calibri" w:hAnsi="Calibri" w:cs="Calibri"/>
        </w:rPr>
        <w:t xml:space="preserve"> </w:t>
      </w:r>
      <w:r w:rsidR="000C176F" w:rsidRPr="00A04D47">
        <w:rPr>
          <w:rFonts w:ascii="Calibri" w:hAnsi="Calibri" w:cs="Calibri"/>
        </w:rPr>
        <w:tab/>
      </w:r>
      <w:r w:rsidRPr="00A04D47">
        <w:rPr>
          <w:rFonts w:ascii="Calibri" w:hAnsi="Calibri" w:cs="Calibri"/>
        </w:rPr>
        <w:t>RBA (2023</w:t>
      </w:r>
      <w:r w:rsidR="004379FA" w:rsidRPr="00A04D47">
        <w:rPr>
          <w:rFonts w:ascii="Calibri" w:hAnsi="Calibri" w:cs="Calibri"/>
        </w:rPr>
        <w:t>c</w:t>
      </w:r>
      <w:r w:rsidRPr="00A04D47">
        <w:rPr>
          <w:rFonts w:ascii="Calibri" w:hAnsi="Calibri" w:cs="Calibri"/>
        </w:rPr>
        <w:t>), p. 1.</w:t>
      </w:r>
    </w:p>
  </w:footnote>
  <w:footnote w:id="27">
    <w:p w14:paraId="4F3D8DE2" w14:textId="268206E6" w:rsidR="005678FE" w:rsidRPr="00A04D47" w:rsidRDefault="005678FE" w:rsidP="000C176F">
      <w:pPr>
        <w:pStyle w:val="Footnotes"/>
        <w:rPr>
          <w:rFonts w:ascii="Calibri" w:hAnsi="Calibri" w:cs="Calibri"/>
        </w:rPr>
      </w:pPr>
      <w:r w:rsidRPr="00A04D47">
        <w:rPr>
          <w:rStyle w:val="FootnoteReference"/>
          <w:rFonts w:ascii="Calibri" w:hAnsi="Calibri" w:cs="Calibri"/>
        </w:rPr>
        <w:footnoteRef/>
      </w:r>
      <w:r w:rsidRPr="00A04D47">
        <w:rPr>
          <w:rFonts w:ascii="Calibri" w:hAnsi="Calibri" w:cs="Calibri"/>
        </w:rPr>
        <w:t xml:space="preserve"> </w:t>
      </w:r>
      <w:r w:rsidR="000C176F" w:rsidRPr="00A04D47">
        <w:rPr>
          <w:rFonts w:ascii="Calibri" w:hAnsi="Calibri" w:cs="Calibri"/>
        </w:rPr>
        <w:tab/>
      </w:r>
      <w:r w:rsidRPr="00A04D47">
        <w:rPr>
          <w:rFonts w:ascii="Calibri" w:hAnsi="Calibri" w:cs="Calibri"/>
        </w:rPr>
        <w:t>ABS (2023</w:t>
      </w:r>
      <w:r w:rsidR="000F26B4" w:rsidRPr="00A04D47">
        <w:rPr>
          <w:rFonts w:ascii="Calibri" w:hAnsi="Calibri" w:cs="Calibri"/>
        </w:rPr>
        <w:t>c</w:t>
      </w:r>
      <w:r w:rsidRPr="00A04D47">
        <w:rPr>
          <w:rFonts w:ascii="Calibri" w:hAnsi="Calibri" w:cs="Calibri"/>
        </w:rPr>
        <w:t>).</w:t>
      </w:r>
    </w:p>
  </w:footnote>
  <w:footnote w:id="28">
    <w:p w14:paraId="0778F49E" w14:textId="3858F65F" w:rsidR="005678FE" w:rsidRPr="00A04D47" w:rsidRDefault="005678FE" w:rsidP="000C176F">
      <w:pPr>
        <w:pStyle w:val="Footnotes"/>
        <w:rPr>
          <w:rFonts w:ascii="Calibri" w:hAnsi="Calibri" w:cs="Calibri"/>
        </w:rPr>
      </w:pPr>
      <w:r w:rsidRPr="00A04D47">
        <w:rPr>
          <w:rStyle w:val="FootnoteReference"/>
          <w:rFonts w:ascii="Calibri" w:hAnsi="Calibri" w:cs="Calibri"/>
        </w:rPr>
        <w:footnoteRef/>
      </w:r>
      <w:r w:rsidRPr="00A04D47">
        <w:rPr>
          <w:rFonts w:ascii="Calibri" w:hAnsi="Calibri" w:cs="Calibri"/>
        </w:rPr>
        <w:t xml:space="preserve"> </w:t>
      </w:r>
      <w:r w:rsidR="000C176F" w:rsidRPr="00A04D47">
        <w:rPr>
          <w:rFonts w:ascii="Calibri" w:hAnsi="Calibri" w:cs="Calibri"/>
        </w:rPr>
        <w:tab/>
      </w:r>
      <w:r w:rsidRPr="00A04D47">
        <w:rPr>
          <w:rFonts w:ascii="Calibri" w:hAnsi="Calibri" w:cs="Calibri"/>
        </w:rPr>
        <w:t>RBA (2023</w:t>
      </w:r>
      <w:r w:rsidR="007A26C8" w:rsidRPr="00A04D47">
        <w:rPr>
          <w:rFonts w:ascii="Calibri" w:hAnsi="Calibri" w:cs="Calibri"/>
        </w:rPr>
        <w:t>b</w:t>
      </w:r>
      <w:r w:rsidRPr="00A04D47">
        <w:rPr>
          <w:rFonts w:ascii="Calibri" w:hAnsi="Calibri" w:cs="Calibri"/>
        </w:rPr>
        <w:t>).</w:t>
      </w:r>
    </w:p>
  </w:footnote>
  <w:footnote w:id="29">
    <w:p w14:paraId="464D045A" w14:textId="7E5CFD05" w:rsidR="005678FE" w:rsidRPr="00A04D47" w:rsidRDefault="005678FE" w:rsidP="000C176F">
      <w:pPr>
        <w:pStyle w:val="Footnotes"/>
        <w:rPr>
          <w:rFonts w:ascii="Calibri" w:hAnsi="Calibri" w:cs="Calibri"/>
        </w:rPr>
      </w:pPr>
      <w:r w:rsidRPr="00A04D47">
        <w:rPr>
          <w:rStyle w:val="FootnoteReference"/>
          <w:rFonts w:ascii="Calibri" w:hAnsi="Calibri" w:cs="Calibri"/>
        </w:rPr>
        <w:footnoteRef/>
      </w:r>
      <w:r w:rsidRPr="00A04D47">
        <w:rPr>
          <w:rFonts w:ascii="Calibri" w:hAnsi="Calibri" w:cs="Calibri"/>
        </w:rPr>
        <w:t xml:space="preserve"> </w:t>
      </w:r>
      <w:r w:rsidR="000C176F" w:rsidRPr="00A04D47">
        <w:rPr>
          <w:rFonts w:ascii="Calibri" w:hAnsi="Calibri" w:cs="Calibri"/>
        </w:rPr>
        <w:tab/>
      </w:r>
      <w:r w:rsidRPr="00A04D47">
        <w:rPr>
          <w:rFonts w:ascii="Calibri" w:hAnsi="Calibri" w:cs="Calibri"/>
        </w:rPr>
        <w:t>RBA (2023</w:t>
      </w:r>
      <w:r w:rsidR="00233841" w:rsidRPr="00A04D47">
        <w:rPr>
          <w:rFonts w:ascii="Calibri" w:hAnsi="Calibri" w:cs="Calibri"/>
        </w:rPr>
        <w:t>c</w:t>
      </w:r>
      <w:r w:rsidRPr="00A04D47">
        <w:rPr>
          <w:rFonts w:ascii="Calibri" w:hAnsi="Calibri" w:cs="Calibri"/>
        </w:rPr>
        <w:t>), p. 21.</w:t>
      </w:r>
    </w:p>
  </w:footnote>
  <w:footnote w:id="30">
    <w:p w14:paraId="13ACB7F5" w14:textId="1459CC4E" w:rsidR="005678FE" w:rsidRPr="00A04D47" w:rsidRDefault="005678FE" w:rsidP="000C176F">
      <w:pPr>
        <w:pStyle w:val="Footnotes"/>
        <w:rPr>
          <w:rFonts w:ascii="Calibri" w:hAnsi="Calibri" w:cs="Calibri"/>
        </w:rPr>
      </w:pPr>
      <w:r w:rsidRPr="00A04D47">
        <w:rPr>
          <w:rStyle w:val="FootnoteReference"/>
          <w:rFonts w:ascii="Calibri" w:hAnsi="Calibri" w:cs="Calibri"/>
        </w:rPr>
        <w:footnoteRef/>
      </w:r>
      <w:r w:rsidRPr="00A04D47">
        <w:rPr>
          <w:rFonts w:ascii="Calibri" w:hAnsi="Calibri" w:cs="Calibri"/>
        </w:rPr>
        <w:t xml:space="preserve"> </w:t>
      </w:r>
      <w:r w:rsidR="000C176F" w:rsidRPr="00A04D47">
        <w:rPr>
          <w:rFonts w:ascii="Calibri" w:hAnsi="Calibri" w:cs="Calibri"/>
        </w:rPr>
        <w:tab/>
      </w:r>
      <w:r w:rsidRPr="00A04D47">
        <w:rPr>
          <w:rFonts w:ascii="Calibri" w:hAnsi="Calibri" w:cs="Calibri"/>
        </w:rPr>
        <w:t>ABS (2023</w:t>
      </w:r>
      <w:r w:rsidR="00B567F2">
        <w:rPr>
          <w:rFonts w:ascii="Calibri" w:hAnsi="Calibri" w:cs="Calibri"/>
        </w:rPr>
        <w:t>f</w:t>
      </w:r>
      <w:r w:rsidRPr="00A04D47">
        <w:rPr>
          <w:rFonts w:ascii="Calibri" w:hAnsi="Calibri" w:cs="Calibri"/>
        </w:rPr>
        <w:t>).</w:t>
      </w:r>
    </w:p>
  </w:footnote>
  <w:footnote w:id="31">
    <w:p w14:paraId="6419DB83" w14:textId="58245F56" w:rsidR="005678FE" w:rsidRDefault="005678FE" w:rsidP="000C176F">
      <w:pPr>
        <w:pStyle w:val="Footnotes"/>
      </w:pPr>
      <w:r w:rsidRPr="00A04D47">
        <w:rPr>
          <w:rStyle w:val="FootnoteReference"/>
          <w:rFonts w:ascii="Calibri" w:hAnsi="Calibri" w:cs="Calibri"/>
        </w:rPr>
        <w:footnoteRef/>
      </w:r>
      <w:r w:rsidRPr="00A04D47">
        <w:rPr>
          <w:rFonts w:ascii="Calibri" w:hAnsi="Calibri" w:cs="Calibri"/>
        </w:rPr>
        <w:t xml:space="preserve"> </w:t>
      </w:r>
      <w:r w:rsidR="000C176F" w:rsidRPr="00A04D47">
        <w:rPr>
          <w:rFonts w:ascii="Calibri" w:hAnsi="Calibri" w:cs="Calibri"/>
        </w:rPr>
        <w:tab/>
      </w:r>
      <w:r w:rsidRPr="00A04D47">
        <w:rPr>
          <w:rFonts w:ascii="Calibri" w:hAnsi="Calibri" w:cs="Calibri"/>
        </w:rPr>
        <w:t>ABS (2023</w:t>
      </w:r>
      <w:r w:rsidR="00B567F2">
        <w:rPr>
          <w:rFonts w:ascii="Calibri" w:hAnsi="Calibri" w:cs="Calibri"/>
        </w:rPr>
        <w:t>f</w:t>
      </w:r>
      <w:r w:rsidRPr="00A04D47">
        <w:rPr>
          <w:rFonts w:ascii="Calibri" w:hAnsi="Calibri" w:cs="Calibri"/>
        </w:rPr>
        <w:t>).</w:t>
      </w:r>
    </w:p>
  </w:footnote>
  <w:footnote w:id="32">
    <w:p w14:paraId="4F07228E" w14:textId="04A8E504" w:rsidR="005678FE" w:rsidRPr="00514A85" w:rsidRDefault="005678FE" w:rsidP="00A04D47">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A04D47" w:rsidRPr="00514A85">
        <w:rPr>
          <w:rFonts w:ascii="Calibri" w:hAnsi="Calibri" w:cs="Calibri"/>
        </w:rPr>
        <w:tab/>
      </w:r>
      <w:r w:rsidRPr="00514A85">
        <w:rPr>
          <w:rFonts w:ascii="Calibri" w:hAnsi="Calibri" w:cs="Calibri"/>
        </w:rPr>
        <w:t>FWC (2023), pp. 69-72.</w:t>
      </w:r>
    </w:p>
  </w:footnote>
  <w:footnote w:id="33">
    <w:p w14:paraId="5FC585FD" w14:textId="5E668994" w:rsidR="005678FE" w:rsidRPr="00514A85" w:rsidRDefault="005678FE" w:rsidP="00A04D47">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A04D47" w:rsidRPr="00514A85">
        <w:rPr>
          <w:rFonts w:ascii="Calibri" w:hAnsi="Calibri" w:cs="Calibri"/>
        </w:rPr>
        <w:tab/>
      </w:r>
      <w:r w:rsidRPr="00514A85">
        <w:rPr>
          <w:rFonts w:ascii="Calibri" w:hAnsi="Calibri" w:cs="Calibri"/>
        </w:rPr>
        <w:t>FWC (2023), pp. 69-70.</w:t>
      </w:r>
    </w:p>
  </w:footnote>
  <w:footnote w:id="34">
    <w:p w14:paraId="37B22409" w14:textId="1EB8E106" w:rsidR="005678FE" w:rsidRPr="00514A85" w:rsidRDefault="005678FE" w:rsidP="00A04D47">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A04D47" w:rsidRPr="00514A85">
        <w:rPr>
          <w:rFonts w:ascii="Calibri" w:hAnsi="Calibri" w:cs="Calibri"/>
        </w:rPr>
        <w:tab/>
      </w:r>
      <w:r w:rsidRPr="00514A85">
        <w:rPr>
          <w:rFonts w:ascii="Calibri" w:hAnsi="Calibri" w:cs="Calibri"/>
        </w:rPr>
        <w:t>FWC (2023), p. 7.</w:t>
      </w:r>
    </w:p>
  </w:footnote>
  <w:footnote w:id="35">
    <w:p w14:paraId="481D410A" w14:textId="359D74B4" w:rsidR="005678FE" w:rsidRPr="00514A85" w:rsidRDefault="005678FE" w:rsidP="00A04D47">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A04D47" w:rsidRPr="00514A85">
        <w:rPr>
          <w:rFonts w:ascii="Calibri" w:hAnsi="Calibri" w:cs="Calibri"/>
        </w:rPr>
        <w:tab/>
      </w:r>
      <w:r w:rsidRPr="00514A85">
        <w:rPr>
          <w:rFonts w:ascii="Calibri" w:hAnsi="Calibri" w:cs="Calibri"/>
        </w:rPr>
        <w:t>FWC (2023), pp. 70, 72.</w:t>
      </w:r>
    </w:p>
  </w:footnote>
  <w:footnote w:id="36">
    <w:p w14:paraId="2554F952" w14:textId="1ADA25C4" w:rsidR="005678FE" w:rsidRPr="00514A85" w:rsidRDefault="005678FE" w:rsidP="00A04D47">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A04D47" w:rsidRPr="00514A85">
        <w:rPr>
          <w:rFonts w:ascii="Calibri" w:hAnsi="Calibri" w:cs="Calibri"/>
        </w:rPr>
        <w:tab/>
      </w:r>
      <w:r w:rsidRPr="00514A85">
        <w:rPr>
          <w:rFonts w:ascii="Calibri" w:hAnsi="Calibri" w:cs="Calibri"/>
        </w:rPr>
        <w:t>RBA (2023</w:t>
      </w:r>
      <w:r w:rsidR="005A08A1" w:rsidRPr="00514A85">
        <w:rPr>
          <w:rFonts w:ascii="Calibri" w:hAnsi="Calibri" w:cs="Calibri"/>
        </w:rPr>
        <w:t>c</w:t>
      </w:r>
      <w:r w:rsidRPr="00514A85">
        <w:rPr>
          <w:rFonts w:ascii="Calibri" w:hAnsi="Calibri" w:cs="Calibri"/>
        </w:rPr>
        <w:t xml:space="preserve">), p. 72. </w:t>
      </w:r>
    </w:p>
  </w:footnote>
  <w:footnote w:id="37">
    <w:p w14:paraId="47ED8CB7" w14:textId="3FAAE9DA" w:rsidR="005678FE" w:rsidRPr="00514A85" w:rsidRDefault="005678FE" w:rsidP="00A04D47">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A04D47" w:rsidRPr="00514A85">
        <w:rPr>
          <w:rFonts w:ascii="Calibri" w:hAnsi="Calibri" w:cs="Calibri"/>
        </w:rPr>
        <w:tab/>
      </w:r>
      <w:r w:rsidRPr="00514A85">
        <w:rPr>
          <w:rFonts w:ascii="Calibri" w:hAnsi="Calibri" w:cs="Calibri"/>
        </w:rPr>
        <w:t>RBA (2023</w:t>
      </w:r>
      <w:r w:rsidR="005A08A1" w:rsidRPr="00514A85">
        <w:rPr>
          <w:rFonts w:ascii="Calibri" w:hAnsi="Calibri" w:cs="Calibri"/>
        </w:rPr>
        <w:t>c</w:t>
      </w:r>
      <w:r w:rsidRPr="00514A85">
        <w:rPr>
          <w:rFonts w:ascii="Calibri" w:hAnsi="Calibri" w:cs="Calibri"/>
        </w:rPr>
        <w:t>), p. 71.</w:t>
      </w:r>
    </w:p>
  </w:footnote>
  <w:footnote w:id="38">
    <w:p w14:paraId="7F3C1EB8" w14:textId="2F3FDA6A" w:rsidR="005678FE" w:rsidRPr="00514A85" w:rsidRDefault="005678FE" w:rsidP="00A04D47">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A04D47" w:rsidRPr="00514A85">
        <w:rPr>
          <w:rFonts w:ascii="Calibri" w:hAnsi="Calibri" w:cs="Calibri"/>
        </w:rPr>
        <w:tab/>
      </w:r>
      <w:r w:rsidRPr="00514A85">
        <w:rPr>
          <w:rFonts w:ascii="Calibri" w:hAnsi="Calibri" w:cs="Calibri"/>
        </w:rPr>
        <w:t>RBA (2023</w:t>
      </w:r>
      <w:r w:rsidR="005A08A1" w:rsidRPr="00514A85">
        <w:rPr>
          <w:rFonts w:ascii="Calibri" w:hAnsi="Calibri" w:cs="Calibri"/>
        </w:rPr>
        <w:t>c</w:t>
      </w:r>
      <w:r w:rsidRPr="00514A85">
        <w:rPr>
          <w:rFonts w:ascii="Calibri" w:hAnsi="Calibri" w:cs="Calibri"/>
        </w:rPr>
        <w:t>), pp. 74-75.</w:t>
      </w:r>
    </w:p>
  </w:footnote>
  <w:footnote w:id="39">
    <w:p w14:paraId="40737BAB" w14:textId="4188916D" w:rsidR="005678FE" w:rsidRDefault="005678FE" w:rsidP="00A04D47">
      <w:pPr>
        <w:pStyle w:val="Footnotes"/>
      </w:pPr>
      <w:r w:rsidRPr="00514A85">
        <w:rPr>
          <w:rStyle w:val="FootnoteReference"/>
          <w:rFonts w:ascii="Calibri" w:hAnsi="Calibri" w:cs="Calibri"/>
        </w:rPr>
        <w:footnoteRef/>
      </w:r>
      <w:r w:rsidRPr="00514A85">
        <w:rPr>
          <w:rFonts w:ascii="Calibri" w:hAnsi="Calibri" w:cs="Calibri"/>
        </w:rPr>
        <w:t xml:space="preserve"> </w:t>
      </w:r>
      <w:r w:rsidR="00A04D47" w:rsidRPr="00514A85">
        <w:rPr>
          <w:rFonts w:ascii="Calibri" w:hAnsi="Calibri" w:cs="Calibri"/>
        </w:rPr>
        <w:tab/>
      </w:r>
      <w:r w:rsidRPr="00514A85">
        <w:rPr>
          <w:rFonts w:ascii="Calibri" w:hAnsi="Calibri" w:cs="Calibri"/>
        </w:rPr>
        <w:t>RBA (2023</w:t>
      </w:r>
      <w:r w:rsidR="005A08A1" w:rsidRPr="00514A85">
        <w:rPr>
          <w:rFonts w:ascii="Calibri" w:hAnsi="Calibri" w:cs="Calibri"/>
        </w:rPr>
        <w:t>c</w:t>
      </w:r>
      <w:r w:rsidRPr="00514A85">
        <w:rPr>
          <w:rFonts w:ascii="Calibri" w:hAnsi="Calibri" w:cs="Calibri"/>
        </w:rPr>
        <w:t>), p. 75.</w:t>
      </w:r>
    </w:p>
  </w:footnote>
  <w:footnote w:id="40">
    <w:p w14:paraId="295C2EA8" w14:textId="01A29C9C" w:rsidR="005678FE" w:rsidRPr="00514A85" w:rsidRDefault="005678FE" w:rsidP="00297C53">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297C53" w:rsidRPr="00514A85">
        <w:rPr>
          <w:rFonts w:ascii="Calibri" w:hAnsi="Calibri" w:cs="Calibri"/>
        </w:rPr>
        <w:tab/>
      </w:r>
      <w:r w:rsidRPr="00514A85">
        <w:rPr>
          <w:rFonts w:ascii="Calibri" w:hAnsi="Calibri" w:cs="Calibri"/>
        </w:rPr>
        <w:t xml:space="preserve">Commonwealth </w:t>
      </w:r>
      <w:r w:rsidR="00297C53" w:rsidRPr="00514A85">
        <w:rPr>
          <w:rFonts w:ascii="Calibri" w:hAnsi="Calibri" w:cs="Calibri"/>
        </w:rPr>
        <w:t xml:space="preserve">of Australia </w:t>
      </w:r>
      <w:r w:rsidRPr="00514A85">
        <w:rPr>
          <w:rFonts w:ascii="Calibri" w:hAnsi="Calibri" w:cs="Calibri"/>
        </w:rPr>
        <w:t xml:space="preserve">(2023), </w:t>
      </w:r>
      <w:r w:rsidRPr="00514A85">
        <w:rPr>
          <w:rFonts w:ascii="Calibri" w:hAnsi="Calibri" w:cs="Calibri"/>
          <w:i/>
          <w:iCs/>
        </w:rPr>
        <w:t>Budget Paper No. 1: Budget Strategy and Outlook</w:t>
      </w:r>
      <w:r w:rsidRPr="00514A85">
        <w:rPr>
          <w:rFonts w:ascii="Calibri" w:hAnsi="Calibri" w:cs="Calibri"/>
        </w:rPr>
        <w:t>, p. 58.</w:t>
      </w:r>
    </w:p>
  </w:footnote>
  <w:footnote w:id="41">
    <w:p w14:paraId="5076AD36" w14:textId="318B67AE" w:rsidR="005678FE" w:rsidRPr="00514A85" w:rsidRDefault="005678FE" w:rsidP="00297C53">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297C53" w:rsidRPr="00514A85">
        <w:rPr>
          <w:rFonts w:ascii="Calibri" w:hAnsi="Calibri" w:cs="Calibri"/>
        </w:rPr>
        <w:tab/>
      </w:r>
      <w:r w:rsidRPr="00514A85">
        <w:rPr>
          <w:rFonts w:ascii="Calibri" w:hAnsi="Calibri" w:cs="Calibri"/>
        </w:rPr>
        <w:t>ABS (2022).</w:t>
      </w:r>
    </w:p>
  </w:footnote>
  <w:footnote w:id="42">
    <w:p w14:paraId="73DFC3B6" w14:textId="3F0FDA5D" w:rsidR="005678FE" w:rsidRPr="00514A85" w:rsidRDefault="005678FE" w:rsidP="00297C53">
      <w:pPr>
        <w:pStyle w:val="Footnotes"/>
        <w:rPr>
          <w:rFonts w:ascii="Calibri" w:hAnsi="Calibri" w:cs="Calibri"/>
        </w:rPr>
      </w:pPr>
      <w:r w:rsidRPr="00514A85">
        <w:rPr>
          <w:rStyle w:val="FootnoteReference"/>
          <w:rFonts w:ascii="Calibri" w:hAnsi="Calibri" w:cs="Calibri"/>
        </w:rPr>
        <w:footnoteRef/>
      </w:r>
      <w:r w:rsidRPr="00514A85">
        <w:rPr>
          <w:rFonts w:ascii="Calibri" w:hAnsi="Calibri" w:cs="Calibri"/>
        </w:rPr>
        <w:t xml:space="preserve"> </w:t>
      </w:r>
      <w:r w:rsidR="00297C53" w:rsidRPr="00514A85">
        <w:rPr>
          <w:rFonts w:ascii="Calibri" w:hAnsi="Calibri" w:cs="Calibri"/>
        </w:rPr>
        <w:tab/>
      </w:r>
      <w:r w:rsidRPr="00514A85">
        <w:rPr>
          <w:rFonts w:ascii="Calibri" w:hAnsi="Calibri" w:cs="Calibri"/>
        </w:rPr>
        <w:t>State Final Demand is a broad measure of the demand for goods and services in the Victorian economy. It is distinct from GSP as it does not measure output or production.</w:t>
      </w:r>
    </w:p>
  </w:footnote>
  <w:footnote w:id="43">
    <w:p w14:paraId="6A6407D0" w14:textId="00EC3407" w:rsidR="005678FE" w:rsidRDefault="005678FE" w:rsidP="00297C53">
      <w:pPr>
        <w:pStyle w:val="Footnotes"/>
      </w:pPr>
      <w:r w:rsidRPr="00514A85">
        <w:rPr>
          <w:rStyle w:val="FootnoteReference"/>
          <w:rFonts w:ascii="Calibri" w:hAnsi="Calibri" w:cs="Calibri"/>
        </w:rPr>
        <w:footnoteRef/>
      </w:r>
      <w:r w:rsidRPr="00514A85">
        <w:rPr>
          <w:rFonts w:ascii="Calibri" w:hAnsi="Calibri" w:cs="Calibri"/>
        </w:rPr>
        <w:t xml:space="preserve"> </w:t>
      </w:r>
      <w:r w:rsidR="00297C53" w:rsidRPr="00514A85">
        <w:rPr>
          <w:rFonts w:ascii="Calibri" w:hAnsi="Calibri" w:cs="Calibri"/>
        </w:rPr>
        <w:tab/>
      </w:r>
      <w:r w:rsidRPr="00514A85">
        <w:rPr>
          <w:rFonts w:ascii="Calibri" w:hAnsi="Calibri" w:cs="Calibri"/>
        </w:rPr>
        <w:t>ABS (2023</w:t>
      </w:r>
      <w:r w:rsidR="00514A85" w:rsidRPr="00514A85">
        <w:rPr>
          <w:rFonts w:ascii="Calibri" w:hAnsi="Calibri" w:cs="Calibri"/>
        </w:rPr>
        <w:t>a</w:t>
      </w:r>
      <w:r w:rsidRPr="00514A85">
        <w:rPr>
          <w:rFonts w:ascii="Calibri" w:hAnsi="Calibri" w:cs="Calibri"/>
        </w:rPr>
        <w:t>).</w:t>
      </w:r>
    </w:p>
  </w:footnote>
  <w:footnote w:id="44">
    <w:p w14:paraId="48A10F6A" w14:textId="0FDF4B43" w:rsidR="00B27F72" w:rsidRPr="00D30B83" w:rsidRDefault="00B27F72" w:rsidP="00514A85">
      <w:pPr>
        <w:pStyle w:val="Footnotes"/>
        <w:rPr>
          <w:rFonts w:ascii="Calibri" w:hAnsi="Calibri" w:cs="Calibri"/>
        </w:rPr>
      </w:pPr>
      <w:r w:rsidRPr="00D30B83">
        <w:rPr>
          <w:rStyle w:val="FootnoteReference"/>
          <w:rFonts w:ascii="Calibri" w:hAnsi="Calibri" w:cs="Calibri"/>
        </w:rPr>
        <w:footnoteRef/>
      </w:r>
      <w:r w:rsidRPr="00D30B83">
        <w:rPr>
          <w:rFonts w:ascii="Calibri" w:hAnsi="Calibri" w:cs="Calibri"/>
        </w:rPr>
        <w:t xml:space="preserve"> </w:t>
      </w:r>
      <w:r w:rsidR="00514A85" w:rsidRPr="00D30B83">
        <w:rPr>
          <w:rFonts w:ascii="Calibri" w:hAnsi="Calibri" w:cs="Calibri"/>
        </w:rPr>
        <w:tab/>
      </w:r>
      <w:r w:rsidRPr="00D30B83">
        <w:rPr>
          <w:rFonts w:ascii="Calibri" w:hAnsi="Calibri" w:cs="Calibri"/>
        </w:rPr>
        <w:t>ABS (2023</w:t>
      </w:r>
      <w:r w:rsidR="000E7CA6">
        <w:rPr>
          <w:rFonts w:ascii="Calibri" w:hAnsi="Calibri" w:cs="Calibri"/>
        </w:rPr>
        <w:t>e</w:t>
      </w:r>
      <w:r w:rsidRPr="00D30B83">
        <w:rPr>
          <w:rFonts w:ascii="Calibri" w:hAnsi="Calibri" w:cs="Calibri"/>
        </w:rPr>
        <w:t>)</w:t>
      </w:r>
      <w:r w:rsidR="00514A85" w:rsidRPr="00D30B83">
        <w:rPr>
          <w:rFonts w:ascii="Calibri" w:hAnsi="Calibri" w:cs="Calibri"/>
        </w:rPr>
        <w:t>.</w:t>
      </w:r>
    </w:p>
  </w:footnote>
  <w:footnote w:id="45">
    <w:p w14:paraId="1BE98E21" w14:textId="6DA8B331" w:rsidR="008F5885" w:rsidRDefault="008F5885">
      <w:pPr>
        <w:pStyle w:val="FootnoteText"/>
      </w:pPr>
      <w:r>
        <w:rPr>
          <w:rStyle w:val="FootnoteReference"/>
        </w:rPr>
        <w:footnoteRef/>
      </w:r>
      <w:r w:rsidRPr="00D30B83">
        <w:rPr>
          <w:rFonts w:ascii="Calibri" w:hAnsi="Calibri" w:cs="Calibri"/>
        </w:rPr>
        <w:tab/>
      </w:r>
      <w:r w:rsidR="008F6D09" w:rsidRPr="008F6D09">
        <w:rPr>
          <w:rFonts w:ascii="Calibri" w:hAnsi="Calibri" w:cs="Calibri"/>
        </w:rPr>
        <w:t>‘Volatile items’ are fruit, vegetables and automotive fuel. (ABS 2023d).</w:t>
      </w:r>
    </w:p>
  </w:footnote>
  <w:footnote w:id="46">
    <w:p w14:paraId="215265A3" w14:textId="08DEB647" w:rsidR="005678FE" w:rsidRPr="00D30B83" w:rsidRDefault="005678FE" w:rsidP="00514A85">
      <w:pPr>
        <w:pStyle w:val="Footnotes"/>
        <w:rPr>
          <w:rFonts w:ascii="Calibri" w:hAnsi="Calibri" w:cs="Calibri"/>
        </w:rPr>
      </w:pPr>
      <w:r w:rsidRPr="00D30B83">
        <w:rPr>
          <w:rStyle w:val="FootnoteReference"/>
          <w:rFonts w:ascii="Calibri" w:hAnsi="Calibri" w:cs="Calibri"/>
        </w:rPr>
        <w:footnoteRef/>
      </w:r>
      <w:r w:rsidRPr="00D30B83">
        <w:rPr>
          <w:rFonts w:ascii="Calibri" w:hAnsi="Calibri" w:cs="Calibri"/>
        </w:rPr>
        <w:t xml:space="preserve"> </w:t>
      </w:r>
      <w:r w:rsidR="00514A85" w:rsidRPr="00D30B83">
        <w:rPr>
          <w:rFonts w:ascii="Calibri" w:hAnsi="Calibri" w:cs="Calibri"/>
        </w:rPr>
        <w:tab/>
      </w:r>
      <w:r w:rsidRPr="00D30B83">
        <w:rPr>
          <w:rFonts w:ascii="Calibri" w:hAnsi="Calibri" w:cs="Calibri"/>
        </w:rPr>
        <w:t>ABS (2023</w:t>
      </w:r>
      <w:r w:rsidR="001C0F45" w:rsidRPr="00D30B83">
        <w:rPr>
          <w:rFonts w:ascii="Calibri" w:hAnsi="Calibri" w:cs="Calibri"/>
        </w:rPr>
        <w:t>c</w:t>
      </w:r>
      <w:r w:rsidRPr="00D30B83">
        <w:rPr>
          <w:rFonts w:ascii="Calibri" w:hAnsi="Calibri" w:cs="Calibri"/>
        </w:rPr>
        <w:t>).</w:t>
      </w:r>
    </w:p>
  </w:footnote>
  <w:footnote w:id="47">
    <w:p w14:paraId="58CAC9BD" w14:textId="17670542" w:rsidR="005678FE" w:rsidRPr="00D30B83" w:rsidRDefault="005678FE" w:rsidP="00514A85">
      <w:pPr>
        <w:pStyle w:val="Footnotes"/>
        <w:rPr>
          <w:rFonts w:ascii="Calibri" w:hAnsi="Calibri" w:cs="Calibri"/>
        </w:rPr>
      </w:pPr>
      <w:r w:rsidRPr="00D30B83">
        <w:rPr>
          <w:rStyle w:val="FootnoteReference"/>
          <w:rFonts w:ascii="Calibri" w:hAnsi="Calibri" w:cs="Calibri"/>
        </w:rPr>
        <w:footnoteRef/>
      </w:r>
      <w:r w:rsidRPr="00D30B83">
        <w:rPr>
          <w:rFonts w:ascii="Calibri" w:hAnsi="Calibri" w:cs="Calibri"/>
        </w:rPr>
        <w:t xml:space="preserve"> </w:t>
      </w:r>
      <w:r w:rsidR="00514A85" w:rsidRPr="00D30B83">
        <w:rPr>
          <w:rFonts w:ascii="Calibri" w:hAnsi="Calibri" w:cs="Calibri"/>
        </w:rPr>
        <w:tab/>
      </w:r>
      <w:r w:rsidRPr="00D30B83">
        <w:rPr>
          <w:rFonts w:ascii="Calibri" w:hAnsi="Calibri" w:cs="Calibri"/>
        </w:rPr>
        <w:t>ABS (2023</w:t>
      </w:r>
      <w:r w:rsidR="00B22986">
        <w:rPr>
          <w:rFonts w:ascii="Calibri" w:hAnsi="Calibri" w:cs="Calibri"/>
        </w:rPr>
        <w:t>f</w:t>
      </w:r>
      <w:r w:rsidRPr="00D30B83">
        <w:rPr>
          <w:rFonts w:ascii="Calibri" w:hAnsi="Calibri" w:cs="Calibri"/>
        </w:rPr>
        <w:t>).</w:t>
      </w:r>
    </w:p>
  </w:footnote>
  <w:footnote w:id="48">
    <w:p w14:paraId="76AA4FC4" w14:textId="3FAC5E25" w:rsidR="005678FE" w:rsidRPr="00D30B83" w:rsidRDefault="005678FE" w:rsidP="00514A85">
      <w:pPr>
        <w:pStyle w:val="Footnotes"/>
        <w:rPr>
          <w:rFonts w:ascii="Calibri" w:hAnsi="Calibri" w:cs="Calibri"/>
        </w:rPr>
      </w:pPr>
      <w:r w:rsidRPr="00D30B83">
        <w:rPr>
          <w:rStyle w:val="FootnoteReference"/>
          <w:rFonts w:ascii="Calibri" w:hAnsi="Calibri" w:cs="Calibri"/>
        </w:rPr>
        <w:footnoteRef/>
      </w:r>
      <w:r w:rsidRPr="00D30B83">
        <w:rPr>
          <w:rFonts w:ascii="Calibri" w:hAnsi="Calibri" w:cs="Calibri"/>
        </w:rPr>
        <w:t xml:space="preserve"> </w:t>
      </w:r>
      <w:r w:rsidR="00514A85" w:rsidRPr="00D30B83">
        <w:rPr>
          <w:rFonts w:ascii="Calibri" w:hAnsi="Calibri" w:cs="Calibri"/>
        </w:rPr>
        <w:tab/>
      </w:r>
      <w:r w:rsidRPr="00D30B83">
        <w:rPr>
          <w:rFonts w:ascii="Calibri" w:hAnsi="Calibri" w:cs="Calibri"/>
        </w:rPr>
        <w:t>ABS (202</w:t>
      </w:r>
      <w:r w:rsidR="00652D7D" w:rsidRPr="00D30B83">
        <w:rPr>
          <w:rFonts w:ascii="Calibri" w:hAnsi="Calibri" w:cs="Calibri"/>
        </w:rPr>
        <w:t>3b</w:t>
      </w:r>
      <w:r w:rsidRPr="00D30B83">
        <w:rPr>
          <w:rFonts w:ascii="Calibri" w:hAnsi="Calibri" w:cs="Calibri"/>
        </w:rPr>
        <w:t>).</w:t>
      </w:r>
    </w:p>
  </w:footnote>
  <w:footnote w:id="49">
    <w:p w14:paraId="7EC318EC" w14:textId="4B57D3D9" w:rsidR="005678FE" w:rsidRDefault="005678FE" w:rsidP="00514A85">
      <w:pPr>
        <w:pStyle w:val="Footnotes"/>
      </w:pPr>
      <w:r w:rsidRPr="00D30B83">
        <w:rPr>
          <w:rStyle w:val="FootnoteReference"/>
          <w:rFonts w:ascii="Calibri" w:hAnsi="Calibri" w:cs="Calibri"/>
        </w:rPr>
        <w:footnoteRef/>
      </w:r>
      <w:r w:rsidRPr="00D30B83">
        <w:rPr>
          <w:rFonts w:ascii="Calibri" w:hAnsi="Calibri" w:cs="Calibri"/>
        </w:rPr>
        <w:t xml:space="preserve"> </w:t>
      </w:r>
      <w:r w:rsidR="00514A85" w:rsidRPr="00D30B83">
        <w:rPr>
          <w:rFonts w:ascii="Calibri" w:hAnsi="Calibri" w:cs="Calibri"/>
        </w:rPr>
        <w:tab/>
      </w:r>
      <w:r w:rsidRPr="00D30B83">
        <w:rPr>
          <w:rFonts w:ascii="Calibri" w:hAnsi="Calibri" w:cs="Calibri"/>
        </w:rPr>
        <w:t>Department of Employment and Workplace Relations (2023), pp. 29, 31.</w:t>
      </w:r>
    </w:p>
  </w:footnote>
  <w:footnote w:id="50">
    <w:p w14:paraId="1DA0065B" w14:textId="66417723" w:rsidR="005678FE" w:rsidRPr="005A6974" w:rsidRDefault="005678FE" w:rsidP="00D30B83">
      <w:pPr>
        <w:pStyle w:val="Footnotes"/>
        <w:rPr>
          <w:rFonts w:ascii="Calibri" w:hAnsi="Calibri" w:cs="Calibri"/>
        </w:rPr>
      </w:pPr>
      <w:r w:rsidRPr="005A6974">
        <w:rPr>
          <w:rStyle w:val="FootnoteReference"/>
          <w:rFonts w:ascii="Calibri" w:hAnsi="Calibri" w:cs="Calibri"/>
        </w:rPr>
        <w:footnoteRef/>
      </w:r>
      <w:r w:rsidRPr="005A6974">
        <w:rPr>
          <w:rFonts w:ascii="Calibri" w:hAnsi="Calibri" w:cs="Calibri"/>
        </w:rPr>
        <w:t xml:space="preserve"> </w:t>
      </w:r>
      <w:r w:rsidR="00D30B83" w:rsidRPr="005A6974">
        <w:rPr>
          <w:rFonts w:ascii="Calibri" w:hAnsi="Calibri" w:cs="Calibri"/>
        </w:rPr>
        <w:tab/>
      </w:r>
      <w:r w:rsidRPr="005A6974">
        <w:rPr>
          <w:rFonts w:ascii="Calibri" w:hAnsi="Calibri" w:cs="Calibri"/>
        </w:rPr>
        <w:t>SEEK (2023)</w:t>
      </w:r>
      <w:r w:rsidR="00D30B83" w:rsidRPr="005A6974">
        <w:rPr>
          <w:rFonts w:ascii="Calibri" w:hAnsi="Calibri" w:cs="Calibri"/>
        </w:rPr>
        <w:t xml:space="preserve">. </w:t>
      </w:r>
      <w:r w:rsidRPr="005A6974">
        <w:rPr>
          <w:rFonts w:ascii="Calibri" w:hAnsi="Calibri" w:cs="Calibri"/>
        </w:rPr>
        <w:t>The SEEK Advertised Salary Index measures the change in advertised salaries over time for jobs posted on SEEK, while removing much of the effect of compositional change.</w:t>
      </w:r>
    </w:p>
  </w:footnote>
  <w:footnote w:id="51">
    <w:p w14:paraId="1F2084D6" w14:textId="019481E8" w:rsidR="005678FE" w:rsidRPr="005A6974" w:rsidRDefault="005678FE" w:rsidP="00D30B83">
      <w:pPr>
        <w:pStyle w:val="Footnotes"/>
        <w:rPr>
          <w:rFonts w:ascii="Calibri" w:hAnsi="Calibri" w:cs="Calibri"/>
        </w:rPr>
      </w:pPr>
      <w:r w:rsidRPr="005A6974">
        <w:rPr>
          <w:rStyle w:val="FootnoteReference"/>
          <w:rFonts w:ascii="Calibri" w:hAnsi="Calibri" w:cs="Calibri"/>
        </w:rPr>
        <w:footnoteRef/>
      </w:r>
      <w:r w:rsidRPr="005A6974">
        <w:rPr>
          <w:rFonts w:ascii="Calibri" w:hAnsi="Calibri" w:cs="Calibri"/>
        </w:rPr>
        <w:t xml:space="preserve"> </w:t>
      </w:r>
      <w:r w:rsidR="00D30B83" w:rsidRPr="005A6974">
        <w:rPr>
          <w:rFonts w:ascii="Calibri" w:hAnsi="Calibri" w:cs="Calibri"/>
        </w:rPr>
        <w:tab/>
      </w:r>
      <w:r w:rsidRPr="005A6974">
        <w:rPr>
          <w:rFonts w:ascii="Calibri" w:hAnsi="Calibri" w:cs="Calibri"/>
        </w:rPr>
        <w:t xml:space="preserve">DTF (2023), </w:t>
      </w:r>
      <w:r w:rsidRPr="005A6974">
        <w:rPr>
          <w:rFonts w:ascii="Calibri" w:hAnsi="Calibri" w:cs="Calibri"/>
          <w:i/>
          <w:iCs/>
        </w:rPr>
        <w:t>Budget Paper No. 2: Strategy and Outlook</w:t>
      </w:r>
      <w:r w:rsidRPr="005A6974">
        <w:rPr>
          <w:rFonts w:ascii="Calibri" w:hAnsi="Calibri" w:cs="Calibri"/>
        </w:rPr>
        <w:t>, p. 21.</w:t>
      </w:r>
    </w:p>
  </w:footnote>
  <w:footnote w:id="52">
    <w:p w14:paraId="3D94CCED" w14:textId="200325DD" w:rsidR="005678FE" w:rsidRDefault="005678FE" w:rsidP="00D30B83">
      <w:pPr>
        <w:pStyle w:val="Footnotes"/>
      </w:pPr>
      <w:r w:rsidRPr="005A6974">
        <w:rPr>
          <w:rStyle w:val="FootnoteReference"/>
          <w:rFonts w:ascii="Calibri" w:hAnsi="Calibri" w:cs="Calibri"/>
        </w:rPr>
        <w:footnoteRef/>
      </w:r>
      <w:r w:rsidRPr="005A6974">
        <w:rPr>
          <w:rFonts w:ascii="Calibri" w:hAnsi="Calibri" w:cs="Calibri"/>
        </w:rPr>
        <w:t xml:space="preserve"> </w:t>
      </w:r>
      <w:r w:rsidR="00D30B83" w:rsidRPr="005A6974">
        <w:rPr>
          <w:rFonts w:ascii="Calibri" w:hAnsi="Calibri" w:cs="Calibri"/>
        </w:rPr>
        <w:tab/>
      </w:r>
      <w:r w:rsidRPr="005A6974">
        <w:rPr>
          <w:rFonts w:ascii="Calibri" w:hAnsi="Calibri" w:cs="Calibri"/>
        </w:rPr>
        <w:t xml:space="preserve">DTF (2023), </w:t>
      </w:r>
      <w:r w:rsidRPr="005A6974">
        <w:rPr>
          <w:rFonts w:ascii="Calibri" w:hAnsi="Calibri" w:cs="Calibri"/>
          <w:i/>
          <w:iCs/>
        </w:rPr>
        <w:t>Budget Paper No. 2: Strategy and Outlook</w:t>
      </w:r>
      <w:r w:rsidRPr="005A6974">
        <w:rPr>
          <w:rFonts w:ascii="Calibri" w:hAnsi="Calibri" w:cs="Calibri"/>
        </w:rPr>
        <w:t>, p. 22.</w:t>
      </w:r>
    </w:p>
  </w:footnote>
  <w:footnote w:id="53">
    <w:p w14:paraId="10866902" w14:textId="445A4FA3" w:rsidR="005678FE" w:rsidRPr="004C6D44" w:rsidRDefault="005678FE" w:rsidP="005A6974">
      <w:pPr>
        <w:pStyle w:val="Footnotes"/>
        <w:rPr>
          <w:rFonts w:ascii="Calibri" w:hAnsi="Calibri" w:cs="Calibri"/>
        </w:rPr>
      </w:pPr>
      <w:r w:rsidRPr="004C6D44">
        <w:rPr>
          <w:rStyle w:val="FootnoteReference"/>
          <w:rFonts w:ascii="Calibri" w:hAnsi="Calibri" w:cs="Calibri"/>
        </w:rPr>
        <w:footnoteRef/>
      </w:r>
      <w:r w:rsidRPr="004C6D44">
        <w:rPr>
          <w:rFonts w:ascii="Calibri" w:hAnsi="Calibri" w:cs="Calibri"/>
        </w:rPr>
        <w:t xml:space="preserve"> </w:t>
      </w:r>
      <w:r w:rsidR="005A6974" w:rsidRPr="004C6D44">
        <w:rPr>
          <w:rFonts w:ascii="Calibri" w:hAnsi="Calibri" w:cs="Calibri"/>
        </w:rPr>
        <w:tab/>
      </w:r>
      <w:r w:rsidRPr="004C6D44">
        <w:rPr>
          <w:rFonts w:ascii="Calibri" w:hAnsi="Calibri" w:cs="Calibri"/>
        </w:rPr>
        <w:t xml:space="preserve">DTF (2023), </w:t>
      </w:r>
      <w:r w:rsidRPr="004C6D44">
        <w:rPr>
          <w:rFonts w:ascii="Calibri" w:hAnsi="Calibri" w:cs="Calibri"/>
          <w:i/>
          <w:iCs/>
        </w:rPr>
        <w:t>Budget Paper No. 2: Strategy and Outlook</w:t>
      </w:r>
      <w:r w:rsidRPr="004C6D44">
        <w:rPr>
          <w:rFonts w:ascii="Calibri" w:hAnsi="Calibri" w:cs="Calibri"/>
        </w:rPr>
        <w:t>, p. 39.</w:t>
      </w:r>
    </w:p>
  </w:footnote>
  <w:footnote w:id="54">
    <w:p w14:paraId="0F771B17" w14:textId="4BA6C42C" w:rsidR="005678FE" w:rsidRPr="004C6D44" w:rsidRDefault="005678FE" w:rsidP="005A6974">
      <w:pPr>
        <w:pStyle w:val="Footnotes"/>
        <w:rPr>
          <w:rFonts w:ascii="Calibri" w:hAnsi="Calibri" w:cs="Calibri"/>
        </w:rPr>
      </w:pPr>
      <w:r w:rsidRPr="004C6D44">
        <w:rPr>
          <w:rStyle w:val="FootnoteReference"/>
          <w:rFonts w:ascii="Calibri" w:hAnsi="Calibri" w:cs="Calibri"/>
        </w:rPr>
        <w:footnoteRef/>
      </w:r>
      <w:r w:rsidRPr="004C6D44">
        <w:rPr>
          <w:rFonts w:ascii="Calibri" w:hAnsi="Calibri" w:cs="Calibri"/>
        </w:rPr>
        <w:t xml:space="preserve"> </w:t>
      </w:r>
      <w:r w:rsidR="005A6974" w:rsidRPr="004C6D44">
        <w:rPr>
          <w:rFonts w:ascii="Calibri" w:hAnsi="Calibri" w:cs="Calibri"/>
        </w:rPr>
        <w:tab/>
      </w:r>
      <w:r w:rsidRPr="004C6D44">
        <w:rPr>
          <w:rFonts w:ascii="Calibri" w:hAnsi="Calibri" w:cs="Calibri"/>
        </w:rPr>
        <w:t xml:space="preserve">DTF (2023), </w:t>
      </w:r>
      <w:r w:rsidRPr="004C6D44">
        <w:rPr>
          <w:rFonts w:ascii="Calibri" w:hAnsi="Calibri" w:cs="Calibri"/>
          <w:i/>
          <w:iCs/>
        </w:rPr>
        <w:t>Budget Paper No. 5: Statement of Finances</w:t>
      </w:r>
      <w:r w:rsidRPr="004C6D44">
        <w:rPr>
          <w:rFonts w:ascii="Calibri" w:hAnsi="Calibri" w:cs="Calibri"/>
        </w:rPr>
        <w:t>, pp. 221-222.</w:t>
      </w:r>
    </w:p>
  </w:footnote>
  <w:footnote w:id="55">
    <w:p w14:paraId="6756FF05" w14:textId="0F414FE6" w:rsidR="005678FE" w:rsidRPr="004C6D44" w:rsidRDefault="005678FE" w:rsidP="005A6974">
      <w:pPr>
        <w:pStyle w:val="Footnotes"/>
        <w:rPr>
          <w:rFonts w:ascii="Calibri" w:hAnsi="Calibri" w:cs="Calibri"/>
        </w:rPr>
      </w:pPr>
      <w:r w:rsidRPr="004C6D44">
        <w:rPr>
          <w:rStyle w:val="FootnoteReference"/>
          <w:rFonts w:ascii="Calibri" w:hAnsi="Calibri" w:cs="Calibri"/>
        </w:rPr>
        <w:footnoteRef/>
      </w:r>
      <w:r w:rsidRPr="004C6D44">
        <w:rPr>
          <w:rFonts w:ascii="Calibri" w:hAnsi="Calibri" w:cs="Calibri"/>
        </w:rPr>
        <w:t xml:space="preserve"> </w:t>
      </w:r>
      <w:r w:rsidR="005A6974" w:rsidRPr="004C6D44">
        <w:rPr>
          <w:rFonts w:ascii="Calibri" w:hAnsi="Calibri" w:cs="Calibri"/>
        </w:rPr>
        <w:tab/>
      </w:r>
      <w:r w:rsidRPr="004C6D44">
        <w:rPr>
          <w:rFonts w:ascii="Calibri" w:hAnsi="Calibri" w:cs="Calibri"/>
        </w:rPr>
        <w:t xml:space="preserve">DTF (2023), </w:t>
      </w:r>
      <w:r w:rsidRPr="004C6D44">
        <w:rPr>
          <w:rFonts w:ascii="Calibri" w:hAnsi="Calibri" w:cs="Calibri"/>
          <w:i/>
          <w:iCs/>
        </w:rPr>
        <w:t>Budget Paper No. 2: Strategy and Outlook</w:t>
      </w:r>
      <w:r w:rsidRPr="004C6D44">
        <w:rPr>
          <w:rFonts w:ascii="Calibri" w:hAnsi="Calibri" w:cs="Calibri"/>
        </w:rPr>
        <w:t>, p. 3.</w:t>
      </w:r>
    </w:p>
  </w:footnote>
  <w:footnote w:id="56">
    <w:p w14:paraId="0F824F77" w14:textId="57A2DCD5" w:rsidR="005678FE" w:rsidRDefault="005678FE" w:rsidP="005A6974">
      <w:pPr>
        <w:pStyle w:val="Footnotes"/>
      </w:pPr>
      <w:r w:rsidRPr="004C6D44">
        <w:rPr>
          <w:rStyle w:val="FootnoteReference"/>
          <w:rFonts w:ascii="Calibri" w:hAnsi="Calibri" w:cs="Calibri"/>
        </w:rPr>
        <w:footnoteRef/>
      </w:r>
      <w:r w:rsidRPr="004C6D44">
        <w:rPr>
          <w:rFonts w:ascii="Calibri" w:hAnsi="Calibri" w:cs="Calibri"/>
        </w:rPr>
        <w:t xml:space="preserve"> </w:t>
      </w:r>
      <w:r w:rsidR="005A6974" w:rsidRPr="004C6D44">
        <w:rPr>
          <w:rFonts w:ascii="Calibri" w:hAnsi="Calibri" w:cs="Calibri"/>
        </w:rPr>
        <w:tab/>
      </w:r>
      <w:r w:rsidRPr="004C6D44">
        <w:rPr>
          <w:rFonts w:ascii="Calibri" w:hAnsi="Calibri" w:cs="Calibri"/>
        </w:rPr>
        <w:t xml:space="preserve">DTF (2023), </w:t>
      </w:r>
      <w:r w:rsidRPr="004C6D44">
        <w:rPr>
          <w:rFonts w:ascii="Calibri" w:hAnsi="Calibri" w:cs="Calibri"/>
          <w:i/>
          <w:iCs/>
        </w:rPr>
        <w:t>Budget Paper No. 2: Strategy and Outlook</w:t>
      </w:r>
      <w:r w:rsidRPr="004C6D44">
        <w:rPr>
          <w:rFonts w:ascii="Calibri" w:hAnsi="Calibri" w:cs="Calibri"/>
        </w:rPr>
        <w:t>, p. 7.</w:t>
      </w:r>
    </w:p>
  </w:footnote>
  <w:footnote w:id="57">
    <w:p w14:paraId="152F4A3F" w14:textId="24690C14" w:rsidR="005678FE" w:rsidRPr="004C6D44" w:rsidRDefault="005678FE" w:rsidP="004C6D44">
      <w:pPr>
        <w:pStyle w:val="Footnotes"/>
        <w:rPr>
          <w:rFonts w:ascii="Calibri" w:hAnsi="Calibri" w:cs="Calibri"/>
        </w:rPr>
      </w:pPr>
      <w:r w:rsidRPr="004C6D44">
        <w:rPr>
          <w:rStyle w:val="FootnoteReference"/>
          <w:rFonts w:ascii="Calibri" w:hAnsi="Calibri" w:cs="Calibri"/>
        </w:rPr>
        <w:footnoteRef/>
      </w:r>
      <w:r w:rsidRPr="004C6D44">
        <w:rPr>
          <w:rFonts w:ascii="Calibri" w:hAnsi="Calibri" w:cs="Calibri"/>
        </w:rPr>
        <w:t xml:space="preserve"> </w:t>
      </w:r>
      <w:r w:rsidR="004C6D44" w:rsidRPr="004C6D44">
        <w:rPr>
          <w:rFonts w:ascii="Calibri" w:hAnsi="Calibri" w:cs="Calibri"/>
        </w:rPr>
        <w:tab/>
      </w:r>
      <w:r w:rsidRPr="004C6D44">
        <w:rPr>
          <w:rFonts w:ascii="Calibri" w:hAnsi="Calibri" w:cs="Calibri"/>
        </w:rPr>
        <w:t xml:space="preserve">DTF (2023), </w:t>
      </w:r>
      <w:r w:rsidRPr="004C6D44">
        <w:rPr>
          <w:rFonts w:ascii="Calibri" w:hAnsi="Calibri" w:cs="Calibri"/>
          <w:i/>
          <w:iCs/>
        </w:rPr>
        <w:t>Budget Paper No. 3: Service Delivery</w:t>
      </w:r>
      <w:r w:rsidRPr="004C6D44">
        <w:rPr>
          <w:rFonts w:ascii="Calibri" w:hAnsi="Calibri" w:cs="Calibri"/>
        </w:rPr>
        <w:t>, p. 6.</w:t>
      </w:r>
    </w:p>
  </w:footnote>
  <w:footnote w:id="58">
    <w:p w14:paraId="52400756" w14:textId="010A403B" w:rsidR="005678FE" w:rsidRPr="004C6D44" w:rsidRDefault="005678FE" w:rsidP="004C6D44">
      <w:pPr>
        <w:pStyle w:val="Footnotes"/>
        <w:rPr>
          <w:rFonts w:ascii="Calibri" w:hAnsi="Calibri" w:cs="Calibri"/>
        </w:rPr>
      </w:pPr>
      <w:r w:rsidRPr="004C6D44">
        <w:rPr>
          <w:rStyle w:val="FootnoteReference"/>
          <w:rFonts w:ascii="Calibri" w:hAnsi="Calibri" w:cs="Calibri"/>
        </w:rPr>
        <w:footnoteRef/>
      </w:r>
      <w:r w:rsidRPr="004C6D44">
        <w:rPr>
          <w:rFonts w:ascii="Calibri" w:hAnsi="Calibri" w:cs="Calibri"/>
        </w:rPr>
        <w:t xml:space="preserve"> </w:t>
      </w:r>
      <w:r w:rsidR="004C6D44" w:rsidRPr="004C6D44">
        <w:rPr>
          <w:rFonts w:ascii="Calibri" w:hAnsi="Calibri" w:cs="Calibri"/>
        </w:rPr>
        <w:tab/>
      </w:r>
      <w:r w:rsidRPr="004C6D44">
        <w:rPr>
          <w:rFonts w:ascii="Calibri" w:hAnsi="Calibri" w:cs="Calibri"/>
        </w:rPr>
        <w:t xml:space="preserve">DTF (2023), </w:t>
      </w:r>
      <w:r w:rsidRPr="004C6D44">
        <w:rPr>
          <w:rFonts w:ascii="Calibri" w:hAnsi="Calibri" w:cs="Calibri"/>
          <w:i/>
          <w:iCs/>
        </w:rPr>
        <w:t>Budget Paper No. 3: Service Delivery</w:t>
      </w:r>
      <w:r w:rsidRPr="004C6D44">
        <w:rPr>
          <w:rFonts w:ascii="Calibri" w:hAnsi="Calibri" w:cs="Calibri"/>
        </w:rPr>
        <w:t>, p. 6.</w:t>
      </w:r>
    </w:p>
  </w:footnote>
  <w:footnote w:id="59">
    <w:p w14:paraId="7D664DC6" w14:textId="5DDCA9AC" w:rsidR="005678FE" w:rsidRPr="004C6D44" w:rsidRDefault="005678FE" w:rsidP="004C6D44">
      <w:pPr>
        <w:pStyle w:val="Footnotes"/>
        <w:rPr>
          <w:rFonts w:ascii="Calibri" w:hAnsi="Calibri" w:cs="Calibri"/>
        </w:rPr>
      </w:pPr>
      <w:r w:rsidRPr="004C6D44">
        <w:rPr>
          <w:rStyle w:val="FootnoteReference"/>
          <w:rFonts w:ascii="Calibri" w:hAnsi="Calibri" w:cs="Calibri"/>
        </w:rPr>
        <w:footnoteRef/>
      </w:r>
      <w:r w:rsidRPr="004C6D44">
        <w:rPr>
          <w:rFonts w:ascii="Calibri" w:hAnsi="Calibri" w:cs="Calibri"/>
        </w:rPr>
        <w:t xml:space="preserve"> </w:t>
      </w:r>
      <w:r w:rsidR="004C6D44" w:rsidRPr="004C6D44">
        <w:rPr>
          <w:rFonts w:ascii="Calibri" w:hAnsi="Calibri" w:cs="Calibri"/>
        </w:rPr>
        <w:tab/>
      </w:r>
      <w:r w:rsidRPr="004C6D44">
        <w:rPr>
          <w:rFonts w:ascii="Calibri" w:hAnsi="Calibri" w:cs="Calibri"/>
        </w:rPr>
        <w:t xml:space="preserve">DTF (2023), </w:t>
      </w:r>
      <w:r w:rsidRPr="004C6D44">
        <w:rPr>
          <w:rFonts w:ascii="Calibri" w:hAnsi="Calibri" w:cs="Calibri"/>
          <w:i/>
          <w:iCs/>
        </w:rPr>
        <w:t>Budget Paper No. 2: Strategy and Outlook</w:t>
      </w:r>
      <w:r w:rsidRPr="004C6D44">
        <w:rPr>
          <w:rFonts w:ascii="Calibri" w:hAnsi="Calibri" w:cs="Calibri"/>
        </w:rPr>
        <w:t>, p. 53.</w:t>
      </w:r>
    </w:p>
  </w:footnote>
  <w:footnote w:id="60">
    <w:p w14:paraId="58C29579" w14:textId="467BB523" w:rsidR="005678FE" w:rsidRPr="004C6D44" w:rsidRDefault="005678FE" w:rsidP="004C6D44">
      <w:pPr>
        <w:pStyle w:val="Footnotes"/>
        <w:rPr>
          <w:rFonts w:ascii="Calibri" w:hAnsi="Calibri" w:cs="Calibri"/>
        </w:rPr>
      </w:pPr>
      <w:r w:rsidRPr="004C6D44">
        <w:rPr>
          <w:rStyle w:val="FootnoteReference"/>
          <w:rFonts w:ascii="Calibri" w:hAnsi="Calibri" w:cs="Calibri"/>
        </w:rPr>
        <w:footnoteRef/>
      </w:r>
      <w:r w:rsidRPr="004C6D44">
        <w:rPr>
          <w:rFonts w:ascii="Calibri" w:hAnsi="Calibri" w:cs="Calibri"/>
        </w:rPr>
        <w:t xml:space="preserve"> </w:t>
      </w:r>
      <w:r w:rsidR="004C6D44" w:rsidRPr="004C6D44">
        <w:rPr>
          <w:rFonts w:ascii="Calibri" w:hAnsi="Calibri" w:cs="Calibri"/>
        </w:rPr>
        <w:tab/>
      </w:r>
      <w:r w:rsidRPr="004C6D44">
        <w:rPr>
          <w:rFonts w:ascii="Calibri" w:hAnsi="Calibri" w:cs="Calibri"/>
        </w:rPr>
        <w:t xml:space="preserve">DTF (2023), </w:t>
      </w:r>
      <w:r w:rsidRPr="004C6D44">
        <w:rPr>
          <w:rFonts w:ascii="Calibri" w:hAnsi="Calibri" w:cs="Calibri"/>
          <w:i/>
          <w:iCs/>
        </w:rPr>
        <w:t>Budget Paper No. 5: Statement of Finances</w:t>
      </w:r>
      <w:r w:rsidRPr="004C6D44">
        <w:rPr>
          <w:rFonts w:ascii="Calibri" w:hAnsi="Calibri" w:cs="Calibri"/>
        </w:rPr>
        <w:t>, p. 223.</w:t>
      </w:r>
    </w:p>
  </w:footnote>
  <w:footnote w:id="61">
    <w:p w14:paraId="5681E0E0" w14:textId="200C5E4C" w:rsidR="00AF3317" w:rsidRDefault="00AF3317" w:rsidP="004C6D44">
      <w:pPr>
        <w:pStyle w:val="Footnotes"/>
      </w:pPr>
      <w:r w:rsidRPr="004C6D44">
        <w:rPr>
          <w:rStyle w:val="FootnoteReference"/>
          <w:rFonts w:ascii="Calibri" w:hAnsi="Calibri" w:cs="Calibri"/>
        </w:rPr>
        <w:footnoteRef/>
      </w:r>
      <w:r w:rsidRPr="004C6D44">
        <w:rPr>
          <w:rFonts w:ascii="Calibri" w:hAnsi="Calibri" w:cs="Calibri"/>
        </w:rPr>
        <w:t xml:space="preserve"> </w:t>
      </w:r>
      <w:r w:rsidR="004C6D44" w:rsidRPr="004C6D44">
        <w:rPr>
          <w:rFonts w:ascii="Calibri" w:hAnsi="Calibri" w:cs="Calibri"/>
        </w:rPr>
        <w:tab/>
      </w:r>
      <w:r w:rsidRPr="004C6D44">
        <w:rPr>
          <w:rFonts w:ascii="Calibri" w:hAnsi="Calibri" w:cs="Calibri"/>
        </w:rPr>
        <w:t xml:space="preserve">DTF (2023), </w:t>
      </w:r>
      <w:r w:rsidRPr="004C6D44">
        <w:rPr>
          <w:rFonts w:ascii="Calibri" w:hAnsi="Calibri" w:cs="Calibri"/>
          <w:i/>
          <w:iCs/>
        </w:rPr>
        <w:t>Budget Paper No. 2: Strategy and Outlook</w:t>
      </w:r>
      <w:r w:rsidRPr="004C6D44">
        <w:rPr>
          <w:rFonts w:ascii="Calibri" w:hAnsi="Calibri" w:cs="Calibri"/>
        </w:rPr>
        <w:t>, p. 53.</w:t>
      </w:r>
    </w:p>
  </w:footnote>
  <w:footnote w:id="62">
    <w:p w14:paraId="2C4323DA" w14:textId="5CA1EC2D" w:rsidR="002C7583" w:rsidRPr="00FD591E" w:rsidRDefault="002C7583" w:rsidP="00E7692E">
      <w:pPr>
        <w:pStyle w:val="Footnotes"/>
        <w:rPr>
          <w:rFonts w:ascii="Calibri" w:hAnsi="Calibri" w:cs="Calibri"/>
        </w:rPr>
      </w:pPr>
      <w:r w:rsidRPr="00FD591E">
        <w:rPr>
          <w:rStyle w:val="FootnoteReference"/>
          <w:rFonts w:ascii="Calibri" w:hAnsi="Calibri" w:cs="Calibri"/>
        </w:rPr>
        <w:footnoteRef/>
      </w:r>
      <w:r w:rsidRPr="00FD591E">
        <w:rPr>
          <w:rFonts w:ascii="Calibri" w:hAnsi="Calibri" w:cs="Calibri"/>
        </w:rPr>
        <w:t xml:space="preserve"> </w:t>
      </w:r>
      <w:r w:rsidR="00FD591E" w:rsidRPr="00FD591E">
        <w:rPr>
          <w:rFonts w:ascii="Calibri" w:hAnsi="Calibri" w:cs="Calibri"/>
        </w:rPr>
        <w:tab/>
      </w:r>
      <w:r w:rsidRPr="00FD591E">
        <w:rPr>
          <w:rFonts w:ascii="Calibri" w:hAnsi="Calibri" w:cs="Calibri"/>
        </w:rPr>
        <w:t>RBA (2023</w:t>
      </w:r>
      <w:r w:rsidR="004C6D44" w:rsidRPr="00FD591E">
        <w:rPr>
          <w:rFonts w:ascii="Calibri" w:hAnsi="Calibri" w:cs="Calibri"/>
        </w:rPr>
        <w:t>c</w:t>
      </w:r>
      <w:r w:rsidRPr="00FD591E">
        <w:rPr>
          <w:rFonts w:ascii="Calibri" w:hAnsi="Calibri" w:cs="Calibri"/>
        </w:rPr>
        <w:t>)</w:t>
      </w:r>
      <w:r w:rsidR="004C6D44" w:rsidRPr="00FD591E">
        <w:rPr>
          <w:rFonts w:ascii="Calibri" w:hAnsi="Calibri" w:cs="Calibri"/>
        </w:rPr>
        <w:t>,</w:t>
      </w:r>
      <w:r w:rsidR="000D1D26" w:rsidRPr="00FD591E">
        <w:rPr>
          <w:rFonts w:ascii="Calibri" w:hAnsi="Calibri" w:cs="Calibri"/>
        </w:rPr>
        <w:t xml:space="preserve"> p.75</w:t>
      </w:r>
    </w:p>
  </w:footnote>
  <w:footnote w:id="63">
    <w:p w14:paraId="61BE1024" w14:textId="6CC314BE" w:rsidR="001E674A" w:rsidRPr="00FD591E" w:rsidRDefault="001E674A" w:rsidP="00FD591E">
      <w:pPr>
        <w:pStyle w:val="Footnotes"/>
        <w:rPr>
          <w:rFonts w:ascii="Calibri" w:hAnsi="Calibri" w:cs="Calibri"/>
        </w:rPr>
      </w:pPr>
      <w:r w:rsidRPr="00FD591E">
        <w:rPr>
          <w:rStyle w:val="FootnoteReference"/>
          <w:rFonts w:ascii="Calibri" w:hAnsi="Calibri" w:cs="Calibri"/>
        </w:rPr>
        <w:footnoteRef/>
      </w:r>
      <w:r w:rsidRPr="00FD591E">
        <w:rPr>
          <w:rFonts w:ascii="Calibri" w:hAnsi="Calibri" w:cs="Calibri"/>
        </w:rPr>
        <w:t xml:space="preserve"> </w:t>
      </w:r>
      <w:r w:rsidR="00FD591E" w:rsidRPr="00FD591E">
        <w:rPr>
          <w:rFonts w:ascii="Calibri" w:hAnsi="Calibri" w:cs="Calibri"/>
        </w:rPr>
        <w:tab/>
      </w:r>
      <w:r w:rsidR="00070509" w:rsidRPr="00FD591E">
        <w:rPr>
          <w:rFonts w:ascii="Calibri" w:hAnsi="Calibri" w:cs="Calibri"/>
        </w:rPr>
        <w:t>Based on available data, the Tribunal estimates that</w:t>
      </w:r>
      <w:r w:rsidR="002E3867">
        <w:rPr>
          <w:rFonts w:ascii="Calibri" w:hAnsi="Calibri" w:cs="Calibri"/>
        </w:rPr>
        <w:t>, in relation to the 2021-22 financial year</w:t>
      </w:r>
      <w:r w:rsidR="005F24FA">
        <w:rPr>
          <w:rFonts w:ascii="Calibri" w:hAnsi="Calibri" w:cs="Calibri"/>
        </w:rPr>
        <w:t>,</w:t>
      </w:r>
      <w:r w:rsidR="00070509" w:rsidRPr="00FD591E">
        <w:rPr>
          <w:rFonts w:ascii="Calibri" w:hAnsi="Calibri" w:cs="Calibri"/>
        </w:rPr>
        <w:t xml:space="preserve"> the total remuneration provided to executives employed in </w:t>
      </w:r>
      <w:r w:rsidR="004A39AF" w:rsidRPr="00FD591E">
        <w:rPr>
          <w:rFonts w:ascii="Calibri" w:hAnsi="Calibri" w:cs="Calibri"/>
        </w:rPr>
        <w:t>prescribed public entities</w:t>
      </w:r>
      <w:r w:rsidR="00070509" w:rsidRPr="00FD591E">
        <w:rPr>
          <w:rFonts w:ascii="Calibri" w:hAnsi="Calibri" w:cs="Calibri"/>
        </w:rPr>
        <w:t xml:space="preserve"> </w:t>
      </w:r>
      <w:r w:rsidR="005F24FA">
        <w:rPr>
          <w:rFonts w:ascii="Calibri" w:hAnsi="Calibri" w:cs="Calibri"/>
        </w:rPr>
        <w:t xml:space="preserve">accounted for less than </w:t>
      </w:r>
      <w:r w:rsidR="004A39AF" w:rsidRPr="005F24FA">
        <w:rPr>
          <w:rFonts w:ascii="Calibri" w:hAnsi="Calibri" w:cs="Calibri"/>
        </w:rPr>
        <w:t>0.5</w:t>
      </w:r>
      <w:r w:rsidR="00070509" w:rsidRPr="00FD591E">
        <w:rPr>
          <w:rFonts w:ascii="Calibri" w:hAnsi="Calibri" w:cs="Calibri"/>
        </w:rPr>
        <w:t xml:space="preserve"> per cent of total expenses for the </w:t>
      </w:r>
      <w:r w:rsidR="004A39AF" w:rsidRPr="00FD591E">
        <w:rPr>
          <w:rFonts w:ascii="Calibri" w:hAnsi="Calibri" w:cs="Calibri"/>
        </w:rPr>
        <w:t>State of Victoria</w:t>
      </w:r>
      <w:r w:rsidR="00070509" w:rsidRPr="00FD591E">
        <w:rPr>
          <w:rFonts w:ascii="Calibri" w:hAnsi="Calibri" w:cs="Calibri"/>
        </w:rPr>
        <w:t>.</w:t>
      </w:r>
    </w:p>
  </w:footnote>
  <w:footnote w:id="64">
    <w:p w14:paraId="042DD82D" w14:textId="13BCFA4C" w:rsidR="00EC03B8" w:rsidRDefault="00EC03B8" w:rsidP="00FD591E">
      <w:pPr>
        <w:pStyle w:val="Footnotes"/>
      </w:pPr>
      <w:r w:rsidRPr="00FD591E">
        <w:rPr>
          <w:rStyle w:val="FootnoteReference"/>
          <w:rFonts w:ascii="Calibri" w:hAnsi="Calibri" w:cs="Calibri"/>
        </w:rPr>
        <w:footnoteRef/>
      </w:r>
      <w:r w:rsidRPr="00FD591E">
        <w:rPr>
          <w:rFonts w:ascii="Calibri" w:hAnsi="Calibri" w:cs="Calibri"/>
        </w:rPr>
        <w:t xml:space="preserve"> </w:t>
      </w:r>
      <w:r w:rsidR="00FD591E" w:rsidRPr="00FD591E">
        <w:rPr>
          <w:rFonts w:ascii="Calibri" w:hAnsi="Calibri" w:cs="Calibri"/>
        </w:rPr>
        <w:tab/>
      </w:r>
      <w:r w:rsidRPr="00FD591E">
        <w:rPr>
          <w:rFonts w:ascii="Calibri" w:hAnsi="Calibri" w:cs="Calibri"/>
        </w:rPr>
        <w:t>Victorian Independent Remuneration Tribunal (2020), p. 98.</w:t>
      </w:r>
    </w:p>
  </w:footnote>
  <w:footnote w:id="65">
    <w:p w14:paraId="6CC510EF" w14:textId="08BC4458" w:rsidR="00C96DDE" w:rsidRPr="00A21E30" w:rsidRDefault="00C96DDE" w:rsidP="00A21E30">
      <w:pPr>
        <w:pStyle w:val="Footnotes"/>
        <w:rPr>
          <w:rFonts w:ascii="Calibri" w:hAnsi="Calibri" w:cs="Calibri"/>
        </w:rPr>
      </w:pPr>
      <w:r w:rsidRPr="00A21E30">
        <w:rPr>
          <w:rStyle w:val="FootnoteReference"/>
          <w:rFonts w:ascii="Calibri" w:hAnsi="Calibri" w:cs="Calibri"/>
        </w:rPr>
        <w:footnoteRef/>
      </w:r>
      <w:r w:rsidRPr="00A21E30">
        <w:rPr>
          <w:rFonts w:ascii="Calibri" w:hAnsi="Calibri" w:cs="Calibri"/>
        </w:rPr>
        <w:t xml:space="preserve"> </w:t>
      </w:r>
      <w:r w:rsidR="00A21E30" w:rsidRPr="00A21E30">
        <w:rPr>
          <w:rFonts w:ascii="Calibri" w:hAnsi="Calibri" w:cs="Calibri"/>
        </w:rPr>
        <w:tab/>
      </w:r>
      <w:r w:rsidR="00982327" w:rsidRPr="00A21E30">
        <w:rPr>
          <w:rFonts w:ascii="Calibri" w:hAnsi="Calibri" w:cs="Calibri"/>
        </w:rPr>
        <w:t xml:space="preserve">State Government of Victoria (2020), clause </w:t>
      </w:r>
      <w:r w:rsidR="002673F8" w:rsidRPr="00A21E30">
        <w:rPr>
          <w:rFonts w:ascii="Calibri" w:hAnsi="Calibri" w:cs="Calibri"/>
        </w:rPr>
        <w:t>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B308" w14:textId="5E688A18" w:rsidR="004753FE" w:rsidRDefault="00DF1805">
    <w:pPr>
      <w:pStyle w:val="Header"/>
    </w:pPr>
    <w:r>
      <w:rPr>
        <w:noProof/>
      </w:rPr>
      <w:pict w14:anchorId="3351A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14629" o:spid="_x0000_s1045" type="#_x0000_t136" style="position:absolute;margin-left:0;margin-top:0;width:428.2pt;height:171.25pt;rotation:315;z-index:-2516582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18390459">
        <v:shape id="_x0000_s1038" type="#_x0000_t136" style="position:absolute;margin-left:0;margin-top:0;width:513.8pt;height:85.6pt;rotation:315;z-index:-251658225;mso-position-horizontal:center;mso-position-horizontal-relative:margin;mso-position-vertical:center;mso-position-vertical-relative:margin" o:allowincell="f" fillcolor="#d8d8d8 [2732]" stroked="f">
          <v:fill opacity=".5"/>
          <v:textpath style="font-family:&quot;Arial&quot;;font-size:1pt" string="EMBARGOED"/>
          <w10:wrap anchorx="margin" anchory="margin"/>
        </v:shape>
      </w:pict>
    </w:r>
    <w:r>
      <w:rPr>
        <w:noProof/>
      </w:rPr>
      <w:pict w14:anchorId="243F8CB2">
        <v:shape id="_x0000_s1030" type="#_x0000_t136" style="position:absolute;margin-left:0;margin-top:0;width:304pt;height:121.55pt;rotation:315;z-index:-251658231;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1029" type="#_x0000_t136" style="position:absolute;margin-left:0;margin-top:0;width:304pt;height:121.55pt;rotation:315;z-index:-251658234;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1028" type="#_x0000_t136" style="position:absolute;margin-left:0;margin-top:0;width:266pt;height:159.6pt;rotation:315;z-index:-251658237;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7656" w14:textId="50701DA7" w:rsidR="009C1981" w:rsidRDefault="009C1981">
    <w:pPr>
      <w:pStyle w:val="Header"/>
      <w:rPr>
        <w:noProof/>
      </w:rPr>
    </w:pPr>
  </w:p>
  <w:p w14:paraId="4228A6CD" w14:textId="7A200D22" w:rsidR="004753FE" w:rsidRDefault="00475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90D8" w14:textId="66C7C641" w:rsidR="004753FE" w:rsidRDefault="00DF1805">
    <w:pPr>
      <w:pStyle w:val="Header"/>
    </w:pPr>
    <w:r>
      <w:rPr>
        <w:noProof/>
      </w:rPr>
      <w:pict w14:anchorId="2BBDE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14628" o:spid="_x0000_s1047" type="#_x0000_t136" style="position:absolute;margin-left:0;margin-top:0;width:428.2pt;height:171.25pt;rotation:315;z-index:-25165822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1F53A403">
        <v:shape id="_x0000_s1037" type="#_x0000_t136" style="position:absolute;margin-left:0;margin-top:0;width:513.8pt;height:85.6pt;rotation:315;z-index:-251658226;mso-position-horizontal:center;mso-position-horizontal-relative:margin;mso-position-vertical:center;mso-position-vertical-relative:margin" o:allowincell="f" fillcolor="#d8d8d8 [2732]" stroked="f">
          <v:fill opacity=".5"/>
          <v:textpath style="font-family:&quot;Arial&quot;;font-size:1pt" string="EMBARGOED"/>
          <w10:wrap anchorx="margin" anchory="margin"/>
        </v:shape>
      </w:pict>
    </w:r>
    <w:r>
      <w:rPr>
        <w:noProof/>
      </w:rPr>
      <w:pict w14:anchorId="5F79FA5D">
        <v:shape id="_x0000_s1027" type="#_x0000_t136" style="position:absolute;margin-left:0;margin-top:0;width:304pt;height:121.55pt;rotation:315;z-index:-251658232;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1026" type="#_x0000_t136" style="position:absolute;margin-left:0;margin-top:0;width:304pt;height:121.55pt;rotation:315;z-index:-251658235;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1025" type="#_x0000_t136" style="position:absolute;margin-left:0;margin-top:0;width:266pt;height:159.6pt;rotation:315;z-index:-251658238;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CF09" w14:textId="6556C37A" w:rsidR="009C1981" w:rsidRDefault="00DF1805">
    <w:pPr>
      <w:pStyle w:val="Header"/>
    </w:pPr>
    <w:r>
      <w:rPr>
        <w:noProof/>
      </w:rPr>
      <w:pict w14:anchorId="1E3F6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14632" o:spid="_x0000_s1048" type="#_x0000_t136" style="position:absolute;margin-left:0;margin-top:0;width:428.2pt;height:171.25pt;rotation:315;z-index:-25165821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2EED6C0C">
        <v:shape id="_x0000_s1041" type="#_x0000_t136" style="position:absolute;margin-left:0;margin-top:0;width:513.8pt;height:85.6pt;rotation:315;z-index:-251658224;mso-position-horizontal:center;mso-position-horizontal-relative:margin;mso-position-vertical:center;mso-position-vertical-relative:margin" o:allowincell="f" fillcolor="#d8d8d8 [2732]" stroked="f">
          <v:fill opacity=".5"/>
          <v:textpath style="font-family:&quot;Arial&quot;;font-size:1pt" string="EMBARGO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698" w14:textId="264DA084" w:rsidR="009C1981" w:rsidRDefault="009C19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78" w14:textId="782E6109"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3E4344"/>
    <w:multiLevelType w:val="hybridMultilevel"/>
    <w:tmpl w:val="871E0D5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81028E"/>
    <w:multiLevelType w:val="hybridMultilevel"/>
    <w:tmpl w:val="476AFA1A"/>
    <w:lvl w:ilvl="0" w:tplc="51AE1132">
      <w:start w:val="1"/>
      <w:numFmt w:val="bullet"/>
      <w:lvlText w:val=""/>
      <w:lvlJc w:val="left"/>
      <w:pPr>
        <w:ind w:left="720" w:hanging="360"/>
      </w:pPr>
      <w:rPr>
        <w:rFonts w:ascii="Symbol" w:hAnsi="Symbol" w:hint="default"/>
      </w:rPr>
    </w:lvl>
    <w:lvl w:ilvl="1" w:tplc="E9DAF2EE">
      <w:start w:val="1"/>
      <w:numFmt w:val="bullet"/>
      <w:lvlText w:val="o"/>
      <w:lvlJc w:val="left"/>
      <w:pPr>
        <w:ind w:left="1440" w:hanging="360"/>
      </w:pPr>
      <w:rPr>
        <w:rFonts w:ascii="Courier New" w:hAnsi="Courier New" w:hint="default"/>
      </w:rPr>
    </w:lvl>
    <w:lvl w:ilvl="2" w:tplc="37E6CA4E">
      <w:start w:val="1"/>
      <w:numFmt w:val="bullet"/>
      <w:lvlText w:val=""/>
      <w:lvlJc w:val="left"/>
      <w:pPr>
        <w:ind w:left="2160" w:hanging="360"/>
      </w:pPr>
      <w:rPr>
        <w:rFonts w:ascii="Wingdings" w:hAnsi="Wingdings" w:hint="default"/>
      </w:rPr>
    </w:lvl>
    <w:lvl w:ilvl="3" w:tplc="AC4C4F9A">
      <w:start w:val="1"/>
      <w:numFmt w:val="bullet"/>
      <w:lvlText w:val=""/>
      <w:lvlJc w:val="left"/>
      <w:pPr>
        <w:ind w:left="2880" w:hanging="360"/>
      </w:pPr>
      <w:rPr>
        <w:rFonts w:ascii="Symbol" w:hAnsi="Symbol" w:hint="default"/>
      </w:rPr>
    </w:lvl>
    <w:lvl w:ilvl="4" w:tplc="246E1A92">
      <w:start w:val="1"/>
      <w:numFmt w:val="bullet"/>
      <w:lvlText w:val="o"/>
      <w:lvlJc w:val="left"/>
      <w:pPr>
        <w:ind w:left="3600" w:hanging="360"/>
      </w:pPr>
      <w:rPr>
        <w:rFonts w:ascii="Courier New" w:hAnsi="Courier New" w:hint="default"/>
      </w:rPr>
    </w:lvl>
    <w:lvl w:ilvl="5" w:tplc="B6BCDFF8">
      <w:start w:val="1"/>
      <w:numFmt w:val="bullet"/>
      <w:lvlText w:val=""/>
      <w:lvlJc w:val="left"/>
      <w:pPr>
        <w:ind w:left="4320" w:hanging="360"/>
      </w:pPr>
      <w:rPr>
        <w:rFonts w:ascii="Wingdings" w:hAnsi="Wingdings" w:hint="default"/>
      </w:rPr>
    </w:lvl>
    <w:lvl w:ilvl="6" w:tplc="AA7AAC7A">
      <w:start w:val="1"/>
      <w:numFmt w:val="bullet"/>
      <w:lvlText w:val=""/>
      <w:lvlJc w:val="left"/>
      <w:pPr>
        <w:ind w:left="5040" w:hanging="360"/>
      </w:pPr>
      <w:rPr>
        <w:rFonts w:ascii="Symbol" w:hAnsi="Symbol" w:hint="default"/>
      </w:rPr>
    </w:lvl>
    <w:lvl w:ilvl="7" w:tplc="602C0126">
      <w:start w:val="1"/>
      <w:numFmt w:val="bullet"/>
      <w:lvlText w:val="o"/>
      <w:lvlJc w:val="left"/>
      <w:pPr>
        <w:ind w:left="5760" w:hanging="360"/>
      </w:pPr>
      <w:rPr>
        <w:rFonts w:ascii="Courier New" w:hAnsi="Courier New" w:hint="default"/>
      </w:rPr>
    </w:lvl>
    <w:lvl w:ilvl="8" w:tplc="45646F22">
      <w:start w:val="1"/>
      <w:numFmt w:val="bullet"/>
      <w:lvlText w:val=""/>
      <w:lvlJc w:val="left"/>
      <w:pPr>
        <w:ind w:left="6480" w:hanging="360"/>
      </w:pPr>
      <w:rPr>
        <w:rFonts w:ascii="Wingdings" w:hAnsi="Wingdings" w:hint="default"/>
      </w:rPr>
    </w:lvl>
  </w:abstractNum>
  <w:abstractNum w:abstractNumId="15" w15:restartNumberingAfterBreak="0">
    <w:nsid w:val="3235549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26B6624"/>
    <w:multiLevelType w:val="hybridMultilevel"/>
    <w:tmpl w:val="42DA1BDE"/>
    <w:lvl w:ilvl="0" w:tplc="7902BC74">
      <w:start w:val="1"/>
      <w:numFmt w:val="decimal"/>
      <w:lvlText w:val="A.%1"/>
      <w:lvlJc w:val="left"/>
      <w:pPr>
        <w:ind w:left="1191" w:hanging="471"/>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8"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9314558"/>
    <w:multiLevelType w:val="hybridMultilevel"/>
    <w:tmpl w:val="1902A4A0"/>
    <w:lvl w:ilvl="0" w:tplc="0C090003">
      <w:start w:val="1"/>
      <w:numFmt w:val="bullet"/>
      <w:lvlText w:val="o"/>
      <w:lvlJc w:val="left"/>
      <w:pPr>
        <w:ind w:left="502" w:hanging="360"/>
      </w:pPr>
      <w:rPr>
        <w:rFonts w:ascii="Courier New" w:hAnsi="Courier New" w:cs="Courier New"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F472CF"/>
    <w:multiLevelType w:val="hybridMultilevel"/>
    <w:tmpl w:val="461C2A96"/>
    <w:lvl w:ilvl="0" w:tplc="04E2CC16">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76889"/>
    <w:multiLevelType w:val="hybridMultilevel"/>
    <w:tmpl w:val="21E485FE"/>
    <w:lvl w:ilvl="0" w:tplc="DA4ADB50">
      <w:start w:val="1"/>
      <w:numFmt w:val="decimal"/>
      <w:lvlText w:val="%1."/>
      <w:lvlJc w:val="left"/>
      <w:pPr>
        <w:ind w:left="720" w:hanging="360"/>
      </w:pPr>
    </w:lvl>
    <w:lvl w:ilvl="1" w:tplc="0FB879C4">
      <w:start w:val="1"/>
      <w:numFmt w:val="lowerLetter"/>
      <w:lvlText w:val="%2."/>
      <w:lvlJc w:val="left"/>
      <w:pPr>
        <w:ind w:left="1440" w:hanging="360"/>
      </w:pPr>
    </w:lvl>
    <w:lvl w:ilvl="2" w:tplc="B1F493DA">
      <w:start w:val="1"/>
      <w:numFmt w:val="lowerRoman"/>
      <w:lvlText w:val="%3."/>
      <w:lvlJc w:val="right"/>
      <w:pPr>
        <w:ind w:left="2160" w:hanging="180"/>
      </w:pPr>
    </w:lvl>
    <w:lvl w:ilvl="3" w:tplc="7C705CC6">
      <w:start w:val="1"/>
      <w:numFmt w:val="decimal"/>
      <w:lvlText w:val="%4."/>
      <w:lvlJc w:val="left"/>
      <w:pPr>
        <w:ind w:left="2880" w:hanging="360"/>
      </w:pPr>
    </w:lvl>
    <w:lvl w:ilvl="4" w:tplc="7C1E1F74">
      <w:start w:val="1"/>
      <w:numFmt w:val="lowerLetter"/>
      <w:lvlText w:val="%5."/>
      <w:lvlJc w:val="left"/>
      <w:pPr>
        <w:ind w:left="3600" w:hanging="360"/>
      </w:pPr>
    </w:lvl>
    <w:lvl w:ilvl="5" w:tplc="123A7846">
      <w:start w:val="1"/>
      <w:numFmt w:val="lowerRoman"/>
      <w:lvlText w:val="%6."/>
      <w:lvlJc w:val="right"/>
      <w:pPr>
        <w:ind w:left="4320" w:hanging="180"/>
      </w:pPr>
    </w:lvl>
    <w:lvl w:ilvl="6" w:tplc="73A852D4">
      <w:start w:val="1"/>
      <w:numFmt w:val="decimal"/>
      <w:lvlText w:val="%7."/>
      <w:lvlJc w:val="left"/>
      <w:pPr>
        <w:ind w:left="5040" w:hanging="360"/>
      </w:pPr>
    </w:lvl>
    <w:lvl w:ilvl="7" w:tplc="E0C2313C">
      <w:start w:val="1"/>
      <w:numFmt w:val="lowerLetter"/>
      <w:lvlText w:val="%8."/>
      <w:lvlJc w:val="left"/>
      <w:pPr>
        <w:ind w:left="5760" w:hanging="360"/>
      </w:pPr>
    </w:lvl>
    <w:lvl w:ilvl="8" w:tplc="54B05CA4">
      <w:start w:val="1"/>
      <w:numFmt w:val="lowerRoman"/>
      <w:lvlText w:val="%9."/>
      <w:lvlJc w:val="right"/>
      <w:pPr>
        <w:ind w:left="6480" w:hanging="180"/>
      </w:pPr>
    </w:lvl>
  </w:abstractNum>
  <w:abstractNum w:abstractNumId="24"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6" w15:restartNumberingAfterBreak="0">
    <w:nsid w:val="46F309B1"/>
    <w:multiLevelType w:val="hybridMultilevel"/>
    <w:tmpl w:val="EC0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CA29EA"/>
    <w:multiLevelType w:val="hybridMultilevel"/>
    <w:tmpl w:val="7170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980DA5"/>
    <w:multiLevelType w:val="hybridMultilevel"/>
    <w:tmpl w:val="5B568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1"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pStyle w:val="Instrumentclauses"/>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2" w15:restartNumberingAfterBreak="0">
    <w:nsid w:val="6BFE2E5B"/>
    <w:multiLevelType w:val="hybridMultilevel"/>
    <w:tmpl w:val="170A3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4" w15:restartNumberingAfterBreak="0">
    <w:nsid w:val="6CDD2EAB"/>
    <w:multiLevelType w:val="multilevel"/>
    <w:tmpl w:val="1520B8C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36" w15:restartNumberingAfterBreak="0">
    <w:nsid w:val="751333E7"/>
    <w:multiLevelType w:val="hybridMultilevel"/>
    <w:tmpl w:val="A64A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911643"/>
    <w:multiLevelType w:val="hybridMultilevel"/>
    <w:tmpl w:val="6938EB6A"/>
    <w:lvl w:ilvl="0" w:tplc="FE128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B96809"/>
    <w:multiLevelType w:val="hybridMultilevel"/>
    <w:tmpl w:val="CC289C30"/>
    <w:lvl w:ilvl="0" w:tplc="B986C6D8">
      <w:start w:val="1"/>
      <w:numFmt w:val="bullet"/>
      <w:lvlText w:val="‐"/>
      <w:lvlJc w:val="left"/>
      <w:pPr>
        <w:ind w:left="1800" w:hanging="360"/>
      </w:pPr>
      <w:rPr>
        <w:rFonts w:ascii="Calibri" w:hAnsi="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22366273">
    <w:abstractNumId w:val="39"/>
  </w:num>
  <w:num w:numId="2" w16cid:durableId="1876261967">
    <w:abstractNumId w:val="29"/>
  </w:num>
  <w:num w:numId="3" w16cid:durableId="1997607188">
    <w:abstractNumId w:val="9"/>
  </w:num>
  <w:num w:numId="4" w16cid:durableId="1865828449">
    <w:abstractNumId w:val="7"/>
  </w:num>
  <w:num w:numId="5" w16cid:durableId="1363242028">
    <w:abstractNumId w:val="6"/>
  </w:num>
  <w:num w:numId="6" w16cid:durableId="2126071137">
    <w:abstractNumId w:val="5"/>
  </w:num>
  <w:num w:numId="7" w16cid:durableId="1020352349">
    <w:abstractNumId w:val="4"/>
  </w:num>
  <w:num w:numId="8" w16cid:durableId="800879357">
    <w:abstractNumId w:val="8"/>
  </w:num>
  <w:num w:numId="9" w16cid:durableId="790632059">
    <w:abstractNumId w:val="3"/>
  </w:num>
  <w:num w:numId="10" w16cid:durableId="1353535100">
    <w:abstractNumId w:val="2"/>
  </w:num>
  <w:num w:numId="11" w16cid:durableId="1814450033">
    <w:abstractNumId w:val="1"/>
  </w:num>
  <w:num w:numId="12" w16cid:durableId="256252559">
    <w:abstractNumId w:val="0"/>
  </w:num>
  <w:num w:numId="13" w16cid:durableId="1940723008">
    <w:abstractNumId w:val="15"/>
  </w:num>
  <w:num w:numId="14" w16cid:durableId="1964312076">
    <w:abstractNumId w:val="33"/>
  </w:num>
  <w:num w:numId="15" w16cid:durableId="1714571474">
    <w:abstractNumId w:val="17"/>
  </w:num>
  <w:num w:numId="16" w16cid:durableId="1813063443">
    <w:abstractNumId w:val="25"/>
  </w:num>
  <w:num w:numId="17" w16cid:durableId="1952277088">
    <w:abstractNumId w:val="13"/>
  </w:num>
  <w:num w:numId="18" w16cid:durableId="385640136">
    <w:abstractNumId w:val="31"/>
  </w:num>
  <w:num w:numId="19" w16cid:durableId="2051294424">
    <w:abstractNumId w:val="36"/>
  </w:num>
  <w:num w:numId="20" w16cid:durableId="473569704">
    <w:abstractNumId w:val="18"/>
  </w:num>
  <w:num w:numId="21" w16cid:durableId="2115896889">
    <w:abstractNumId w:val="35"/>
  </w:num>
  <w:num w:numId="22" w16cid:durableId="88739120">
    <w:abstractNumId w:val="28"/>
  </w:num>
  <w:num w:numId="23" w16cid:durableId="986740736">
    <w:abstractNumId w:val="30"/>
  </w:num>
  <w:num w:numId="24" w16cid:durableId="1900676594">
    <w:abstractNumId w:val="10"/>
  </w:num>
  <w:num w:numId="25" w16cid:durableId="1852601853">
    <w:abstractNumId w:val="38"/>
  </w:num>
  <w:num w:numId="26" w16cid:durableId="163645">
    <w:abstractNumId w:val="24"/>
  </w:num>
  <w:num w:numId="27" w16cid:durableId="2137751235">
    <w:abstractNumId w:val="22"/>
  </w:num>
  <w:num w:numId="28" w16cid:durableId="570581282">
    <w:abstractNumId w:val="37"/>
  </w:num>
  <w:num w:numId="29" w16cid:durableId="780219878">
    <w:abstractNumId w:val="26"/>
  </w:num>
  <w:num w:numId="30" w16cid:durableId="1051223284">
    <w:abstractNumId w:val="11"/>
  </w:num>
  <w:num w:numId="31" w16cid:durableId="937759813">
    <w:abstractNumId w:val="20"/>
  </w:num>
  <w:num w:numId="32" w16cid:durableId="1831409738">
    <w:abstractNumId w:val="23"/>
  </w:num>
  <w:num w:numId="33" w16cid:durableId="1376735391">
    <w:abstractNumId w:val="14"/>
  </w:num>
  <w:num w:numId="34" w16cid:durableId="99759643">
    <w:abstractNumId w:val="27"/>
  </w:num>
  <w:num w:numId="35" w16cid:durableId="51124624">
    <w:abstractNumId w:val="39"/>
  </w:num>
  <w:num w:numId="36" w16cid:durableId="1095174084">
    <w:abstractNumId w:val="39"/>
  </w:num>
  <w:num w:numId="37" w16cid:durableId="1413576207">
    <w:abstractNumId w:val="39"/>
  </w:num>
  <w:num w:numId="38" w16cid:durableId="22900166">
    <w:abstractNumId w:val="21"/>
  </w:num>
  <w:num w:numId="39" w16cid:durableId="683828155">
    <w:abstractNumId w:val="39"/>
  </w:num>
  <w:num w:numId="40" w16cid:durableId="232353311">
    <w:abstractNumId w:val="32"/>
  </w:num>
  <w:num w:numId="41" w16cid:durableId="1771313893">
    <w:abstractNumId w:val="40"/>
  </w:num>
  <w:num w:numId="42" w16cid:durableId="1094739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9620762">
    <w:abstractNumId w:val="16"/>
  </w:num>
  <w:num w:numId="44" w16cid:durableId="2053572393">
    <w:abstractNumId w:val="19"/>
  </w:num>
  <w:num w:numId="45" w16cid:durableId="222758046">
    <w:abstractNumId w:val="12"/>
  </w:num>
  <w:num w:numId="46" w16cid:durableId="634025487">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354"/>
    <w:rsid w:val="00000378"/>
    <w:rsid w:val="0000050A"/>
    <w:rsid w:val="0000051C"/>
    <w:rsid w:val="00000724"/>
    <w:rsid w:val="0000076B"/>
    <w:rsid w:val="00000870"/>
    <w:rsid w:val="00000892"/>
    <w:rsid w:val="000008AA"/>
    <w:rsid w:val="000008B2"/>
    <w:rsid w:val="0000090E"/>
    <w:rsid w:val="00000A16"/>
    <w:rsid w:val="00000AE4"/>
    <w:rsid w:val="00000B61"/>
    <w:rsid w:val="00000C1F"/>
    <w:rsid w:val="00000E9F"/>
    <w:rsid w:val="00000F98"/>
    <w:rsid w:val="00001014"/>
    <w:rsid w:val="00001245"/>
    <w:rsid w:val="000013F4"/>
    <w:rsid w:val="00001481"/>
    <w:rsid w:val="000015E7"/>
    <w:rsid w:val="00001716"/>
    <w:rsid w:val="000017D2"/>
    <w:rsid w:val="00001913"/>
    <w:rsid w:val="00001A68"/>
    <w:rsid w:val="00001BC7"/>
    <w:rsid w:val="00001C07"/>
    <w:rsid w:val="00001D6D"/>
    <w:rsid w:val="00001E28"/>
    <w:rsid w:val="00001EE1"/>
    <w:rsid w:val="00001F08"/>
    <w:rsid w:val="00001F9F"/>
    <w:rsid w:val="00001FCD"/>
    <w:rsid w:val="00002114"/>
    <w:rsid w:val="00002344"/>
    <w:rsid w:val="0000256C"/>
    <w:rsid w:val="00002605"/>
    <w:rsid w:val="0000261B"/>
    <w:rsid w:val="0000273D"/>
    <w:rsid w:val="000027A7"/>
    <w:rsid w:val="00002876"/>
    <w:rsid w:val="0000293F"/>
    <w:rsid w:val="00002A77"/>
    <w:rsid w:val="00002B79"/>
    <w:rsid w:val="00002D24"/>
    <w:rsid w:val="00002E5D"/>
    <w:rsid w:val="000030FB"/>
    <w:rsid w:val="0000312C"/>
    <w:rsid w:val="0000345A"/>
    <w:rsid w:val="00003597"/>
    <w:rsid w:val="000035D1"/>
    <w:rsid w:val="00003617"/>
    <w:rsid w:val="00003649"/>
    <w:rsid w:val="000036ED"/>
    <w:rsid w:val="00003726"/>
    <w:rsid w:val="00003759"/>
    <w:rsid w:val="000037E9"/>
    <w:rsid w:val="0000388F"/>
    <w:rsid w:val="00003914"/>
    <w:rsid w:val="00003AA0"/>
    <w:rsid w:val="00003D77"/>
    <w:rsid w:val="00003DD7"/>
    <w:rsid w:val="00003E65"/>
    <w:rsid w:val="0000409F"/>
    <w:rsid w:val="00004177"/>
    <w:rsid w:val="00004220"/>
    <w:rsid w:val="000042B5"/>
    <w:rsid w:val="00004397"/>
    <w:rsid w:val="0000453D"/>
    <w:rsid w:val="0000457B"/>
    <w:rsid w:val="00004682"/>
    <w:rsid w:val="000049B4"/>
    <w:rsid w:val="000049C3"/>
    <w:rsid w:val="00004AD8"/>
    <w:rsid w:val="00004AFF"/>
    <w:rsid w:val="00004B87"/>
    <w:rsid w:val="00004C19"/>
    <w:rsid w:val="00004F53"/>
    <w:rsid w:val="00005058"/>
    <w:rsid w:val="00005146"/>
    <w:rsid w:val="0000514C"/>
    <w:rsid w:val="000051AA"/>
    <w:rsid w:val="00005275"/>
    <w:rsid w:val="000052D7"/>
    <w:rsid w:val="00005323"/>
    <w:rsid w:val="00005732"/>
    <w:rsid w:val="0000585E"/>
    <w:rsid w:val="00005919"/>
    <w:rsid w:val="0000596F"/>
    <w:rsid w:val="00005990"/>
    <w:rsid w:val="00005B92"/>
    <w:rsid w:val="00005B9A"/>
    <w:rsid w:val="00005D9C"/>
    <w:rsid w:val="00005E55"/>
    <w:rsid w:val="00006054"/>
    <w:rsid w:val="0000617C"/>
    <w:rsid w:val="00006253"/>
    <w:rsid w:val="00006294"/>
    <w:rsid w:val="000062DB"/>
    <w:rsid w:val="00006324"/>
    <w:rsid w:val="000063AD"/>
    <w:rsid w:val="0000646F"/>
    <w:rsid w:val="00006530"/>
    <w:rsid w:val="00006553"/>
    <w:rsid w:val="0000655F"/>
    <w:rsid w:val="000065F6"/>
    <w:rsid w:val="00006699"/>
    <w:rsid w:val="00006909"/>
    <w:rsid w:val="0000692D"/>
    <w:rsid w:val="00006F88"/>
    <w:rsid w:val="0000734C"/>
    <w:rsid w:val="00007390"/>
    <w:rsid w:val="000073D2"/>
    <w:rsid w:val="00007578"/>
    <w:rsid w:val="0000779E"/>
    <w:rsid w:val="00007979"/>
    <w:rsid w:val="000079FD"/>
    <w:rsid w:val="00007A9E"/>
    <w:rsid w:val="00007B58"/>
    <w:rsid w:val="00007BEE"/>
    <w:rsid w:val="00007D99"/>
    <w:rsid w:val="00007DFA"/>
    <w:rsid w:val="00007E59"/>
    <w:rsid w:val="000100E5"/>
    <w:rsid w:val="0001036F"/>
    <w:rsid w:val="0001058B"/>
    <w:rsid w:val="00010675"/>
    <w:rsid w:val="000109C8"/>
    <w:rsid w:val="00010AEA"/>
    <w:rsid w:val="00010B6A"/>
    <w:rsid w:val="00010D43"/>
    <w:rsid w:val="00010E3D"/>
    <w:rsid w:val="00010EFB"/>
    <w:rsid w:val="00010F28"/>
    <w:rsid w:val="000110B9"/>
    <w:rsid w:val="000115DF"/>
    <w:rsid w:val="000118D0"/>
    <w:rsid w:val="0001194E"/>
    <w:rsid w:val="00011CCC"/>
    <w:rsid w:val="00012188"/>
    <w:rsid w:val="000121F8"/>
    <w:rsid w:val="00012257"/>
    <w:rsid w:val="000122E6"/>
    <w:rsid w:val="000122EA"/>
    <w:rsid w:val="000122F7"/>
    <w:rsid w:val="00012378"/>
    <w:rsid w:val="000123D7"/>
    <w:rsid w:val="00012494"/>
    <w:rsid w:val="000124F9"/>
    <w:rsid w:val="0001253B"/>
    <w:rsid w:val="000126E5"/>
    <w:rsid w:val="00012864"/>
    <w:rsid w:val="00012EE8"/>
    <w:rsid w:val="00012FCF"/>
    <w:rsid w:val="000130EF"/>
    <w:rsid w:val="0001372A"/>
    <w:rsid w:val="000137CD"/>
    <w:rsid w:val="00013912"/>
    <w:rsid w:val="00013B13"/>
    <w:rsid w:val="00013BAA"/>
    <w:rsid w:val="00013BEF"/>
    <w:rsid w:val="00013D7D"/>
    <w:rsid w:val="0001406F"/>
    <w:rsid w:val="000143DB"/>
    <w:rsid w:val="000143FC"/>
    <w:rsid w:val="0001466A"/>
    <w:rsid w:val="00014691"/>
    <w:rsid w:val="000147A0"/>
    <w:rsid w:val="000148E9"/>
    <w:rsid w:val="0001499F"/>
    <w:rsid w:val="00014DA1"/>
    <w:rsid w:val="00014DEF"/>
    <w:rsid w:val="00014E4F"/>
    <w:rsid w:val="00014F01"/>
    <w:rsid w:val="00014FB5"/>
    <w:rsid w:val="00015377"/>
    <w:rsid w:val="00015475"/>
    <w:rsid w:val="00015680"/>
    <w:rsid w:val="00015739"/>
    <w:rsid w:val="000157BD"/>
    <w:rsid w:val="00015A39"/>
    <w:rsid w:val="00015BD6"/>
    <w:rsid w:val="00015C12"/>
    <w:rsid w:val="00015CD3"/>
    <w:rsid w:val="00015D28"/>
    <w:rsid w:val="00015D4D"/>
    <w:rsid w:val="00015D82"/>
    <w:rsid w:val="00015FCB"/>
    <w:rsid w:val="0001608A"/>
    <w:rsid w:val="0001611A"/>
    <w:rsid w:val="0001611F"/>
    <w:rsid w:val="000162EE"/>
    <w:rsid w:val="00016507"/>
    <w:rsid w:val="0001655B"/>
    <w:rsid w:val="000166FC"/>
    <w:rsid w:val="0001670D"/>
    <w:rsid w:val="000169EE"/>
    <w:rsid w:val="000170AA"/>
    <w:rsid w:val="000170F2"/>
    <w:rsid w:val="0001713F"/>
    <w:rsid w:val="000172EC"/>
    <w:rsid w:val="000174BC"/>
    <w:rsid w:val="00017803"/>
    <w:rsid w:val="0001786E"/>
    <w:rsid w:val="00017A6E"/>
    <w:rsid w:val="00017AC4"/>
    <w:rsid w:val="00017CB6"/>
    <w:rsid w:val="00017EAD"/>
    <w:rsid w:val="00017EB6"/>
    <w:rsid w:val="00020179"/>
    <w:rsid w:val="00020206"/>
    <w:rsid w:val="00020266"/>
    <w:rsid w:val="000202A0"/>
    <w:rsid w:val="0002035F"/>
    <w:rsid w:val="000204D4"/>
    <w:rsid w:val="0002051F"/>
    <w:rsid w:val="0002052F"/>
    <w:rsid w:val="000205D1"/>
    <w:rsid w:val="000205FD"/>
    <w:rsid w:val="00020614"/>
    <w:rsid w:val="00020821"/>
    <w:rsid w:val="00020AB8"/>
    <w:rsid w:val="00020B83"/>
    <w:rsid w:val="00020BBA"/>
    <w:rsid w:val="00020BC0"/>
    <w:rsid w:val="00020D1C"/>
    <w:rsid w:val="00020D24"/>
    <w:rsid w:val="00020D7F"/>
    <w:rsid w:val="00020D82"/>
    <w:rsid w:val="00020DD4"/>
    <w:rsid w:val="00020E2F"/>
    <w:rsid w:val="00020F31"/>
    <w:rsid w:val="00020F43"/>
    <w:rsid w:val="00021102"/>
    <w:rsid w:val="0002113C"/>
    <w:rsid w:val="000212F6"/>
    <w:rsid w:val="0002140D"/>
    <w:rsid w:val="0002149B"/>
    <w:rsid w:val="0002157C"/>
    <w:rsid w:val="00021636"/>
    <w:rsid w:val="00021675"/>
    <w:rsid w:val="0002171B"/>
    <w:rsid w:val="0002180C"/>
    <w:rsid w:val="00021A62"/>
    <w:rsid w:val="00021B46"/>
    <w:rsid w:val="00021D76"/>
    <w:rsid w:val="0002204C"/>
    <w:rsid w:val="00022293"/>
    <w:rsid w:val="00022325"/>
    <w:rsid w:val="00022467"/>
    <w:rsid w:val="00022499"/>
    <w:rsid w:val="000226F9"/>
    <w:rsid w:val="000227E6"/>
    <w:rsid w:val="000227FB"/>
    <w:rsid w:val="000227FF"/>
    <w:rsid w:val="00022818"/>
    <w:rsid w:val="00022B70"/>
    <w:rsid w:val="00022CCD"/>
    <w:rsid w:val="00022EDA"/>
    <w:rsid w:val="00022EFB"/>
    <w:rsid w:val="00023034"/>
    <w:rsid w:val="0002310F"/>
    <w:rsid w:val="00023146"/>
    <w:rsid w:val="000231A0"/>
    <w:rsid w:val="000231BC"/>
    <w:rsid w:val="0002328B"/>
    <w:rsid w:val="000232D5"/>
    <w:rsid w:val="000232F3"/>
    <w:rsid w:val="000235C3"/>
    <w:rsid w:val="000236CA"/>
    <w:rsid w:val="00023773"/>
    <w:rsid w:val="000237D0"/>
    <w:rsid w:val="000238F4"/>
    <w:rsid w:val="00023A55"/>
    <w:rsid w:val="00023B9D"/>
    <w:rsid w:val="00023DFB"/>
    <w:rsid w:val="00023FB4"/>
    <w:rsid w:val="00024447"/>
    <w:rsid w:val="000245FE"/>
    <w:rsid w:val="00024698"/>
    <w:rsid w:val="000246DD"/>
    <w:rsid w:val="000246F7"/>
    <w:rsid w:val="000248AD"/>
    <w:rsid w:val="00024A45"/>
    <w:rsid w:val="00024B96"/>
    <w:rsid w:val="00024C72"/>
    <w:rsid w:val="00024DCD"/>
    <w:rsid w:val="00024EA8"/>
    <w:rsid w:val="00024F18"/>
    <w:rsid w:val="00024FA4"/>
    <w:rsid w:val="00024FDF"/>
    <w:rsid w:val="000250C2"/>
    <w:rsid w:val="00025281"/>
    <w:rsid w:val="0002534A"/>
    <w:rsid w:val="0002584F"/>
    <w:rsid w:val="00025AE8"/>
    <w:rsid w:val="00025BD7"/>
    <w:rsid w:val="00025C46"/>
    <w:rsid w:val="00025D64"/>
    <w:rsid w:val="00025E22"/>
    <w:rsid w:val="00025ED1"/>
    <w:rsid w:val="00025FA9"/>
    <w:rsid w:val="0002628F"/>
    <w:rsid w:val="000263BA"/>
    <w:rsid w:val="000263CA"/>
    <w:rsid w:val="0002644C"/>
    <w:rsid w:val="000265CF"/>
    <w:rsid w:val="00026775"/>
    <w:rsid w:val="00026906"/>
    <w:rsid w:val="0002690E"/>
    <w:rsid w:val="00026BA0"/>
    <w:rsid w:val="00026BA7"/>
    <w:rsid w:val="00026EB0"/>
    <w:rsid w:val="00026FC0"/>
    <w:rsid w:val="000270A6"/>
    <w:rsid w:val="000271BB"/>
    <w:rsid w:val="00027354"/>
    <w:rsid w:val="00027463"/>
    <w:rsid w:val="000274FF"/>
    <w:rsid w:val="000275DE"/>
    <w:rsid w:val="000276B8"/>
    <w:rsid w:val="000277AD"/>
    <w:rsid w:val="000277C6"/>
    <w:rsid w:val="00027867"/>
    <w:rsid w:val="00027B19"/>
    <w:rsid w:val="00027E30"/>
    <w:rsid w:val="00027E8D"/>
    <w:rsid w:val="00027F74"/>
    <w:rsid w:val="00027FE9"/>
    <w:rsid w:val="0003001D"/>
    <w:rsid w:val="000301FC"/>
    <w:rsid w:val="00030285"/>
    <w:rsid w:val="00030316"/>
    <w:rsid w:val="00030332"/>
    <w:rsid w:val="00030368"/>
    <w:rsid w:val="000303D6"/>
    <w:rsid w:val="0003058D"/>
    <w:rsid w:val="0003075D"/>
    <w:rsid w:val="00030926"/>
    <w:rsid w:val="00030AB3"/>
    <w:rsid w:val="00030F86"/>
    <w:rsid w:val="000311AE"/>
    <w:rsid w:val="0003124F"/>
    <w:rsid w:val="00031309"/>
    <w:rsid w:val="0003135A"/>
    <w:rsid w:val="00031437"/>
    <w:rsid w:val="000314CB"/>
    <w:rsid w:val="000315FA"/>
    <w:rsid w:val="00031636"/>
    <w:rsid w:val="000316DF"/>
    <w:rsid w:val="00031856"/>
    <w:rsid w:val="000318C1"/>
    <w:rsid w:val="00031B0E"/>
    <w:rsid w:val="00031BCB"/>
    <w:rsid w:val="00031C39"/>
    <w:rsid w:val="00031E28"/>
    <w:rsid w:val="00031E89"/>
    <w:rsid w:val="00031EEB"/>
    <w:rsid w:val="00032068"/>
    <w:rsid w:val="000320C9"/>
    <w:rsid w:val="000320F3"/>
    <w:rsid w:val="00032268"/>
    <w:rsid w:val="000322B6"/>
    <w:rsid w:val="000323EA"/>
    <w:rsid w:val="00032652"/>
    <w:rsid w:val="00032D5B"/>
    <w:rsid w:val="00032E89"/>
    <w:rsid w:val="00032EC5"/>
    <w:rsid w:val="00033039"/>
    <w:rsid w:val="000330E0"/>
    <w:rsid w:val="00033198"/>
    <w:rsid w:val="000332A0"/>
    <w:rsid w:val="000332F3"/>
    <w:rsid w:val="000333A1"/>
    <w:rsid w:val="00033453"/>
    <w:rsid w:val="000334B2"/>
    <w:rsid w:val="00033556"/>
    <w:rsid w:val="000335AC"/>
    <w:rsid w:val="000335EA"/>
    <w:rsid w:val="00033676"/>
    <w:rsid w:val="0003367E"/>
    <w:rsid w:val="00033713"/>
    <w:rsid w:val="00033923"/>
    <w:rsid w:val="000339D8"/>
    <w:rsid w:val="00033AB7"/>
    <w:rsid w:val="00033D4B"/>
    <w:rsid w:val="00033E26"/>
    <w:rsid w:val="00033F0F"/>
    <w:rsid w:val="00033FE6"/>
    <w:rsid w:val="00034022"/>
    <w:rsid w:val="00034054"/>
    <w:rsid w:val="000340D0"/>
    <w:rsid w:val="00034156"/>
    <w:rsid w:val="000343D1"/>
    <w:rsid w:val="000345A5"/>
    <w:rsid w:val="000345BE"/>
    <w:rsid w:val="000346E6"/>
    <w:rsid w:val="00034703"/>
    <w:rsid w:val="0003471D"/>
    <w:rsid w:val="00034829"/>
    <w:rsid w:val="000348AC"/>
    <w:rsid w:val="00034DD7"/>
    <w:rsid w:val="00034F08"/>
    <w:rsid w:val="00034F3E"/>
    <w:rsid w:val="000350AE"/>
    <w:rsid w:val="0003520A"/>
    <w:rsid w:val="0003535A"/>
    <w:rsid w:val="00035375"/>
    <w:rsid w:val="000353BD"/>
    <w:rsid w:val="000355CB"/>
    <w:rsid w:val="00035661"/>
    <w:rsid w:val="000356E4"/>
    <w:rsid w:val="000357BB"/>
    <w:rsid w:val="00035991"/>
    <w:rsid w:val="000359A3"/>
    <w:rsid w:val="000359C8"/>
    <w:rsid w:val="00035B86"/>
    <w:rsid w:val="00035E59"/>
    <w:rsid w:val="00035EAF"/>
    <w:rsid w:val="00036027"/>
    <w:rsid w:val="0003607F"/>
    <w:rsid w:val="00036227"/>
    <w:rsid w:val="00036298"/>
    <w:rsid w:val="0003643D"/>
    <w:rsid w:val="000364FF"/>
    <w:rsid w:val="000366FD"/>
    <w:rsid w:val="0003672D"/>
    <w:rsid w:val="0003677B"/>
    <w:rsid w:val="0003681B"/>
    <w:rsid w:val="0003692B"/>
    <w:rsid w:val="00036A79"/>
    <w:rsid w:val="00036A7D"/>
    <w:rsid w:val="00036C0B"/>
    <w:rsid w:val="00036DF8"/>
    <w:rsid w:val="00036FB0"/>
    <w:rsid w:val="00036FBA"/>
    <w:rsid w:val="00037151"/>
    <w:rsid w:val="00037276"/>
    <w:rsid w:val="00037331"/>
    <w:rsid w:val="00037671"/>
    <w:rsid w:val="0003768D"/>
    <w:rsid w:val="000401BB"/>
    <w:rsid w:val="0004026B"/>
    <w:rsid w:val="00040288"/>
    <w:rsid w:val="000402E0"/>
    <w:rsid w:val="0004046A"/>
    <w:rsid w:val="00040651"/>
    <w:rsid w:val="0004075F"/>
    <w:rsid w:val="000409A4"/>
    <w:rsid w:val="00040A07"/>
    <w:rsid w:val="00040B0C"/>
    <w:rsid w:val="00040BE6"/>
    <w:rsid w:val="00040F72"/>
    <w:rsid w:val="00040F9A"/>
    <w:rsid w:val="000410EE"/>
    <w:rsid w:val="0004112A"/>
    <w:rsid w:val="000411AA"/>
    <w:rsid w:val="000412AD"/>
    <w:rsid w:val="00041398"/>
    <w:rsid w:val="000414BE"/>
    <w:rsid w:val="0004164B"/>
    <w:rsid w:val="000416EB"/>
    <w:rsid w:val="0004171E"/>
    <w:rsid w:val="00041A8C"/>
    <w:rsid w:val="00041E7C"/>
    <w:rsid w:val="00041FC0"/>
    <w:rsid w:val="000420BA"/>
    <w:rsid w:val="000420E8"/>
    <w:rsid w:val="00042207"/>
    <w:rsid w:val="000422CF"/>
    <w:rsid w:val="000422D4"/>
    <w:rsid w:val="0004238C"/>
    <w:rsid w:val="00042434"/>
    <w:rsid w:val="0004268F"/>
    <w:rsid w:val="00042752"/>
    <w:rsid w:val="000427D3"/>
    <w:rsid w:val="00042A1C"/>
    <w:rsid w:val="00042C57"/>
    <w:rsid w:val="00042CAB"/>
    <w:rsid w:val="00042D79"/>
    <w:rsid w:val="00042E12"/>
    <w:rsid w:val="00043166"/>
    <w:rsid w:val="0004327B"/>
    <w:rsid w:val="000433C6"/>
    <w:rsid w:val="0004343D"/>
    <w:rsid w:val="00043465"/>
    <w:rsid w:val="00043763"/>
    <w:rsid w:val="0004393B"/>
    <w:rsid w:val="0004394F"/>
    <w:rsid w:val="00043A2F"/>
    <w:rsid w:val="00043AA7"/>
    <w:rsid w:val="00043AE7"/>
    <w:rsid w:val="00043B1D"/>
    <w:rsid w:val="00043C0E"/>
    <w:rsid w:val="00043D14"/>
    <w:rsid w:val="00043DE4"/>
    <w:rsid w:val="00043E53"/>
    <w:rsid w:val="00043E99"/>
    <w:rsid w:val="00043EFF"/>
    <w:rsid w:val="00043F4C"/>
    <w:rsid w:val="00044229"/>
    <w:rsid w:val="000442D9"/>
    <w:rsid w:val="000445E8"/>
    <w:rsid w:val="000445F3"/>
    <w:rsid w:val="00044946"/>
    <w:rsid w:val="00044970"/>
    <w:rsid w:val="000449A1"/>
    <w:rsid w:val="00044B43"/>
    <w:rsid w:val="00044E5C"/>
    <w:rsid w:val="000450ED"/>
    <w:rsid w:val="0004530B"/>
    <w:rsid w:val="000453A4"/>
    <w:rsid w:val="000453BD"/>
    <w:rsid w:val="00045673"/>
    <w:rsid w:val="0004568B"/>
    <w:rsid w:val="0004569A"/>
    <w:rsid w:val="000456B4"/>
    <w:rsid w:val="0004576E"/>
    <w:rsid w:val="00045834"/>
    <w:rsid w:val="00045A36"/>
    <w:rsid w:val="00045CEF"/>
    <w:rsid w:val="00045E11"/>
    <w:rsid w:val="000463A0"/>
    <w:rsid w:val="000463CE"/>
    <w:rsid w:val="00046429"/>
    <w:rsid w:val="00046633"/>
    <w:rsid w:val="0004680D"/>
    <w:rsid w:val="00046B49"/>
    <w:rsid w:val="00046C6C"/>
    <w:rsid w:val="00046FE8"/>
    <w:rsid w:val="00047177"/>
    <w:rsid w:val="00047557"/>
    <w:rsid w:val="000475DF"/>
    <w:rsid w:val="00047775"/>
    <w:rsid w:val="000477B3"/>
    <w:rsid w:val="00047916"/>
    <w:rsid w:val="00047A77"/>
    <w:rsid w:val="00047C76"/>
    <w:rsid w:val="00047DEA"/>
    <w:rsid w:val="00047E03"/>
    <w:rsid w:val="00047F2A"/>
    <w:rsid w:val="00050164"/>
    <w:rsid w:val="00050473"/>
    <w:rsid w:val="0005051C"/>
    <w:rsid w:val="0005080C"/>
    <w:rsid w:val="00050BFD"/>
    <w:rsid w:val="00050C6B"/>
    <w:rsid w:val="00050C6C"/>
    <w:rsid w:val="00050F4F"/>
    <w:rsid w:val="00050F54"/>
    <w:rsid w:val="000510E5"/>
    <w:rsid w:val="00051150"/>
    <w:rsid w:val="00051267"/>
    <w:rsid w:val="00051414"/>
    <w:rsid w:val="00051462"/>
    <w:rsid w:val="00051627"/>
    <w:rsid w:val="00051737"/>
    <w:rsid w:val="000518AF"/>
    <w:rsid w:val="000518E6"/>
    <w:rsid w:val="00051A70"/>
    <w:rsid w:val="00051C8F"/>
    <w:rsid w:val="00051CDC"/>
    <w:rsid w:val="00051FBF"/>
    <w:rsid w:val="000522CB"/>
    <w:rsid w:val="00052406"/>
    <w:rsid w:val="000524BF"/>
    <w:rsid w:val="0005259A"/>
    <w:rsid w:val="000528D3"/>
    <w:rsid w:val="000529C7"/>
    <w:rsid w:val="00052A87"/>
    <w:rsid w:val="00052AF8"/>
    <w:rsid w:val="00052CBE"/>
    <w:rsid w:val="00052CD6"/>
    <w:rsid w:val="00052E3A"/>
    <w:rsid w:val="00052E92"/>
    <w:rsid w:val="00053139"/>
    <w:rsid w:val="00053145"/>
    <w:rsid w:val="00053199"/>
    <w:rsid w:val="00053284"/>
    <w:rsid w:val="000532D2"/>
    <w:rsid w:val="00053316"/>
    <w:rsid w:val="00053459"/>
    <w:rsid w:val="00053505"/>
    <w:rsid w:val="0005371B"/>
    <w:rsid w:val="00053870"/>
    <w:rsid w:val="00053B1A"/>
    <w:rsid w:val="00053B28"/>
    <w:rsid w:val="00053B3E"/>
    <w:rsid w:val="00053BD5"/>
    <w:rsid w:val="00053D62"/>
    <w:rsid w:val="00053E3A"/>
    <w:rsid w:val="0005403F"/>
    <w:rsid w:val="0005427F"/>
    <w:rsid w:val="00054380"/>
    <w:rsid w:val="0005447B"/>
    <w:rsid w:val="000544E4"/>
    <w:rsid w:val="0005468F"/>
    <w:rsid w:val="000549D9"/>
    <w:rsid w:val="00054B9C"/>
    <w:rsid w:val="00054DC5"/>
    <w:rsid w:val="00054F15"/>
    <w:rsid w:val="00054F55"/>
    <w:rsid w:val="00055072"/>
    <w:rsid w:val="000550AA"/>
    <w:rsid w:val="00055465"/>
    <w:rsid w:val="000555AA"/>
    <w:rsid w:val="0005565E"/>
    <w:rsid w:val="00055711"/>
    <w:rsid w:val="00055753"/>
    <w:rsid w:val="00055837"/>
    <w:rsid w:val="00055978"/>
    <w:rsid w:val="00055A7C"/>
    <w:rsid w:val="00055B13"/>
    <w:rsid w:val="00055C2F"/>
    <w:rsid w:val="00055F5E"/>
    <w:rsid w:val="00056111"/>
    <w:rsid w:val="000561D8"/>
    <w:rsid w:val="00056488"/>
    <w:rsid w:val="000564BD"/>
    <w:rsid w:val="00056602"/>
    <w:rsid w:val="0005668E"/>
    <w:rsid w:val="000566B5"/>
    <w:rsid w:val="00056798"/>
    <w:rsid w:val="0005684C"/>
    <w:rsid w:val="0005686B"/>
    <w:rsid w:val="00056A35"/>
    <w:rsid w:val="00056BFA"/>
    <w:rsid w:val="00056C93"/>
    <w:rsid w:val="00056DD0"/>
    <w:rsid w:val="00056E56"/>
    <w:rsid w:val="00056F1D"/>
    <w:rsid w:val="00057059"/>
    <w:rsid w:val="00057101"/>
    <w:rsid w:val="00057176"/>
    <w:rsid w:val="000573B2"/>
    <w:rsid w:val="000577D1"/>
    <w:rsid w:val="000578FF"/>
    <w:rsid w:val="00057946"/>
    <w:rsid w:val="00057CAC"/>
    <w:rsid w:val="00057CFA"/>
    <w:rsid w:val="00057E86"/>
    <w:rsid w:val="00057EE4"/>
    <w:rsid w:val="000600CE"/>
    <w:rsid w:val="00060360"/>
    <w:rsid w:val="00060488"/>
    <w:rsid w:val="0006061F"/>
    <w:rsid w:val="0006063A"/>
    <w:rsid w:val="00060891"/>
    <w:rsid w:val="0006099E"/>
    <w:rsid w:val="00060A35"/>
    <w:rsid w:val="00060D04"/>
    <w:rsid w:val="00061168"/>
    <w:rsid w:val="000611B5"/>
    <w:rsid w:val="00061213"/>
    <w:rsid w:val="000612E6"/>
    <w:rsid w:val="0006144C"/>
    <w:rsid w:val="0006165D"/>
    <w:rsid w:val="00061665"/>
    <w:rsid w:val="000617A4"/>
    <w:rsid w:val="000617D6"/>
    <w:rsid w:val="00061AAD"/>
    <w:rsid w:val="00061AD5"/>
    <w:rsid w:val="00061B9A"/>
    <w:rsid w:val="00061C13"/>
    <w:rsid w:val="00061D9E"/>
    <w:rsid w:val="00062066"/>
    <w:rsid w:val="00062080"/>
    <w:rsid w:val="00062117"/>
    <w:rsid w:val="00062182"/>
    <w:rsid w:val="0006228C"/>
    <w:rsid w:val="0006231B"/>
    <w:rsid w:val="000624DB"/>
    <w:rsid w:val="00062518"/>
    <w:rsid w:val="000626AB"/>
    <w:rsid w:val="000626BD"/>
    <w:rsid w:val="00062741"/>
    <w:rsid w:val="000627C0"/>
    <w:rsid w:val="0006283B"/>
    <w:rsid w:val="0006285D"/>
    <w:rsid w:val="0006295A"/>
    <w:rsid w:val="000629D4"/>
    <w:rsid w:val="000629D9"/>
    <w:rsid w:val="00062ACC"/>
    <w:rsid w:val="00062B7F"/>
    <w:rsid w:val="00062BDD"/>
    <w:rsid w:val="00062C00"/>
    <w:rsid w:val="00062D07"/>
    <w:rsid w:val="00062D70"/>
    <w:rsid w:val="00062EEF"/>
    <w:rsid w:val="00063026"/>
    <w:rsid w:val="0006303E"/>
    <w:rsid w:val="000630C6"/>
    <w:rsid w:val="0006318D"/>
    <w:rsid w:val="00063339"/>
    <w:rsid w:val="000633AF"/>
    <w:rsid w:val="0006348B"/>
    <w:rsid w:val="0006360D"/>
    <w:rsid w:val="00063734"/>
    <w:rsid w:val="00063776"/>
    <w:rsid w:val="000637FA"/>
    <w:rsid w:val="00063909"/>
    <w:rsid w:val="00063B08"/>
    <w:rsid w:val="00063C6B"/>
    <w:rsid w:val="00063DC0"/>
    <w:rsid w:val="00063EC0"/>
    <w:rsid w:val="00064158"/>
    <w:rsid w:val="00064600"/>
    <w:rsid w:val="00064648"/>
    <w:rsid w:val="000646BC"/>
    <w:rsid w:val="000647D9"/>
    <w:rsid w:val="00064968"/>
    <w:rsid w:val="000649C6"/>
    <w:rsid w:val="000649E0"/>
    <w:rsid w:val="00064A12"/>
    <w:rsid w:val="00064B28"/>
    <w:rsid w:val="00064C68"/>
    <w:rsid w:val="00064F8E"/>
    <w:rsid w:val="0006510D"/>
    <w:rsid w:val="00065136"/>
    <w:rsid w:val="0006529B"/>
    <w:rsid w:val="000652AD"/>
    <w:rsid w:val="0006541A"/>
    <w:rsid w:val="000656D2"/>
    <w:rsid w:val="00065A13"/>
    <w:rsid w:val="00065B92"/>
    <w:rsid w:val="00065C45"/>
    <w:rsid w:val="00065CFB"/>
    <w:rsid w:val="00065FE0"/>
    <w:rsid w:val="0006605F"/>
    <w:rsid w:val="000661FB"/>
    <w:rsid w:val="0006621A"/>
    <w:rsid w:val="000662F1"/>
    <w:rsid w:val="00066376"/>
    <w:rsid w:val="0006637D"/>
    <w:rsid w:val="000663DC"/>
    <w:rsid w:val="00066404"/>
    <w:rsid w:val="0006640C"/>
    <w:rsid w:val="00066495"/>
    <w:rsid w:val="000664C8"/>
    <w:rsid w:val="00066540"/>
    <w:rsid w:val="000666C9"/>
    <w:rsid w:val="0006685A"/>
    <w:rsid w:val="000668CC"/>
    <w:rsid w:val="000668E9"/>
    <w:rsid w:val="0006698B"/>
    <w:rsid w:val="00066BBE"/>
    <w:rsid w:val="00066BFF"/>
    <w:rsid w:val="00066CE5"/>
    <w:rsid w:val="00066CE9"/>
    <w:rsid w:val="00066FD2"/>
    <w:rsid w:val="0006728A"/>
    <w:rsid w:val="000674BE"/>
    <w:rsid w:val="000675D9"/>
    <w:rsid w:val="000675F5"/>
    <w:rsid w:val="00067627"/>
    <w:rsid w:val="0006770B"/>
    <w:rsid w:val="00067712"/>
    <w:rsid w:val="000677D5"/>
    <w:rsid w:val="000679B1"/>
    <w:rsid w:val="00067B9E"/>
    <w:rsid w:val="00067CA4"/>
    <w:rsid w:val="00067D28"/>
    <w:rsid w:val="00067D59"/>
    <w:rsid w:val="00067D60"/>
    <w:rsid w:val="0007005A"/>
    <w:rsid w:val="000701C7"/>
    <w:rsid w:val="000701CC"/>
    <w:rsid w:val="000701F6"/>
    <w:rsid w:val="000702AD"/>
    <w:rsid w:val="000704E6"/>
    <w:rsid w:val="000704E7"/>
    <w:rsid w:val="00070509"/>
    <w:rsid w:val="00070738"/>
    <w:rsid w:val="000708B9"/>
    <w:rsid w:val="00070AD7"/>
    <w:rsid w:val="00070AE6"/>
    <w:rsid w:val="00070BE0"/>
    <w:rsid w:val="000711B1"/>
    <w:rsid w:val="00071345"/>
    <w:rsid w:val="00071569"/>
    <w:rsid w:val="00071672"/>
    <w:rsid w:val="000717DC"/>
    <w:rsid w:val="000718F6"/>
    <w:rsid w:val="00071901"/>
    <w:rsid w:val="00071B3F"/>
    <w:rsid w:val="00071D75"/>
    <w:rsid w:val="00071E88"/>
    <w:rsid w:val="00071E95"/>
    <w:rsid w:val="00071F3A"/>
    <w:rsid w:val="00072149"/>
    <w:rsid w:val="000722DA"/>
    <w:rsid w:val="0007232D"/>
    <w:rsid w:val="00072528"/>
    <w:rsid w:val="0007256F"/>
    <w:rsid w:val="0007269C"/>
    <w:rsid w:val="000726D1"/>
    <w:rsid w:val="00072873"/>
    <w:rsid w:val="00072A49"/>
    <w:rsid w:val="00072B21"/>
    <w:rsid w:val="00072EA1"/>
    <w:rsid w:val="00072F94"/>
    <w:rsid w:val="00073013"/>
    <w:rsid w:val="00073020"/>
    <w:rsid w:val="00073096"/>
    <w:rsid w:val="0007309D"/>
    <w:rsid w:val="000730EC"/>
    <w:rsid w:val="00073127"/>
    <w:rsid w:val="000732A6"/>
    <w:rsid w:val="000732E4"/>
    <w:rsid w:val="0007356B"/>
    <w:rsid w:val="000735BC"/>
    <w:rsid w:val="00073776"/>
    <w:rsid w:val="000738C2"/>
    <w:rsid w:val="00073903"/>
    <w:rsid w:val="00073949"/>
    <w:rsid w:val="00073ADC"/>
    <w:rsid w:val="00073AF9"/>
    <w:rsid w:val="00073C53"/>
    <w:rsid w:val="00073D1B"/>
    <w:rsid w:val="00073D5A"/>
    <w:rsid w:val="00073F66"/>
    <w:rsid w:val="00074030"/>
    <w:rsid w:val="00074063"/>
    <w:rsid w:val="00074100"/>
    <w:rsid w:val="00074147"/>
    <w:rsid w:val="000741E6"/>
    <w:rsid w:val="0007424A"/>
    <w:rsid w:val="000742A3"/>
    <w:rsid w:val="00074690"/>
    <w:rsid w:val="000746A1"/>
    <w:rsid w:val="000746EF"/>
    <w:rsid w:val="00074AE7"/>
    <w:rsid w:val="00074BA3"/>
    <w:rsid w:val="00074C4F"/>
    <w:rsid w:val="00074D64"/>
    <w:rsid w:val="00074D9A"/>
    <w:rsid w:val="00074E84"/>
    <w:rsid w:val="00074EEE"/>
    <w:rsid w:val="00074F2B"/>
    <w:rsid w:val="00075007"/>
    <w:rsid w:val="000753E1"/>
    <w:rsid w:val="00075568"/>
    <w:rsid w:val="00075570"/>
    <w:rsid w:val="000755B0"/>
    <w:rsid w:val="000755ED"/>
    <w:rsid w:val="00075699"/>
    <w:rsid w:val="000756E1"/>
    <w:rsid w:val="000758A5"/>
    <w:rsid w:val="000759B1"/>
    <w:rsid w:val="000759C8"/>
    <w:rsid w:val="00075E62"/>
    <w:rsid w:val="00076172"/>
    <w:rsid w:val="000761C1"/>
    <w:rsid w:val="000762FF"/>
    <w:rsid w:val="00076557"/>
    <w:rsid w:val="00076731"/>
    <w:rsid w:val="0007682B"/>
    <w:rsid w:val="000769B1"/>
    <w:rsid w:val="00076A09"/>
    <w:rsid w:val="00076C48"/>
    <w:rsid w:val="00076D5C"/>
    <w:rsid w:val="00076F8A"/>
    <w:rsid w:val="00077086"/>
    <w:rsid w:val="00077200"/>
    <w:rsid w:val="00077305"/>
    <w:rsid w:val="00077359"/>
    <w:rsid w:val="00077421"/>
    <w:rsid w:val="00077424"/>
    <w:rsid w:val="00077464"/>
    <w:rsid w:val="0007749C"/>
    <w:rsid w:val="00077535"/>
    <w:rsid w:val="000775EC"/>
    <w:rsid w:val="000777C5"/>
    <w:rsid w:val="00077827"/>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19F"/>
    <w:rsid w:val="000802AB"/>
    <w:rsid w:val="00080345"/>
    <w:rsid w:val="00080369"/>
    <w:rsid w:val="0008039E"/>
    <w:rsid w:val="000805BF"/>
    <w:rsid w:val="000806A9"/>
    <w:rsid w:val="00080C0B"/>
    <w:rsid w:val="00080CAD"/>
    <w:rsid w:val="00080D35"/>
    <w:rsid w:val="00080E6D"/>
    <w:rsid w:val="00080ECB"/>
    <w:rsid w:val="00080F37"/>
    <w:rsid w:val="00080F7E"/>
    <w:rsid w:val="00080FAB"/>
    <w:rsid w:val="00080FE1"/>
    <w:rsid w:val="0008108B"/>
    <w:rsid w:val="000811F5"/>
    <w:rsid w:val="0008121F"/>
    <w:rsid w:val="0008130E"/>
    <w:rsid w:val="000814C5"/>
    <w:rsid w:val="000815AD"/>
    <w:rsid w:val="00081637"/>
    <w:rsid w:val="0008163F"/>
    <w:rsid w:val="00081834"/>
    <w:rsid w:val="00081B06"/>
    <w:rsid w:val="00081B89"/>
    <w:rsid w:val="00081BA4"/>
    <w:rsid w:val="00081CE2"/>
    <w:rsid w:val="00081D45"/>
    <w:rsid w:val="00081D7D"/>
    <w:rsid w:val="00081D8B"/>
    <w:rsid w:val="000820AF"/>
    <w:rsid w:val="000822B5"/>
    <w:rsid w:val="000823C0"/>
    <w:rsid w:val="0008245C"/>
    <w:rsid w:val="0008261C"/>
    <w:rsid w:val="0008275C"/>
    <w:rsid w:val="00082975"/>
    <w:rsid w:val="00082A66"/>
    <w:rsid w:val="00082B61"/>
    <w:rsid w:val="00082B7D"/>
    <w:rsid w:val="00082EE8"/>
    <w:rsid w:val="0008301A"/>
    <w:rsid w:val="0008304C"/>
    <w:rsid w:val="000832D6"/>
    <w:rsid w:val="00083316"/>
    <w:rsid w:val="00083426"/>
    <w:rsid w:val="0008344C"/>
    <w:rsid w:val="00083723"/>
    <w:rsid w:val="00083A06"/>
    <w:rsid w:val="00083A36"/>
    <w:rsid w:val="00083DFF"/>
    <w:rsid w:val="00083EB0"/>
    <w:rsid w:val="00083F08"/>
    <w:rsid w:val="000840DA"/>
    <w:rsid w:val="0008417E"/>
    <w:rsid w:val="0008426A"/>
    <w:rsid w:val="0008430A"/>
    <w:rsid w:val="0008436B"/>
    <w:rsid w:val="0008446D"/>
    <w:rsid w:val="00084645"/>
    <w:rsid w:val="000847B4"/>
    <w:rsid w:val="000848CE"/>
    <w:rsid w:val="00084988"/>
    <w:rsid w:val="00084AD7"/>
    <w:rsid w:val="00084B22"/>
    <w:rsid w:val="00084B94"/>
    <w:rsid w:val="00084C21"/>
    <w:rsid w:val="00084D40"/>
    <w:rsid w:val="00084D69"/>
    <w:rsid w:val="000850C9"/>
    <w:rsid w:val="0008511D"/>
    <w:rsid w:val="00085181"/>
    <w:rsid w:val="00085290"/>
    <w:rsid w:val="00085637"/>
    <w:rsid w:val="000856A4"/>
    <w:rsid w:val="00085714"/>
    <w:rsid w:val="0008581A"/>
    <w:rsid w:val="00085864"/>
    <w:rsid w:val="00085878"/>
    <w:rsid w:val="0008590E"/>
    <w:rsid w:val="000859BB"/>
    <w:rsid w:val="00085A14"/>
    <w:rsid w:val="00085A72"/>
    <w:rsid w:val="00085AC2"/>
    <w:rsid w:val="00085C13"/>
    <w:rsid w:val="00085CBB"/>
    <w:rsid w:val="00085CC7"/>
    <w:rsid w:val="0008600F"/>
    <w:rsid w:val="000862FC"/>
    <w:rsid w:val="00086316"/>
    <w:rsid w:val="0008638D"/>
    <w:rsid w:val="000864C2"/>
    <w:rsid w:val="00086906"/>
    <w:rsid w:val="00086ABD"/>
    <w:rsid w:val="00086BAD"/>
    <w:rsid w:val="00086C80"/>
    <w:rsid w:val="00086E20"/>
    <w:rsid w:val="00086FFF"/>
    <w:rsid w:val="00087046"/>
    <w:rsid w:val="00087112"/>
    <w:rsid w:val="00087250"/>
    <w:rsid w:val="0008731F"/>
    <w:rsid w:val="0008739B"/>
    <w:rsid w:val="000873B4"/>
    <w:rsid w:val="000873CA"/>
    <w:rsid w:val="00087622"/>
    <w:rsid w:val="00087635"/>
    <w:rsid w:val="00087ACC"/>
    <w:rsid w:val="00087C30"/>
    <w:rsid w:val="00087CAC"/>
    <w:rsid w:val="00087D91"/>
    <w:rsid w:val="00087E36"/>
    <w:rsid w:val="00087E3C"/>
    <w:rsid w:val="00087F07"/>
    <w:rsid w:val="00087F67"/>
    <w:rsid w:val="0009009C"/>
    <w:rsid w:val="0009017F"/>
    <w:rsid w:val="00090240"/>
    <w:rsid w:val="000902D9"/>
    <w:rsid w:val="000905F7"/>
    <w:rsid w:val="00090775"/>
    <w:rsid w:val="000908D8"/>
    <w:rsid w:val="00090B08"/>
    <w:rsid w:val="00090BA0"/>
    <w:rsid w:val="00090DB5"/>
    <w:rsid w:val="00091099"/>
    <w:rsid w:val="00091161"/>
    <w:rsid w:val="000912AE"/>
    <w:rsid w:val="000913B4"/>
    <w:rsid w:val="0009140E"/>
    <w:rsid w:val="0009154A"/>
    <w:rsid w:val="000915B3"/>
    <w:rsid w:val="000915D4"/>
    <w:rsid w:val="00091988"/>
    <w:rsid w:val="00091A30"/>
    <w:rsid w:val="00091A9E"/>
    <w:rsid w:val="00091DDC"/>
    <w:rsid w:val="00091E3A"/>
    <w:rsid w:val="000924A3"/>
    <w:rsid w:val="00092777"/>
    <w:rsid w:val="00092A1B"/>
    <w:rsid w:val="00092BE8"/>
    <w:rsid w:val="00092C27"/>
    <w:rsid w:val="00092D74"/>
    <w:rsid w:val="000930FF"/>
    <w:rsid w:val="00093539"/>
    <w:rsid w:val="00093546"/>
    <w:rsid w:val="00093662"/>
    <w:rsid w:val="000938AF"/>
    <w:rsid w:val="000939D6"/>
    <w:rsid w:val="00093AB6"/>
    <w:rsid w:val="00093BCA"/>
    <w:rsid w:val="00093C0E"/>
    <w:rsid w:val="00093C7A"/>
    <w:rsid w:val="00093CAB"/>
    <w:rsid w:val="000940C4"/>
    <w:rsid w:val="000944F4"/>
    <w:rsid w:val="00094661"/>
    <w:rsid w:val="000949A3"/>
    <w:rsid w:val="00094CC6"/>
    <w:rsid w:val="00094D92"/>
    <w:rsid w:val="00094DE5"/>
    <w:rsid w:val="00094EBF"/>
    <w:rsid w:val="00094F33"/>
    <w:rsid w:val="00094F72"/>
    <w:rsid w:val="00095117"/>
    <w:rsid w:val="00095309"/>
    <w:rsid w:val="0009532C"/>
    <w:rsid w:val="00095363"/>
    <w:rsid w:val="000953BE"/>
    <w:rsid w:val="000954D8"/>
    <w:rsid w:val="00095598"/>
    <w:rsid w:val="0009566D"/>
    <w:rsid w:val="0009582C"/>
    <w:rsid w:val="0009582E"/>
    <w:rsid w:val="00095B56"/>
    <w:rsid w:val="00095DF8"/>
    <w:rsid w:val="00095ECF"/>
    <w:rsid w:val="00095F16"/>
    <w:rsid w:val="0009610C"/>
    <w:rsid w:val="00096121"/>
    <w:rsid w:val="00096272"/>
    <w:rsid w:val="0009637A"/>
    <w:rsid w:val="000963F4"/>
    <w:rsid w:val="0009646C"/>
    <w:rsid w:val="000964C8"/>
    <w:rsid w:val="00096699"/>
    <w:rsid w:val="0009684C"/>
    <w:rsid w:val="00096A26"/>
    <w:rsid w:val="00096A76"/>
    <w:rsid w:val="00096A78"/>
    <w:rsid w:val="00096B28"/>
    <w:rsid w:val="00096D95"/>
    <w:rsid w:val="00096ECD"/>
    <w:rsid w:val="00096F39"/>
    <w:rsid w:val="00096FB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F4"/>
    <w:rsid w:val="00097C1E"/>
    <w:rsid w:val="00097C2A"/>
    <w:rsid w:val="00097C68"/>
    <w:rsid w:val="00097CE0"/>
    <w:rsid w:val="00097DAB"/>
    <w:rsid w:val="00097EDF"/>
    <w:rsid w:val="000A007E"/>
    <w:rsid w:val="000A0267"/>
    <w:rsid w:val="000A026C"/>
    <w:rsid w:val="000A02E6"/>
    <w:rsid w:val="000A0442"/>
    <w:rsid w:val="000A04B5"/>
    <w:rsid w:val="000A0700"/>
    <w:rsid w:val="000A08C0"/>
    <w:rsid w:val="000A091C"/>
    <w:rsid w:val="000A0936"/>
    <w:rsid w:val="000A096C"/>
    <w:rsid w:val="000A0A83"/>
    <w:rsid w:val="000A0B84"/>
    <w:rsid w:val="000A0C5E"/>
    <w:rsid w:val="000A0CF4"/>
    <w:rsid w:val="000A0E0D"/>
    <w:rsid w:val="000A0F34"/>
    <w:rsid w:val="000A126C"/>
    <w:rsid w:val="000A12D7"/>
    <w:rsid w:val="000A1397"/>
    <w:rsid w:val="000A15BB"/>
    <w:rsid w:val="000A160D"/>
    <w:rsid w:val="000A1771"/>
    <w:rsid w:val="000A17F2"/>
    <w:rsid w:val="000A17F9"/>
    <w:rsid w:val="000A1A8A"/>
    <w:rsid w:val="000A1C4A"/>
    <w:rsid w:val="000A208D"/>
    <w:rsid w:val="000A20EE"/>
    <w:rsid w:val="000A2187"/>
    <w:rsid w:val="000A227C"/>
    <w:rsid w:val="000A22F4"/>
    <w:rsid w:val="000A233C"/>
    <w:rsid w:val="000A253F"/>
    <w:rsid w:val="000A2578"/>
    <w:rsid w:val="000A25AB"/>
    <w:rsid w:val="000A25D2"/>
    <w:rsid w:val="000A2787"/>
    <w:rsid w:val="000A2927"/>
    <w:rsid w:val="000A29CB"/>
    <w:rsid w:val="000A2B12"/>
    <w:rsid w:val="000A2C07"/>
    <w:rsid w:val="000A2E4F"/>
    <w:rsid w:val="000A2F27"/>
    <w:rsid w:val="000A3344"/>
    <w:rsid w:val="000A33E7"/>
    <w:rsid w:val="000A33FC"/>
    <w:rsid w:val="000A3429"/>
    <w:rsid w:val="000A3582"/>
    <w:rsid w:val="000A3846"/>
    <w:rsid w:val="000A38C9"/>
    <w:rsid w:val="000A3C48"/>
    <w:rsid w:val="000A3D43"/>
    <w:rsid w:val="000A3D71"/>
    <w:rsid w:val="000A4021"/>
    <w:rsid w:val="000A4414"/>
    <w:rsid w:val="000A4513"/>
    <w:rsid w:val="000A45E6"/>
    <w:rsid w:val="000A46F3"/>
    <w:rsid w:val="000A47BD"/>
    <w:rsid w:val="000A4830"/>
    <w:rsid w:val="000A484E"/>
    <w:rsid w:val="000A4923"/>
    <w:rsid w:val="000A49B9"/>
    <w:rsid w:val="000A49C4"/>
    <w:rsid w:val="000A4AAB"/>
    <w:rsid w:val="000A4DA1"/>
    <w:rsid w:val="000A4EBC"/>
    <w:rsid w:val="000A5061"/>
    <w:rsid w:val="000A5373"/>
    <w:rsid w:val="000A55C1"/>
    <w:rsid w:val="000A567A"/>
    <w:rsid w:val="000A56D9"/>
    <w:rsid w:val="000A57AD"/>
    <w:rsid w:val="000A5801"/>
    <w:rsid w:val="000A5896"/>
    <w:rsid w:val="000A59E0"/>
    <w:rsid w:val="000A5B41"/>
    <w:rsid w:val="000A5B4E"/>
    <w:rsid w:val="000A5B55"/>
    <w:rsid w:val="000A5E39"/>
    <w:rsid w:val="000A5E51"/>
    <w:rsid w:val="000A5F09"/>
    <w:rsid w:val="000A5F46"/>
    <w:rsid w:val="000A6038"/>
    <w:rsid w:val="000A604A"/>
    <w:rsid w:val="000A605E"/>
    <w:rsid w:val="000A60F5"/>
    <w:rsid w:val="000A61D0"/>
    <w:rsid w:val="000A6227"/>
    <w:rsid w:val="000A666A"/>
    <w:rsid w:val="000A672D"/>
    <w:rsid w:val="000A6886"/>
    <w:rsid w:val="000A6949"/>
    <w:rsid w:val="000A696D"/>
    <w:rsid w:val="000A697F"/>
    <w:rsid w:val="000A69BE"/>
    <w:rsid w:val="000A6BDF"/>
    <w:rsid w:val="000A6DA5"/>
    <w:rsid w:val="000A6DF4"/>
    <w:rsid w:val="000A6FE7"/>
    <w:rsid w:val="000A6FEB"/>
    <w:rsid w:val="000A70E3"/>
    <w:rsid w:val="000A73F7"/>
    <w:rsid w:val="000A74DD"/>
    <w:rsid w:val="000A7662"/>
    <w:rsid w:val="000A76AD"/>
    <w:rsid w:val="000A78D2"/>
    <w:rsid w:val="000A799D"/>
    <w:rsid w:val="000A7C09"/>
    <w:rsid w:val="000A7C6A"/>
    <w:rsid w:val="000A7D21"/>
    <w:rsid w:val="000A7DDF"/>
    <w:rsid w:val="000A7E65"/>
    <w:rsid w:val="000B00AE"/>
    <w:rsid w:val="000B017E"/>
    <w:rsid w:val="000B023B"/>
    <w:rsid w:val="000B053D"/>
    <w:rsid w:val="000B067F"/>
    <w:rsid w:val="000B0841"/>
    <w:rsid w:val="000B09CA"/>
    <w:rsid w:val="000B0AF1"/>
    <w:rsid w:val="000B0CBC"/>
    <w:rsid w:val="000B0FD4"/>
    <w:rsid w:val="000B1196"/>
    <w:rsid w:val="000B132B"/>
    <w:rsid w:val="000B132C"/>
    <w:rsid w:val="000B153A"/>
    <w:rsid w:val="000B17A1"/>
    <w:rsid w:val="000B1A52"/>
    <w:rsid w:val="000B1A84"/>
    <w:rsid w:val="000B1ADD"/>
    <w:rsid w:val="000B1B2B"/>
    <w:rsid w:val="000B1C9A"/>
    <w:rsid w:val="000B1EB9"/>
    <w:rsid w:val="000B1F55"/>
    <w:rsid w:val="000B1F68"/>
    <w:rsid w:val="000B20E7"/>
    <w:rsid w:val="000B230F"/>
    <w:rsid w:val="000B2649"/>
    <w:rsid w:val="000B26B9"/>
    <w:rsid w:val="000B284E"/>
    <w:rsid w:val="000B289B"/>
    <w:rsid w:val="000B28C6"/>
    <w:rsid w:val="000B2CCF"/>
    <w:rsid w:val="000B2DCC"/>
    <w:rsid w:val="000B2E47"/>
    <w:rsid w:val="000B2EAF"/>
    <w:rsid w:val="000B30AE"/>
    <w:rsid w:val="000B3490"/>
    <w:rsid w:val="000B3497"/>
    <w:rsid w:val="000B3530"/>
    <w:rsid w:val="000B382E"/>
    <w:rsid w:val="000B39F4"/>
    <w:rsid w:val="000B3A76"/>
    <w:rsid w:val="000B3AAD"/>
    <w:rsid w:val="000B3AB0"/>
    <w:rsid w:val="000B3BB7"/>
    <w:rsid w:val="000B3CD4"/>
    <w:rsid w:val="000B3E68"/>
    <w:rsid w:val="000B3F5F"/>
    <w:rsid w:val="000B3FDA"/>
    <w:rsid w:val="000B417E"/>
    <w:rsid w:val="000B4321"/>
    <w:rsid w:val="000B438F"/>
    <w:rsid w:val="000B4403"/>
    <w:rsid w:val="000B46FC"/>
    <w:rsid w:val="000B47A6"/>
    <w:rsid w:val="000B47B8"/>
    <w:rsid w:val="000B484D"/>
    <w:rsid w:val="000B48E6"/>
    <w:rsid w:val="000B4C65"/>
    <w:rsid w:val="000B4DDA"/>
    <w:rsid w:val="000B4E42"/>
    <w:rsid w:val="000B502D"/>
    <w:rsid w:val="000B50E6"/>
    <w:rsid w:val="000B5140"/>
    <w:rsid w:val="000B524F"/>
    <w:rsid w:val="000B5348"/>
    <w:rsid w:val="000B53BC"/>
    <w:rsid w:val="000B546D"/>
    <w:rsid w:val="000B54DF"/>
    <w:rsid w:val="000B5563"/>
    <w:rsid w:val="000B56AE"/>
    <w:rsid w:val="000B5705"/>
    <w:rsid w:val="000B57FE"/>
    <w:rsid w:val="000B5933"/>
    <w:rsid w:val="000B5B2B"/>
    <w:rsid w:val="000B5BAF"/>
    <w:rsid w:val="000B5C94"/>
    <w:rsid w:val="000B5E11"/>
    <w:rsid w:val="000B5F12"/>
    <w:rsid w:val="000B6110"/>
    <w:rsid w:val="000B6200"/>
    <w:rsid w:val="000B6510"/>
    <w:rsid w:val="000B67A6"/>
    <w:rsid w:val="000B67BB"/>
    <w:rsid w:val="000B6829"/>
    <w:rsid w:val="000B6A00"/>
    <w:rsid w:val="000B6A3C"/>
    <w:rsid w:val="000B6A60"/>
    <w:rsid w:val="000B6BA9"/>
    <w:rsid w:val="000B6F86"/>
    <w:rsid w:val="000B7318"/>
    <w:rsid w:val="000B733F"/>
    <w:rsid w:val="000B739A"/>
    <w:rsid w:val="000B74D6"/>
    <w:rsid w:val="000B75B8"/>
    <w:rsid w:val="000B76C1"/>
    <w:rsid w:val="000B76EF"/>
    <w:rsid w:val="000B7905"/>
    <w:rsid w:val="000B795B"/>
    <w:rsid w:val="000B7A8E"/>
    <w:rsid w:val="000B7BF0"/>
    <w:rsid w:val="000B7D08"/>
    <w:rsid w:val="000B7F68"/>
    <w:rsid w:val="000C024C"/>
    <w:rsid w:val="000C0357"/>
    <w:rsid w:val="000C03FA"/>
    <w:rsid w:val="000C043E"/>
    <w:rsid w:val="000C04F4"/>
    <w:rsid w:val="000C0A7E"/>
    <w:rsid w:val="000C0D03"/>
    <w:rsid w:val="000C1082"/>
    <w:rsid w:val="000C123D"/>
    <w:rsid w:val="000C12EC"/>
    <w:rsid w:val="000C14A3"/>
    <w:rsid w:val="000C1583"/>
    <w:rsid w:val="000C176F"/>
    <w:rsid w:val="000C196C"/>
    <w:rsid w:val="000C199D"/>
    <w:rsid w:val="000C19A3"/>
    <w:rsid w:val="000C1AA6"/>
    <w:rsid w:val="000C1C21"/>
    <w:rsid w:val="000C1CB4"/>
    <w:rsid w:val="000C1D0E"/>
    <w:rsid w:val="000C2053"/>
    <w:rsid w:val="000C230B"/>
    <w:rsid w:val="000C23A4"/>
    <w:rsid w:val="000C23DF"/>
    <w:rsid w:val="000C244F"/>
    <w:rsid w:val="000C24DF"/>
    <w:rsid w:val="000C29B7"/>
    <w:rsid w:val="000C2A79"/>
    <w:rsid w:val="000C2C9F"/>
    <w:rsid w:val="000C2E2E"/>
    <w:rsid w:val="000C2E97"/>
    <w:rsid w:val="000C304E"/>
    <w:rsid w:val="000C3117"/>
    <w:rsid w:val="000C3780"/>
    <w:rsid w:val="000C3792"/>
    <w:rsid w:val="000C3798"/>
    <w:rsid w:val="000C39F1"/>
    <w:rsid w:val="000C3A08"/>
    <w:rsid w:val="000C3BD1"/>
    <w:rsid w:val="000C3D5F"/>
    <w:rsid w:val="000C3E39"/>
    <w:rsid w:val="000C3F74"/>
    <w:rsid w:val="000C413D"/>
    <w:rsid w:val="000C41D6"/>
    <w:rsid w:val="000C4265"/>
    <w:rsid w:val="000C4387"/>
    <w:rsid w:val="000C44FB"/>
    <w:rsid w:val="000C45AF"/>
    <w:rsid w:val="000C45D5"/>
    <w:rsid w:val="000C45E9"/>
    <w:rsid w:val="000C4711"/>
    <w:rsid w:val="000C4BC4"/>
    <w:rsid w:val="000C507B"/>
    <w:rsid w:val="000C5089"/>
    <w:rsid w:val="000C50E5"/>
    <w:rsid w:val="000C5128"/>
    <w:rsid w:val="000C512A"/>
    <w:rsid w:val="000C52C1"/>
    <w:rsid w:val="000C5563"/>
    <w:rsid w:val="000C5AF0"/>
    <w:rsid w:val="000C5B55"/>
    <w:rsid w:val="000C5E37"/>
    <w:rsid w:val="000C6009"/>
    <w:rsid w:val="000C66AD"/>
    <w:rsid w:val="000C6731"/>
    <w:rsid w:val="000C698A"/>
    <w:rsid w:val="000C6A4B"/>
    <w:rsid w:val="000C6A7B"/>
    <w:rsid w:val="000C6A83"/>
    <w:rsid w:val="000C6B6C"/>
    <w:rsid w:val="000C6BF0"/>
    <w:rsid w:val="000C6E18"/>
    <w:rsid w:val="000C6E57"/>
    <w:rsid w:val="000C6FC0"/>
    <w:rsid w:val="000C70B5"/>
    <w:rsid w:val="000C718A"/>
    <w:rsid w:val="000C72CF"/>
    <w:rsid w:val="000C7516"/>
    <w:rsid w:val="000C7781"/>
    <w:rsid w:val="000C779D"/>
    <w:rsid w:val="000C789C"/>
    <w:rsid w:val="000C7E06"/>
    <w:rsid w:val="000C7F38"/>
    <w:rsid w:val="000D0035"/>
    <w:rsid w:val="000D00B1"/>
    <w:rsid w:val="000D0120"/>
    <w:rsid w:val="000D033B"/>
    <w:rsid w:val="000D04D2"/>
    <w:rsid w:val="000D0799"/>
    <w:rsid w:val="000D07D3"/>
    <w:rsid w:val="000D0905"/>
    <w:rsid w:val="000D09BC"/>
    <w:rsid w:val="000D0AF0"/>
    <w:rsid w:val="000D0D2F"/>
    <w:rsid w:val="000D0E96"/>
    <w:rsid w:val="000D0EF5"/>
    <w:rsid w:val="000D0F25"/>
    <w:rsid w:val="000D0F71"/>
    <w:rsid w:val="000D117B"/>
    <w:rsid w:val="000D11A4"/>
    <w:rsid w:val="000D1399"/>
    <w:rsid w:val="000D1537"/>
    <w:rsid w:val="000D16BA"/>
    <w:rsid w:val="000D16DF"/>
    <w:rsid w:val="000D1706"/>
    <w:rsid w:val="000D1736"/>
    <w:rsid w:val="000D1856"/>
    <w:rsid w:val="000D1BAD"/>
    <w:rsid w:val="000D1BB5"/>
    <w:rsid w:val="000D1D26"/>
    <w:rsid w:val="000D1DAB"/>
    <w:rsid w:val="000D1E24"/>
    <w:rsid w:val="000D1E81"/>
    <w:rsid w:val="000D1E97"/>
    <w:rsid w:val="000D1F3D"/>
    <w:rsid w:val="000D22C7"/>
    <w:rsid w:val="000D23D9"/>
    <w:rsid w:val="000D2417"/>
    <w:rsid w:val="000D2945"/>
    <w:rsid w:val="000D2B73"/>
    <w:rsid w:val="000D2C21"/>
    <w:rsid w:val="000D2C95"/>
    <w:rsid w:val="000D2E36"/>
    <w:rsid w:val="000D2EA9"/>
    <w:rsid w:val="000D307B"/>
    <w:rsid w:val="000D35D2"/>
    <w:rsid w:val="000D368E"/>
    <w:rsid w:val="000D3843"/>
    <w:rsid w:val="000D3A1E"/>
    <w:rsid w:val="000D3A4B"/>
    <w:rsid w:val="000D3A97"/>
    <w:rsid w:val="000D3CCC"/>
    <w:rsid w:val="000D3CF2"/>
    <w:rsid w:val="000D3D6D"/>
    <w:rsid w:val="000D3E0B"/>
    <w:rsid w:val="000D3E25"/>
    <w:rsid w:val="000D3E64"/>
    <w:rsid w:val="000D3EA0"/>
    <w:rsid w:val="000D40F6"/>
    <w:rsid w:val="000D411C"/>
    <w:rsid w:val="000D411D"/>
    <w:rsid w:val="000D41A9"/>
    <w:rsid w:val="000D4327"/>
    <w:rsid w:val="000D436B"/>
    <w:rsid w:val="000D440A"/>
    <w:rsid w:val="000D4497"/>
    <w:rsid w:val="000D496C"/>
    <w:rsid w:val="000D4C58"/>
    <w:rsid w:val="000D4D53"/>
    <w:rsid w:val="000D4DCD"/>
    <w:rsid w:val="000D4E41"/>
    <w:rsid w:val="000D4FAB"/>
    <w:rsid w:val="000D521A"/>
    <w:rsid w:val="000D52B8"/>
    <w:rsid w:val="000D530F"/>
    <w:rsid w:val="000D5364"/>
    <w:rsid w:val="000D559E"/>
    <w:rsid w:val="000D5612"/>
    <w:rsid w:val="000D5652"/>
    <w:rsid w:val="000D5927"/>
    <w:rsid w:val="000D5EBB"/>
    <w:rsid w:val="000D5FC7"/>
    <w:rsid w:val="000D60FD"/>
    <w:rsid w:val="000D6270"/>
    <w:rsid w:val="000D646C"/>
    <w:rsid w:val="000D67CE"/>
    <w:rsid w:val="000D67DC"/>
    <w:rsid w:val="000D6BF4"/>
    <w:rsid w:val="000D6C23"/>
    <w:rsid w:val="000D6C70"/>
    <w:rsid w:val="000D6D8A"/>
    <w:rsid w:val="000D6E5B"/>
    <w:rsid w:val="000D6F79"/>
    <w:rsid w:val="000D70B9"/>
    <w:rsid w:val="000D7280"/>
    <w:rsid w:val="000D72BC"/>
    <w:rsid w:val="000D7361"/>
    <w:rsid w:val="000D7405"/>
    <w:rsid w:val="000D7435"/>
    <w:rsid w:val="000D7501"/>
    <w:rsid w:val="000D755F"/>
    <w:rsid w:val="000D7764"/>
    <w:rsid w:val="000D77A2"/>
    <w:rsid w:val="000D77BC"/>
    <w:rsid w:val="000D7823"/>
    <w:rsid w:val="000D79DB"/>
    <w:rsid w:val="000D79E2"/>
    <w:rsid w:val="000D7A23"/>
    <w:rsid w:val="000D7A43"/>
    <w:rsid w:val="000D7C23"/>
    <w:rsid w:val="000D7E03"/>
    <w:rsid w:val="000D7E7E"/>
    <w:rsid w:val="000D7F92"/>
    <w:rsid w:val="000D7FC5"/>
    <w:rsid w:val="000E0300"/>
    <w:rsid w:val="000E0303"/>
    <w:rsid w:val="000E0428"/>
    <w:rsid w:val="000E04EF"/>
    <w:rsid w:val="000E0706"/>
    <w:rsid w:val="000E0755"/>
    <w:rsid w:val="000E08A0"/>
    <w:rsid w:val="000E08AB"/>
    <w:rsid w:val="000E0AC2"/>
    <w:rsid w:val="000E0B53"/>
    <w:rsid w:val="000E0B69"/>
    <w:rsid w:val="000E0D0B"/>
    <w:rsid w:val="000E0FA7"/>
    <w:rsid w:val="000E1202"/>
    <w:rsid w:val="000E131D"/>
    <w:rsid w:val="000E1480"/>
    <w:rsid w:val="000E1656"/>
    <w:rsid w:val="000E18D5"/>
    <w:rsid w:val="000E18D9"/>
    <w:rsid w:val="000E1A75"/>
    <w:rsid w:val="000E1CD4"/>
    <w:rsid w:val="000E1D45"/>
    <w:rsid w:val="000E1DBF"/>
    <w:rsid w:val="000E1E37"/>
    <w:rsid w:val="000E1FAC"/>
    <w:rsid w:val="000E2117"/>
    <w:rsid w:val="000E21B7"/>
    <w:rsid w:val="000E2350"/>
    <w:rsid w:val="000E23DE"/>
    <w:rsid w:val="000E2565"/>
    <w:rsid w:val="000E2589"/>
    <w:rsid w:val="000E2620"/>
    <w:rsid w:val="000E2671"/>
    <w:rsid w:val="000E2746"/>
    <w:rsid w:val="000E2BC0"/>
    <w:rsid w:val="000E2BEA"/>
    <w:rsid w:val="000E2C16"/>
    <w:rsid w:val="000E2E72"/>
    <w:rsid w:val="000E2F2E"/>
    <w:rsid w:val="000E3065"/>
    <w:rsid w:val="000E30F2"/>
    <w:rsid w:val="000E317D"/>
    <w:rsid w:val="000E32E0"/>
    <w:rsid w:val="000E332C"/>
    <w:rsid w:val="000E3330"/>
    <w:rsid w:val="000E3377"/>
    <w:rsid w:val="000E3551"/>
    <w:rsid w:val="000E3759"/>
    <w:rsid w:val="000E3795"/>
    <w:rsid w:val="000E37F6"/>
    <w:rsid w:val="000E38CD"/>
    <w:rsid w:val="000E391A"/>
    <w:rsid w:val="000E394B"/>
    <w:rsid w:val="000E397B"/>
    <w:rsid w:val="000E3EEB"/>
    <w:rsid w:val="000E41F5"/>
    <w:rsid w:val="000E450D"/>
    <w:rsid w:val="000E45D5"/>
    <w:rsid w:val="000E47B0"/>
    <w:rsid w:val="000E47D8"/>
    <w:rsid w:val="000E47DC"/>
    <w:rsid w:val="000E498A"/>
    <w:rsid w:val="000E49FE"/>
    <w:rsid w:val="000E4CCA"/>
    <w:rsid w:val="000E4DF3"/>
    <w:rsid w:val="000E4F1F"/>
    <w:rsid w:val="000E51BE"/>
    <w:rsid w:val="000E5433"/>
    <w:rsid w:val="000E5487"/>
    <w:rsid w:val="000E5789"/>
    <w:rsid w:val="000E57F2"/>
    <w:rsid w:val="000E57FA"/>
    <w:rsid w:val="000E588E"/>
    <w:rsid w:val="000E58A7"/>
    <w:rsid w:val="000E5915"/>
    <w:rsid w:val="000E5A07"/>
    <w:rsid w:val="000E5B89"/>
    <w:rsid w:val="000E5BD2"/>
    <w:rsid w:val="000E5C60"/>
    <w:rsid w:val="000E5CE0"/>
    <w:rsid w:val="000E5E03"/>
    <w:rsid w:val="000E5ED1"/>
    <w:rsid w:val="000E5F84"/>
    <w:rsid w:val="000E6163"/>
    <w:rsid w:val="000E63C8"/>
    <w:rsid w:val="000E6404"/>
    <w:rsid w:val="000E64AF"/>
    <w:rsid w:val="000E685F"/>
    <w:rsid w:val="000E6A2E"/>
    <w:rsid w:val="000E6A7C"/>
    <w:rsid w:val="000E6C98"/>
    <w:rsid w:val="000E6CFA"/>
    <w:rsid w:val="000E6D6E"/>
    <w:rsid w:val="000E6DF8"/>
    <w:rsid w:val="000E704C"/>
    <w:rsid w:val="000E70A0"/>
    <w:rsid w:val="000E70D3"/>
    <w:rsid w:val="000E715D"/>
    <w:rsid w:val="000E7408"/>
    <w:rsid w:val="000E7614"/>
    <w:rsid w:val="000E763C"/>
    <w:rsid w:val="000E7CA6"/>
    <w:rsid w:val="000E7CEA"/>
    <w:rsid w:val="000E7E29"/>
    <w:rsid w:val="000E7EE0"/>
    <w:rsid w:val="000E7FAD"/>
    <w:rsid w:val="000F032B"/>
    <w:rsid w:val="000F0336"/>
    <w:rsid w:val="000F045E"/>
    <w:rsid w:val="000F055C"/>
    <w:rsid w:val="000F0632"/>
    <w:rsid w:val="000F0755"/>
    <w:rsid w:val="000F07E1"/>
    <w:rsid w:val="000F085A"/>
    <w:rsid w:val="000F096F"/>
    <w:rsid w:val="000F0A6D"/>
    <w:rsid w:val="000F0A82"/>
    <w:rsid w:val="000F0BBA"/>
    <w:rsid w:val="000F0D3F"/>
    <w:rsid w:val="000F0DFA"/>
    <w:rsid w:val="000F0E4F"/>
    <w:rsid w:val="000F0E68"/>
    <w:rsid w:val="000F0EA8"/>
    <w:rsid w:val="000F0EC4"/>
    <w:rsid w:val="000F0F00"/>
    <w:rsid w:val="000F1276"/>
    <w:rsid w:val="000F131E"/>
    <w:rsid w:val="000F195F"/>
    <w:rsid w:val="000F19A7"/>
    <w:rsid w:val="000F1CD1"/>
    <w:rsid w:val="000F1D24"/>
    <w:rsid w:val="000F1D26"/>
    <w:rsid w:val="000F1D77"/>
    <w:rsid w:val="000F1F42"/>
    <w:rsid w:val="000F202A"/>
    <w:rsid w:val="000F229F"/>
    <w:rsid w:val="000F23A6"/>
    <w:rsid w:val="000F23D4"/>
    <w:rsid w:val="000F26B4"/>
    <w:rsid w:val="000F2706"/>
    <w:rsid w:val="000F2814"/>
    <w:rsid w:val="000F2912"/>
    <w:rsid w:val="000F2A5B"/>
    <w:rsid w:val="000F2B8B"/>
    <w:rsid w:val="000F2C59"/>
    <w:rsid w:val="000F2D90"/>
    <w:rsid w:val="000F3060"/>
    <w:rsid w:val="000F3080"/>
    <w:rsid w:val="000F309A"/>
    <w:rsid w:val="000F3117"/>
    <w:rsid w:val="000F31BA"/>
    <w:rsid w:val="000F3635"/>
    <w:rsid w:val="000F363C"/>
    <w:rsid w:val="000F3819"/>
    <w:rsid w:val="000F3893"/>
    <w:rsid w:val="000F3896"/>
    <w:rsid w:val="000F39E4"/>
    <w:rsid w:val="000F3A1A"/>
    <w:rsid w:val="000F401D"/>
    <w:rsid w:val="000F42FE"/>
    <w:rsid w:val="000F4324"/>
    <w:rsid w:val="000F43F9"/>
    <w:rsid w:val="000F479A"/>
    <w:rsid w:val="000F49AC"/>
    <w:rsid w:val="000F4AA4"/>
    <w:rsid w:val="000F4FDF"/>
    <w:rsid w:val="000F5077"/>
    <w:rsid w:val="000F50B4"/>
    <w:rsid w:val="000F5230"/>
    <w:rsid w:val="000F52BE"/>
    <w:rsid w:val="000F530F"/>
    <w:rsid w:val="000F551A"/>
    <w:rsid w:val="000F5566"/>
    <w:rsid w:val="000F5794"/>
    <w:rsid w:val="000F57C5"/>
    <w:rsid w:val="000F57E2"/>
    <w:rsid w:val="000F58D8"/>
    <w:rsid w:val="000F5A1C"/>
    <w:rsid w:val="000F5C69"/>
    <w:rsid w:val="000F5CA6"/>
    <w:rsid w:val="000F5CAB"/>
    <w:rsid w:val="000F5D8C"/>
    <w:rsid w:val="000F5D96"/>
    <w:rsid w:val="000F5E2B"/>
    <w:rsid w:val="000F5F16"/>
    <w:rsid w:val="000F5F66"/>
    <w:rsid w:val="000F5F8B"/>
    <w:rsid w:val="000F601C"/>
    <w:rsid w:val="000F6026"/>
    <w:rsid w:val="000F604A"/>
    <w:rsid w:val="000F606F"/>
    <w:rsid w:val="000F62C2"/>
    <w:rsid w:val="000F648C"/>
    <w:rsid w:val="000F65E4"/>
    <w:rsid w:val="000F667F"/>
    <w:rsid w:val="000F66A4"/>
    <w:rsid w:val="000F6722"/>
    <w:rsid w:val="000F6917"/>
    <w:rsid w:val="000F7130"/>
    <w:rsid w:val="000F716F"/>
    <w:rsid w:val="000F7716"/>
    <w:rsid w:val="000F7ACD"/>
    <w:rsid w:val="000F7C75"/>
    <w:rsid w:val="000F7D34"/>
    <w:rsid w:val="001001B5"/>
    <w:rsid w:val="00100240"/>
    <w:rsid w:val="00100797"/>
    <w:rsid w:val="001008A1"/>
    <w:rsid w:val="0010090D"/>
    <w:rsid w:val="00100C46"/>
    <w:rsid w:val="00100C88"/>
    <w:rsid w:val="00100CAA"/>
    <w:rsid w:val="00100E23"/>
    <w:rsid w:val="00100E8D"/>
    <w:rsid w:val="0010115C"/>
    <w:rsid w:val="00101422"/>
    <w:rsid w:val="0010146E"/>
    <w:rsid w:val="001014E4"/>
    <w:rsid w:val="001016D4"/>
    <w:rsid w:val="001016E0"/>
    <w:rsid w:val="00101782"/>
    <w:rsid w:val="00101874"/>
    <w:rsid w:val="00101A1F"/>
    <w:rsid w:val="00101AD5"/>
    <w:rsid w:val="00101B6F"/>
    <w:rsid w:val="00101BDD"/>
    <w:rsid w:val="00101D73"/>
    <w:rsid w:val="00101D80"/>
    <w:rsid w:val="00101DD0"/>
    <w:rsid w:val="00101E69"/>
    <w:rsid w:val="00101E78"/>
    <w:rsid w:val="00101F49"/>
    <w:rsid w:val="0010209E"/>
    <w:rsid w:val="00102276"/>
    <w:rsid w:val="0010252F"/>
    <w:rsid w:val="001026A4"/>
    <w:rsid w:val="00102846"/>
    <w:rsid w:val="001028A8"/>
    <w:rsid w:val="0010296E"/>
    <w:rsid w:val="001029B4"/>
    <w:rsid w:val="00102C86"/>
    <w:rsid w:val="00102D26"/>
    <w:rsid w:val="00102D6C"/>
    <w:rsid w:val="00102EAD"/>
    <w:rsid w:val="00102FE6"/>
    <w:rsid w:val="00103145"/>
    <w:rsid w:val="0010316C"/>
    <w:rsid w:val="00103252"/>
    <w:rsid w:val="001032E5"/>
    <w:rsid w:val="00103363"/>
    <w:rsid w:val="001033B1"/>
    <w:rsid w:val="001033FF"/>
    <w:rsid w:val="0010353A"/>
    <w:rsid w:val="00103954"/>
    <w:rsid w:val="00103968"/>
    <w:rsid w:val="0010397E"/>
    <w:rsid w:val="00103AE9"/>
    <w:rsid w:val="00103B6C"/>
    <w:rsid w:val="00103C09"/>
    <w:rsid w:val="00103C4E"/>
    <w:rsid w:val="00103D87"/>
    <w:rsid w:val="00103E11"/>
    <w:rsid w:val="00103F51"/>
    <w:rsid w:val="00104011"/>
    <w:rsid w:val="00104017"/>
    <w:rsid w:val="0010419F"/>
    <w:rsid w:val="0010437D"/>
    <w:rsid w:val="00104B76"/>
    <w:rsid w:val="00104C63"/>
    <w:rsid w:val="00104D0E"/>
    <w:rsid w:val="00104EC9"/>
    <w:rsid w:val="00104F16"/>
    <w:rsid w:val="0010501C"/>
    <w:rsid w:val="00105112"/>
    <w:rsid w:val="001051EA"/>
    <w:rsid w:val="0010533C"/>
    <w:rsid w:val="00105341"/>
    <w:rsid w:val="00105A83"/>
    <w:rsid w:val="00105E2E"/>
    <w:rsid w:val="001061BA"/>
    <w:rsid w:val="001061F8"/>
    <w:rsid w:val="00106514"/>
    <w:rsid w:val="00106517"/>
    <w:rsid w:val="0010675D"/>
    <w:rsid w:val="00106916"/>
    <w:rsid w:val="00106931"/>
    <w:rsid w:val="001069C7"/>
    <w:rsid w:val="001069DF"/>
    <w:rsid w:val="00106B55"/>
    <w:rsid w:val="00106DE7"/>
    <w:rsid w:val="001071C7"/>
    <w:rsid w:val="00107228"/>
    <w:rsid w:val="001072C2"/>
    <w:rsid w:val="001074C4"/>
    <w:rsid w:val="001075E0"/>
    <w:rsid w:val="001076D8"/>
    <w:rsid w:val="00107736"/>
    <w:rsid w:val="00107AFF"/>
    <w:rsid w:val="00107CBA"/>
    <w:rsid w:val="00107CE8"/>
    <w:rsid w:val="00107ECE"/>
    <w:rsid w:val="00107F4B"/>
    <w:rsid w:val="00110001"/>
    <w:rsid w:val="001100A3"/>
    <w:rsid w:val="001101FA"/>
    <w:rsid w:val="00110290"/>
    <w:rsid w:val="0011051E"/>
    <w:rsid w:val="00110771"/>
    <w:rsid w:val="00110908"/>
    <w:rsid w:val="00110966"/>
    <w:rsid w:val="00110AAA"/>
    <w:rsid w:val="00110C26"/>
    <w:rsid w:val="00110F89"/>
    <w:rsid w:val="00110FBF"/>
    <w:rsid w:val="00111088"/>
    <w:rsid w:val="00111286"/>
    <w:rsid w:val="001112F5"/>
    <w:rsid w:val="00111354"/>
    <w:rsid w:val="0011161E"/>
    <w:rsid w:val="00111759"/>
    <w:rsid w:val="001118DD"/>
    <w:rsid w:val="001119D0"/>
    <w:rsid w:val="001119E1"/>
    <w:rsid w:val="00111A40"/>
    <w:rsid w:val="00111D6E"/>
    <w:rsid w:val="00112085"/>
    <w:rsid w:val="001122DD"/>
    <w:rsid w:val="00112358"/>
    <w:rsid w:val="00112753"/>
    <w:rsid w:val="001127ED"/>
    <w:rsid w:val="00112C9B"/>
    <w:rsid w:val="00112CC3"/>
    <w:rsid w:val="00112E93"/>
    <w:rsid w:val="00113023"/>
    <w:rsid w:val="001130E1"/>
    <w:rsid w:val="001130E3"/>
    <w:rsid w:val="00113199"/>
    <w:rsid w:val="001132A8"/>
    <w:rsid w:val="0011349D"/>
    <w:rsid w:val="00113672"/>
    <w:rsid w:val="001137CE"/>
    <w:rsid w:val="001138E8"/>
    <w:rsid w:val="00113A11"/>
    <w:rsid w:val="00113D1F"/>
    <w:rsid w:val="00113D76"/>
    <w:rsid w:val="00113D8A"/>
    <w:rsid w:val="00113E1B"/>
    <w:rsid w:val="00113F01"/>
    <w:rsid w:val="0011417C"/>
    <w:rsid w:val="00114185"/>
    <w:rsid w:val="0011418A"/>
    <w:rsid w:val="00114213"/>
    <w:rsid w:val="001142CB"/>
    <w:rsid w:val="00114506"/>
    <w:rsid w:val="0011450D"/>
    <w:rsid w:val="001145EF"/>
    <w:rsid w:val="0011462D"/>
    <w:rsid w:val="001147AD"/>
    <w:rsid w:val="0011482B"/>
    <w:rsid w:val="00114862"/>
    <w:rsid w:val="001148D1"/>
    <w:rsid w:val="00114923"/>
    <w:rsid w:val="00114962"/>
    <w:rsid w:val="001149CD"/>
    <w:rsid w:val="001149E7"/>
    <w:rsid w:val="00114A84"/>
    <w:rsid w:val="00114A91"/>
    <w:rsid w:val="00114B24"/>
    <w:rsid w:val="00114BB9"/>
    <w:rsid w:val="00114D1D"/>
    <w:rsid w:val="00114E44"/>
    <w:rsid w:val="00114FDA"/>
    <w:rsid w:val="0011517B"/>
    <w:rsid w:val="00115326"/>
    <w:rsid w:val="0011534D"/>
    <w:rsid w:val="00115723"/>
    <w:rsid w:val="0011573C"/>
    <w:rsid w:val="00115863"/>
    <w:rsid w:val="00115941"/>
    <w:rsid w:val="0011598E"/>
    <w:rsid w:val="00115A3E"/>
    <w:rsid w:val="00115C2F"/>
    <w:rsid w:val="00115D94"/>
    <w:rsid w:val="0011600D"/>
    <w:rsid w:val="00116077"/>
    <w:rsid w:val="00116773"/>
    <w:rsid w:val="0011679C"/>
    <w:rsid w:val="0011684F"/>
    <w:rsid w:val="001168A1"/>
    <w:rsid w:val="001169A3"/>
    <w:rsid w:val="00116A78"/>
    <w:rsid w:val="00116E04"/>
    <w:rsid w:val="00116E53"/>
    <w:rsid w:val="00116EB2"/>
    <w:rsid w:val="00116EBE"/>
    <w:rsid w:val="00116FB1"/>
    <w:rsid w:val="00116FC2"/>
    <w:rsid w:val="001171F6"/>
    <w:rsid w:val="00117273"/>
    <w:rsid w:val="001172CF"/>
    <w:rsid w:val="0011735B"/>
    <w:rsid w:val="00117384"/>
    <w:rsid w:val="0011747B"/>
    <w:rsid w:val="0011749E"/>
    <w:rsid w:val="00117576"/>
    <w:rsid w:val="0011758F"/>
    <w:rsid w:val="001175AB"/>
    <w:rsid w:val="001177E2"/>
    <w:rsid w:val="00117A0E"/>
    <w:rsid w:val="00117A49"/>
    <w:rsid w:val="00117AF6"/>
    <w:rsid w:val="00117B07"/>
    <w:rsid w:val="00117C31"/>
    <w:rsid w:val="00117C84"/>
    <w:rsid w:val="00117DCF"/>
    <w:rsid w:val="00117E63"/>
    <w:rsid w:val="00117E73"/>
    <w:rsid w:val="001201F5"/>
    <w:rsid w:val="001203DF"/>
    <w:rsid w:val="00120947"/>
    <w:rsid w:val="00120A59"/>
    <w:rsid w:val="00120AB8"/>
    <w:rsid w:val="00120D08"/>
    <w:rsid w:val="00120F49"/>
    <w:rsid w:val="00120F90"/>
    <w:rsid w:val="0012101B"/>
    <w:rsid w:val="0012105E"/>
    <w:rsid w:val="001210E6"/>
    <w:rsid w:val="00121215"/>
    <w:rsid w:val="001215F9"/>
    <w:rsid w:val="00121627"/>
    <w:rsid w:val="00121799"/>
    <w:rsid w:val="00121ACD"/>
    <w:rsid w:val="00121B42"/>
    <w:rsid w:val="00121C2F"/>
    <w:rsid w:val="00121CDE"/>
    <w:rsid w:val="00121CFD"/>
    <w:rsid w:val="00121DBD"/>
    <w:rsid w:val="00122085"/>
    <w:rsid w:val="001220A2"/>
    <w:rsid w:val="00122135"/>
    <w:rsid w:val="00122396"/>
    <w:rsid w:val="001223C4"/>
    <w:rsid w:val="00122411"/>
    <w:rsid w:val="0012246E"/>
    <w:rsid w:val="0012257C"/>
    <w:rsid w:val="00122585"/>
    <w:rsid w:val="00122647"/>
    <w:rsid w:val="0012270E"/>
    <w:rsid w:val="001227B9"/>
    <w:rsid w:val="00122930"/>
    <w:rsid w:val="00122C7A"/>
    <w:rsid w:val="00122CA7"/>
    <w:rsid w:val="00122E17"/>
    <w:rsid w:val="00122ECE"/>
    <w:rsid w:val="00122FD4"/>
    <w:rsid w:val="001230CF"/>
    <w:rsid w:val="001232A2"/>
    <w:rsid w:val="00123344"/>
    <w:rsid w:val="001233F2"/>
    <w:rsid w:val="0012352B"/>
    <w:rsid w:val="00123625"/>
    <w:rsid w:val="00123650"/>
    <w:rsid w:val="00123744"/>
    <w:rsid w:val="00123949"/>
    <w:rsid w:val="00123C4D"/>
    <w:rsid w:val="00123E32"/>
    <w:rsid w:val="001241DD"/>
    <w:rsid w:val="001241E1"/>
    <w:rsid w:val="00124270"/>
    <w:rsid w:val="0012444A"/>
    <w:rsid w:val="00124515"/>
    <w:rsid w:val="00124567"/>
    <w:rsid w:val="00124582"/>
    <w:rsid w:val="00124676"/>
    <w:rsid w:val="0012481E"/>
    <w:rsid w:val="0012487F"/>
    <w:rsid w:val="00124F49"/>
    <w:rsid w:val="0012506A"/>
    <w:rsid w:val="001251E7"/>
    <w:rsid w:val="001254B6"/>
    <w:rsid w:val="001258CA"/>
    <w:rsid w:val="001258D6"/>
    <w:rsid w:val="001259D7"/>
    <w:rsid w:val="00125CE9"/>
    <w:rsid w:val="00125D57"/>
    <w:rsid w:val="00125EDC"/>
    <w:rsid w:val="00125EE0"/>
    <w:rsid w:val="00125F51"/>
    <w:rsid w:val="00125FC5"/>
    <w:rsid w:val="001260AA"/>
    <w:rsid w:val="00126317"/>
    <w:rsid w:val="0012631F"/>
    <w:rsid w:val="001265AF"/>
    <w:rsid w:val="0012672B"/>
    <w:rsid w:val="00126759"/>
    <w:rsid w:val="001267E9"/>
    <w:rsid w:val="001267F4"/>
    <w:rsid w:val="00126919"/>
    <w:rsid w:val="00126B38"/>
    <w:rsid w:val="00126BB2"/>
    <w:rsid w:val="00126E2C"/>
    <w:rsid w:val="00126E86"/>
    <w:rsid w:val="0012703A"/>
    <w:rsid w:val="001270D4"/>
    <w:rsid w:val="001271AF"/>
    <w:rsid w:val="001273BC"/>
    <w:rsid w:val="001273CE"/>
    <w:rsid w:val="00127402"/>
    <w:rsid w:val="00127519"/>
    <w:rsid w:val="00127529"/>
    <w:rsid w:val="00127832"/>
    <w:rsid w:val="00127AFD"/>
    <w:rsid w:val="00127B14"/>
    <w:rsid w:val="00127CA2"/>
    <w:rsid w:val="00130089"/>
    <w:rsid w:val="001300DE"/>
    <w:rsid w:val="00130223"/>
    <w:rsid w:val="00130682"/>
    <w:rsid w:val="00130793"/>
    <w:rsid w:val="001307A8"/>
    <w:rsid w:val="0013083C"/>
    <w:rsid w:val="001308AC"/>
    <w:rsid w:val="001309EC"/>
    <w:rsid w:val="00130A4A"/>
    <w:rsid w:val="00130B50"/>
    <w:rsid w:val="00130B85"/>
    <w:rsid w:val="00130D24"/>
    <w:rsid w:val="00130D2C"/>
    <w:rsid w:val="00131332"/>
    <w:rsid w:val="00131442"/>
    <w:rsid w:val="001314F2"/>
    <w:rsid w:val="001315A5"/>
    <w:rsid w:val="001315AA"/>
    <w:rsid w:val="0013197F"/>
    <w:rsid w:val="00131A36"/>
    <w:rsid w:val="00131A83"/>
    <w:rsid w:val="00131ACB"/>
    <w:rsid w:val="00131B02"/>
    <w:rsid w:val="00131E70"/>
    <w:rsid w:val="001320FB"/>
    <w:rsid w:val="00132316"/>
    <w:rsid w:val="00132546"/>
    <w:rsid w:val="0013255B"/>
    <w:rsid w:val="001326BE"/>
    <w:rsid w:val="00132757"/>
    <w:rsid w:val="00132763"/>
    <w:rsid w:val="00132767"/>
    <w:rsid w:val="001328CC"/>
    <w:rsid w:val="001329B9"/>
    <w:rsid w:val="00132B44"/>
    <w:rsid w:val="00132CD5"/>
    <w:rsid w:val="00132D2C"/>
    <w:rsid w:val="00132E16"/>
    <w:rsid w:val="00132F75"/>
    <w:rsid w:val="001330F1"/>
    <w:rsid w:val="0013332B"/>
    <w:rsid w:val="001333D9"/>
    <w:rsid w:val="001334A7"/>
    <w:rsid w:val="001334DA"/>
    <w:rsid w:val="00133558"/>
    <w:rsid w:val="001336D3"/>
    <w:rsid w:val="001336F5"/>
    <w:rsid w:val="00133769"/>
    <w:rsid w:val="00133960"/>
    <w:rsid w:val="00133AF9"/>
    <w:rsid w:val="00133CC5"/>
    <w:rsid w:val="00133DF9"/>
    <w:rsid w:val="00133DFC"/>
    <w:rsid w:val="001340CC"/>
    <w:rsid w:val="001340CF"/>
    <w:rsid w:val="0013424A"/>
    <w:rsid w:val="001344DF"/>
    <w:rsid w:val="00134A6C"/>
    <w:rsid w:val="00134BE2"/>
    <w:rsid w:val="00134C06"/>
    <w:rsid w:val="00134CF9"/>
    <w:rsid w:val="00134D7F"/>
    <w:rsid w:val="00134E3B"/>
    <w:rsid w:val="00134E7A"/>
    <w:rsid w:val="00134EC5"/>
    <w:rsid w:val="00134FDA"/>
    <w:rsid w:val="0013500C"/>
    <w:rsid w:val="00135142"/>
    <w:rsid w:val="001351B3"/>
    <w:rsid w:val="0013521B"/>
    <w:rsid w:val="001352BC"/>
    <w:rsid w:val="0013553E"/>
    <w:rsid w:val="0013577E"/>
    <w:rsid w:val="00135A13"/>
    <w:rsid w:val="00135A59"/>
    <w:rsid w:val="00135B6E"/>
    <w:rsid w:val="00135E45"/>
    <w:rsid w:val="00135E77"/>
    <w:rsid w:val="00135EEA"/>
    <w:rsid w:val="00135F9F"/>
    <w:rsid w:val="00135FE9"/>
    <w:rsid w:val="00136253"/>
    <w:rsid w:val="0013670E"/>
    <w:rsid w:val="00136795"/>
    <w:rsid w:val="001367AE"/>
    <w:rsid w:val="00136867"/>
    <w:rsid w:val="00136878"/>
    <w:rsid w:val="00136A90"/>
    <w:rsid w:val="00136A9A"/>
    <w:rsid w:val="00136C3B"/>
    <w:rsid w:val="001370A8"/>
    <w:rsid w:val="00137249"/>
    <w:rsid w:val="001372A2"/>
    <w:rsid w:val="0013739D"/>
    <w:rsid w:val="00137500"/>
    <w:rsid w:val="00137676"/>
    <w:rsid w:val="00137910"/>
    <w:rsid w:val="001379BC"/>
    <w:rsid w:val="00137A92"/>
    <w:rsid w:val="00137AB2"/>
    <w:rsid w:val="00137D8B"/>
    <w:rsid w:val="001401F6"/>
    <w:rsid w:val="001402E8"/>
    <w:rsid w:val="00140301"/>
    <w:rsid w:val="0014037B"/>
    <w:rsid w:val="0014042B"/>
    <w:rsid w:val="0014052F"/>
    <w:rsid w:val="001405E3"/>
    <w:rsid w:val="0014063E"/>
    <w:rsid w:val="00140641"/>
    <w:rsid w:val="001407DE"/>
    <w:rsid w:val="00140BEF"/>
    <w:rsid w:val="00140CD4"/>
    <w:rsid w:val="00140D05"/>
    <w:rsid w:val="00140E37"/>
    <w:rsid w:val="00140FDC"/>
    <w:rsid w:val="00140FE8"/>
    <w:rsid w:val="001411D0"/>
    <w:rsid w:val="0014125E"/>
    <w:rsid w:val="00141623"/>
    <w:rsid w:val="001416B6"/>
    <w:rsid w:val="0014179B"/>
    <w:rsid w:val="001419CC"/>
    <w:rsid w:val="00141AC1"/>
    <w:rsid w:val="00141AEC"/>
    <w:rsid w:val="00141BFA"/>
    <w:rsid w:val="00141C55"/>
    <w:rsid w:val="00141D5F"/>
    <w:rsid w:val="00141E18"/>
    <w:rsid w:val="00141F30"/>
    <w:rsid w:val="00142283"/>
    <w:rsid w:val="00142503"/>
    <w:rsid w:val="00142764"/>
    <w:rsid w:val="001427B7"/>
    <w:rsid w:val="0014289C"/>
    <w:rsid w:val="00142EC7"/>
    <w:rsid w:val="00143098"/>
    <w:rsid w:val="001430C7"/>
    <w:rsid w:val="00143438"/>
    <w:rsid w:val="00143464"/>
    <w:rsid w:val="0014349B"/>
    <w:rsid w:val="001434B6"/>
    <w:rsid w:val="00143627"/>
    <w:rsid w:val="001436A0"/>
    <w:rsid w:val="001436C1"/>
    <w:rsid w:val="001436F7"/>
    <w:rsid w:val="0014373D"/>
    <w:rsid w:val="0014384D"/>
    <w:rsid w:val="0014388F"/>
    <w:rsid w:val="00143926"/>
    <w:rsid w:val="00143AC9"/>
    <w:rsid w:val="00143B3F"/>
    <w:rsid w:val="00143D68"/>
    <w:rsid w:val="00143DC2"/>
    <w:rsid w:val="00143DC4"/>
    <w:rsid w:val="00143F46"/>
    <w:rsid w:val="00144062"/>
    <w:rsid w:val="00144259"/>
    <w:rsid w:val="00144289"/>
    <w:rsid w:val="0014447E"/>
    <w:rsid w:val="001444BE"/>
    <w:rsid w:val="001444D6"/>
    <w:rsid w:val="00144ADC"/>
    <w:rsid w:val="00144AE8"/>
    <w:rsid w:val="00144B25"/>
    <w:rsid w:val="00144B82"/>
    <w:rsid w:val="00144BB2"/>
    <w:rsid w:val="00144CA8"/>
    <w:rsid w:val="00144D21"/>
    <w:rsid w:val="00144EAC"/>
    <w:rsid w:val="00144F10"/>
    <w:rsid w:val="00145124"/>
    <w:rsid w:val="00145491"/>
    <w:rsid w:val="001454B9"/>
    <w:rsid w:val="001455DF"/>
    <w:rsid w:val="001456AE"/>
    <w:rsid w:val="0014585F"/>
    <w:rsid w:val="00145985"/>
    <w:rsid w:val="00145B82"/>
    <w:rsid w:val="00145C9A"/>
    <w:rsid w:val="00145DA7"/>
    <w:rsid w:val="00145E89"/>
    <w:rsid w:val="00145EF3"/>
    <w:rsid w:val="00146223"/>
    <w:rsid w:val="0014629B"/>
    <w:rsid w:val="001463F0"/>
    <w:rsid w:val="0014660E"/>
    <w:rsid w:val="00146B8D"/>
    <w:rsid w:val="00146C17"/>
    <w:rsid w:val="00146CDC"/>
    <w:rsid w:val="00146E05"/>
    <w:rsid w:val="0014700E"/>
    <w:rsid w:val="0014727E"/>
    <w:rsid w:val="0014744B"/>
    <w:rsid w:val="00147487"/>
    <w:rsid w:val="001475D8"/>
    <w:rsid w:val="001477C1"/>
    <w:rsid w:val="0014785E"/>
    <w:rsid w:val="00147A12"/>
    <w:rsid w:val="00147AED"/>
    <w:rsid w:val="00147BB8"/>
    <w:rsid w:val="00147BD2"/>
    <w:rsid w:val="00147C9C"/>
    <w:rsid w:val="00147CD7"/>
    <w:rsid w:val="00147D1C"/>
    <w:rsid w:val="00147D2F"/>
    <w:rsid w:val="00147E5B"/>
    <w:rsid w:val="0015007D"/>
    <w:rsid w:val="00150217"/>
    <w:rsid w:val="0015031B"/>
    <w:rsid w:val="001503DF"/>
    <w:rsid w:val="00150420"/>
    <w:rsid w:val="001504A5"/>
    <w:rsid w:val="001504F9"/>
    <w:rsid w:val="00150501"/>
    <w:rsid w:val="001506E9"/>
    <w:rsid w:val="001509EB"/>
    <w:rsid w:val="00150C6E"/>
    <w:rsid w:val="00150CD7"/>
    <w:rsid w:val="00150EB3"/>
    <w:rsid w:val="00150F37"/>
    <w:rsid w:val="00151193"/>
    <w:rsid w:val="001511C4"/>
    <w:rsid w:val="001511CF"/>
    <w:rsid w:val="00151397"/>
    <w:rsid w:val="00151440"/>
    <w:rsid w:val="001514AE"/>
    <w:rsid w:val="00151555"/>
    <w:rsid w:val="001517A9"/>
    <w:rsid w:val="001517FB"/>
    <w:rsid w:val="00151848"/>
    <w:rsid w:val="001519B2"/>
    <w:rsid w:val="001519E7"/>
    <w:rsid w:val="00151AD3"/>
    <w:rsid w:val="00151D62"/>
    <w:rsid w:val="00151DCB"/>
    <w:rsid w:val="00151DFD"/>
    <w:rsid w:val="001520DD"/>
    <w:rsid w:val="00152244"/>
    <w:rsid w:val="00152292"/>
    <w:rsid w:val="001522B1"/>
    <w:rsid w:val="001523E0"/>
    <w:rsid w:val="0015242C"/>
    <w:rsid w:val="001524B6"/>
    <w:rsid w:val="00152518"/>
    <w:rsid w:val="001527B6"/>
    <w:rsid w:val="00152941"/>
    <w:rsid w:val="00152A23"/>
    <w:rsid w:val="00152B23"/>
    <w:rsid w:val="00152BF2"/>
    <w:rsid w:val="00152CD9"/>
    <w:rsid w:val="00152E67"/>
    <w:rsid w:val="00152FB1"/>
    <w:rsid w:val="0015324B"/>
    <w:rsid w:val="00153266"/>
    <w:rsid w:val="001532E3"/>
    <w:rsid w:val="001533FD"/>
    <w:rsid w:val="00153496"/>
    <w:rsid w:val="0015351A"/>
    <w:rsid w:val="00153618"/>
    <w:rsid w:val="00153A9B"/>
    <w:rsid w:val="00153D6C"/>
    <w:rsid w:val="00153E6A"/>
    <w:rsid w:val="00154035"/>
    <w:rsid w:val="001540CF"/>
    <w:rsid w:val="001540FA"/>
    <w:rsid w:val="00154186"/>
    <w:rsid w:val="00154220"/>
    <w:rsid w:val="001542EE"/>
    <w:rsid w:val="00154361"/>
    <w:rsid w:val="0015438E"/>
    <w:rsid w:val="001543E6"/>
    <w:rsid w:val="00154484"/>
    <w:rsid w:val="001544B3"/>
    <w:rsid w:val="00154860"/>
    <w:rsid w:val="001548FE"/>
    <w:rsid w:val="0015496C"/>
    <w:rsid w:val="001549A1"/>
    <w:rsid w:val="00154B98"/>
    <w:rsid w:val="00154CB9"/>
    <w:rsid w:val="00154E65"/>
    <w:rsid w:val="00154F7B"/>
    <w:rsid w:val="0015501B"/>
    <w:rsid w:val="0015515B"/>
    <w:rsid w:val="0015523F"/>
    <w:rsid w:val="00155398"/>
    <w:rsid w:val="00155516"/>
    <w:rsid w:val="00155601"/>
    <w:rsid w:val="001558DB"/>
    <w:rsid w:val="00155935"/>
    <w:rsid w:val="001559FB"/>
    <w:rsid w:val="00155A6B"/>
    <w:rsid w:val="00155D55"/>
    <w:rsid w:val="00156480"/>
    <w:rsid w:val="001564B2"/>
    <w:rsid w:val="00156528"/>
    <w:rsid w:val="00156569"/>
    <w:rsid w:val="001565FD"/>
    <w:rsid w:val="0015663B"/>
    <w:rsid w:val="00156661"/>
    <w:rsid w:val="001567B3"/>
    <w:rsid w:val="0015685A"/>
    <w:rsid w:val="00156878"/>
    <w:rsid w:val="001568B7"/>
    <w:rsid w:val="001569F9"/>
    <w:rsid w:val="00156AA8"/>
    <w:rsid w:val="00156ACB"/>
    <w:rsid w:val="00156ADE"/>
    <w:rsid w:val="00156BC5"/>
    <w:rsid w:val="00156CEA"/>
    <w:rsid w:val="00156E14"/>
    <w:rsid w:val="00156E28"/>
    <w:rsid w:val="00156FDC"/>
    <w:rsid w:val="00156FF5"/>
    <w:rsid w:val="00157182"/>
    <w:rsid w:val="001571B7"/>
    <w:rsid w:val="00157244"/>
    <w:rsid w:val="001573A6"/>
    <w:rsid w:val="00157489"/>
    <w:rsid w:val="001574F1"/>
    <w:rsid w:val="00157565"/>
    <w:rsid w:val="00157852"/>
    <w:rsid w:val="001578F2"/>
    <w:rsid w:val="0015794C"/>
    <w:rsid w:val="00157958"/>
    <w:rsid w:val="00157AFD"/>
    <w:rsid w:val="00157B01"/>
    <w:rsid w:val="00157BCA"/>
    <w:rsid w:val="00157C74"/>
    <w:rsid w:val="00157C78"/>
    <w:rsid w:val="00157DF5"/>
    <w:rsid w:val="00157E75"/>
    <w:rsid w:val="00157EC7"/>
    <w:rsid w:val="0016006D"/>
    <w:rsid w:val="00160260"/>
    <w:rsid w:val="0016047A"/>
    <w:rsid w:val="0016051A"/>
    <w:rsid w:val="0016062B"/>
    <w:rsid w:val="00160773"/>
    <w:rsid w:val="00160839"/>
    <w:rsid w:val="00160A68"/>
    <w:rsid w:val="00160D82"/>
    <w:rsid w:val="00160DC6"/>
    <w:rsid w:val="00160E50"/>
    <w:rsid w:val="001611FB"/>
    <w:rsid w:val="0016137E"/>
    <w:rsid w:val="00161430"/>
    <w:rsid w:val="0016143C"/>
    <w:rsid w:val="001615AC"/>
    <w:rsid w:val="0016175E"/>
    <w:rsid w:val="00161978"/>
    <w:rsid w:val="001619F2"/>
    <w:rsid w:val="00161C49"/>
    <w:rsid w:val="00161D22"/>
    <w:rsid w:val="00161E3D"/>
    <w:rsid w:val="00161F10"/>
    <w:rsid w:val="0016239D"/>
    <w:rsid w:val="00162681"/>
    <w:rsid w:val="001626ED"/>
    <w:rsid w:val="001626FE"/>
    <w:rsid w:val="00162987"/>
    <w:rsid w:val="00162DA5"/>
    <w:rsid w:val="00162F96"/>
    <w:rsid w:val="00163052"/>
    <w:rsid w:val="00163209"/>
    <w:rsid w:val="001632D4"/>
    <w:rsid w:val="0016337C"/>
    <w:rsid w:val="0016343C"/>
    <w:rsid w:val="00163497"/>
    <w:rsid w:val="001635FF"/>
    <w:rsid w:val="00163732"/>
    <w:rsid w:val="00163A2A"/>
    <w:rsid w:val="00163A73"/>
    <w:rsid w:val="00163A9B"/>
    <w:rsid w:val="00163AFE"/>
    <w:rsid w:val="00163C83"/>
    <w:rsid w:val="00163CB7"/>
    <w:rsid w:val="00163D05"/>
    <w:rsid w:val="00163F40"/>
    <w:rsid w:val="00164085"/>
    <w:rsid w:val="00164318"/>
    <w:rsid w:val="00164429"/>
    <w:rsid w:val="00164613"/>
    <w:rsid w:val="0016471D"/>
    <w:rsid w:val="001647E3"/>
    <w:rsid w:val="00164906"/>
    <w:rsid w:val="00164988"/>
    <w:rsid w:val="00164E22"/>
    <w:rsid w:val="0016525E"/>
    <w:rsid w:val="001653AF"/>
    <w:rsid w:val="00165495"/>
    <w:rsid w:val="001657B7"/>
    <w:rsid w:val="00165D75"/>
    <w:rsid w:val="00165D95"/>
    <w:rsid w:val="001660B4"/>
    <w:rsid w:val="001660C7"/>
    <w:rsid w:val="00166137"/>
    <w:rsid w:val="00166284"/>
    <w:rsid w:val="00166293"/>
    <w:rsid w:val="001662F5"/>
    <w:rsid w:val="00166408"/>
    <w:rsid w:val="001665D0"/>
    <w:rsid w:val="001669C2"/>
    <w:rsid w:val="001669E8"/>
    <w:rsid w:val="00166DFE"/>
    <w:rsid w:val="00166E69"/>
    <w:rsid w:val="00166ECF"/>
    <w:rsid w:val="00166EE4"/>
    <w:rsid w:val="0016701D"/>
    <w:rsid w:val="0016709A"/>
    <w:rsid w:val="001674BC"/>
    <w:rsid w:val="001674F1"/>
    <w:rsid w:val="00167507"/>
    <w:rsid w:val="00167918"/>
    <w:rsid w:val="00167A00"/>
    <w:rsid w:val="00167C50"/>
    <w:rsid w:val="00167C73"/>
    <w:rsid w:val="00167F34"/>
    <w:rsid w:val="00167FEF"/>
    <w:rsid w:val="00170089"/>
    <w:rsid w:val="001700A4"/>
    <w:rsid w:val="001700D1"/>
    <w:rsid w:val="00170126"/>
    <w:rsid w:val="001701D3"/>
    <w:rsid w:val="001702AB"/>
    <w:rsid w:val="00170408"/>
    <w:rsid w:val="001704AE"/>
    <w:rsid w:val="001706F1"/>
    <w:rsid w:val="00170886"/>
    <w:rsid w:val="00170927"/>
    <w:rsid w:val="00170B2A"/>
    <w:rsid w:val="00170C09"/>
    <w:rsid w:val="00170CE7"/>
    <w:rsid w:val="00170D66"/>
    <w:rsid w:val="0017108C"/>
    <w:rsid w:val="0017117A"/>
    <w:rsid w:val="00171207"/>
    <w:rsid w:val="00171296"/>
    <w:rsid w:val="001712AE"/>
    <w:rsid w:val="00171352"/>
    <w:rsid w:val="0017135C"/>
    <w:rsid w:val="0017136A"/>
    <w:rsid w:val="0017170F"/>
    <w:rsid w:val="001718B7"/>
    <w:rsid w:val="00171901"/>
    <w:rsid w:val="001719D4"/>
    <w:rsid w:val="00171A5A"/>
    <w:rsid w:val="00171A8A"/>
    <w:rsid w:val="00171AB7"/>
    <w:rsid w:val="00171BD9"/>
    <w:rsid w:val="00171C5D"/>
    <w:rsid w:val="00171EAA"/>
    <w:rsid w:val="00171FE5"/>
    <w:rsid w:val="00172088"/>
    <w:rsid w:val="0017237B"/>
    <w:rsid w:val="0017240E"/>
    <w:rsid w:val="001724F0"/>
    <w:rsid w:val="001724F5"/>
    <w:rsid w:val="0017277D"/>
    <w:rsid w:val="00172967"/>
    <w:rsid w:val="00172BD6"/>
    <w:rsid w:val="00172BDE"/>
    <w:rsid w:val="00172CC8"/>
    <w:rsid w:val="00172E9F"/>
    <w:rsid w:val="00172F96"/>
    <w:rsid w:val="00173033"/>
    <w:rsid w:val="00173074"/>
    <w:rsid w:val="00173101"/>
    <w:rsid w:val="001732F3"/>
    <w:rsid w:val="00173307"/>
    <w:rsid w:val="0017370E"/>
    <w:rsid w:val="001738A6"/>
    <w:rsid w:val="00173A6A"/>
    <w:rsid w:val="00173AF2"/>
    <w:rsid w:val="00173B87"/>
    <w:rsid w:val="00173D34"/>
    <w:rsid w:val="00173E2C"/>
    <w:rsid w:val="00173F5A"/>
    <w:rsid w:val="001740A1"/>
    <w:rsid w:val="00174128"/>
    <w:rsid w:val="0017413D"/>
    <w:rsid w:val="001744B7"/>
    <w:rsid w:val="001746E7"/>
    <w:rsid w:val="00174926"/>
    <w:rsid w:val="00174988"/>
    <w:rsid w:val="00174C12"/>
    <w:rsid w:val="00174C78"/>
    <w:rsid w:val="00174D1C"/>
    <w:rsid w:val="00174F06"/>
    <w:rsid w:val="00174FEB"/>
    <w:rsid w:val="0017534D"/>
    <w:rsid w:val="00175596"/>
    <w:rsid w:val="00175636"/>
    <w:rsid w:val="0017579A"/>
    <w:rsid w:val="00175874"/>
    <w:rsid w:val="001758D1"/>
    <w:rsid w:val="00175984"/>
    <w:rsid w:val="00175A68"/>
    <w:rsid w:val="00175AF6"/>
    <w:rsid w:val="00175D98"/>
    <w:rsid w:val="00175FEE"/>
    <w:rsid w:val="00176005"/>
    <w:rsid w:val="001760CF"/>
    <w:rsid w:val="001760F9"/>
    <w:rsid w:val="001763A1"/>
    <w:rsid w:val="001764A0"/>
    <w:rsid w:val="0017674D"/>
    <w:rsid w:val="00176846"/>
    <w:rsid w:val="00176876"/>
    <w:rsid w:val="00176972"/>
    <w:rsid w:val="00176977"/>
    <w:rsid w:val="00176A24"/>
    <w:rsid w:val="00176B73"/>
    <w:rsid w:val="00176CC7"/>
    <w:rsid w:val="001770A4"/>
    <w:rsid w:val="00177146"/>
    <w:rsid w:val="001775B3"/>
    <w:rsid w:val="001775FA"/>
    <w:rsid w:val="0017764F"/>
    <w:rsid w:val="001776BB"/>
    <w:rsid w:val="00177B4F"/>
    <w:rsid w:val="00177C5B"/>
    <w:rsid w:val="00180163"/>
    <w:rsid w:val="001801FB"/>
    <w:rsid w:val="001802A7"/>
    <w:rsid w:val="00180488"/>
    <w:rsid w:val="0018083E"/>
    <w:rsid w:val="00180934"/>
    <w:rsid w:val="00180A87"/>
    <w:rsid w:val="00180AA5"/>
    <w:rsid w:val="00180C97"/>
    <w:rsid w:val="001810B8"/>
    <w:rsid w:val="001810EA"/>
    <w:rsid w:val="001814B2"/>
    <w:rsid w:val="001815CD"/>
    <w:rsid w:val="001816C8"/>
    <w:rsid w:val="0018184D"/>
    <w:rsid w:val="0018187D"/>
    <w:rsid w:val="0018196C"/>
    <w:rsid w:val="00181B35"/>
    <w:rsid w:val="00181D47"/>
    <w:rsid w:val="00181D7D"/>
    <w:rsid w:val="00181EC0"/>
    <w:rsid w:val="00181FBC"/>
    <w:rsid w:val="001821BF"/>
    <w:rsid w:val="00182264"/>
    <w:rsid w:val="001822AC"/>
    <w:rsid w:val="0018239C"/>
    <w:rsid w:val="00182545"/>
    <w:rsid w:val="0018255D"/>
    <w:rsid w:val="00182575"/>
    <w:rsid w:val="001825DE"/>
    <w:rsid w:val="00182610"/>
    <w:rsid w:val="00182758"/>
    <w:rsid w:val="00182796"/>
    <w:rsid w:val="0018288A"/>
    <w:rsid w:val="001828D2"/>
    <w:rsid w:val="00182A2D"/>
    <w:rsid w:val="00182BA0"/>
    <w:rsid w:val="00182C37"/>
    <w:rsid w:val="00182C5F"/>
    <w:rsid w:val="00182DC3"/>
    <w:rsid w:val="001830F4"/>
    <w:rsid w:val="0018313A"/>
    <w:rsid w:val="001831C0"/>
    <w:rsid w:val="0018340D"/>
    <w:rsid w:val="0018346B"/>
    <w:rsid w:val="001834C3"/>
    <w:rsid w:val="0018355E"/>
    <w:rsid w:val="00183580"/>
    <w:rsid w:val="00183A07"/>
    <w:rsid w:val="00183A47"/>
    <w:rsid w:val="00183E5A"/>
    <w:rsid w:val="00183E76"/>
    <w:rsid w:val="00183F3B"/>
    <w:rsid w:val="00184016"/>
    <w:rsid w:val="001841E7"/>
    <w:rsid w:val="001841EA"/>
    <w:rsid w:val="00184204"/>
    <w:rsid w:val="0018438E"/>
    <w:rsid w:val="00184433"/>
    <w:rsid w:val="00184493"/>
    <w:rsid w:val="00184524"/>
    <w:rsid w:val="001845DB"/>
    <w:rsid w:val="00184605"/>
    <w:rsid w:val="0018469A"/>
    <w:rsid w:val="00184AEA"/>
    <w:rsid w:val="00184BFB"/>
    <w:rsid w:val="00184D84"/>
    <w:rsid w:val="00184FD1"/>
    <w:rsid w:val="001850BE"/>
    <w:rsid w:val="00185184"/>
    <w:rsid w:val="0018539D"/>
    <w:rsid w:val="00185472"/>
    <w:rsid w:val="001854C9"/>
    <w:rsid w:val="001855BB"/>
    <w:rsid w:val="00185ABC"/>
    <w:rsid w:val="00185B6A"/>
    <w:rsid w:val="00185B70"/>
    <w:rsid w:val="00185E58"/>
    <w:rsid w:val="00185E59"/>
    <w:rsid w:val="00185EED"/>
    <w:rsid w:val="00185EF4"/>
    <w:rsid w:val="00185EF8"/>
    <w:rsid w:val="00185FA3"/>
    <w:rsid w:val="00185FC3"/>
    <w:rsid w:val="0018616B"/>
    <w:rsid w:val="001863C4"/>
    <w:rsid w:val="00186405"/>
    <w:rsid w:val="0018640A"/>
    <w:rsid w:val="00186455"/>
    <w:rsid w:val="0018660E"/>
    <w:rsid w:val="00186705"/>
    <w:rsid w:val="0018681D"/>
    <w:rsid w:val="001869F7"/>
    <w:rsid w:val="00186A31"/>
    <w:rsid w:val="00186B3D"/>
    <w:rsid w:val="00186C5D"/>
    <w:rsid w:val="00186D2F"/>
    <w:rsid w:val="00186FEC"/>
    <w:rsid w:val="001870C6"/>
    <w:rsid w:val="00187125"/>
    <w:rsid w:val="001871FE"/>
    <w:rsid w:val="001872AF"/>
    <w:rsid w:val="00187776"/>
    <w:rsid w:val="001877A9"/>
    <w:rsid w:val="00187828"/>
    <w:rsid w:val="00187876"/>
    <w:rsid w:val="00187C99"/>
    <w:rsid w:val="00187DB2"/>
    <w:rsid w:val="00187DF6"/>
    <w:rsid w:val="00187E2D"/>
    <w:rsid w:val="00187E97"/>
    <w:rsid w:val="00187F5E"/>
    <w:rsid w:val="00187F82"/>
    <w:rsid w:val="00187FEE"/>
    <w:rsid w:val="0019027C"/>
    <w:rsid w:val="001904C7"/>
    <w:rsid w:val="001904F2"/>
    <w:rsid w:val="00190643"/>
    <w:rsid w:val="0019065E"/>
    <w:rsid w:val="00190747"/>
    <w:rsid w:val="001907A6"/>
    <w:rsid w:val="001907C6"/>
    <w:rsid w:val="00190864"/>
    <w:rsid w:val="00190DE6"/>
    <w:rsid w:val="00190DEB"/>
    <w:rsid w:val="001910FB"/>
    <w:rsid w:val="0019113D"/>
    <w:rsid w:val="00191207"/>
    <w:rsid w:val="001912A5"/>
    <w:rsid w:val="00191371"/>
    <w:rsid w:val="00191489"/>
    <w:rsid w:val="001914DE"/>
    <w:rsid w:val="00191659"/>
    <w:rsid w:val="00191667"/>
    <w:rsid w:val="001916AD"/>
    <w:rsid w:val="0019180D"/>
    <w:rsid w:val="00191969"/>
    <w:rsid w:val="00191975"/>
    <w:rsid w:val="00191AE5"/>
    <w:rsid w:val="00191BD8"/>
    <w:rsid w:val="00191C95"/>
    <w:rsid w:val="00191E4F"/>
    <w:rsid w:val="00192008"/>
    <w:rsid w:val="00192102"/>
    <w:rsid w:val="00192195"/>
    <w:rsid w:val="00192281"/>
    <w:rsid w:val="00192319"/>
    <w:rsid w:val="0019236D"/>
    <w:rsid w:val="001923F6"/>
    <w:rsid w:val="001924D2"/>
    <w:rsid w:val="0019297C"/>
    <w:rsid w:val="00192A08"/>
    <w:rsid w:val="00192B17"/>
    <w:rsid w:val="00192B58"/>
    <w:rsid w:val="00192C55"/>
    <w:rsid w:val="00192E00"/>
    <w:rsid w:val="00192E44"/>
    <w:rsid w:val="00192EA1"/>
    <w:rsid w:val="00192EEC"/>
    <w:rsid w:val="00193073"/>
    <w:rsid w:val="00193166"/>
    <w:rsid w:val="001935C1"/>
    <w:rsid w:val="001935D0"/>
    <w:rsid w:val="00193683"/>
    <w:rsid w:val="001936CC"/>
    <w:rsid w:val="001937EE"/>
    <w:rsid w:val="0019387E"/>
    <w:rsid w:val="00193885"/>
    <w:rsid w:val="00193D75"/>
    <w:rsid w:val="00193EC9"/>
    <w:rsid w:val="001940A3"/>
    <w:rsid w:val="001940B8"/>
    <w:rsid w:val="001940DA"/>
    <w:rsid w:val="001940F9"/>
    <w:rsid w:val="0019419E"/>
    <w:rsid w:val="001941E5"/>
    <w:rsid w:val="00194210"/>
    <w:rsid w:val="00194433"/>
    <w:rsid w:val="00194509"/>
    <w:rsid w:val="001945A4"/>
    <w:rsid w:val="00194717"/>
    <w:rsid w:val="00194798"/>
    <w:rsid w:val="00194832"/>
    <w:rsid w:val="001948D2"/>
    <w:rsid w:val="00194A1A"/>
    <w:rsid w:val="00194C06"/>
    <w:rsid w:val="00194D4E"/>
    <w:rsid w:val="00194DE6"/>
    <w:rsid w:val="00194E73"/>
    <w:rsid w:val="00194EAC"/>
    <w:rsid w:val="00195022"/>
    <w:rsid w:val="001950D7"/>
    <w:rsid w:val="0019514B"/>
    <w:rsid w:val="0019517C"/>
    <w:rsid w:val="001954CB"/>
    <w:rsid w:val="001957D2"/>
    <w:rsid w:val="001957F3"/>
    <w:rsid w:val="00195973"/>
    <w:rsid w:val="00195CE2"/>
    <w:rsid w:val="00195D9A"/>
    <w:rsid w:val="00195E4D"/>
    <w:rsid w:val="00196144"/>
    <w:rsid w:val="001962C2"/>
    <w:rsid w:val="0019633E"/>
    <w:rsid w:val="00196509"/>
    <w:rsid w:val="0019696D"/>
    <w:rsid w:val="001969BE"/>
    <w:rsid w:val="001969FF"/>
    <w:rsid w:val="00196BAD"/>
    <w:rsid w:val="00196BFC"/>
    <w:rsid w:val="00196DB4"/>
    <w:rsid w:val="00196E10"/>
    <w:rsid w:val="00196E65"/>
    <w:rsid w:val="0019704D"/>
    <w:rsid w:val="001970EA"/>
    <w:rsid w:val="00197155"/>
    <w:rsid w:val="001972DB"/>
    <w:rsid w:val="00197383"/>
    <w:rsid w:val="00197615"/>
    <w:rsid w:val="00197758"/>
    <w:rsid w:val="00197A9F"/>
    <w:rsid w:val="00197B00"/>
    <w:rsid w:val="00197D55"/>
    <w:rsid w:val="00197DF8"/>
    <w:rsid w:val="00197DFB"/>
    <w:rsid w:val="00197F6B"/>
    <w:rsid w:val="00197F97"/>
    <w:rsid w:val="00197FCC"/>
    <w:rsid w:val="001A00A4"/>
    <w:rsid w:val="001A0134"/>
    <w:rsid w:val="001A01B9"/>
    <w:rsid w:val="001A0219"/>
    <w:rsid w:val="001A023F"/>
    <w:rsid w:val="001A03C0"/>
    <w:rsid w:val="001A0770"/>
    <w:rsid w:val="001A0814"/>
    <w:rsid w:val="001A09CD"/>
    <w:rsid w:val="001A0B5F"/>
    <w:rsid w:val="001A0B7D"/>
    <w:rsid w:val="001A0C9B"/>
    <w:rsid w:val="001A0D0E"/>
    <w:rsid w:val="001A10FC"/>
    <w:rsid w:val="001A12C7"/>
    <w:rsid w:val="001A1355"/>
    <w:rsid w:val="001A1469"/>
    <w:rsid w:val="001A14A0"/>
    <w:rsid w:val="001A1747"/>
    <w:rsid w:val="001A1765"/>
    <w:rsid w:val="001A1779"/>
    <w:rsid w:val="001A1884"/>
    <w:rsid w:val="001A194A"/>
    <w:rsid w:val="001A19B2"/>
    <w:rsid w:val="001A1C95"/>
    <w:rsid w:val="001A1EB2"/>
    <w:rsid w:val="001A1FA0"/>
    <w:rsid w:val="001A1FB8"/>
    <w:rsid w:val="001A205B"/>
    <w:rsid w:val="001A210C"/>
    <w:rsid w:val="001A21AE"/>
    <w:rsid w:val="001A223D"/>
    <w:rsid w:val="001A2342"/>
    <w:rsid w:val="001A241B"/>
    <w:rsid w:val="001A241E"/>
    <w:rsid w:val="001A2463"/>
    <w:rsid w:val="001A248F"/>
    <w:rsid w:val="001A251B"/>
    <w:rsid w:val="001A25E6"/>
    <w:rsid w:val="001A2836"/>
    <w:rsid w:val="001A29E5"/>
    <w:rsid w:val="001A2B4B"/>
    <w:rsid w:val="001A2BF1"/>
    <w:rsid w:val="001A2C9A"/>
    <w:rsid w:val="001A2E92"/>
    <w:rsid w:val="001A2EDA"/>
    <w:rsid w:val="001A30C6"/>
    <w:rsid w:val="001A3178"/>
    <w:rsid w:val="001A329C"/>
    <w:rsid w:val="001A3521"/>
    <w:rsid w:val="001A3611"/>
    <w:rsid w:val="001A36F0"/>
    <w:rsid w:val="001A373E"/>
    <w:rsid w:val="001A378C"/>
    <w:rsid w:val="001A39EA"/>
    <w:rsid w:val="001A3A44"/>
    <w:rsid w:val="001A3B86"/>
    <w:rsid w:val="001A3CF4"/>
    <w:rsid w:val="001A3F01"/>
    <w:rsid w:val="001A3F27"/>
    <w:rsid w:val="001A3F93"/>
    <w:rsid w:val="001A4078"/>
    <w:rsid w:val="001A4103"/>
    <w:rsid w:val="001A440D"/>
    <w:rsid w:val="001A4494"/>
    <w:rsid w:val="001A4585"/>
    <w:rsid w:val="001A4682"/>
    <w:rsid w:val="001A496A"/>
    <w:rsid w:val="001A4A85"/>
    <w:rsid w:val="001A4B54"/>
    <w:rsid w:val="001A4E48"/>
    <w:rsid w:val="001A4EBC"/>
    <w:rsid w:val="001A4F20"/>
    <w:rsid w:val="001A4FE0"/>
    <w:rsid w:val="001A5167"/>
    <w:rsid w:val="001A5226"/>
    <w:rsid w:val="001A5252"/>
    <w:rsid w:val="001A5299"/>
    <w:rsid w:val="001A52DC"/>
    <w:rsid w:val="001A52F1"/>
    <w:rsid w:val="001A5330"/>
    <w:rsid w:val="001A54E9"/>
    <w:rsid w:val="001A5502"/>
    <w:rsid w:val="001A5A09"/>
    <w:rsid w:val="001A5B99"/>
    <w:rsid w:val="001A5BB5"/>
    <w:rsid w:val="001A5BC5"/>
    <w:rsid w:val="001A5E27"/>
    <w:rsid w:val="001A6086"/>
    <w:rsid w:val="001A611C"/>
    <w:rsid w:val="001A61ED"/>
    <w:rsid w:val="001A623C"/>
    <w:rsid w:val="001A631C"/>
    <w:rsid w:val="001A63A0"/>
    <w:rsid w:val="001A640B"/>
    <w:rsid w:val="001A64AB"/>
    <w:rsid w:val="001A674C"/>
    <w:rsid w:val="001A6802"/>
    <w:rsid w:val="001A69F3"/>
    <w:rsid w:val="001A6CAC"/>
    <w:rsid w:val="001A6D2F"/>
    <w:rsid w:val="001A6EEF"/>
    <w:rsid w:val="001A6EF3"/>
    <w:rsid w:val="001A6F8F"/>
    <w:rsid w:val="001A714C"/>
    <w:rsid w:val="001A716E"/>
    <w:rsid w:val="001A767F"/>
    <w:rsid w:val="001A7D04"/>
    <w:rsid w:val="001A7DE5"/>
    <w:rsid w:val="001A7FE9"/>
    <w:rsid w:val="001B0059"/>
    <w:rsid w:val="001B016A"/>
    <w:rsid w:val="001B0273"/>
    <w:rsid w:val="001B02BA"/>
    <w:rsid w:val="001B036F"/>
    <w:rsid w:val="001B03C7"/>
    <w:rsid w:val="001B0491"/>
    <w:rsid w:val="001B0530"/>
    <w:rsid w:val="001B05DB"/>
    <w:rsid w:val="001B0630"/>
    <w:rsid w:val="001B0787"/>
    <w:rsid w:val="001B0830"/>
    <w:rsid w:val="001B09FE"/>
    <w:rsid w:val="001B0AC5"/>
    <w:rsid w:val="001B0AD9"/>
    <w:rsid w:val="001B0BFD"/>
    <w:rsid w:val="001B0C2D"/>
    <w:rsid w:val="001B0CBF"/>
    <w:rsid w:val="001B0D21"/>
    <w:rsid w:val="001B0E1B"/>
    <w:rsid w:val="001B0F0B"/>
    <w:rsid w:val="001B119C"/>
    <w:rsid w:val="001B11E9"/>
    <w:rsid w:val="001B1379"/>
    <w:rsid w:val="001B13EF"/>
    <w:rsid w:val="001B1416"/>
    <w:rsid w:val="001B1557"/>
    <w:rsid w:val="001B15F2"/>
    <w:rsid w:val="001B16C6"/>
    <w:rsid w:val="001B182A"/>
    <w:rsid w:val="001B1889"/>
    <w:rsid w:val="001B1952"/>
    <w:rsid w:val="001B195D"/>
    <w:rsid w:val="001B1981"/>
    <w:rsid w:val="001B1D77"/>
    <w:rsid w:val="001B1EF3"/>
    <w:rsid w:val="001B1F9A"/>
    <w:rsid w:val="001B234E"/>
    <w:rsid w:val="001B23AD"/>
    <w:rsid w:val="001B23EB"/>
    <w:rsid w:val="001B2464"/>
    <w:rsid w:val="001B2649"/>
    <w:rsid w:val="001B279F"/>
    <w:rsid w:val="001B2888"/>
    <w:rsid w:val="001B296B"/>
    <w:rsid w:val="001B2D14"/>
    <w:rsid w:val="001B2E1C"/>
    <w:rsid w:val="001B3051"/>
    <w:rsid w:val="001B315F"/>
    <w:rsid w:val="001B31DE"/>
    <w:rsid w:val="001B3256"/>
    <w:rsid w:val="001B32CE"/>
    <w:rsid w:val="001B32E4"/>
    <w:rsid w:val="001B32ED"/>
    <w:rsid w:val="001B33B4"/>
    <w:rsid w:val="001B34DB"/>
    <w:rsid w:val="001B354D"/>
    <w:rsid w:val="001B358F"/>
    <w:rsid w:val="001B3599"/>
    <w:rsid w:val="001B37C3"/>
    <w:rsid w:val="001B385C"/>
    <w:rsid w:val="001B3863"/>
    <w:rsid w:val="001B38F5"/>
    <w:rsid w:val="001B3960"/>
    <w:rsid w:val="001B3D5D"/>
    <w:rsid w:val="001B4017"/>
    <w:rsid w:val="001B402A"/>
    <w:rsid w:val="001B40D3"/>
    <w:rsid w:val="001B42F2"/>
    <w:rsid w:val="001B4346"/>
    <w:rsid w:val="001B45F6"/>
    <w:rsid w:val="001B46BA"/>
    <w:rsid w:val="001B46FF"/>
    <w:rsid w:val="001B4715"/>
    <w:rsid w:val="001B471A"/>
    <w:rsid w:val="001B479A"/>
    <w:rsid w:val="001B47B3"/>
    <w:rsid w:val="001B485B"/>
    <w:rsid w:val="001B4A9E"/>
    <w:rsid w:val="001B4AAC"/>
    <w:rsid w:val="001B4D4B"/>
    <w:rsid w:val="001B4DE4"/>
    <w:rsid w:val="001B4EFB"/>
    <w:rsid w:val="001B504D"/>
    <w:rsid w:val="001B5067"/>
    <w:rsid w:val="001B517A"/>
    <w:rsid w:val="001B51B2"/>
    <w:rsid w:val="001B520C"/>
    <w:rsid w:val="001B52E8"/>
    <w:rsid w:val="001B53AF"/>
    <w:rsid w:val="001B565B"/>
    <w:rsid w:val="001B56D1"/>
    <w:rsid w:val="001B59CF"/>
    <w:rsid w:val="001B59E8"/>
    <w:rsid w:val="001B5A6D"/>
    <w:rsid w:val="001B5AA3"/>
    <w:rsid w:val="001B5B09"/>
    <w:rsid w:val="001B5BE4"/>
    <w:rsid w:val="001B5D7D"/>
    <w:rsid w:val="001B61B0"/>
    <w:rsid w:val="001B640D"/>
    <w:rsid w:val="001B645D"/>
    <w:rsid w:val="001B6705"/>
    <w:rsid w:val="001B671D"/>
    <w:rsid w:val="001B6A32"/>
    <w:rsid w:val="001B6B10"/>
    <w:rsid w:val="001B6B3F"/>
    <w:rsid w:val="001B6BFE"/>
    <w:rsid w:val="001B6C6E"/>
    <w:rsid w:val="001B6DDD"/>
    <w:rsid w:val="001B6E3F"/>
    <w:rsid w:val="001B6F6D"/>
    <w:rsid w:val="001B7023"/>
    <w:rsid w:val="001B70C1"/>
    <w:rsid w:val="001B7129"/>
    <w:rsid w:val="001B7182"/>
    <w:rsid w:val="001B7471"/>
    <w:rsid w:val="001B74DE"/>
    <w:rsid w:val="001B765A"/>
    <w:rsid w:val="001B7676"/>
    <w:rsid w:val="001B7846"/>
    <w:rsid w:val="001B7954"/>
    <w:rsid w:val="001B7ACB"/>
    <w:rsid w:val="001B7BDA"/>
    <w:rsid w:val="001B7DF3"/>
    <w:rsid w:val="001B7F67"/>
    <w:rsid w:val="001C0064"/>
    <w:rsid w:val="001C00FC"/>
    <w:rsid w:val="001C03D1"/>
    <w:rsid w:val="001C0505"/>
    <w:rsid w:val="001C07BD"/>
    <w:rsid w:val="001C089F"/>
    <w:rsid w:val="001C0A82"/>
    <w:rsid w:val="001C0A89"/>
    <w:rsid w:val="001C0AFB"/>
    <w:rsid w:val="001C0B54"/>
    <w:rsid w:val="001C0B92"/>
    <w:rsid w:val="001C0CC6"/>
    <w:rsid w:val="001C0EDD"/>
    <w:rsid w:val="001C0F45"/>
    <w:rsid w:val="001C0F60"/>
    <w:rsid w:val="001C100F"/>
    <w:rsid w:val="001C13C2"/>
    <w:rsid w:val="001C1687"/>
    <w:rsid w:val="001C1863"/>
    <w:rsid w:val="001C188C"/>
    <w:rsid w:val="001C2071"/>
    <w:rsid w:val="001C2181"/>
    <w:rsid w:val="001C2182"/>
    <w:rsid w:val="001C22FA"/>
    <w:rsid w:val="001C24F2"/>
    <w:rsid w:val="001C2944"/>
    <w:rsid w:val="001C2A50"/>
    <w:rsid w:val="001C2D46"/>
    <w:rsid w:val="001C2D6F"/>
    <w:rsid w:val="001C2EC5"/>
    <w:rsid w:val="001C30F9"/>
    <w:rsid w:val="001C319B"/>
    <w:rsid w:val="001C3346"/>
    <w:rsid w:val="001C344E"/>
    <w:rsid w:val="001C350D"/>
    <w:rsid w:val="001C3561"/>
    <w:rsid w:val="001C36C4"/>
    <w:rsid w:val="001C384C"/>
    <w:rsid w:val="001C3A78"/>
    <w:rsid w:val="001C3BC3"/>
    <w:rsid w:val="001C3D9A"/>
    <w:rsid w:val="001C3F68"/>
    <w:rsid w:val="001C40AF"/>
    <w:rsid w:val="001C4462"/>
    <w:rsid w:val="001C495A"/>
    <w:rsid w:val="001C4965"/>
    <w:rsid w:val="001C49A9"/>
    <w:rsid w:val="001C4BD4"/>
    <w:rsid w:val="001C4D36"/>
    <w:rsid w:val="001C4D99"/>
    <w:rsid w:val="001C4E0C"/>
    <w:rsid w:val="001C4E44"/>
    <w:rsid w:val="001C5638"/>
    <w:rsid w:val="001C5782"/>
    <w:rsid w:val="001C5DD1"/>
    <w:rsid w:val="001C6168"/>
    <w:rsid w:val="001C62B1"/>
    <w:rsid w:val="001C63C9"/>
    <w:rsid w:val="001C697F"/>
    <w:rsid w:val="001C6B0E"/>
    <w:rsid w:val="001C6DC4"/>
    <w:rsid w:val="001C6F4F"/>
    <w:rsid w:val="001C700F"/>
    <w:rsid w:val="001C719C"/>
    <w:rsid w:val="001C71B4"/>
    <w:rsid w:val="001C73B7"/>
    <w:rsid w:val="001C73E7"/>
    <w:rsid w:val="001C769D"/>
    <w:rsid w:val="001C76D1"/>
    <w:rsid w:val="001C7936"/>
    <w:rsid w:val="001C7957"/>
    <w:rsid w:val="001C79CF"/>
    <w:rsid w:val="001C7B79"/>
    <w:rsid w:val="001C7E31"/>
    <w:rsid w:val="001C7F70"/>
    <w:rsid w:val="001D0171"/>
    <w:rsid w:val="001D033A"/>
    <w:rsid w:val="001D036A"/>
    <w:rsid w:val="001D04BD"/>
    <w:rsid w:val="001D055A"/>
    <w:rsid w:val="001D08A7"/>
    <w:rsid w:val="001D08B3"/>
    <w:rsid w:val="001D08FF"/>
    <w:rsid w:val="001D091C"/>
    <w:rsid w:val="001D09EF"/>
    <w:rsid w:val="001D0AF1"/>
    <w:rsid w:val="001D0BC0"/>
    <w:rsid w:val="001D0BE5"/>
    <w:rsid w:val="001D0FFE"/>
    <w:rsid w:val="001D109C"/>
    <w:rsid w:val="001D111B"/>
    <w:rsid w:val="001D116F"/>
    <w:rsid w:val="001D11AE"/>
    <w:rsid w:val="001D1263"/>
    <w:rsid w:val="001D1369"/>
    <w:rsid w:val="001D139C"/>
    <w:rsid w:val="001D14FA"/>
    <w:rsid w:val="001D15E3"/>
    <w:rsid w:val="001D1662"/>
    <w:rsid w:val="001D16DF"/>
    <w:rsid w:val="001D1B12"/>
    <w:rsid w:val="001D1D17"/>
    <w:rsid w:val="001D1F9C"/>
    <w:rsid w:val="001D2041"/>
    <w:rsid w:val="001D2199"/>
    <w:rsid w:val="001D23C3"/>
    <w:rsid w:val="001D2440"/>
    <w:rsid w:val="001D25D8"/>
    <w:rsid w:val="001D260F"/>
    <w:rsid w:val="001D2972"/>
    <w:rsid w:val="001D29AA"/>
    <w:rsid w:val="001D2A49"/>
    <w:rsid w:val="001D2ADB"/>
    <w:rsid w:val="001D2B03"/>
    <w:rsid w:val="001D2C02"/>
    <w:rsid w:val="001D2CC9"/>
    <w:rsid w:val="001D2DD4"/>
    <w:rsid w:val="001D2E24"/>
    <w:rsid w:val="001D2E3D"/>
    <w:rsid w:val="001D310C"/>
    <w:rsid w:val="001D310D"/>
    <w:rsid w:val="001D3356"/>
    <w:rsid w:val="001D366D"/>
    <w:rsid w:val="001D3788"/>
    <w:rsid w:val="001D387D"/>
    <w:rsid w:val="001D39AF"/>
    <w:rsid w:val="001D3AE5"/>
    <w:rsid w:val="001D3B88"/>
    <w:rsid w:val="001D3CC1"/>
    <w:rsid w:val="001D4033"/>
    <w:rsid w:val="001D404B"/>
    <w:rsid w:val="001D4086"/>
    <w:rsid w:val="001D4091"/>
    <w:rsid w:val="001D40EF"/>
    <w:rsid w:val="001D41E4"/>
    <w:rsid w:val="001D42C3"/>
    <w:rsid w:val="001D4334"/>
    <w:rsid w:val="001D440B"/>
    <w:rsid w:val="001D4603"/>
    <w:rsid w:val="001D489E"/>
    <w:rsid w:val="001D493F"/>
    <w:rsid w:val="001D4CDA"/>
    <w:rsid w:val="001D4D22"/>
    <w:rsid w:val="001D4EF0"/>
    <w:rsid w:val="001D4F13"/>
    <w:rsid w:val="001D4F60"/>
    <w:rsid w:val="001D514E"/>
    <w:rsid w:val="001D53C6"/>
    <w:rsid w:val="001D557D"/>
    <w:rsid w:val="001D56AB"/>
    <w:rsid w:val="001D5721"/>
    <w:rsid w:val="001D5743"/>
    <w:rsid w:val="001D5A94"/>
    <w:rsid w:val="001D5AFA"/>
    <w:rsid w:val="001D5B48"/>
    <w:rsid w:val="001D5BF1"/>
    <w:rsid w:val="001D5CC2"/>
    <w:rsid w:val="001D5D9B"/>
    <w:rsid w:val="001D5F43"/>
    <w:rsid w:val="001D610A"/>
    <w:rsid w:val="001D6337"/>
    <w:rsid w:val="001D65EC"/>
    <w:rsid w:val="001D6614"/>
    <w:rsid w:val="001D67DC"/>
    <w:rsid w:val="001D6CD6"/>
    <w:rsid w:val="001D6D61"/>
    <w:rsid w:val="001D6D97"/>
    <w:rsid w:val="001D6DBB"/>
    <w:rsid w:val="001D6DD4"/>
    <w:rsid w:val="001D6EAF"/>
    <w:rsid w:val="001D7170"/>
    <w:rsid w:val="001D72DF"/>
    <w:rsid w:val="001D7530"/>
    <w:rsid w:val="001D75D4"/>
    <w:rsid w:val="001D7623"/>
    <w:rsid w:val="001D7656"/>
    <w:rsid w:val="001D7775"/>
    <w:rsid w:val="001D7930"/>
    <w:rsid w:val="001D7AF1"/>
    <w:rsid w:val="001D7C81"/>
    <w:rsid w:val="001D7CE6"/>
    <w:rsid w:val="001D7DAC"/>
    <w:rsid w:val="001D7DD2"/>
    <w:rsid w:val="001D7E37"/>
    <w:rsid w:val="001D7E5C"/>
    <w:rsid w:val="001D7EA9"/>
    <w:rsid w:val="001E0239"/>
    <w:rsid w:val="001E03FB"/>
    <w:rsid w:val="001E046D"/>
    <w:rsid w:val="001E04A1"/>
    <w:rsid w:val="001E050A"/>
    <w:rsid w:val="001E0613"/>
    <w:rsid w:val="001E064C"/>
    <w:rsid w:val="001E06D5"/>
    <w:rsid w:val="001E0738"/>
    <w:rsid w:val="001E0755"/>
    <w:rsid w:val="001E078F"/>
    <w:rsid w:val="001E08F1"/>
    <w:rsid w:val="001E08F6"/>
    <w:rsid w:val="001E0915"/>
    <w:rsid w:val="001E0916"/>
    <w:rsid w:val="001E099C"/>
    <w:rsid w:val="001E0A1C"/>
    <w:rsid w:val="001E0BDE"/>
    <w:rsid w:val="001E0CF0"/>
    <w:rsid w:val="001E0DA0"/>
    <w:rsid w:val="001E0DEF"/>
    <w:rsid w:val="001E0E29"/>
    <w:rsid w:val="001E0EFA"/>
    <w:rsid w:val="001E105B"/>
    <w:rsid w:val="001E1096"/>
    <w:rsid w:val="001E10B7"/>
    <w:rsid w:val="001E10DE"/>
    <w:rsid w:val="001E12B7"/>
    <w:rsid w:val="001E12D5"/>
    <w:rsid w:val="001E1555"/>
    <w:rsid w:val="001E1829"/>
    <w:rsid w:val="001E182E"/>
    <w:rsid w:val="001E1A95"/>
    <w:rsid w:val="001E1C30"/>
    <w:rsid w:val="001E1CF7"/>
    <w:rsid w:val="001E1D3D"/>
    <w:rsid w:val="001E219D"/>
    <w:rsid w:val="001E2719"/>
    <w:rsid w:val="001E2722"/>
    <w:rsid w:val="001E280B"/>
    <w:rsid w:val="001E286E"/>
    <w:rsid w:val="001E2AA6"/>
    <w:rsid w:val="001E2B72"/>
    <w:rsid w:val="001E2BDD"/>
    <w:rsid w:val="001E2C7B"/>
    <w:rsid w:val="001E2E48"/>
    <w:rsid w:val="001E3190"/>
    <w:rsid w:val="001E31A2"/>
    <w:rsid w:val="001E31F7"/>
    <w:rsid w:val="001E3232"/>
    <w:rsid w:val="001E330C"/>
    <w:rsid w:val="001E3339"/>
    <w:rsid w:val="001E3353"/>
    <w:rsid w:val="001E34F4"/>
    <w:rsid w:val="001E352D"/>
    <w:rsid w:val="001E360A"/>
    <w:rsid w:val="001E3656"/>
    <w:rsid w:val="001E392E"/>
    <w:rsid w:val="001E3AA6"/>
    <w:rsid w:val="001E3D55"/>
    <w:rsid w:val="001E3EB1"/>
    <w:rsid w:val="001E3F9D"/>
    <w:rsid w:val="001E42CA"/>
    <w:rsid w:val="001E46D9"/>
    <w:rsid w:val="001E46EE"/>
    <w:rsid w:val="001E490B"/>
    <w:rsid w:val="001E49B9"/>
    <w:rsid w:val="001E4C7E"/>
    <w:rsid w:val="001E4CC2"/>
    <w:rsid w:val="001E4CD0"/>
    <w:rsid w:val="001E4CE1"/>
    <w:rsid w:val="001E4F42"/>
    <w:rsid w:val="001E507B"/>
    <w:rsid w:val="001E51AE"/>
    <w:rsid w:val="001E5216"/>
    <w:rsid w:val="001E5226"/>
    <w:rsid w:val="001E5287"/>
    <w:rsid w:val="001E532F"/>
    <w:rsid w:val="001E543F"/>
    <w:rsid w:val="001E54F3"/>
    <w:rsid w:val="001E5781"/>
    <w:rsid w:val="001E58BC"/>
    <w:rsid w:val="001E58D7"/>
    <w:rsid w:val="001E5C0C"/>
    <w:rsid w:val="001E5D2C"/>
    <w:rsid w:val="001E5DD7"/>
    <w:rsid w:val="001E5E9E"/>
    <w:rsid w:val="001E5EA4"/>
    <w:rsid w:val="001E5F05"/>
    <w:rsid w:val="001E610D"/>
    <w:rsid w:val="001E629E"/>
    <w:rsid w:val="001E62F8"/>
    <w:rsid w:val="001E6409"/>
    <w:rsid w:val="001E654A"/>
    <w:rsid w:val="001E6555"/>
    <w:rsid w:val="001E6558"/>
    <w:rsid w:val="001E65D4"/>
    <w:rsid w:val="001E65EA"/>
    <w:rsid w:val="001E66C7"/>
    <w:rsid w:val="001E674A"/>
    <w:rsid w:val="001E6A7A"/>
    <w:rsid w:val="001E6B15"/>
    <w:rsid w:val="001E6B19"/>
    <w:rsid w:val="001E6C58"/>
    <w:rsid w:val="001E6D13"/>
    <w:rsid w:val="001E6D5B"/>
    <w:rsid w:val="001E6DD0"/>
    <w:rsid w:val="001E6FD8"/>
    <w:rsid w:val="001E71B5"/>
    <w:rsid w:val="001E7501"/>
    <w:rsid w:val="001E7704"/>
    <w:rsid w:val="001E785F"/>
    <w:rsid w:val="001E7895"/>
    <w:rsid w:val="001E7960"/>
    <w:rsid w:val="001E7B06"/>
    <w:rsid w:val="001E7CE5"/>
    <w:rsid w:val="001E7D25"/>
    <w:rsid w:val="001F015F"/>
    <w:rsid w:val="001F03E8"/>
    <w:rsid w:val="001F04B2"/>
    <w:rsid w:val="001F05FF"/>
    <w:rsid w:val="001F062A"/>
    <w:rsid w:val="001F06FC"/>
    <w:rsid w:val="001F0973"/>
    <w:rsid w:val="001F09A9"/>
    <w:rsid w:val="001F0C08"/>
    <w:rsid w:val="001F0C7E"/>
    <w:rsid w:val="001F0CF5"/>
    <w:rsid w:val="001F0E62"/>
    <w:rsid w:val="001F0F7B"/>
    <w:rsid w:val="001F10E2"/>
    <w:rsid w:val="001F124E"/>
    <w:rsid w:val="001F1431"/>
    <w:rsid w:val="001F15E0"/>
    <w:rsid w:val="001F16E1"/>
    <w:rsid w:val="001F1799"/>
    <w:rsid w:val="001F18AF"/>
    <w:rsid w:val="001F19E6"/>
    <w:rsid w:val="001F1A1B"/>
    <w:rsid w:val="001F1A88"/>
    <w:rsid w:val="001F1AE2"/>
    <w:rsid w:val="001F1AF1"/>
    <w:rsid w:val="001F1C5B"/>
    <w:rsid w:val="001F1C62"/>
    <w:rsid w:val="001F1D32"/>
    <w:rsid w:val="001F1EBE"/>
    <w:rsid w:val="001F20C0"/>
    <w:rsid w:val="001F20F6"/>
    <w:rsid w:val="001F211D"/>
    <w:rsid w:val="001F2311"/>
    <w:rsid w:val="001F2380"/>
    <w:rsid w:val="001F240E"/>
    <w:rsid w:val="001F26C5"/>
    <w:rsid w:val="001F273C"/>
    <w:rsid w:val="001F27B8"/>
    <w:rsid w:val="001F2815"/>
    <w:rsid w:val="001F2847"/>
    <w:rsid w:val="001F28F8"/>
    <w:rsid w:val="001F296A"/>
    <w:rsid w:val="001F2C66"/>
    <w:rsid w:val="001F2CF3"/>
    <w:rsid w:val="001F2D4B"/>
    <w:rsid w:val="001F2FCF"/>
    <w:rsid w:val="001F3073"/>
    <w:rsid w:val="001F30F1"/>
    <w:rsid w:val="001F312A"/>
    <w:rsid w:val="001F3210"/>
    <w:rsid w:val="001F328C"/>
    <w:rsid w:val="001F329C"/>
    <w:rsid w:val="001F33CB"/>
    <w:rsid w:val="001F3473"/>
    <w:rsid w:val="001F349F"/>
    <w:rsid w:val="001F3649"/>
    <w:rsid w:val="001F3760"/>
    <w:rsid w:val="001F37CE"/>
    <w:rsid w:val="001F3D1B"/>
    <w:rsid w:val="001F3DB0"/>
    <w:rsid w:val="001F4019"/>
    <w:rsid w:val="001F4207"/>
    <w:rsid w:val="001F4246"/>
    <w:rsid w:val="001F4366"/>
    <w:rsid w:val="001F4543"/>
    <w:rsid w:val="001F49EC"/>
    <w:rsid w:val="001F4A77"/>
    <w:rsid w:val="001F4DC4"/>
    <w:rsid w:val="001F4E13"/>
    <w:rsid w:val="001F4F1C"/>
    <w:rsid w:val="001F5025"/>
    <w:rsid w:val="001F503E"/>
    <w:rsid w:val="001F515C"/>
    <w:rsid w:val="001F517C"/>
    <w:rsid w:val="001F5184"/>
    <w:rsid w:val="001F5409"/>
    <w:rsid w:val="001F5557"/>
    <w:rsid w:val="001F573A"/>
    <w:rsid w:val="001F573D"/>
    <w:rsid w:val="001F5ADA"/>
    <w:rsid w:val="001F5AE4"/>
    <w:rsid w:val="001F5E14"/>
    <w:rsid w:val="001F611B"/>
    <w:rsid w:val="001F617C"/>
    <w:rsid w:val="001F61E6"/>
    <w:rsid w:val="001F62B9"/>
    <w:rsid w:val="001F6402"/>
    <w:rsid w:val="001F6406"/>
    <w:rsid w:val="001F644C"/>
    <w:rsid w:val="001F64FF"/>
    <w:rsid w:val="001F6539"/>
    <w:rsid w:val="001F6556"/>
    <w:rsid w:val="001F663D"/>
    <w:rsid w:val="001F67D4"/>
    <w:rsid w:val="001F6829"/>
    <w:rsid w:val="001F68C6"/>
    <w:rsid w:val="001F6C06"/>
    <w:rsid w:val="001F6FBB"/>
    <w:rsid w:val="001F6FEF"/>
    <w:rsid w:val="001F71A0"/>
    <w:rsid w:val="001F74AC"/>
    <w:rsid w:val="001F74AD"/>
    <w:rsid w:val="001F763E"/>
    <w:rsid w:val="001F76A6"/>
    <w:rsid w:val="001F7898"/>
    <w:rsid w:val="001F7911"/>
    <w:rsid w:val="001F7915"/>
    <w:rsid w:val="001F79B7"/>
    <w:rsid w:val="001F79D3"/>
    <w:rsid w:val="001F7A72"/>
    <w:rsid w:val="001F7B00"/>
    <w:rsid w:val="001F7FB5"/>
    <w:rsid w:val="001F7FE5"/>
    <w:rsid w:val="002001FF"/>
    <w:rsid w:val="002005EF"/>
    <w:rsid w:val="00200656"/>
    <w:rsid w:val="002006D4"/>
    <w:rsid w:val="00200783"/>
    <w:rsid w:val="002009BB"/>
    <w:rsid w:val="00200C78"/>
    <w:rsid w:val="00200CB9"/>
    <w:rsid w:val="00200D4D"/>
    <w:rsid w:val="00200EA4"/>
    <w:rsid w:val="00201002"/>
    <w:rsid w:val="00201100"/>
    <w:rsid w:val="002014CE"/>
    <w:rsid w:val="002015C1"/>
    <w:rsid w:val="00201716"/>
    <w:rsid w:val="00201E67"/>
    <w:rsid w:val="00201FBE"/>
    <w:rsid w:val="0020202C"/>
    <w:rsid w:val="002022B5"/>
    <w:rsid w:val="002022D8"/>
    <w:rsid w:val="0020230C"/>
    <w:rsid w:val="00202484"/>
    <w:rsid w:val="0020263D"/>
    <w:rsid w:val="00202722"/>
    <w:rsid w:val="002029CB"/>
    <w:rsid w:val="00202A7F"/>
    <w:rsid w:val="00202B4F"/>
    <w:rsid w:val="00202C26"/>
    <w:rsid w:val="00202D6A"/>
    <w:rsid w:val="00202E80"/>
    <w:rsid w:val="00202F2A"/>
    <w:rsid w:val="00202F64"/>
    <w:rsid w:val="00203080"/>
    <w:rsid w:val="00203215"/>
    <w:rsid w:val="00203290"/>
    <w:rsid w:val="002035D6"/>
    <w:rsid w:val="0020362E"/>
    <w:rsid w:val="00203B2D"/>
    <w:rsid w:val="00203B5B"/>
    <w:rsid w:val="00203C1C"/>
    <w:rsid w:val="00203C79"/>
    <w:rsid w:val="00203DE5"/>
    <w:rsid w:val="00203F71"/>
    <w:rsid w:val="00203FFD"/>
    <w:rsid w:val="002040F6"/>
    <w:rsid w:val="002043C4"/>
    <w:rsid w:val="002045DD"/>
    <w:rsid w:val="002046AE"/>
    <w:rsid w:val="0020475A"/>
    <w:rsid w:val="0020483C"/>
    <w:rsid w:val="002048D6"/>
    <w:rsid w:val="00204957"/>
    <w:rsid w:val="00204ABE"/>
    <w:rsid w:val="00204BB9"/>
    <w:rsid w:val="00204C22"/>
    <w:rsid w:val="00204CCB"/>
    <w:rsid w:val="00204DFC"/>
    <w:rsid w:val="00204F8E"/>
    <w:rsid w:val="002050BC"/>
    <w:rsid w:val="00205122"/>
    <w:rsid w:val="002051AC"/>
    <w:rsid w:val="002052A1"/>
    <w:rsid w:val="002052A6"/>
    <w:rsid w:val="002054BE"/>
    <w:rsid w:val="002055A7"/>
    <w:rsid w:val="002056F0"/>
    <w:rsid w:val="00205923"/>
    <w:rsid w:val="00205B35"/>
    <w:rsid w:val="00205B59"/>
    <w:rsid w:val="00205B75"/>
    <w:rsid w:val="00205B93"/>
    <w:rsid w:val="00205C00"/>
    <w:rsid w:val="00205C54"/>
    <w:rsid w:val="00205F37"/>
    <w:rsid w:val="00205F89"/>
    <w:rsid w:val="0020616A"/>
    <w:rsid w:val="0020616C"/>
    <w:rsid w:val="002062F2"/>
    <w:rsid w:val="00206472"/>
    <w:rsid w:val="002064F3"/>
    <w:rsid w:val="00206610"/>
    <w:rsid w:val="00206621"/>
    <w:rsid w:val="00206785"/>
    <w:rsid w:val="002067FE"/>
    <w:rsid w:val="0020692D"/>
    <w:rsid w:val="00206B78"/>
    <w:rsid w:val="00207019"/>
    <w:rsid w:val="0020701C"/>
    <w:rsid w:val="00207308"/>
    <w:rsid w:val="002073CC"/>
    <w:rsid w:val="0020745E"/>
    <w:rsid w:val="002074CA"/>
    <w:rsid w:val="00207513"/>
    <w:rsid w:val="00207737"/>
    <w:rsid w:val="00207A9A"/>
    <w:rsid w:val="00207AE5"/>
    <w:rsid w:val="00207CEE"/>
    <w:rsid w:val="00207D6C"/>
    <w:rsid w:val="00207F32"/>
    <w:rsid w:val="00210135"/>
    <w:rsid w:val="002101DA"/>
    <w:rsid w:val="002102D9"/>
    <w:rsid w:val="002103C3"/>
    <w:rsid w:val="00210482"/>
    <w:rsid w:val="00210519"/>
    <w:rsid w:val="0021070A"/>
    <w:rsid w:val="002107FF"/>
    <w:rsid w:val="002109F1"/>
    <w:rsid w:val="00210D3F"/>
    <w:rsid w:val="00210DDA"/>
    <w:rsid w:val="00210DE3"/>
    <w:rsid w:val="00210F52"/>
    <w:rsid w:val="00211501"/>
    <w:rsid w:val="0021152D"/>
    <w:rsid w:val="0021175C"/>
    <w:rsid w:val="00211770"/>
    <w:rsid w:val="00211942"/>
    <w:rsid w:val="002119A9"/>
    <w:rsid w:val="00211A16"/>
    <w:rsid w:val="00211A61"/>
    <w:rsid w:val="00211DE0"/>
    <w:rsid w:val="00211E1F"/>
    <w:rsid w:val="00211F1C"/>
    <w:rsid w:val="0021201C"/>
    <w:rsid w:val="002121A9"/>
    <w:rsid w:val="0021228C"/>
    <w:rsid w:val="002123DB"/>
    <w:rsid w:val="00212552"/>
    <w:rsid w:val="00212610"/>
    <w:rsid w:val="002126B0"/>
    <w:rsid w:val="002126E3"/>
    <w:rsid w:val="00212700"/>
    <w:rsid w:val="00212761"/>
    <w:rsid w:val="002127FB"/>
    <w:rsid w:val="00212DB0"/>
    <w:rsid w:val="00212E39"/>
    <w:rsid w:val="00212E49"/>
    <w:rsid w:val="00212F1A"/>
    <w:rsid w:val="00212F32"/>
    <w:rsid w:val="00212FA3"/>
    <w:rsid w:val="00212FE2"/>
    <w:rsid w:val="00213120"/>
    <w:rsid w:val="0021334B"/>
    <w:rsid w:val="002133B6"/>
    <w:rsid w:val="002133DB"/>
    <w:rsid w:val="00213445"/>
    <w:rsid w:val="00213631"/>
    <w:rsid w:val="00213796"/>
    <w:rsid w:val="00213AD3"/>
    <w:rsid w:val="00213B66"/>
    <w:rsid w:val="00213CB0"/>
    <w:rsid w:val="00213F7D"/>
    <w:rsid w:val="00213F8F"/>
    <w:rsid w:val="00214120"/>
    <w:rsid w:val="002141D9"/>
    <w:rsid w:val="00214224"/>
    <w:rsid w:val="002146F2"/>
    <w:rsid w:val="0021478B"/>
    <w:rsid w:val="00214960"/>
    <w:rsid w:val="002149B0"/>
    <w:rsid w:val="00214A14"/>
    <w:rsid w:val="00214A68"/>
    <w:rsid w:val="00214AA4"/>
    <w:rsid w:val="00214C08"/>
    <w:rsid w:val="00214ECC"/>
    <w:rsid w:val="00214F33"/>
    <w:rsid w:val="002150F7"/>
    <w:rsid w:val="00215133"/>
    <w:rsid w:val="002151F9"/>
    <w:rsid w:val="00215202"/>
    <w:rsid w:val="0021523F"/>
    <w:rsid w:val="0021524A"/>
    <w:rsid w:val="00215301"/>
    <w:rsid w:val="002157E5"/>
    <w:rsid w:val="002157FD"/>
    <w:rsid w:val="0021589F"/>
    <w:rsid w:val="00215A28"/>
    <w:rsid w:val="00215A9C"/>
    <w:rsid w:val="00215AF9"/>
    <w:rsid w:val="00215C40"/>
    <w:rsid w:val="00215D21"/>
    <w:rsid w:val="00215E75"/>
    <w:rsid w:val="00215F70"/>
    <w:rsid w:val="00215F95"/>
    <w:rsid w:val="00216041"/>
    <w:rsid w:val="002160F3"/>
    <w:rsid w:val="002160FA"/>
    <w:rsid w:val="00216266"/>
    <w:rsid w:val="00216363"/>
    <w:rsid w:val="0021637A"/>
    <w:rsid w:val="002163B2"/>
    <w:rsid w:val="002163E4"/>
    <w:rsid w:val="002165DB"/>
    <w:rsid w:val="00216765"/>
    <w:rsid w:val="002168E6"/>
    <w:rsid w:val="002169E4"/>
    <w:rsid w:val="00216A90"/>
    <w:rsid w:val="00216B1C"/>
    <w:rsid w:val="00216C03"/>
    <w:rsid w:val="00216C44"/>
    <w:rsid w:val="00216CBF"/>
    <w:rsid w:val="00216D99"/>
    <w:rsid w:val="00216E3B"/>
    <w:rsid w:val="00216E9E"/>
    <w:rsid w:val="00216FCE"/>
    <w:rsid w:val="00216FF5"/>
    <w:rsid w:val="0021700E"/>
    <w:rsid w:val="002170D3"/>
    <w:rsid w:val="002171ED"/>
    <w:rsid w:val="0021741B"/>
    <w:rsid w:val="002174A8"/>
    <w:rsid w:val="00217692"/>
    <w:rsid w:val="002176B9"/>
    <w:rsid w:val="002177D9"/>
    <w:rsid w:val="002177E5"/>
    <w:rsid w:val="00217ADC"/>
    <w:rsid w:val="00217B97"/>
    <w:rsid w:val="00217DE8"/>
    <w:rsid w:val="0022038B"/>
    <w:rsid w:val="002204FD"/>
    <w:rsid w:val="00220557"/>
    <w:rsid w:val="002206CF"/>
    <w:rsid w:val="00220870"/>
    <w:rsid w:val="0022092A"/>
    <w:rsid w:val="00220A21"/>
    <w:rsid w:val="00220ACA"/>
    <w:rsid w:val="00220B03"/>
    <w:rsid w:val="00220D74"/>
    <w:rsid w:val="00220E09"/>
    <w:rsid w:val="00220E44"/>
    <w:rsid w:val="00220FA6"/>
    <w:rsid w:val="00221061"/>
    <w:rsid w:val="00221152"/>
    <w:rsid w:val="002211ED"/>
    <w:rsid w:val="00221208"/>
    <w:rsid w:val="00221229"/>
    <w:rsid w:val="002213B2"/>
    <w:rsid w:val="00221593"/>
    <w:rsid w:val="002215BF"/>
    <w:rsid w:val="002215C2"/>
    <w:rsid w:val="00221668"/>
    <w:rsid w:val="00221789"/>
    <w:rsid w:val="002217AE"/>
    <w:rsid w:val="0022187C"/>
    <w:rsid w:val="00221BF8"/>
    <w:rsid w:val="00221D1E"/>
    <w:rsid w:val="00221D20"/>
    <w:rsid w:val="00221EF2"/>
    <w:rsid w:val="00221F70"/>
    <w:rsid w:val="0022210F"/>
    <w:rsid w:val="00222115"/>
    <w:rsid w:val="0022260F"/>
    <w:rsid w:val="00222A17"/>
    <w:rsid w:val="00222B57"/>
    <w:rsid w:val="00222C6C"/>
    <w:rsid w:val="00222C6F"/>
    <w:rsid w:val="00222DC1"/>
    <w:rsid w:val="00222FE7"/>
    <w:rsid w:val="0022304A"/>
    <w:rsid w:val="0022305F"/>
    <w:rsid w:val="0022309D"/>
    <w:rsid w:val="00223296"/>
    <w:rsid w:val="0022338F"/>
    <w:rsid w:val="002235A4"/>
    <w:rsid w:val="00223611"/>
    <w:rsid w:val="002238D0"/>
    <w:rsid w:val="002239DC"/>
    <w:rsid w:val="00223A78"/>
    <w:rsid w:val="00223CD4"/>
    <w:rsid w:val="00223E4C"/>
    <w:rsid w:val="00223ECD"/>
    <w:rsid w:val="00223F60"/>
    <w:rsid w:val="00224305"/>
    <w:rsid w:val="00224313"/>
    <w:rsid w:val="0022460C"/>
    <w:rsid w:val="0022465D"/>
    <w:rsid w:val="00224791"/>
    <w:rsid w:val="00224864"/>
    <w:rsid w:val="00224963"/>
    <w:rsid w:val="002249D7"/>
    <w:rsid w:val="00224AEA"/>
    <w:rsid w:val="00224C5C"/>
    <w:rsid w:val="00224D43"/>
    <w:rsid w:val="00224E25"/>
    <w:rsid w:val="00224E36"/>
    <w:rsid w:val="0022539F"/>
    <w:rsid w:val="002254E6"/>
    <w:rsid w:val="00225605"/>
    <w:rsid w:val="0022588A"/>
    <w:rsid w:val="002258F5"/>
    <w:rsid w:val="002258F6"/>
    <w:rsid w:val="00225926"/>
    <w:rsid w:val="00225AF3"/>
    <w:rsid w:val="00225B5D"/>
    <w:rsid w:val="00225C22"/>
    <w:rsid w:val="00225E3A"/>
    <w:rsid w:val="00226103"/>
    <w:rsid w:val="002262E9"/>
    <w:rsid w:val="0022645D"/>
    <w:rsid w:val="002267F3"/>
    <w:rsid w:val="00226919"/>
    <w:rsid w:val="00226A09"/>
    <w:rsid w:val="00226BF3"/>
    <w:rsid w:val="00226EA7"/>
    <w:rsid w:val="00226F76"/>
    <w:rsid w:val="0022714F"/>
    <w:rsid w:val="0022720A"/>
    <w:rsid w:val="002272E1"/>
    <w:rsid w:val="00227880"/>
    <w:rsid w:val="002278C1"/>
    <w:rsid w:val="0022799B"/>
    <w:rsid w:val="00227D5B"/>
    <w:rsid w:val="00227E83"/>
    <w:rsid w:val="00227E99"/>
    <w:rsid w:val="002301FA"/>
    <w:rsid w:val="002304A0"/>
    <w:rsid w:val="0023096C"/>
    <w:rsid w:val="002309F5"/>
    <w:rsid w:val="00230B98"/>
    <w:rsid w:val="00230C0B"/>
    <w:rsid w:val="00230E5E"/>
    <w:rsid w:val="00230EA7"/>
    <w:rsid w:val="0023116E"/>
    <w:rsid w:val="0023135C"/>
    <w:rsid w:val="00231419"/>
    <w:rsid w:val="002314CB"/>
    <w:rsid w:val="002314EF"/>
    <w:rsid w:val="00231562"/>
    <w:rsid w:val="00231604"/>
    <w:rsid w:val="002316A5"/>
    <w:rsid w:val="00231794"/>
    <w:rsid w:val="002317A2"/>
    <w:rsid w:val="00231880"/>
    <w:rsid w:val="00231918"/>
    <w:rsid w:val="002319DE"/>
    <w:rsid w:val="00231A20"/>
    <w:rsid w:val="00231A56"/>
    <w:rsid w:val="00231A5C"/>
    <w:rsid w:val="00231B40"/>
    <w:rsid w:val="00231CBB"/>
    <w:rsid w:val="00231E9F"/>
    <w:rsid w:val="00231F27"/>
    <w:rsid w:val="002320E1"/>
    <w:rsid w:val="0023218A"/>
    <w:rsid w:val="002321BC"/>
    <w:rsid w:val="00232310"/>
    <w:rsid w:val="00232315"/>
    <w:rsid w:val="002323E4"/>
    <w:rsid w:val="00232625"/>
    <w:rsid w:val="00232661"/>
    <w:rsid w:val="00232702"/>
    <w:rsid w:val="00232898"/>
    <w:rsid w:val="00232AB6"/>
    <w:rsid w:val="00232AFD"/>
    <w:rsid w:val="00232C25"/>
    <w:rsid w:val="00232D6B"/>
    <w:rsid w:val="00232EFF"/>
    <w:rsid w:val="002330CC"/>
    <w:rsid w:val="0023318D"/>
    <w:rsid w:val="0023324E"/>
    <w:rsid w:val="002332C8"/>
    <w:rsid w:val="002332F6"/>
    <w:rsid w:val="00233303"/>
    <w:rsid w:val="002335F3"/>
    <w:rsid w:val="002337A0"/>
    <w:rsid w:val="002337AA"/>
    <w:rsid w:val="00233841"/>
    <w:rsid w:val="002338AE"/>
    <w:rsid w:val="0023392B"/>
    <w:rsid w:val="00233A7E"/>
    <w:rsid w:val="00233ADD"/>
    <w:rsid w:val="00233DF7"/>
    <w:rsid w:val="00233FAA"/>
    <w:rsid w:val="00234048"/>
    <w:rsid w:val="002341E6"/>
    <w:rsid w:val="0023421A"/>
    <w:rsid w:val="00234245"/>
    <w:rsid w:val="002344E4"/>
    <w:rsid w:val="002345C4"/>
    <w:rsid w:val="002348BA"/>
    <w:rsid w:val="00234DB4"/>
    <w:rsid w:val="00234FE2"/>
    <w:rsid w:val="002351EB"/>
    <w:rsid w:val="0023537B"/>
    <w:rsid w:val="0023545E"/>
    <w:rsid w:val="002358B9"/>
    <w:rsid w:val="00235A2A"/>
    <w:rsid w:val="00235A4E"/>
    <w:rsid w:val="00235A53"/>
    <w:rsid w:val="00235DAB"/>
    <w:rsid w:val="00235EAB"/>
    <w:rsid w:val="00235F9B"/>
    <w:rsid w:val="00236218"/>
    <w:rsid w:val="0023633F"/>
    <w:rsid w:val="002363F5"/>
    <w:rsid w:val="00236505"/>
    <w:rsid w:val="002365E7"/>
    <w:rsid w:val="0023663A"/>
    <w:rsid w:val="00236844"/>
    <w:rsid w:val="00236944"/>
    <w:rsid w:val="002369EE"/>
    <w:rsid w:val="00236B03"/>
    <w:rsid w:val="00236EAB"/>
    <w:rsid w:val="002371E5"/>
    <w:rsid w:val="0023743B"/>
    <w:rsid w:val="00237472"/>
    <w:rsid w:val="002378E6"/>
    <w:rsid w:val="00237938"/>
    <w:rsid w:val="00237988"/>
    <w:rsid w:val="00237BA9"/>
    <w:rsid w:val="00237C05"/>
    <w:rsid w:val="00237E81"/>
    <w:rsid w:val="002403B5"/>
    <w:rsid w:val="00240719"/>
    <w:rsid w:val="002408A5"/>
    <w:rsid w:val="00240AFD"/>
    <w:rsid w:val="00240C65"/>
    <w:rsid w:val="00240F03"/>
    <w:rsid w:val="0024102A"/>
    <w:rsid w:val="00241115"/>
    <w:rsid w:val="00241127"/>
    <w:rsid w:val="00241181"/>
    <w:rsid w:val="002416D9"/>
    <w:rsid w:val="00241743"/>
    <w:rsid w:val="00241825"/>
    <w:rsid w:val="00241E98"/>
    <w:rsid w:val="002420B4"/>
    <w:rsid w:val="00242153"/>
    <w:rsid w:val="002423A8"/>
    <w:rsid w:val="002423E9"/>
    <w:rsid w:val="0024246D"/>
    <w:rsid w:val="002424D2"/>
    <w:rsid w:val="002424F5"/>
    <w:rsid w:val="002425C2"/>
    <w:rsid w:val="0024278A"/>
    <w:rsid w:val="00242857"/>
    <w:rsid w:val="00242A39"/>
    <w:rsid w:val="00242A58"/>
    <w:rsid w:val="00242A93"/>
    <w:rsid w:val="00242B13"/>
    <w:rsid w:val="00242C4D"/>
    <w:rsid w:val="00242C66"/>
    <w:rsid w:val="00242DF3"/>
    <w:rsid w:val="00242E72"/>
    <w:rsid w:val="00242EA4"/>
    <w:rsid w:val="00243024"/>
    <w:rsid w:val="002430B5"/>
    <w:rsid w:val="002432F0"/>
    <w:rsid w:val="00243460"/>
    <w:rsid w:val="0024371F"/>
    <w:rsid w:val="002437F2"/>
    <w:rsid w:val="0024380A"/>
    <w:rsid w:val="002438A2"/>
    <w:rsid w:val="002439AF"/>
    <w:rsid w:val="00243A68"/>
    <w:rsid w:val="00243A9C"/>
    <w:rsid w:val="00243B11"/>
    <w:rsid w:val="00243B6A"/>
    <w:rsid w:val="00243F6C"/>
    <w:rsid w:val="00243F9F"/>
    <w:rsid w:val="0024410B"/>
    <w:rsid w:val="0024419B"/>
    <w:rsid w:val="002442CD"/>
    <w:rsid w:val="0024433A"/>
    <w:rsid w:val="0024447D"/>
    <w:rsid w:val="002447BB"/>
    <w:rsid w:val="002447DC"/>
    <w:rsid w:val="002447F4"/>
    <w:rsid w:val="0024496C"/>
    <w:rsid w:val="00244AD3"/>
    <w:rsid w:val="00244B8E"/>
    <w:rsid w:val="00244DF8"/>
    <w:rsid w:val="00244E5B"/>
    <w:rsid w:val="00244FB7"/>
    <w:rsid w:val="0024522A"/>
    <w:rsid w:val="002453FE"/>
    <w:rsid w:val="0024564C"/>
    <w:rsid w:val="00245664"/>
    <w:rsid w:val="00245887"/>
    <w:rsid w:val="00245977"/>
    <w:rsid w:val="00245992"/>
    <w:rsid w:val="002459A0"/>
    <w:rsid w:val="002459A5"/>
    <w:rsid w:val="002459EA"/>
    <w:rsid w:val="00245ABB"/>
    <w:rsid w:val="00245CC8"/>
    <w:rsid w:val="00245D77"/>
    <w:rsid w:val="00245DBC"/>
    <w:rsid w:val="00245DFB"/>
    <w:rsid w:val="00245E51"/>
    <w:rsid w:val="00245FA4"/>
    <w:rsid w:val="00245FAB"/>
    <w:rsid w:val="0024620B"/>
    <w:rsid w:val="0024642C"/>
    <w:rsid w:val="0024659A"/>
    <w:rsid w:val="002465B4"/>
    <w:rsid w:val="002468D3"/>
    <w:rsid w:val="00246908"/>
    <w:rsid w:val="0024699A"/>
    <w:rsid w:val="00246AC5"/>
    <w:rsid w:val="00246ACE"/>
    <w:rsid w:val="00246C8E"/>
    <w:rsid w:val="00246C9D"/>
    <w:rsid w:val="00247089"/>
    <w:rsid w:val="002471E2"/>
    <w:rsid w:val="00247206"/>
    <w:rsid w:val="00247249"/>
    <w:rsid w:val="002474B3"/>
    <w:rsid w:val="002476EF"/>
    <w:rsid w:val="00247980"/>
    <w:rsid w:val="00247990"/>
    <w:rsid w:val="00247B4B"/>
    <w:rsid w:val="00247CB2"/>
    <w:rsid w:val="00247D77"/>
    <w:rsid w:val="00247D9D"/>
    <w:rsid w:val="00247E25"/>
    <w:rsid w:val="002502B8"/>
    <w:rsid w:val="002502B9"/>
    <w:rsid w:val="002504EA"/>
    <w:rsid w:val="002505D9"/>
    <w:rsid w:val="002505F8"/>
    <w:rsid w:val="00250695"/>
    <w:rsid w:val="0025089E"/>
    <w:rsid w:val="002508BA"/>
    <w:rsid w:val="002509F5"/>
    <w:rsid w:val="002509F9"/>
    <w:rsid w:val="00250DF1"/>
    <w:rsid w:val="00250F11"/>
    <w:rsid w:val="00250F8D"/>
    <w:rsid w:val="00251015"/>
    <w:rsid w:val="0025118B"/>
    <w:rsid w:val="002511CA"/>
    <w:rsid w:val="002511E7"/>
    <w:rsid w:val="00251227"/>
    <w:rsid w:val="00251264"/>
    <w:rsid w:val="0025127E"/>
    <w:rsid w:val="00251365"/>
    <w:rsid w:val="002513FF"/>
    <w:rsid w:val="002515F3"/>
    <w:rsid w:val="00251837"/>
    <w:rsid w:val="002519A2"/>
    <w:rsid w:val="00251A36"/>
    <w:rsid w:val="00251C6B"/>
    <w:rsid w:val="00251D22"/>
    <w:rsid w:val="00251DD3"/>
    <w:rsid w:val="00251ECD"/>
    <w:rsid w:val="0025201F"/>
    <w:rsid w:val="002520E8"/>
    <w:rsid w:val="00252123"/>
    <w:rsid w:val="00252195"/>
    <w:rsid w:val="0025221A"/>
    <w:rsid w:val="00252325"/>
    <w:rsid w:val="00252537"/>
    <w:rsid w:val="002525FD"/>
    <w:rsid w:val="00252664"/>
    <w:rsid w:val="0025278E"/>
    <w:rsid w:val="002527D1"/>
    <w:rsid w:val="002527F8"/>
    <w:rsid w:val="002529A4"/>
    <w:rsid w:val="00252C4A"/>
    <w:rsid w:val="0025306C"/>
    <w:rsid w:val="002531CA"/>
    <w:rsid w:val="002531F2"/>
    <w:rsid w:val="002532D1"/>
    <w:rsid w:val="00253318"/>
    <w:rsid w:val="0025348F"/>
    <w:rsid w:val="002534B7"/>
    <w:rsid w:val="002534EF"/>
    <w:rsid w:val="00253638"/>
    <w:rsid w:val="002537C4"/>
    <w:rsid w:val="00253C90"/>
    <w:rsid w:val="00253CD6"/>
    <w:rsid w:val="00253D1B"/>
    <w:rsid w:val="00253D3E"/>
    <w:rsid w:val="00253D68"/>
    <w:rsid w:val="00253DE8"/>
    <w:rsid w:val="00253F6D"/>
    <w:rsid w:val="002540AC"/>
    <w:rsid w:val="00254307"/>
    <w:rsid w:val="002543DB"/>
    <w:rsid w:val="002544F6"/>
    <w:rsid w:val="00254675"/>
    <w:rsid w:val="002547DE"/>
    <w:rsid w:val="002548CD"/>
    <w:rsid w:val="00254E6A"/>
    <w:rsid w:val="00254E89"/>
    <w:rsid w:val="00254FA9"/>
    <w:rsid w:val="00254FD4"/>
    <w:rsid w:val="00255033"/>
    <w:rsid w:val="0025508A"/>
    <w:rsid w:val="002552D8"/>
    <w:rsid w:val="0025534A"/>
    <w:rsid w:val="00255519"/>
    <w:rsid w:val="002555B6"/>
    <w:rsid w:val="0025561B"/>
    <w:rsid w:val="002557D0"/>
    <w:rsid w:val="00255910"/>
    <w:rsid w:val="00255A06"/>
    <w:rsid w:val="00255A3D"/>
    <w:rsid w:val="00255C39"/>
    <w:rsid w:val="00255D4A"/>
    <w:rsid w:val="00255E32"/>
    <w:rsid w:val="002562FC"/>
    <w:rsid w:val="002562FF"/>
    <w:rsid w:val="00256346"/>
    <w:rsid w:val="002563E0"/>
    <w:rsid w:val="00256990"/>
    <w:rsid w:val="00256F66"/>
    <w:rsid w:val="002570DA"/>
    <w:rsid w:val="0025723E"/>
    <w:rsid w:val="00257406"/>
    <w:rsid w:val="002574C3"/>
    <w:rsid w:val="002575BF"/>
    <w:rsid w:val="00257682"/>
    <w:rsid w:val="002576B2"/>
    <w:rsid w:val="002576F2"/>
    <w:rsid w:val="00257716"/>
    <w:rsid w:val="00257731"/>
    <w:rsid w:val="00257763"/>
    <w:rsid w:val="002577CF"/>
    <w:rsid w:val="002577F1"/>
    <w:rsid w:val="00257A10"/>
    <w:rsid w:val="00257A1F"/>
    <w:rsid w:val="00257A32"/>
    <w:rsid w:val="00257BAE"/>
    <w:rsid w:val="00257CBE"/>
    <w:rsid w:val="00257F26"/>
    <w:rsid w:val="00257F38"/>
    <w:rsid w:val="00257FF7"/>
    <w:rsid w:val="002600CB"/>
    <w:rsid w:val="002602FF"/>
    <w:rsid w:val="00260434"/>
    <w:rsid w:val="00260544"/>
    <w:rsid w:val="00260632"/>
    <w:rsid w:val="00260645"/>
    <w:rsid w:val="002607CD"/>
    <w:rsid w:val="00260821"/>
    <w:rsid w:val="002608C7"/>
    <w:rsid w:val="00260ADE"/>
    <w:rsid w:val="00260B36"/>
    <w:rsid w:val="00260C4D"/>
    <w:rsid w:val="00260D4D"/>
    <w:rsid w:val="00261018"/>
    <w:rsid w:val="0026106F"/>
    <w:rsid w:val="002610F4"/>
    <w:rsid w:val="00261189"/>
    <w:rsid w:val="002612A4"/>
    <w:rsid w:val="0026141A"/>
    <w:rsid w:val="0026143A"/>
    <w:rsid w:val="002614A6"/>
    <w:rsid w:val="002614D8"/>
    <w:rsid w:val="00261610"/>
    <w:rsid w:val="00261895"/>
    <w:rsid w:val="00261897"/>
    <w:rsid w:val="002619A7"/>
    <w:rsid w:val="00261E2B"/>
    <w:rsid w:val="00261E7A"/>
    <w:rsid w:val="00261E94"/>
    <w:rsid w:val="00261EBD"/>
    <w:rsid w:val="00261F21"/>
    <w:rsid w:val="002620F6"/>
    <w:rsid w:val="002621BD"/>
    <w:rsid w:val="00262319"/>
    <w:rsid w:val="00262417"/>
    <w:rsid w:val="0026254D"/>
    <w:rsid w:val="0026263E"/>
    <w:rsid w:val="002627B2"/>
    <w:rsid w:val="00262919"/>
    <w:rsid w:val="00262AF8"/>
    <w:rsid w:val="00262B55"/>
    <w:rsid w:val="00262BE5"/>
    <w:rsid w:val="00262D18"/>
    <w:rsid w:val="00262D3F"/>
    <w:rsid w:val="00262E35"/>
    <w:rsid w:val="002630C9"/>
    <w:rsid w:val="00263200"/>
    <w:rsid w:val="00263415"/>
    <w:rsid w:val="002634D8"/>
    <w:rsid w:val="00263543"/>
    <w:rsid w:val="002636C6"/>
    <w:rsid w:val="00263786"/>
    <w:rsid w:val="002638D1"/>
    <w:rsid w:val="00263C25"/>
    <w:rsid w:val="00263D2A"/>
    <w:rsid w:val="00263E2A"/>
    <w:rsid w:val="00263EA4"/>
    <w:rsid w:val="00264330"/>
    <w:rsid w:val="0026453A"/>
    <w:rsid w:val="002647EC"/>
    <w:rsid w:val="00264AF0"/>
    <w:rsid w:val="00264C5D"/>
    <w:rsid w:val="00264CC6"/>
    <w:rsid w:val="00264D00"/>
    <w:rsid w:val="00265069"/>
    <w:rsid w:val="00265207"/>
    <w:rsid w:val="002652A4"/>
    <w:rsid w:val="00265357"/>
    <w:rsid w:val="002654C0"/>
    <w:rsid w:val="00265552"/>
    <w:rsid w:val="002655CA"/>
    <w:rsid w:val="002655F9"/>
    <w:rsid w:val="00265638"/>
    <w:rsid w:val="0026568E"/>
    <w:rsid w:val="00265785"/>
    <w:rsid w:val="002657FE"/>
    <w:rsid w:val="00265925"/>
    <w:rsid w:val="0026596D"/>
    <w:rsid w:val="00265A0A"/>
    <w:rsid w:val="00265A53"/>
    <w:rsid w:val="00265AAC"/>
    <w:rsid w:val="00265F80"/>
    <w:rsid w:val="00265FA4"/>
    <w:rsid w:val="00266001"/>
    <w:rsid w:val="002664C7"/>
    <w:rsid w:val="0026677D"/>
    <w:rsid w:val="002667BD"/>
    <w:rsid w:val="00266846"/>
    <w:rsid w:val="002669F6"/>
    <w:rsid w:val="00266E03"/>
    <w:rsid w:val="00266FE2"/>
    <w:rsid w:val="00266FF8"/>
    <w:rsid w:val="00267268"/>
    <w:rsid w:val="0026726D"/>
    <w:rsid w:val="00267325"/>
    <w:rsid w:val="0026732C"/>
    <w:rsid w:val="002673F8"/>
    <w:rsid w:val="00267480"/>
    <w:rsid w:val="00267589"/>
    <w:rsid w:val="00267601"/>
    <w:rsid w:val="002676AB"/>
    <w:rsid w:val="002678E5"/>
    <w:rsid w:val="0026792A"/>
    <w:rsid w:val="00267D06"/>
    <w:rsid w:val="00267D96"/>
    <w:rsid w:val="00267E8D"/>
    <w:rsid w:val="00267ECA"/>
    <w:rsid w:val="00267F10"/>
    <w:rsid w:val="00267F3F"/>
    <w:rsid w:val="00270204"/>
    <w:rsid w:val="0027030F"/>
    <w:rsid w:val="002704BE"/>
    <w:rsid w:val="0027059E"/>
    <w:rsid w:val="002705EC"/>
    <w:rsid w:val="00270718"/>
    <w:rsid w:val="00270AEC"/>
    <w:rsid w:val="00270B0A"/>
    <w:rsid w:val="00270B3E"/>
    <w:rsid w:val="00271060"/>
    <w:rsid w:val="0027107A"/>
    <w:rsid w:val="0027134A"/>
    <w:rsid w:val="0027156B"/>
    <w:rsid w:val="0027174A"/>
    <w:rsid w:val="00271A3C"/>
    <w:rsid w:val="00271A86"/>
    <w:rsid w:val="00271AC9"/>
    <w:rsid w:val="00271BAA"/>
    <w:rsid w:val="00271CAF"/>
    <w:rsid w:val="00271D3E"/>
    <w:rsid w:val="00271D8F"/>
    <w:rsid w:val="00271E8E"/>
    <w:rsid w:val="00271F62"/>
    <w:rsid w:val="00272264"/>
    <w:rsid w:val="0027229C"/>
    <w:rsid w:val="002723D8"/>
    <w:rsid w:val="0027254F"/>
    <w:rsid w:val="0027256C"/>
    <w:rsid w:val="0027266A"/>
    <w:rsid w:val="002728CA"/>
    <w:rsid w:val="00272AC5"/>
    <w:rsid w:val="00272B37"/>
    <w:rsid w:val="00272B5E"/>
    <w:rsid w:val="00272C76"/>
    <w:rsid w:val="00272D6C"/>
    <w:rsid w:val="00272D71"/>
    <w:rsid w:val="00272D81"/>
    <w:rsid w:val="002731E0"/>
    <w:rsid w:val="0027335D"/>
    <w:rsid w:val="00273AF6"/>
    <w:rsid w:val="00273B72"/>
    <w:rsid w:val="00273C48"/>
    <w:rsid w:val="00273C75"/>
    <w:rsid w:val="00273CC2"/>
    <w:rsid w:val="0027409F"/>
    <w:rsid w:val="00274115"/>
    <w:rsid w:val="0027418B"/>
    <w:rsid w:val="00274356"/>
    <w:rsid w:val="002743F2"/>
    <w:rsid w:val="00274516"/>
    <w:rsid w:val="0027466B"/>
    <w:rsid w:val="0027478E"/>
    <w:rsid w:val="00274B63"/>
    <w:rsid w:val="00274CBA"/>
    <w:rsid w:val="00274E46"/>
    <w:rsid w:val="0027512C"/>
    <w:rsid w:val="00275157"/>
    <w:rsid w:val="0027517B"/>
    <w:rsid w:val="002754CA"/>
    <w:rsid w:val="002756A1"/>
    <w:rsid w:val="00275767"/>
    <w:rsid w:val="0027582A"/>
    <w:rsid w:val="0027582B"/>
    <w:rsid w:val="00275860"/>
    <w:rsid w:val="00275C01"/>
    <w:rsid w:val="00275C82"/>
    <w:rsid w:val="00275D3B"/>
    <w:rsid w:val="00275E80"/>
    <w:rsid w:val="00275EDC"/>
    <w:rsid w:val="00275F5F"/>
    <w:rsid w:val="00275F7D"/>
    <w:rsid w:val="00276196"/>
    <w:rsid w:val="00276235"/>
    <w:rsid w:val="0027623C"/>
    <w:rsid w:val="00276304"/>
    <w:rsid w:val="00276514"/>
    <w:rsid w:val="0027658E"/>
    <w:rsid w:val="00276D09"/>
    <w:rsid w:val="0027701A"/>
    <w:rsid w:val="00277141"/>
    <w:rsid w:val="0027751A"/>
    <w:rsid w:val="00277624"/>
    <w:rsid w:val="002776B2"/>
    <w:rsid w:val="0027782A"/>
    <w:rsid w:val="00277933"/>
    <w:rsid w:val="00277A6D"/>
    <w:rsid w:val="00277A85"/>
    <w:rsid w:val="00277B36"/>
    <w:rsid w:val="00277C74"/>
    <w:rsid w:val="00277CBD"/>
    <w:rsid w:val="0028004E"/>
    <w:rsid w:val="00280190"/>
    <w:rsid w:val="002802BC"/>
    <w:rsid w:val="0028031C"/>
    <w:rsid w:val="00280348"/>
    <w:rsid w:val="0028072E"/>
    <w:rsid w:val="00280747"/>
    <w:rsid w:val="002807B7"/>
    <w:rsid w:val="002809DB"/>
    <w:rsid w:val="00280B91"/>
    <w:rsid w:val="00280D88"/>
    <w:rsid w:val="00280DED"/>
    <w:rsid w:val="002811E2"/>
    <w:rsid w:val="0028137E"/>
    <w:rsid w:val="00281698"/>
    <w:rsid w:val="00281758"/>
    <w:rsid w:val="002817B7"/>
    <w:rsid w:val="002819EC"/>
    <w:rsid w:val="00281B37"/>
    <w:rsid w:val="00281C3F"/>
    <w:rsid w:val="00281E11"/>
    <w:rsid w:val="00281EF6"/>
    <w:rsid w:val="00281F6E"/>
    <w:rsid w:val="00281FCC"/>
    <w:rsid w:val="002823AE"/>
    <w:rsid w:val="0028259D"/>
    <w:rsid w:val="00282670"/>
    <w:rsid w:val="0028278C"/>
    <w:rsid w:val="002827E6"/>
    <w:rsid w:val="0028280D"/>
    <w:rsid w:val="00282827"/>
    <w:rsid w:val="002829CD"/>
    <w:rsid w:val="002829D0"/>
    <w:rsid w:val="00282C0F"/>
    <w:rsid w:val="00283097"/>
    <w:rsid w:val="00283417"/>
    <w:rsid w:val="0028355F"/>
    <w:rsid w:val="002835CA"/>
    <w:rsid w:val="00283814"/>
    <w:rsid w:val="00283A43"/>
    <w:rsid w:val="00283B72"/>
    <w:rsid w:val="00283B7C"/>
    <w:rsid w:val="00283B89"/>
    <w:rsid w:val="00283BAD"/>
    <w:rsid w:val="00283C2B"/>
    <w:rsid w:val="00283CA4"/>
    <w:rsid w:val="00283D29"/>
    <w:rsid w:val="00283DD3"/>
    <w:rsid w:val="00283FEF"/>
    <w:rsid w:val="00284098"/>
    <w:rsid w:val="002841B4"/>
    <w:rsid w:val="002842D3"/>
    <w:rsid w:val="002842F1"/>
    <w:rsid w:val="00284552"/>
    <w:rsid w:val="00284686"/>
    <w:rsid w:val="002846E6"/>
    <w:rsid w:val="00284837"/>
    <w:rsid w:val="002848C6"/>
    <w:rsid w:val="0028490A"/>
    <w:rsid w:val="00284995"/>
    <w:rsid w:val="00284AC2"/>
    <w:rsid w:val="00284AF8"/>
    <w:rsid w:val="00284B62"/>
    <w:rsid w:val="00284BCB"/>
    <w:rsid w:val="00284C28"/>
    <w:rsid w:val="00284CDF"/>
    <w:rsid w:val="00284E47"/>
    <w:rsid w:val="00284F1A"/>
    <w:rsid w:val="00284F32"/>
    <w:rsid w:val="00284F88"/>
    <w:rsid w:val="00284F8A"/>
    <w:rsid w:val="00285089"/>
    <w:rsid w:val="002850D6"/>
    <w:rsid w:val="002852E6"/>
    <w:rsid w:val="00285330"/>
    <w:rsid w:val="00285353"/>
    <w:rsid w:val="002855E9"/>
    <w:rsid w:val="00285712"/>
    <w:rsid w:val="0028575E"/>
    <w:rsid w:val="00285780"/>
    <w:rsid w:val="00285930"/>
    <w:rsid w:val="00285A3D"/>
    <w:rsid w:val="00285BDD"/>
    <w:rsid w:val="00285C36"/>
    <w:rsid w:val="00285DE8"/>
    <w:rsid w:val="00285EF3"/>
    <w:rsid w:val="00286081"/>
    <w:rsid w:val="00286270"/>
    <w:rsid w:val="002862B7"/>
    <w:rsid w:val="002866D6"/>
    <w:rsid w:val="002866EA"/>
    <w:rsid w:val="00286833"/>
    <w:rsid w:val="0028699C"/>
    <w:rsid w:val="00286A21"/>
    <w:rsid w:val="00286B46"/>
    <w:rsid w:val="00286BDF"/>
    <w:rsid w:val="00286C23"/>
    <w:rsid w:val="00286E03"/>
    <w:rsid w:val="00286E6E"/>
    <w:rsid w:val="00286EBC"/>
    <w:rsid w:val="00286F50"/>
    <w:rsid w:val="00287014"/>
    <w:rsid w:val="002870D1"/>
    <w:rsid w:val="002870E9"/>
    <w:rsid w:val="002870F7"/>
    <w:rsid w:val="002871A5"/>
    <w:rsid w:val="00287223"/>
    <w:rsid w:val="002873C1"/>
    <w:rsid w:val="002874F8"/>
    <w:rsid w:val="002875B1"/>
    <w:rsid w:val="002877D9"/>
    <w:rsid w:val="00287CB0"/>
    <w:rsid w:val="00287DCF"/>
    <w:rsid w:val="00287E04"/>
    <w:rsid w:val="00287E33"/>
    <w:rsid w:val="0029004A"/>
    <w:rsid w:val="00290134"/>
    <w:rsid w:val="002902C6"/>
    <w:rsid w:val="00290429"/>
    <w:rsid w:val="00290505"/>
    <w:rsid w:val="0029052E"/>
    <w:rsid w:val="00290534"/>
    <w:rsid w:val="00290790"/>
    <w:rsid w:val="002909B7"/>
    <w:rsid w:val="00290A0E"/>
    <w:rsid w:val="00290B5B"/>
    <w:rsid w:val="00290BBC"/>
    <w:rsid w:val="00290BC2"/>
    <w:rsid w:val="00290BD6"/>
    <w:rsid w:val="00290C01"/>
    <w:rsid w:val="00290ECE"/>
    <w:rsid w:val="00290EFF"/>
    <w:rsid w:val="00290FFE"/>
    <w:rsid w:val="002911A8"/>
    <w:rsid w:val="002911B1"/>
    <w:rsid w:val="002911C3"/>
    <w:rsid w:val="00291239"/>
    <w:rsid w:val="0029127E"/>
    <w:rsid w:val="00291308"/>
    <w:rsid w:val="00291573"/>
    <w:rsid w:val="002916A1"/>
    <w:rsid w:val="00291748"/>
    <w:rsid w:val="0029175F"/>
    <w:rsid w:val="0029177D"/>
    <w:rsid w:val="002917CA"/>
    <w:rsid w:val="0029184B"/>
    <w:rsid w:val="00291856"/>
    <w:rsid w:val="002918E0"/>
    <w:rsid w:val="002919CA"/>
    <w:rsid w:val="00291A31"/>
    <w:rsid w:val="00291A61"/>
    <w:rsid w:val="00291B9F"/>
    <w:rsid w:val="00291DD4"/>
    <w:rsid w:val="00291E83"/>
    <w:rsid w:val="00291FAF"/>
    <w:rsid w:val="00291FC0"/>
    <w:rsid w:val="00292119"/>
    <w:rsid w:val="00292197"/>
    <w:rsid w:val="00292313"/>
    <w:rsid w:val="00292363"/>
    <w:rsid w:val="002925C8"/>
    <w:rsid w:val="0029268E"/>
    <w:rsid w:val="002927D1"/>
    <w:rsid w:val="00292938"/>
    <w:rsid w:val="0029299A"/>
    <w:rsid w:val="00292ABF"/>
    <w:rsid w:val="00292C11"/>
    <w:rsid w:val="00292C6F"/>
    <w:rsid w:val="00292C7C"/>
    <w:rsid w:val="00292DB7"/>
    <w:rsid w:val="00292F2D"/>
    <w:rsid w:val="00292FC6"/>
    <w:rsid w:val="00293154"/>
    <w:rsid w:val="002933B8"/>
    <w:rsid w:val="0029345C"/>
    <w:rsid w:val="002935C0"/>
    <w:rsid w:val="002936A4"/>
    <w:rsid w:val="002936FE"/>
    <w:rsid w:val="002937AB"/>
    <w:rsid w:val="00293A41"/>
    <w:rsid w:val="00293B88"/>
    <w:rsid w:val="00293C2B"/>
    <w:rsid w:val="00293C90"/>
    <w:rsid w:val="00293C97"/>
    <w:rsid w:val="00293D56"/>
    <w:rsid w:val="00293EFF"/>
    <w:rsid w:val="002940AA"/>
    <w:rsid w:val="002941D2"/>
    <w:rsid w:val="002941F1"/>
    <w:rsid w:val="002941FF"/>
    <w:rsid w:val="00294288"/>
    <w:rsid w:val="002942E3"/>
    <w:rsid w:val="002943EB"/>
    <w:rsid w:val="002943ED"/>
    <w:rsid w:val="00294450"/>
    <w:rsid w:val="00294494"/>
    <w:rsid w:val="00294509"/>
    <w:rsid w:val="00294700"/>
    <w:rsid w:val="00294717"/>
    <w:rsid w:val="002947A4"/>
    <w:rsid w:val="002948FC"/>
    <w:rsid w:val="00294BB2"/>
    <w:rsid w:val="00294D5B"/>
    <w:rsid w:val="00294D91"/>
    <w:rsid w:val="00294E90"/>
    <w:rsid w:val="00294EBC"/>
    <w:rsid w:val="00294EF0"/>
    <w:rsid w:val="00294F40"/>
    <w:rsid w:val="00294F9F"/>
    <w:rsid w:val="002951B0"/>
    <w:rsid w:val="002951C3"/>
    <w:rsid w:val="0029527A"/>
    <w:rsid w:val="002954E3"/>
    <w:rsid w:val="00295815"/>
    <w:rsid w:val="00295881"/>
    <w:rsid w:val="00295A5F"/>
    <w:rsid w:val="00295C67"/>
    <w:rsid w:val="00295E46"/>
    <w:rsid w:val="002960C0"/>
    <w:rsid w:val="002961E4"/>
    <w:rsid w:val="002961FB"/>
    <w:rsid w:val="0029622B"/>
    <w:rsid w:val="00296439"/>
    <w:rsid w:val="0029661F"/>
    <w:rsid w:val="002967B2"/>
    <w:rsid w:val="002967C4"/>
    <w:rsid w:val="00296834"/>
    <w:rsid w:val="00296A72"/>
    <w:rsid w:val="00296B0A"/>
    <w:rsid w:val="00296BBC"/>
    <w:rsid w:val="00296E66"/>
    <w:rsid w:val="00297049"/>
    <w:rsid w:val="00297365"/>
    <w:rsid w:val="00297412"/>
    <w:rsid w:val="00297678"/>
    <w:rsid w:val="00297714"/>
    <w:rsid w:val="002977DF"/>
    <w:rsid w:val="0029783F"/>
    <w:rsid w:val="0029797A"/>
    <w:rsid w:val="0029799A"/>
    <w:rsid w:val="002979CC"/>
    <w:rsid w:val="00297C53"/>
    <w:rsid w:val="00297C5B"/>
    <w:rsid w:val="00297E40"/>
    <w:rsid w:val="00297E6F"/>
    <w:rsid w:val="002A0137"/>
    <w:rsid w:val="002A02CE"/>
    <w:rsid w:val="002A02FC"/>
    <w:rsid w:val="002A03CB"/>
    <w:rsid w:val="002A07D8"/>
    <w:rsid w:val="002A086A"/>
    <w:rsid w:val="002A087A"/>
    <w:rsid w:val="002A08C8"/>
    <w:rsid w:val="002A09F7"/>
    <w:rsid w:val="002A0A79"/>
    <w:rsid w:val="002A0B3E"/>
    <w:rsid w:val="002A0B4F"/>
    <w:rsid w:val="002A0BF6"/>
    <w:rsid w:val="002A0E8B"/>
    <w:rsid w:val="002A105D"/>
    <w:rsid w:val="002A137E"/>
    <w:rsid w:val="002A13A6"/>
    <w:rsid w:val="002A1406"/>
    <w:rsid w:val="002A1413"/>
    <w:rsid w:val="002A1416"/>
    <w:rsid w:val="002A1610"/>
    <w:rsid w:val="002A162D"/>
    <w:rsid w:val="002A1646"/>
    <w:rsid w:val="002A170A"/>
    <w:rsid w:val="002A1732"/>
    <w:rsid w:val="002A1805"/>
    <w:rsid w:val="002A1845"/>
    <w:rsid w:val="002A185F"/>
    <w:rsid w:val="002A1D5B"/>
    <w:rsid w:val="002A1E20"/>
    <w:rsid w:val="002A1F2B"/>
    <w:rsid w:val="002A1F55"/>
    <w:rsid w:val="002A215D"/>
    <w:rsid w:val="002A2301"/>
    <w:rsid w:val="002A2392"/>
    <w:rsid w:val="002A23D7"/>
    <w:rsid w:val="002A2810"/>
    <w:rsid w:val="002A2AAA"/>
    <w:rsid w:val="002A2AF8"/>
    <w:rsid w:val="002A2D64"/>
    <w:rsid w:val="002A2DEE"/>
    <w:rsid w:val="002A2F4D"/>
    <w:rsid w:val="002A2FF0"/>
    <w:rsid w:val="002A3167"/>
    <w:rsid w:val="002A324A"/>
    <w:rsid w:val="002A333A"/>
    <w:rsid w:val="002A3482"/>
    <w:rsid w:val="002A3531"/>
    <w:rsid w:val="002A365C"/>
    <w:rsid w:val="002A36FF"/>
    <w:rsid w:val="002A3794"/>
    <w:rsid w:val="002A3888"/>
    <w:rsid w:val="002A388A"/>
    <w:rsid w:val="002A39BD"/>
    <w:rsid w:val="002A3A5B"/>
    <w:rsid w:val="002A3DA2"/>
    <w:rsid w:val="002A3DA8"/>
    <w:rsid w:val="002A3E90"/>
    <w:rsid w:val="002A3EA8"/>
    <w:rsid w:val="002A3F09"/>
    <w:rsid w:val="002A3F85"/>
    <w:rsid w:val="002A446B"/>
    <w:rsid w:val="002A44A1"/>
    <w:rsid w:val="002A4631"/>
    <w:rsid w:val="002A47C7"/>
    <w:rsid w:val="002A48DB"/>
    <w:rsid w:val="002A4A4D"/>
    <w:rsid w:val="002A4D47"/>
    <w:rsid w:val="002A4E4E"/>
    <w:rsid w:val="002A4F4D"/>
    <w:rsid w:val="002A5027"/>
    <w:rsid w:val="002A5138"/>
    <w:rsid w:val="002A521C"/>
    <w:rsid w:val="002A5328"/>
    <w:rsid w:val="002A551A"/>
    <w:rsid w:val="002A558A"/>
    <w:rsid w:val="002A5604"/>
    <w:rsid w:val="002A574B"/>
    <w:rsid w:val="002A5806"/>
    <w:rsid w:val="002A5948"/>
    <w:rsid w:val="002A59FD"/>
    <w:rsid w:val="002A5B35"/>
    <w:rsid w:val="002A5C20"/>
    <w:rsid w:val="002A5DC1"/>
    <w:rsid w:val="002A60F6"/>
    <w:rsid w:val="002A6279"/>
    <w:rsid w:val="002A6343"/>
    <w:rsid w:val="002A646C"/>
    <w:rsid w:val="002A654E"/>
    <w:rsid w:val="002A65EF"/>
    <w:rsid w:val="002A6609"/>
    <w:rsid w:val="002A66A3"/>
    <w:rsid w:val="002A6A16"/>
    <w:rsid w:val="002A6C99"/>
    <w:rsid w:val="002A6CB8"/>
    <w:rsid w:val="002A6D05"/>
    <w:rsid w:val="002A6EC6"/>
    <w:rsid w:val="002A705D"/>
    <w:rsid w:val="002A753E"/>
    <w:rsid w:val="002A75CA"/>
    <w:rsid w:val="002A75D0"/>
    <w:rsid w:val="002A76A5"/>
    <w:rsid w:val="002A76AB"/>
    <w:rsid w:val="002A77DE"/>
    <w:rsid w:val="002A77F1"/>
    <w:rsid w:val="002A7AC8"/>
    <w:rsid w:val="002A7BD0"/>
    <w:rsid w:val="002B0058"/>
    <w:rsid w:val="002B010F"/>
    <w:rsid w:val="002B0300"/>
    <w:rsid w:val="002B0378"/>
    <w:rsid w:val="002B039A"/>
    <w:rsid w:val="002B03B3"/>
    <w:rsid w:val="002B059C"/>
    <w:rsid w:val="002B05CA"/>
    <w:rsid w:val="002B0628"/>
    <w:rsid w:val="002B06D1"/>
    <w:rsid w:val="002B06DE"/>
    <w:rsid w:val="002B07B4"/>
    <w:rsid w:val="002B08B7"/>
    <w:rsid w:val="002B095A"/>
    <w:rsid w:val="002B0AEF"/>
    <w:rsid w:val="002B0B24"/>
    <w:rsid w:val="002B0B51"/>
    <w:rsid w:val="002B0DB2"/>
    <w:rsid w:val="002B0DF3"/>
    <w:rsid w:val="002B0DFF"/>
    <w:rsid w:val="002B0F40"/>
    <w:rsid w:val="002B10AB"/>
    <w:rsid w:val="002B137E"/>
    <w:rsid w:val="002B14E5"/>
    <w:rsid w:val="002B14E8"/>
    <w:rsid w:val="002B172B"/>
    <w:rsid w:val="002B1732"/>
    <w:rsid w:val="002B17DF"/>
    <w:rsid w:val="002B17FA"/>
    <w:rsid w:val="002B1A2B"/>
    <w:rsid w:val="002B1AD8"/>
    <w:rsid w:val="002B1B2D"/>
    <w:rsid w:val="002B1B61"/>
    <w:rsid w:val="002B1BC4"/>
    <w:rsid w:val="002B1C2E"/>
    <w:rsid w:val="002B1E14"/>
    <w:rsid w:val="002B1F3A"/>
    <w:rsid w:val="002B2218"/>
    <w:rsid w:val="002B2232"/>
    <w:rsid w:val="002B2287"/>
    <w:rsid w:val="002B232E"/>
    <w:rsid w:val="002B2346"/>
    <w:rsid w:val="002B23A1"/>
    <w:rsid w:val="002B23CC"/>
    <w:rsid w:val="002B25D6"/>
    <w:rsid w:val="002B29BD"/>
    <w:rsid w:val="002B2A46"/>
    <w:rsid w:val="002B3095"/>
    <w:rsid w:val="002B30BF"/>
    <w:rsid w:val="002B3211"/>
    <w:rsid w:val="002B32A2"/>
    <w:rsid w:val="002B3798"/>
    <w:rsid w:val="002B3949"/>
    <w:rsid w:val="002B3A72"/>
    <w:rsid w:val="002B3B52"/>
    <w:rsid w:val="002B3D49"/>
    <w:rsid w:val="002B3E0F"/>
    <w:rsid w:val="002B3F35"/>
    <w:rsid w:val="002B3FBF"/>
    <w:rsid w:val="002B420B"/>
    <w:rsid w:val="002B4316"/>
    <w:rsid w:val="002B432B"/>
    <w:rsid w:val="002B433D"/>
    <w:rsid w:val="002B45B1"/>
    <w:rsid w:val="002B47B9"/>
    <w:rsid w:val="002B4874"/>
    <w:rsid w:val="002B48AF"/>
    <w:rsid w:val="002B49B9"/>
    <w:rsid w:val="002B4A00"/>
    <w:rsid w:val="002B4BD6"/>
    <w:rsid w:val="002B4EAF"/>
    <w:rsid w:val="002B4EE5"/>
    <w:rsid w:val="002B506C"/>
    <w:rsid w:val="002B5127"/>
    <w:rsid w:val="002B5204"/>
    <w:rsid w:val="002B5289"/>
    <w:rsid w:val="002B52E9"/>
    <w:rsid w:val="002B54F6"/>
    <w:rsid w:val="002B5638"/>
    <w:rsid w:val="002B56BA"/>
    <w:rsid w:val="002B56C5"/>
    <w:rsid w:val="002B588B"/>
    <w:rsid w:val="002B59D7"/>
    <w:rsid w:val="002B5B3C"/>
    <w:rsid w:val="002B5D7B"/>
    <w:rsid w:val="002B5D95"/>
    <w:rsid w:val="002B5FA6"/>
    <w:rsid w:val="002B6114"/>
    <w:rsid w:val="002B63AA"/>
    <w:rsid w:val="002B6587"/>
    <w:rsid w:val="002B6659"/>
    <w:rsid w:val="002B686C"/>
    <w:rsid w:val="002B6AB2"/>
    <w:rsid w:val="002B6ACA"/>
    <w:rsid w:val="002B6BAA"/>
    <w:rsid w:val="002B6BF7"/>
    <w:rsid w:val="002B6CE3"/>
    <w:rsid w:val="002B707A"/>
    <w:rsid w:val="002B7252"/>
    <w:rsid w:val="002B72F2"/>
    <w:rsid w:val="002B7336"/>
    <w:rsid w:val="002B7356"/>
    <w:rsid w:val="002B75C2"/>
    <w:rsid w:val="002B7666"/>
    <w:rsid w:val="002B767B"/>
    <w:rsid w:val="002B77E5"/>
    <w:rsid w:val="002B7960"/>
    <w:rsid w:val="002B7B33"/>
    <w:rsid w:val="002B7CB0"/>
    <w:rsid w:val="002B7D6C"/>
    <w:rsid w:val="002B7DD3"/>
    <w:rsid w:val="002C0153"/>
    <w:rsid w:val="002C019A"/>
    <w:rsid w:val="002C01DC"/>
    <w:rsid w:val="002C022C"/>
    <w:rsid w:val="002C02F0"/>
    <w:rsid w:val="002C0329"/>
    <w:rsid w:val="002C032D"/>
    <w:rsid w:val="002C0718"/>
    <w:rsid w:val="002C07BF"/>
    <w:rsid w:val="002C08E3"/>
    <w:rsid w:val="002C0B0F"/>
    <w:rsid w:val="002C0CDE"/>
    <w:rsid w:val="002C0CE2"/>
    <w:rsid w:val="002C0F53"/>
    <w:rsid w:val="002C10BA"/>
    <w:rsid w:val="002C12B0"/>
    <w:rsid w:val="002C13AC"/>
    <w:rsid w:val="002C157D"/>
    <w:rsid w:val="002C15C6"/>
    <w:rsid w:val="002C17EE"/>
    <w:rsid w:val="002C1942"/>
    <w:rsid w:val="002C1AEC"/>
    <w:rsid w:val="002C1C99"/>
    <w:rsid w:val="002C20E5"/>
    <w:rsid w:val="002C2123"/>
    <w:rsid w:val="002C2211"/>
    <w:rsid w:val="002C2280"/>
    <w:rsid w:val="002C22F4"/>
    <w:rsid w:val="002C232E"/>
    <w:rsid w:val="002C2642"/>
    <w:rsid w:val="002C2727"/>
    <w:rsid w:val="002C29A0"/>
    <w:rsid w:val="002C2AC3"/>
    <w:rsid w:val="002C2C7A"/>
    <w:rsid w:val="002C2CB3"/>
    <w:rsid w:val="002C2DFB"/>
    <w:rsid w:val="002C2E6F"/>
    <w:rsid w:val="002C2F29"/>
    <w:rsid w:val="002C2F4C"/>
    <w:rsid w:val="002C2FE7"/>
    <w:rsid w:val="002C30AA"/>
    <w:rsid w:val="002C31DF"/>
    <w:rsid w:val="002C3419"/>
    <w:rsid w:val="002C36DD"/>
    <w:rsid w:val="002C3AB3"/>
    <w:rsid w:val="002C3C0C"/>
    <w:rsid w:val="002C3D42"/>
    <w:rsid w:val="002C3D81"/>
    <w:rsid w:val="002C3D9B"/>
    <w:rsid w:val="002C4171"/>
    <w:rsid w:val="002C4258"/>
    <w:rsid w:val="002C44C3"/>
    <w:rsid w:val="002C4525"/>
    <w:rsid w:val="002C4638"/>
    <w:rsid w:val="002C47FA"/>
    <w:rsid w:val="002C4AF1"/>
    <w:rsid w:val="002C4F56"/>
    <w:rsid w:val="002C4FA3"/>
    <w:rsid w:val="002C4FAD"/>
    <w:rsid w:val="002C501A"/>
    <w:rsid w:val="002C5101"/>
    <w:rsid w:val="002C5180"/>
    <w:rsid w:val="002C523B"/>
    <w:rsid w:val="002C5288"/>
    <w:rsid w:val="002C528C"/>
    <w:rsid w:val="002C5644"/>
    <w:rsid w:val="002C57C0"/>
    <w:rsid w:val="002C5807"/>
    <w:rsid w:val="002C582C"/>
    <w:rsid w:val="002C5851"/>
    <w:rsid w:val="002C5924"/>
    <w:rsid w:val="002C59D9"/>
    <w:rsid w:val="002C5A89"/>
    <w:rsid w:val="002C5D9B"/>
    <w:rsid w:val="002C6159"/>
    <w:rsid w:val="002C61AD"/>
    <w:rsid w:val="002C621E"/>
    <w:rsid w:val="002C645A"/>
    <w:rsid w:val="002C657E"/>
    <w:rsid w:val="002C6A93"/>
    <w:rsid w:val="002C6AA4"/>
    <w:rsid w:val="002C6ADE"/>
    <w:rsid w:val="002C6BCE"/>
    <w:rsid w:val="002C6C23"/>
    <w:rsid w:val="002C6C49"/>
    <w:rsid w:val="002C6CBE"/>
    <w:rsid w:val="002C7009"/>
    <w:rsid w:val="002C7431"/>
    <w:rsid w:val="002C7516"/>
    <w:rsid w:val="002C754F"/>
    <w:rsid w:val="002C7583"/>
    <w:rsid w:val="002C7668"/>
    <w:rsid w:val="002C77F0"/>
    <w:rsid w:val="002C7942"/>
    <w:rsid w:val="002C79A6"/>
    <w:rsid w:val="002C79B5"/>
    <w:rsid w:val="002C7B38"/>
    <w:rsid w:val="002C7CE5"/>
    <w:rsid w:val="002C7D03"/>
    <w:rsid w:val="002C7F1B"/>
    <w:rsid w:val="002D01BB"/>
    <w:rsid w:val="002D03EC"/>
    <w:rsid w:val="002D04DE"/>
    <w:rsid w:val="002D0603"/>
    <w:rsid w:val="002D085B"/>
    <w:rsid w:val="002D0C76"/>
    <w:rsid w:val="002D0EFF"/>
    <w:rsid w:val="002D10B8"/>
    <w:rsid w:val="002D110A"/>
    <w:rsid w:val="002D1463"/>
    <w:rsid w:val="002D1466"/>
    <w:rsid w:val="002D1496"/>
    <w:rsid w:val="002D162B"/>
    <w:rsid w:val="002D1989"/>
    <w:rsid w:val="002D199F"/>
    <w:rsid w:val="002D1A24"/>
    <w:rsid w:val="002D1BD0"/>
    <w:rsid w:val="002D1C4B"/>
    <w:rsid w:val="002D1D73"/>
    <w:rsid w:val="002D204B"/>
    <w:rsid w:val="002D2111"/>
    <w:rsid w:val="002D2139"/>
    <w:rsid w:val="002D233B"/>
    <w:rsid w:val="002D24A3"/>
    <w:rsid w:val="002D24B1"/>
    <w:rsid w:val="002D256D"/>
    <w:rsid w:val="002D2654"/>
    <w:rsid w:val="002D2735"/>
    <w:rsid w:val="002D27E9"/>
    <w:rsid w:val="002D283C"/>
    <w:rsid w:val="002D2947"/>
    <w:rsid w:val="002D2ACC"/>
    <w:rsid w:val="002D2AE3"/>
    <w:rsid w:val="002D2BC2"/>
    <w:rsid w:val="002D2C40"/>
    <w:rsid w:val="002D2D0F"/>
    <w:rsid w:val="002D2DFD"/>
    <w:rsid w:val="002D2E98"/>
    <w:rsid w:val="002D2EE2"/>
    <w:rsid w:val="002D2F4D"/>
    <w:rsid w:val="002D3096"/>
    <w:rsid w:val="002D312C"/>
    <w:rsid w:val="002D3156"/>
    <w:rsid w:val="002D3217"/>
    <w:rsid w:val="002D34C5"/>
    <w:rsid w:val="002D358A"/>
    <w:rsid w:val="002D35E3"/>
    <w:rsid w:val="002D3680"/>
    <w:rsid w:val="002D36AA"/>
    <w:rsid w:val="002D3703"/>
    <w:rsid w:val="002D372E"/>
    <w:rsid w:val="002D37D9"/>
    <w:rsid w:val="002D3A9F"/>
    <w:rsid w:val="002D3BC2"/>
    <w:rsid w:val="002D3BD9"/>
    <w:rsid w:val="002D3E59"/>
    <w:rsid w:val="002D4249"/>
    <w:rsid w:val="002D437F"/>
    <w:rsid w:val="002D442D"/>
    <w:rsid w:val="002D451C"/>
    <w:rsid w:val="002D459C"/>
    <w:rsid w:val="002D471D"/>
    <w:rsid w:val="002D4761"/>
    <w:rsid w:val="002D4861"/>
    <w:rsid w:val="002D4878"/>
    <w:rsid w:val="002D4970"/>
    <w:rsid w:val="002D4A56"/>
    <w:rsid w:val="002D4C4B"/>
    <w:rsid w:val="002D4CB9"/>
    <w:rsid w:val="002D4E0F"/>
    <w:rsid w:val="002D4E5B"/>
    <w:rsid w:val="002D4E81"/>
    <w:rsid w:val="002D4F85"/>
    <w:rsid w:val="002D509A"/>
    <w:rsid w:val="002D514C"/>
    <w:rsid w:val="002D5563"/>
    <w:rsid w:val="002D55E7"/>
    <w:rsid w:val="002D567B"/>
    <w:rsid w:val="002D574F"/>
    <w:rsid w:val="002D5804"/>
    <w:rsid w:val="002D594B"/>
    <w:rsid w:val="002D5B14"/>
    <w:rsid w:val="002D5B22"/>
    <w:rsid w:val="002D5F02"/>
    <w:rsid w:val="002D6203"/>
    <w:rsid w:val="002D65AD"/>
    <w:rsid w:val="002D6731"/>
    <w:rsid w:val="002D67A7"/>
    <w:rsid w:val="002D69C1"/>
    <w:rsid w:val="002D6ECE"/>
    <w:rsid w:val="002D6EEF"/>
    <w:rsid w:val="002D7051"/>
    <w:rsid w:val="002D7164"/>
    <w:rsid w:val="002D716F"/>
    <w:rsid w:val="002D71DA"/>
    <w:rsid w:val="002D7219"/>
    <w:rsid w:val="002D746C"/>
    <w:rsid w:val="002D74B4"/>
    <w:rsid w:val="002D79C7"/>
    <w:rsid w:val="002D7A45"/>
    <w:rsid w:val="002D7B66"/>
    <w:rsid w:val="002D7D42"/>
    <w:rsid w:val="002D7E81"/>
    <w:rsid w:val="002D7EBB"/>
    <w:rsid w:val="002E0186"/>
    <w:rsid w:val="002E0274"/>
    <w:rsid w:val="002E0586"/>
    <w:rsid w:val="002E058D"/>
    <w:rsid w:val="002E05A4"/>
    <w:rsid w:val="002E071B"/>
    <w:rsid w:val="002E07A8"/>
    <w:rsid w:val="002E0804"/>
    <w:rsid w:val="002E08FD"/>
    <w:rsid w:val="002E0983"/>
    <w:rsid w:val="002E0BF8"/>
    <w:rsid w:val="002E0DEA"/>
    <w:rsid w:val="002E0EE9"/>
    <w:rsid w:val="002E107A"/>
    <w:rsid w:val="002E10F4"/>
    <w:rsid w:val="002E1152"/>
    <w:rsid w:val="002E11BC"/>
    <w:rsid w:val="002E170A"/>
    <w:rsid w:val="002E18CB"/>
    <w:rsid w:val="002E1A84"/>
    <w:rsid w:val="002E1B8F"/>
    <w:rsid w:val="002E1BDC"/>
    <w:rsid w:val="002E1C3E"/>
    <w:rsid w:val="002E1D8D"/>
    <w:rsid w:val="002E1E53"/>
    <w:rsid w:val="002E1E5C"/>
    <w:rsid w:val="002E1EEA"/>
    <w:rsid w:val="002E1F5A"/>
    <w:rsid w:val="002E21BB"/>
    <w:rsid w:val="002E2251"/>
    <w:rsid w:val="002E2268"/>
    <w:rsid w:val="002E241B"/>
    <w:rsid w:val="002E2527"/>
    <w:rsid w:val="002E2557"/>
    <w:rsid w:val="002E27F9"/>
    <w:rsid w:val="002E2AD7"/>
    <w:rsid w:val="002E2AE6"/>
    <w:rsid w:val="002E2D63"/>
    <w:rsid w:val="002E2DDA"/>
    <w:rsid w:val="002E30E6"/>
    <w:rsid w:val="002E320B"/>
    <w:rsid w:val="002E32E2"/>
    <w:rsid w:val="002E350B"/>
    <w:rsid w:val="002E36EF"/>
    <w:rsid w:val="002E378C"/>
    <w:rsid w:val="002E3867"/>
    <w:rsid w:val="002E395C"/>
    <w:rsid w:val="002E3C03"/>
    <w:rsid w:val="002E3DDA"/>
    <w:rsid w:val="002E3DDC"/>
    <w:rsid w:val="002E3ED2"/>
    <w:rsid w:val="002E3EEF"/>
    <w:rsid w:val="002E402D"/>
    <w:rsid w:val="002E4162"/>
    <w:rsid w:val="002E446C"/>
    <w:rsid w:val="002E44FD"/>
    <w:rsid w:val="002E457E"/>
    <w:rsid w:val="002E49B3"/>
    <w:rsid w:val="002E4A85"/>
    <w:rsid w:val="002E4AAC"/>
    <w:rsid w:val="002E4C0D"/>
    <w:rsid w:val="002E4CC9"/>
    <w:rsid w:val="002E4DF6"/>
    <w:rsid w:val="002E52AD"/>
    <w:rsid w:val="002E530E"/>
    <w:rsid w:val="002E539F"/>
    <w:rsid w:val="002E574E"/>
    <w:rsid w:val="002E57B4"/>
    <w:rsid w:val="002E57D6"/>
    <w:rsid w:val="002E585D"/>
    <w:rsid w:val="002E587D"/>
    <w:rsid w:val="002E58AC"/>
    <w:rsid w:val="002E5B8B"/>
    <w:rsid w:val="002E5BF1"/>
    <w:rsid w:val="002E5C38"/>
    <w:rsid w:val="002E5E0A"/>
    <w:rsid w:val="002E5E84"/>
    <w:rsid w:val="002E5EBF"/>
    <w:rsid w:val="002E5FB3"/>
    <w:rsid w:val="002E60D4"/>
    <w:rsid w:val="002E61A4"/>
    <w:rsid w:val="002E627C"/>
    <w:rsid w:val="002E6336"/>
    <w:rsid w:val="002E650C"/>
    <w:rsid w:val="002E652D"/>
    <w:rsid w:val="002E6538"/>
    <w:rsid w:val="002E655C"/>
    <w:rsid w:val="002E664C"/>
    <w:rsid w:val="002E6703"/>
    <w:rsid w:val="002E68A3"/>
    <w:rsid w:val="002E68FE"/>
    <w:rsid w:val="002E6A60"/>
    <w:rsid w:val="002E6AA6"/>
    <w:rsid w:val="002E6AE6"/>
    <w:rsid w:val="002E6B22"/>
    <w:rsid w:val="002E6B72"/>
    <w:rsid w:val="002E6C3A"/>
    <w:rsid w:val="002E6C6D"/>
    <w:rsid w:val="002E6CF1"/>
    <w:rsid w:val="002E706A"/>
    <w:rsid w:val="002E712A"/>
    <w:rsid w:val="002E7251"/>
    <w:rsid w:val="002E727D"/>
    <w:rsid w:val="002E7290"/>
    <w:rsid w:val="002E7498"/>
    <w:rsid w:val="002E7539"/>
    <w:rsid w:val="002E7631"/>
    <w:rsid w:val="002E79CA"/>
    <w:rsid w:val="002E7A67"/>
    <w:rsid w:val="002E7B93"/>
    <w:rsid w:val="002E7CF1"/>
    <w:rsid w:val="002E7E1D"/>
    <w:rsid w:val="002E7E5B"/>
    <w:rsid w:val="002E7E78"/>
    <w:rsid w:val="002F0158"/>
    <w:rsid w:val="002F0328"/>
    <w:rsid w:val="002F0427"/>
    <w:rsid w:val="002F0493"/>
    <w:rsid w:val="002F05ED"/>
    <w:rsid w:val="002F0895"/>
    <w:rsid w:val="002F08D2"/>
    <w:rsid w:val="002F0BFF"/>
    <w:rsid w:val="002F0C5A"/>
    <w:rsid w:val="002F0FB7"/>
    <w:rsid w:val="002F106F"/>
    <w:rsid w:val="002F1122"/>
    <w:rsid w:val="002F1142"/>
    <w:rsid w:val="002F1270"/>
    <w:rsid w:val="002F129E"/>
    <w:rsid w:val="002F12A4"/>
    <w:rsid w:val="002F131D"/>
    <w:rsid w:val="002F1452"/>
    <w:rsid w:val="002F1534"/>
    <w:rsid w:val="002F164E"/>
    <w:rsid w:val="002F1695"/>
    <w:rsid w:val="002F16B1"/>
    <w:rsid w:val="002F1834"/>
    <w:rsid w:val="002F1C6C"/>
    <w:rsid w:val="002F1E05"/>
    <w:rsid w:val="002F213C"/>
    <w:rsid w:val="002F232B"/>
    <w:rsid w:val="002F2383"/>
    <w:rsid w:val="002F2417"/>
    <w:rsid w:val="002F2752"/>
    <w:rsid w:val="002F2A21"/>
    <w:rsid w:val="002F2B59"/>
    <w:rsid w:val="002F2E42"/>
    <w:rsid w:val="002F2F0C"/>
    <w:rsid w:val="002F305A"/>
    <w:rsid w:val="002F309F"/>
    <w:rsid w:val="002F3229"/>
    <w:rsid w:val="002F32BD"/>
    <w:rsid w:val="002F33B6"/>
    <w:rsid w:val="002F35D1"/>
    <w:rsid w:val="002F3677"/>
    <w:rsid w:val="002F387B"/>
    <w:rsid w:val="002F3B5D"/>
    <w:rsid w:val="002F3CB1"/>
    <w:rsid w:val="002F3D19"/>
    <w:rsid w:val="002F3F28"/>
    <w:rsid w:val="002F4003"/>
    <w:rsid w:val="002F4072"/>
    <w:rsid w:val="002F4209"/>
    <w:rsid w:val="002F4259"/>
    <w:rsid w:val="002F4485"/>
    <w:rsid w:val="002F452F"/>
    <w:rsid w:val="002F45B5"/>
    <w:rsid w:val="002F45DF"/>
    <w:rsid w:val="002F46AE"/>
    <w:rsid w:val="002F4734"/>
    <w:rsid w:val="002F4881"/>
    <w:rsid w:val="002F4974"/>
    <w:rsid w:val="002F4A56"/>
    <w:rsid w:val="002F4AB1"/>
    <w:rsid w:val="002F4C30"/>
    <w:rsid w:val="002F4DD8"/>
    <w:rsid w:val="002F4E4E"/>
    <w:rsid w:val="002F5123"/>
    <w:rsid w:val="002F52C8"/>
    <w:rsid w:val="002F52CA"/>
    <w:rsid w:val="002F5388"/>
    <w:rsid w:val="002F546A"/>
    <w:rsid w:val="002F565A"/>
    <w:rsid w:val="002F5688"/>
    <w:rsid w:val="002F5799"/>
    <w:rsid w:val="002F57C6"/>
    <w:rsid w:val="002F58B7"/>
    <w:rsid w:val="002F58C1"/>
    <w:rsid w:val="002F5A84"/>
    <w:rsid w:val="002F5AB6"/>
    <w:rsid w:val="002F5BD1"/>
    <w:rsid w:val="002F5E78"/>
    <w:rsid w:val="002F5EA9"/>
    <w:rsid w:val="002F60BC"/>
    <w:rsid w:val="002F6197"/>
    <w:rsid w:val="002F6459"/>
    <w:rsid w:val="002F6578"/>
    <w:rsid w:val="002F6862"/>
    <w:rsid w:val="002F68A6"/>
    <w:rsid w:val="002F6B01"/>
    <w:rsid w:val="002F6CC3"/>
    <w:rsid w:val="002F6DF3"/>
    <w:rsid w:val="002F6EB4"/>
    <w:rsid w:val="002F6F0B"/>
    <w:rsid w:val="002F6FBB"/>
    <w:rsid w:val="002F7033"/>
    <w:rsid w:val="002F70FB"/>
    <w:rsid w:val="002F7114"/>
    <w:rsid w:val="002F719D"/>
    <w:rsid w:val="002F71F2"/>
    <w:rsid w:val="002F71F4"/>
    <w:rsid w:val="002F7308"/>
    <w:rsid w:val="002F7421"/>
    <w:rsid w:val="002F7559"/>
    <w:rsid w:val="002F75E4"/>
    <w:rsid w:val="002F79FE"/>
    <w:rsid w:val="002F7A38"/>
    <w:rsid w:val="002F7A67"/>
    <w:rsid w:val="002F7B68"/>
    <w:rsid w:val="002F7B85"/>
    <w:rsid w:val="002F7C51"/>
    <w:rsid w:val="002F7D5E"/>
    <w:rsid w:val="002F7D6D"/>
    <w:rsid w:val="002F7EE4"/>
    <w:rsid w:val="002F7FDE"/>
    <w:rsid w:val="0030009E"/>
    <w:rsid w:val="00300283"/>
    <w:rsid w:val="003003A0"/>
    <w:rsid w:val="0030046B"/>
    <w:rsid w:val="003004D6"/>
    <w:rsid w:val="00300882"/>
    <w:rsid w:val="00300896"/>
    <w:rsid w:val="00300B68"/>
    <w:rsid w:val="00300B8C"/>
    <w:rsid w:val="00300BEC"/>
    <w:rsid w:val="00300DAD"/>
    <w:rsid w:val="00300EB7"/>
    <w:rsid w:val="00301143"/>
    <w:rsid w:val="0030117D"/>
    <w:rsid w:val="003011CB"/>
    <w:rsid w:val="003012A0"/>
    <w:rsid w:val="003016B0"/>
    <w:rsid w:val="00301803"/>
    <w:rsid w:val="00301884"/>
    <w:rsid w:val="00301A23"/>
    <w:rsid w:val="00301D89"/>
    <w:rsid w:val="00301E1D"/>
    <w:rsid w:val="00301E6A"/>
    <w:rsid w:val="00301F16"/>
    <w:rsid w:val="00301F24"/>
    <w:rsid w:val="00302096"/>
    <w:rsid w:val="0030219E"/>
    <w:rsid w:val="00302220"/>
    <w:rsid w:val="003022EE"/>
    <w:rsid w:val="0030237C"/>
    <w:rsid w:val="00302395"/>
    <w:rsid w:val="0030245F"/>
    <w:rsid w:val="00302736"/>
    <w:rsid w:val="0030291C"/>
    <w:rsid w:val="00302A95"/>
    <w:rsid w:val="00302D5C"/>
    <w:rsid w:val="00302D85"/>
    <w:rsid w:val="00302E0D"/>
    <w:rsid w:val="00302E38"/>
    <w:rsid w:val="00302FB0"/>
    <w:rsid w:val="003030A7"/>
    <w:rsid w:val="00303318"/>
    <w:rsid w:val="0030333A"/>
    <w:rsid w:val="00303424"/>
    <w:rsid w:val="00303478"/>
    <w:rsid w:val="00303684"/>
    <w:rsid w:val="0030375A"/>
    <w:rsid w:val="0030393F"/>
    <w:rsid w:val="00303A61"/>
    <w:rsid w:val="00303A86"/>
    <w:rsid w:val="00303AAF"/>
    <w:rsid w:val="00303ABE"/>
    <w:rsid w:val="00303AE7"/>
    <w:rsid w:val="00303B6E"/>
    <w:rsid w:val="00303D7D"/>
    <w:rsid w:val="00303DC9"/>
    <w:rsid w:val="00303EB7"/>
    <w:rsid w:val="00304113"/>
    <w:rsid w:val="003041AF"/>
    <w:rsid w:val="003041F8"/>
    <w:rsid w:val="00304224"/>
    <w:rsid w:val="0030433F"/>
    <w:rsid w:val="00304388"/>
    <w:rsid w:val="00304415"/>
    <w:rsid w:val="003044A0"/>
    <w:rsid w:val="003044EA"/>
    <w:rsid w:val="00304575"/>
    <w:rsid w:val="003045A1"/>
    <w:rsid w:val="003045CA"/>
    <w:rsid w:val="00304A7B"/>
    <w:rsid w:val="00304AAA"/>
    <w:rsid w:val="00304CDE"/>
    <w:rsid w:val="00304D9F"/>
    <w:rsid w:val="00304F00"/>
    <w:rsid w:val="00304F8F"/>
    <w:rsid w:val="00304FAA"/>
    <w:rsid w:val="0030503A"/>
    <w:rsid w:val="00305205"/>
    <w:rsid w:val="00305250"/>
    <w:rsid w:val="003054B3"/>
    <w:rsid w:val="003054F7"/>
    <w:rsid w:val="00305562"/>
    <w:rsid w:val="00305954"/>
    <w:rsid w:val="00305958"/>
    <w:rsid w:val="00305ABE"/>
    <w:rsid w:val="00305CAE"/>
    <w:rsid w:val="00305EBF"/>
    <w:rsid w:val="00305EFE"/>
    <w:rsid w:val="00305F90"/>
    <w:rsid w:val="00305FF8"/>
    <w:rsid w:val="00306120"/>
    <w:rsid w:val="00306336"/>
    <w:rsid w:val="0030639B"/>
    <w:rsid w:val="003065C7"/>
    <w:rsid w:val="003066CA"/>
    <w:rsid w:val="00306996"/>
    <w:rsid w:val="00306A13"/>
    <w:rsid w:val="00306ACF"/>
    <w:rsid w:val="00306B4C"/>
    <w:rsid w:val="00306CF1"/>
    <w:rsid w:val="00306E40"/>
    <w:rsid w:val="00306E7B"/>
    <w:rsid w:val="00307031"/>
    <w:rsid w:val="0030709A"/>
    <w:rsid w:val="003073E9"/>
    <w:rsid w:val="0030758C"/>
    <w:rsid w:val="0030762B"/>
    <w:rsid w:val="0030770B"/>
    <w:rsid w:val="0030793D"/>
    <w:rsid w:val="00307999"/>
    <w:rsid w:val="003079CF"/>
    <w:rsid w:val="00307C40"/>
    <w:rsid w:val="00307C99"/>
    <w:rsid w:val="00307E2D"/>
    <w:rsid w:val="003100F4"/>
    <w:rsid w:val="00310114"/>
    <w:rsid w:val="0031027B"/>
    <w:rsid w:val="0031033B"/>
    <w:rsid w:val="00310405"/>
    <w:rsid w:val="003104E5"/>
    <w:rsid w:val="00310513"/>
    <w:rsid w:val="0031058C"/>
    <w:rsid w:val="003106C3"/>
    <w:rsid w:val="003106EA"/>
    <w:rsid w:val="00310789"/>
    <w:rsid w:val="003108AB"/>
    <w:rsid w:val="00310C24"/>
    <w:rsid w:val="00310C5D"/>
    <w:rsid w:val="00310DC6"/>
    <w:rsid w:val="00310EC2"/>
    <w:rsid w:val="00310EC6"/>
    <w:rsid w:val="00310F19"/>
    <w:rsid w:val="00311278"/>
    <w:rsid w:val="00311329"/>
    <w:rsid w:val="00311507"/>
    <w:rsid w:val="003115A3"/>
    <w:rsid w:val="00311774"/>
    <w:rsid w:val="00311B8B"/>
    <w:rsid w:val="00311C21"/>
    <w:rsid w:val="00311F3E"/>
    <w:rsid w:val="00311FFC"/>
    <w:rsid w:val="003120A7"/>
    <w:rsid w:val="0031222C"/>
    <w:rsid w:val="0031237C"/>
    <w:rsid w:val="003123B0"/>
    <w:rsid w:val="003124BF"/>
    <w:rsid w:val="003125E5"/>
    <w:rsid w:val="003127D9"/>
    <w:rsid w:val="003128E2"/>
    <w:rsid w:val="00312958"/>
    <w:rsid w:val="0031297E"/>
    <w:rsid w:val="00312A70"/>
    <w:rsid w:val="00312A8A"/>
    <w:rsid w:val="00312BE1"/>
    <w:rsid w:val="00312D16"/>
    <w:rsid w:val="00312DB7"/>
    <w:rsid w:val="00312DD1"/>
    <w:rsid w:val="00312E25"/>
    <w:rsid w:val="00312F88"/>
    <w:rsid w:val="00313021"/>
    <w:rsid w:val="00313042"/>
    <w:rsid w:val="003131FE"/>
    <w:rsid w:val="00313227"/>
    <w:rsid w:val="003133F5"/>
    <w:rsid w:val="00313555"/>
    <w:rsid w:val="0031360D"/>
    <w:rsid w:val="00313798"/>
    <w:rsid w:val="003138E4"/>
    <w:rsid w:val="0031396E"/>
    <w:rsid w:val="00313B59"/>
    <w:rsid w:val="00313C39"/>
    <w:rsid w:val="00313C4C"/>
    <w:rsid w:val="00313C6D"/>
    <w:rsid w:val="00313D1B"/>
    <w:rsid w:val="00313DCA"/>
    <w:rsid w:val="00313E11"/>
    <w:rsid w:val="00313E6B"/>
    <w:rsid w:val="00313E7B"/>
    <w:rsid w:val="0031414D"/>
    <w:rsid w:val="003141FB"/>
    <w:rsid w:val="00314217"/>
    <w:rsid w:val="0031440B"/>
    <w:rsid w:val="0031446A"/>
    <w:rsid w:val="003148A7"/>
    <w:rsid w:val="0031498C"/>
    <w:rsid w:val="003149AD"/>
    <w:rsid w:val="00314BE1"/>
    <w:rsid w:val="00314C47"/>
    <w:rsid w:val="00314C49"/>
    <w:rsid w:val="00314DD9"/>
    <w:rsid w:val="00314E69"/>
    <w:rsid w:val="00314F03"/>
    <w:rsid w:val="00314F24"/>
    <w:rsid w:val="00315054"/>
    <w:rsid w:val="00315160"/>
    <w:rsid w:val="0031530E"/>
    <w:rsid w:val="00315447"/>
    <w:rsid w:val="00315550"/>
    <w:rsid w:val="00315581"/>
    <w:rsid w:val="0031584A"/>
    <w:rsid w:val="00315953"/>
    <w:rsid w:val="00315B10"/>
    <w:rsid w:val="00315B3B"/>
    <w:rsid w:val="00315C97"/>
    <w:rsid w:val="00315D6A"/>
    <w:rsid w:val="00315D71"/>
    <w:rsid w:val="00315F66"/>
    <w:rsid w:val="00315F9C"/>
    <w:rsid w:val="0031602D"/>
    <w:rsid w:val="00316208"/>
    <w:rsid w:val="003162AA"/>
    <w:rsid w:val="0031639A"/>
    <w:rsid w:val="003163DA"/>
    <w:rsid w:val="00316408"/>
    <w:rsid w:val="0031653A"/>
    <w:rsid w:val="003165A4"/>
    <w:rsid w:val="00316762"/>
    <w:rsid w:val="003168C0"/>
    <w:rsid w:val="003169CA"/>
    <w:rsid w:val="00316B71"/>
    <w:rsid w:val="00316B95"/>
    <w:rsid w:val="0031719D"/>
    <w:rsid w:val="0031726D"/>
    <w:rsid w:val="003172BC"/>
    <w:rsid w:val="0031732A"/>
    <w:rsid w:val="003173D3"/>
    <w:rsid w:val="003173FB"/>
    <w:rsid w:val="003174A7"/>
    <w:rsid w:val="0031761F"/>
    <w:rsid w:val="0031775A"/>
    <w:rsid w:val="00317B1F"/>
    <w:rsid w:val="00317C0D"/>
    <w:rsid w:val="00317CA4"/>
    <w:rsid w:val="00317CFD"/>
    <w:rsid w:val="00317D97"/>
    <w:rsid w:val="003200A9"/>
    <w:rsid w:val="0032010C"/>
    <w:rsid w:val="0032012E"/>
    <w:rsid w:val="003201DD"/>
    <w:rsid w:val="00320301"/>
    <w:rsid w:val="0032043B"/>
    <w:rsid w:val="00320532"/>
    <w:rsid w:val="00320689"/>
    <w:rsid w:val="00320726"/>
    <w:rsid w:val="003209FB"/>
    <w:rsid w:val="003209FC"/>
    <w:rsid w:val="00320A67"/>
    <w:rsid w:val="00320A8D"/>
    <w:rsid w:val="00320B2C"/>
    <w:rsid w:val="00320CF5"/>
    <w:rsid w:val="00320EC3"/>
    <w:rsid w:val="00321382"/>
    <w:rsid w:val="003213D1"/>
    <w:rsid w:val="003218C7"/>
    <w:rsid w:val="00321A39"/>
    <w:rsid w:val="00321B8C"/>
    <w:rsid w:val="00321BBA"/>
    <w:rsid w:val="00321EC0"/>
    <w:rsid w:val="00321FAB"/>
    <w:rsid w:val="00321FCB"/>
    <w:rsid w:val="00321FCE"/>
    <w:rsid w:val="003220E5"/>
    <w:rsid w:val="003220F3"/>
    <w:rsid w:val="0032223D"/>
    <w:rsid w:val="00322252"/>
    <w:rsid w:val="00322466"/>
    <w:rsid w:val="0032246E"/>
    <w:rsid w:val="00322481"/>
    <w:rsid w:val="003224AF"/>
    <w:rsid w:val="0032251D"/>
    <w:rsid w:val="003226EC"/>
    <w:rsid w:val="00322898"/>
    <w:rsid w:val="00322963"/>
    <w:rsid w:val="00322E17"/>
    <w:rsid w:val="00322F32"/>
    <w:rsid w:val="00322F33"/>
    <w:rsid w:val="00323232"/>
    <w:rsid w:val="0032344B"/>
    <w:rsid w:val="00323980"/>
    <w:rsid w:val="00323A87"/>
    <w:rsid w:val="00323AEA"/>
    <w:rsid w:val="00323CB8"/>
    <w:rsid w:val="00323D66"/>
    <w:rsid w:val="00323DAA"/>
    <w:rsid w:val="00323DBE"/>
    <w:rsid w:val="00323E82"/>
    <w:rsid w:val="00323F83"/>
    <w:rsid w:val="00323FEB"/>
    <w:rsid w:val="0032400C"/>
    <w:rsid w:val="0032402E"/>
    <w:rsid w:val="00324040"/>
    <w:rsid w:val="003241E9"/>
    <w:rsid w:val="00324416"/>
    <w:rsid w:val="003244D3"/>
    <w:rsid w:val="003247CF"/>
    <w:rsid w:val="0032480F"/>
    <w:rsid w:val="00324871"/>
    <w:rsid w:val="0032496D"/>
    <w:rsid w:val="00324A0E"/>
    <w:rsid w:val="00324FA4"/>
    <w:rsid w:val="00324FAF"/>
    <w:rsid w:val="003253AE"/>
    <w:rsid w:val="003253C1"/>
    <w:rsid w:val="003254C5"/>
    <w:rsid w:val="003255B8"/>
    <w:rsid w:val="003255ED"/>
    <w:rsid w:val="003256AA"/>
    <w:rsid w:val="003256FC"/>
    <w:rsid w:val="00325720"/>
    <w:rsid w:val="00325A8C"/>
    <w:rsid w:val="00325E25"/>
    <w:rsid w:val="00325ECD"/>
    <w:rsid w:val="00326025"/>
    <w:rsid w:val="003260E8"/>
    <w:rsid w:val="00326104"/>
    <w:rsid w:val="0032614A"/>
    <w:rsid w:val="003261A2"/>
    <w:rsid w:val="003264CA"/>
    <w:rsid w:val="003264F6"/>
    <w:rsid w:val="0032659B"/>
    <w:rsid w:val="0032661E"/>
    <w:rsid w:val="003266AC"/>
    <w:rsid w:val="00326700"/>
    <w:rsid w:val="0032674C"/>
    <w:rsid w:val="0032676A"/>
    <w:rsid w:val="00326932"/>
    <w:rsid w:val="003269AB"/>
    <w:rsid w:val="00326B60"/>
    <w:rsid w:val="00326BEE"/>
    <w:rsid w:val="00326C0B"/>
    <w:rsid w:val="00326CBC"/>
    <w:rsid w:val="00326CFB"/>
    <w:rsid w:val="00326E32"/>
    <w:rsid w:val="00327116"/>
    <w:rsid w:val="0032712A"/>
    <w:rsid w:val="0032736D"/>
    <w:rsid w:val="0032748C"/>
    <w:rsid w:val="003274CB"/>
    <w:rsid w:val="003274CE"/>
    <w:rsid w:val="0032769C"/>
    <w:rsid w:val="00327759"/>
    <w:rsid w:val="003277A9"/>
    <w:rsid w:val="003277F4"/>
    <w:rsid w:val="0032790C"/>
    <w:rsid w:val="00327A5D"/>
    <w:rsid w:val="00327C08"/>
    <w:rsid w:val="00327C14"/>
    <w:rsid w:val="00327FEF"/>
    <w:rsid w:val="003300AF"/>
    <w:rsid w:val="0033018B"/>
    <w:rsid w:val="003303C4"/>
    <w:rsid w:val="00330414"/>
    <w:rsid w:val="003304C9"/>
    <w:rsid w:val="00330599"/>
    <w:rsid w:val="00330B95"/>
    <w:rsid w:val="00330CD1"/>
    <w:rsid w:val="00330CEE"/>
    <w:rsid w:val="00330D0F"/>
    <w:rsid w:val="00330DD2"/>
    <w:rsid w:val="003311F5"/>
    <w:rsid w:val="003313B3"/>
    <w:rsid w:val="0033145D"/>
    <w:rsid w:val="003316BA"/>
    <w:rsid w:val="0033191D"/>
    <w:rsid w:val="00331989"/>
    <w:rsid w:val="00331A51"/>
    <w:rsid w:val="00331AE0"/>
    <w:rsid w:val="0033202F"/>
    <w:rsid w:val="003320B8"/>
    <w:rsid w:val="00332631"/>
    <w:rsid w:val="00332763"/>
    <w:rsid w:val="00332AA9"/>
    <w:rsid w:val="00332D55"/>
    <w:rsid w:val="00332FAB"/>
    <w:rsid w:val="00333135"/>
    <w:rsid w:val="00333290"/>
    <w:rsid w:val="003332C5"/>
    <w:rsid w:val="00333311"/>
    <w:rsid w:val="00333365"/>
    <w:rsid w:val="0033341B"/>
    <w:rsid w:val="00333673"/>
    <w:rsid w:val="003336F6"/>
    <w:rsid w:val="00333748"/>
    <w:rsid w:val="003337E1"/>
    <w:rsid w:val="003339BE"/>
    <w:rsid w:val="00333A05"/>
    <w:rsid w:val="00333A15"/>
    <w:rsid w:val="00333AD4"/>
    <w:rsid w:val="00333B58"/>
    <w:rsid w:val="00333DB1"/>
    <w:rsid w:val="00333F67"/>
    <w:rsid w:val="00334057"/>
    <w:rsid w:val="00334173"/>
    <w:rsid w:val="003341EB"/>
    <w:rsid w:val="00334209"/>
    <w:rsid w:val="003342AC"/>
    <w:rsid w:val="003343C3"/>
    <w:rsid w:val="00334589"/>
    <w:rsid w:val="00334615"/>
    <w:rsid w:val="003346F1"/>
    <w:rsid w:val="0033475A"/>
    <w:rsid w:val="003347FC"/>
    <w:rsid w:val="0033483E"/>
    <w:rsid w:val="003348D7"/>
    <w:rsid w:val="003348D8"/>
    <w:rsid w:val="00334A3F"/>
    <w:rsid w:val="00334D1A"/>
    <w:rsid w:val="00334EDB"/>
    <w:rsid w:val="00334F1B"/>
    <w:rsid w:val="00334F5D"/>
    <w:rsid w:val="00334F9B"/>
    <w:rsid w:val="003350BE"/>
    <w:rsid w:val="00335144"/>
    <w:rsid w:val="003353C5"/>
    <w:rsid w:val="00335507"/>
    <w:rsid w:val="00335522"/>
    <w:rsid w:val="00335531"/>
    <w:rsid w:val="00335792"/>
    <w:rsid w:val="0033587F"/>
    <w:rsid w:val="00335888"/>
    <w:rsid w:val="00335CEE"/>
    <w:rsid w:val="00335D39"/>
    <w:rsid w:val="00335E13"/>
    <w:rsid w:val="00335FC1"/>
    <w:rsid w:val="00335FCE"/>
    <w:rsid w:val="00336226"/>
    <w:rsid w:val="0033630F"/>
    <w:rsid w:val="00336444"/>
    <w:rsid w:val="0033646A"/>
    <w:rsid w:val="00336643"/>
    <w:rsid w:val="0033675B"/>
    <w:rsid w:val="003369AD"/>
    <w:rsid w:val="00336C16"/>
    <w:rsid w:val="00336C3E"/>
    <w:rsid w:val="00336C6E"/>
    <w:rsid w:val="00336DDB"/>
    <w:rsid w:val="00336EA0"/>
    <w:rsid w:val="00336EF6"/>
    <w:rsid w:val="00336F78"/>
    <w:rsid w:val="00337204"/>
    <w:rsid w:val="00337226"/>
    <w:rsid w:val="00337269"/>
    <w:rsid w:val="0033727F"/>
    <w:rsid w:val="003375C3"/>
    <w:rsid w:val="00337668"/>
    <w:rsid w:val="00337859"/>
    <w:rsid w:val="00337864"/>
    <w:rsid w:val="003378DD"/>
    <w:rsid w:val="003378FA"/>
    <w:rsid w:val="00337BD0"/>
    <w:rsid w:val="00337C68"/>
    <w:rsid w:val="00337E5B"/>
    <w:rsid w:val="00337F95"/>
    <w:rsid w:val="00340151"/>
    <w:rsid w:val="00340184"/>
    <w:rsid w:val="00340199"/>
    <w:rsid w:val="00340437"/>
    <w:rsid w:val="00340459"/>
    <w:rsid w:val="003404AA"/>
    <w:rsid w:val="00340589"/>
    <w:rsid w:val="003405ED"/>
    <w:rsid w:val="003408D9"/>
    <w:rsid w:val="00340ACF"/>
    <w:rsid w:val="00340B19"/>
    <w:rsid w:val="00340D2E"/>
    <w:rsid w:val="00340D5D"/>
    <w:rsid w:val="00340DBF"/>
    <w:rsid w:val="00340DED"/>
    <w:rsid w:val="00340E92"/>
    <w:rsid w:val="00341253"/>
    <w:rsid w:val="003416E7"/>
    <w:rsid w:val="00341919"/>
    <w:rsid w:val="00341A50"/>
    <w:rsid w:val="00341C38"/>
    <w:rsid w:val="00341E7C"/>
    <w:rsid w:val="00342035"/>
    <w:rsid w:val="0034222C"/>
    <w:rsid w:val="0034236B"/>
    <w:rsid w:val="003423A8"/>
    <w:rsid w:val="003423E9"/>
    <w:rsid w:val="003424C0"/>
    <w:rsid w:val="00342848"/>
    <w:rsid w:val="00342988"/>
    <w:rsid w:val="003429E0"/>
    <w:rsid w:val="00342BEC"/>
    <w:rsid w:val="00342C72"/>
    <w:rsid w:val="00342CC7"/>
    <w:rsid w:val="00342DC3"/>
    <w:rsid w:val="00343045"/>
    <w:rsid w:val="00343343"/>
    <w:rsid w:val="00343354"/>
    <w:rsid w:val="00343533"/>
    <w:rsid w:val="0034362A"/>
    <w:rsid w:val="0034387C"/>
    <w:rsid w:val="00343974"/>
    <w:rsid w:val="003439A2"/>
    <w:rsid w:val="00343A10"/>
    <w:rsid w:val="00343AB1"/>
    <w:rsid w:val="00343C35"/>
    <w:rsid w:val="00343D58"/>
    <w:rsid w:val="00343ED6"/>
    <w:rsid w:val="00343FB7"/>
    <w:rsid w:val="00344284"/>
    <w:rsid w:val="00344297"/>
    <w:rsid w:val="003443B6"/>
    <w:rsid w:val="003443CD"/>
    <w:rsid w:val="003444CB"/>
    <w:rsid w:val="00344832"/>
    <w:rsid w:val="00344856"/>
    <w:rsid w:val="003449D4"/>
    <w:rsid w:val="00344AFE"/>
    <w:rsid w:val="00344B54"/>
    <w:rsid w:val="00344DD3"/>
    <w:rsid w:val="00344EBE"/>
    <w:rsid w:val="00344F3B"/>
    <w:rsid w:val="00345035"/>
    <w:rsid w:val="00345061"/>
    <w:rsid w:val="003450CF"/>
    <w:rsid w:val="003451D0"/>
    <w:rsid w:val="00345241"/>
    <w:rsid w:val="0034538B"/>
    <w:rsid w:val="003453B5"/>
    <w:rsid w:val="00345453"/>
    <w:rsid w:val="00345580"/>
    <w:rsid w:val="003458E6"/>
    <w:rsid w:val="00345941"/>
    <w:rsid w:val="00345989"/>
    <w:rsid w:val="0034599F"/>
    <w:rsid w:val="00345A28"/>
    <w:rsid w:val="00345A80"/>
    <w:rsid w:val="00345CA8"/>
    <w:rsid w:val="00345FD1"/>
    <w:rsid w:val="0034603D"/>
    <w:rsid w:val="00346298"/>
    <w:rsid w:val="00346504"/>
    <w:rsid w:val="00346524"/>
    <w:rsid w:val="00346684"/>
    <w:rsid w:val="003467FF"/>
    <w:rsid w:val="00346931"/>
    <w:rsid w:val="00346BC2"/>
    <w:rsid w:val="00346C8F"/>
    <w:rsid w:val="00346D08"/>
    <w:rsid w:val="00346D0F"/>
    <w:rsid w:val="00346D44"/>
    <w:rsid w:val="00346DD3"/>
    <w:rsid w:val="00346DEF"/>
    <w:rsid w:val="003470B4"/>
    <w:rsid w:val="00347129"/>
    <w:rsid w:val="003471D3"/>
    <w:rsid w:val="00347256"/>
    <w:rsid w:val="0034728C"/>
    <w:rsid w:val="00347399"/>
    <w:rsid w:val="00347A30"/>
    <w:rsid w:val="00347A8F"/>
    <w:rsid w:val="00347A94"/>
    <w:rsid w:val="00347AD9"/>
    <w:rsid w:val="00347C0B"/>
    <w:rsid w:val="00347C32"/>
    <w:rsid w:val="00347C6D"/>
    <w:rsid w:val="00347D52"/>
    <w:rsid w:val="00347D68"/>
    <w:rsid w:val="00347DA2"/>
    <w:rsid w:val="00347E39"/>
    <w:rsid w:val="00347EB9"/>
    <w:rsid w:val="00347F79"/>
    <w:rsid w:val="00347FD3"/>
    <w:rsid w:val="00350159"/>
    <w:rsid w:val="003501AF"/>
    <w:rsid w:val="0035023F"/>
    <w:rsid w:val="003504AD"/>
    <w:rsid w:val="00350690"/>
    <w:rsid w:val="00350749"/>
    <w:rsid w:val="003507E2"/>
    <w:rsid w:val="00350B41"/>
    <w:rsid w:val="00350BF0"/>
    <w:rsid w:val="00350C6D"/>
    <w:rsid w:val="0035102C"/>
    <w:rsid w:val="003510A4"/>
    <w:rsid w:val="003511A5"/>
    <w:rsid w:val="003511B6"/>
    <w:rsid w:val="003511D3"/>
    <w:rsid w:val="00351286"/>
    <w:rsid w:val="003512A0"/>
    <w:rsid w:val="003513B0"/>
    <w:rsid w:val="003513D9"/>
    <w:rsid w:val="003513E1"/>
    <w:rsid w:val="003515D8"/>
    <w:rsid w:val="003518EA"/>
    <w:rsid w:val="00351987"/>
    <w:rsid w:val="00351B66"/>
    <w:rsid w:val="00351C1A"/>
    <w:rsid w:val="00351CC8"/>
    <w:rsid w:val="00351D0C"/>
    <w:rsid w:val="00351D47"/>
    <w:rsid w:val="003521A9"/>
    <w:rsid w:val="00352269"/>
    <w:rsid w:val="003522A1"/>
    <w:rsid w:val="00352379"/>
    <w:rsid w:val="00352591"/>
    <w:rsid w:val="003528EA"/>
    <w:rsid w:val="00352997"/>
    <w:rsid w:val="00352AC6"/>
    <w:rsid w:val="00352AE0"/>
    <w:rsid w:val="00352B10"/>
    <w:rsid w:val="00352DB4"/>
    <w:rsid w:val="00352E57"/>
    <w:rsid w:val="00352E77"/>
    <w:rsid w:val="00353233"/>
    <w:rsid w:val="00353264"/>
    <w:rsid w:val="003532DD"/>
    <w:rsid w:val="00353550"/>
    <w:rsid w:val="00353555"/>
    <w:rsid w:val="003535CA"/>
    <w:rsid w:val="00353A2C"/>
    <w:rsid w:val="00353A9D"/>
    <w:rsid w:val="00353AA5"/>
    <w:rsid w:val="00353B22"/>
    <w:rsid w:val="00353B93"/>
    <w:rsid w:val="00353C4C"/>
    <w:rsid w:val="00353C86"/>
    <w:rsid w:val="00353E63"/>
    <w:rsid w:val="00353EB7"/>
    <w:rsid w:val="00353F1C"/>
    <w:rsid w:val="00354054"/>
    <w:rsid w:val="0035405D"/>
    <w:rsid w:val="00354186"/>
    <w:rsid w:val="003541D2"/>
    <w:rsid w:val="00354333"/>
    <w:rsid w:val="003544F9"/>
    <w:rsid w:val="00354531"/>
    <w:rsid w:val="0035458F"/>
    <w:rsid w:val="0035460B"/>
    <w:rsid w:val="00354779"/>
    <w:rsid w:val="003547B8"/>
    <w:rsid w:val="003547CF"/>
    <w:rsid w:val="00354857"/>
    <w:rsid w:val="00354AA0"/>
    <w:rsid w:val="00354F45"/>
    <w:rsid w:val="00355239"/>
    <w:rsid w:val="003554C7"/>
    <w:rsid w:val="003555D0"/>
    <w:rsid w:val="003557E2"/>
    <w:rsid w:val="0035591D"/>
    <w:rsid w:val="00355C24"/>
    <w:rsid w:val="00355DC3"/>
    <w:rsid w:val="00355E62"/>
    <w:rsid w:val="00355E91"/>
    <w:rsid w:val="00355FE4"/>
    <w:rsid w:val="0035608B"/>
    <w:rsid w:val="00356108"/>
    <w:rsid w:val="00356151"/>
    <w:rsid w:val="0035616D"/>
    <w:rsid w:val="00356AC6"/>
    <w:rsid w:val="00356B75"/>
    <w:rsid w:val="00356DE9"/>
    <w:rsid w:val="00356E97"/>
    <w:rsid w:val="00356EFE"/>
    <w:rsid w:val="00357129"/>
    <w:rsid w:val="003572D0"/>
    <w:rsid w:val="0035738B"/>
    <w:rsid w:val="003575C2"/>
    <w:rsid w:val="003575FB"/>
    <w:rsid w:val="003577B1"/>
    <w:rsid w:val="0035786A"/>
    <w:rsid w:val="00357971"/>
    <w:rsid w:val="00357AEC"/>
    <w:rsid w:val="00357B9E"/>
    <w:rsid w:val="00357D12"/>
    <w:rsid w:val="00357EFF"/>
    <w:rsid w:val="00360097"/>
    <w:rsid w:val="003600B6"/>
    <w:rsid w:val="003600C1"/>
    <w:rsid w:val="003600C2"/>
    <w:rsid w:val="003600DE"/>
    <w:rsid w:val="0036022D"/>
    <w:rsid w:val="00360345"/>
    <w:rsid w:val="0036053E"/>
    <w:rsid w:val="0036060E"/>
    <w:rsid w:val="003606E7"/>
    <w:rsid w:val="003608B8"/>
    <w:rsid w:val="00360966"/>
    <w:rsid w:val="003609F6"/>
    <w:rsid w:val="00360B19"/>
    <w:rsid w:val="00360B4E"/>
    <w:rsid w:val="00360C65"/>
    <w:rsid w:val="00360CAD"/>
    <w:rsid w:val="00360ED2"/>
    <w:rsid w:val="00361064"/>
    <w:rsid w:val="00361120"/>
    <w:rsid w:val="00361181"/>
    <w:rsid w:val="00361296"/>
    <w:rsid w:val="003612AB"/>
    <w:rsid w:val="00361305"/>
    <w:rsid w:val="00361531"/>
    <w:rsid w:val="00361667"/>
    <w:rsid w:val="003619A1"/>
    <w:rsid w:val="00361A23"/>
    <w:rsid w:val="00361E02"/>
    <w:rsid w:val="0036206D"/>
    <w:rsid w:val="0036213C"/>
    <w:rsid w:val="00362238"/>
    <w:rsid w:val="003623BB"/>
    <w:rsid w:val="003629D6"/>
    <w:rsid w:val="00362BA8"/>
    <w:rsid w:val="00362E18"/>
    <w:rsid w:val="00362F40"/>
    <w:rsid w:val="00362F87"/>
    <w:rsid w:val="003630E4"/>
    <w:rsid w:val="003630F6"/>
    <w:rsid w:val="00363126"/>
    <w:rsid w:val="003631D6"/>
    <w:rsid w:val="00363233"/>
    <w:rsid w:val="00363918"/>
    <w:rsid w:val="0036391E"/>
    <w:rsid w:val="00363A7B"/>
    <w:rsid w:val="00363A89"/>
    <w:rsid w:val="00363ABA"/>
    <w:rsid w:val="00363AC4"/>
    <w:rsid w:val="00363B59"/>
    <w:rsid w:val="00363B7C"/>
    <w:rsid w:val="00363B9C"/>
    <w:rsid w:val="00363C39"/>
    <w:rsid w:val="00364123"/>
    <w:rsid w:val="00364215"/>
    <w:rsid w:val="0036425B"/>
    <w:rsid w:val="003643D8"/>
    <w:rsid w:val="00364A74"/>
    <w:rsid w:val="00364BA6"/>
    <w:rsid w:val="00364DBE"/>
    <w:rsid w:val="00364EE6"/>
    <w:rsid w:val="003651C5"/>
    <w:rsid w:val="003652CE"/>
    <w:rsid w:val="00365339"/>
    <w:rsid w:val="003653AF"/>
    <w:rsid w:val="003653CF"/>
    <w:rsid w:val="003654E0"/>
    <w:rsid w:val="0036597C"/>
    <w:rsid w:val="00365A8D"/>
    <w:rsid w:val="00365C83"/>
    <w:rsid w:val="00365CBB"/>
    <w:rsid w:val="00365CCD"/>
    <w:rsid w:val="00365D93"/>
    <w:rsid w:val="00365F88"/>
    <w:rsid w:val="0036603D"/>
    <w:rsid w:val="0036661A"/>
    <w:rsid w:val="0036679D"/>
    <w:rsid w:val="0036690B"/>
    <w:rsid w:val="003669F8"/>
    <w:rsid w:val="00366A33"/>
    <w:rsid w:val="00366E07"/>
    <w:rsid w:val="00366E9E"/>
    <w:rsid w:val="00367050"/>
    <w:rsid w:val="003670C1"/>
    <w:rsid w:val="00367300"/>
    <w:rsid w:val="003674B6"/>
    <w:rsid w:val="003676B3"/>
    <w:rsid w:val="00367BAE"/>
    <w:rsid w:val="00367BF7"/>
    <w:rsid w:val="00367C17"/>
    <w:rsid w:val="00367C88"/>
    <w:rsid w:val="00367D16"/>
    <w:rsid w:val="00370032"/>
    <w:rsid w:val="003700A8"/>
    <w:rsid w:val="003700C2"/>
    <w:rsid w:val="003700C3"/>
    <w:rsid w:val="003701CB"/>
    <w:rsid w:val="0037022D"/>
    <w:rsid w:val="003702D5"/>
    <w:rsid w:val="0037047C"/>
    <w:rsid w:val="00370574"/>
    <w:rsid w:val="003705E8"/>
    <w:rsid w:val="003707A1"/>
    <w:rsid w:val="00370A40"/>
    <w:rsid w:val="00370BEE"/>
    <w:rsid w:val="00370CB1"/>
    <w:rsid w:val="00370CBF"/>
    <w:rsid w:val="00370E63"/>
    <w:rsid w:val="00370F06"/>
    <w:rsid w:val="00370F5C"/>
    <w:rsid w:val="00370FE6"/>
    <w:rsid w:val="00371135"/>
    <w:rsid w:val="00371153"/>
    <w:rsid w:val="00371166"/>
    <w:rsid w:val="0037118C"/>
    <w:rsid w:val="003711B9"/>
    <w:rsid w:val="003712FE"/>
    <w:rsid w:val="00371386"/>
    <w:rsid w:val="003714E2"/>
    <w:rsid w:val="003715DC"/>
    <w:rsid w:val="00371708"/>
    <w:rsid w:val="003717C8"/>
    <w:rsid w:val="00371850"/>
    <w:rsid w:val="00371911"/>
    <w:rsid w:val="0037192A"/>
    <w:rsid w:val="00371A9D"/>
    <w:rsid w:val="00371AAF"/>
    <w:rsid w:val="00371ADD"/>
    <w:rsid w:val="00371B34"/>
    <w:rsid w:val="00371BA1"/>
    <w:rsid w:val="00371D54"/>
    <w:rsid w:val="00371E37"/>
    <w:rsid w:val="00371E3F"/>
    <w:rsid w:val="00371EEF"/>
    <w:rsid w:val="00371F80"/>
    <w:rsid w:val="00371FB0"/>
    <w:rsid w:val="00371FBC"/>
    <w:rsid w:val="0037226F"/>
    <w:rsid w:val="00372DFD"/>
    <w:rsid w:val="00372E00"/>
    <w:rsid w:val="0037309A"/>
    <w:rsid w:val="00373180"/>
    <w:rsid w:val="00373353"/>
    <w:rsid w:val="003733F7"/>
    <w:rsid w:val="0037344A"/>
    <w:rsid w:val="00373549"/>
    <w:rsid w:val="00373580"/>
    <w:rsid w:val="003737D4"/>
    <w:rsid w:val="003738ED"/>
    <w:rsid w:val="00373983"/>
    <w:rsid w:val="00373A27"/>
    <w:rsid w:val="00373A8D"/>
    <w:rsid w:val="00373BE8"/>
    <w:rsid w:val="00373D02"/>
    <w:rsid w:val="00373F50"/>
    <w:rsid w:val="00373FC1"/>
    <w:rsid w:val="00374013"/>
    <w:rsid w:val="00374242"/>
    <w:rsid w:val="00374468"/>
    <w:rsid w:val="003744E0"/>
    <w:rsid w:val="003744FE"/>
    <w:rsid w:val="003745C6"/>
    <w:rsid w:val="00374837"/>
    <w:rsid w:val="0037499F"/>
    <w:rsid w:val="00374BEB"/>
    <w:rsid w:val="00375407"/>
    <w:rsid w:val="003755AB"/>
    <w:rsid w:val="00375739"/>
    <w:rsid w:val="0037580C"/>
    <w:rsid w:val="00375887"/>
    <w:rsid w:val="003758BE"/>
    <w:rsid w:val="003759E0"/>
    <w:rsid w:val="00375AA9"/>
    <w:rsid w:val="00375B2B"/>
    <w:rsid w:val="00375C96"/>
    <w:rsid w:val="00375F0B"/>
    <w:rsid w:val="0037613F"/>
    <w:rsid w:val="00376337"/>
    <w:rsid w:val="00376375"/>
    <w:rsid w:val="00376422"/>
    <w:rsid w:val="00376442"/>
    <w:rsid w:val="003764E3"/>
    <w:rsid w:val="00376535"/>
    <w:rsid w:val="00376555"/>
    <w:rsid w:val="003765A0"/>
    <w:rsid w:val="003765E6"/>
    <w:rsid w:val="0037664B"/>
    <w:rsid w:val="0037671C"/>
    <w:rsid w:val="0037696B"/>
    <w:rsid w:val="00376BA8"/>
    <w:rsid w:val="00376C97"/>
    <w:rsid w:val="00376CAF"/>
    <w:rsid w:val="00376EEA"/>
    <w:rsid w:val="00376F43"/>
    <w:rsid w:val="00377224"/>
    <w:rsid w:val="0037741C"/>
    <w:rsid w:val="003776F1"/>
    <w:rsid w:val="00377979"/>
    <w:rsid w:val="00377C08"/>
    <w:rsid w:val="00377D8E"/>
    <w:rsid w:val="0038013C"/>
    <w:rsid w:val="00380402"/>
    <w:rsid w:val="00380529"/>
    <w:rsid w:val="00380646"/>
    <w:rsid w:val="003806B2"/>
    <w:rsid w:val="003806C2"/>
    <w:rsid w:val="00380730"/>
    <w:rsid w:val="003807CB"/>
    <w:rsid w:val="00380842"/>
    <w:rsid w:val="00380B4A"/>
    <w:rsid w:val="00380C85"/>
    <w:rsid w:val="00380D7A"/>
    <w:rsid w:val="00380DE8"/>
    <w:rsid w:val="00380F80"/>
    <w:rsid w:val="00381001"/>
    <w:rsid w:val="003811DC"/>
    <w:rsid w:val="00381245"/>
    <w:rsid w:val="00381355"/>
    <w:rsid w:val="0038149A"/>
    <w:rsid w:val="00381518"/>
    <w:rsid w:val="003817FC"/>
    <w:rsid w:val="0038187E"/>
    <w:rsid w:val="00381A36"/>
    <w:rsid w:val="00381A3D"/>
    <w:rsid w:val="00381A7C"/>
    <w:rsid w:val="00381AFB"/>
    <w:rsid w:val="00381C87"/>
    <w:rsid w:val="00381C9A"/>
    <w:rsid w:val="00381D98"/>
    <w:rsid w:val="00381EA6"/>
    <w:rsid w:val="00381F6B"/>
    <w:rsid w:val="00381F85"/>
    <w:rsid w:val="003820D0"/>
    <w:rsid w:val="0038220B"/>
    <w:rsid w:val="0038227C"/>
    <w:rsid w:val="003824FB"/>
    <w:rsid w:val="00382578"/>
    <w:rsid w:val="003825C8"/>
    <w:rsid w:val="00382624"/>
    <w:rsid w:val="0038263A"/>
    <w:rsid w:val="00382660"/>
    <w:rsid w:val="00382663"/>
    <w:rsid w:val="00382811"/>
    <w:rsid w:val="00382A69"/>
    <w:rsid w:val="00382A79"/>
    <w:rsid w:val="00382D74"/>
    <w:rsid w:val="00382F67"/>
    <w:rsid w:val="003830CE"/>
    <w:rsid w:val="00383142"/>
    <w:rsid w:val="0038318A"/>
    <w:rsid w:val="003832D0"/>
    <w:rsid w:val="00383389"/>
    <w:rsid w:val="00383583"/>
    <w:rsid w:val="00383594"/>
    <w:rsid w:val="0038359B"/>
    <w:rsid w:val="00383AD4"/>
    <w:rsid w:val="00383BBE"/>
    <w:rsid w:val="00383F37"/>
    <w:rsid w:val="00384361"/>
    <w:rsid w:val="00384565"/>
    <w:rsid w:val="003846A8"/>
    <w:rsid w:val="003846CD"/>
    <w:rsid w:val="003846EB"/>
    <w:rsid w:val="00384786"/>
    <w:rsid w:val="00384A1C"/>
    <w:rsid w:val="00384BBF"/>
    <w:rsid w:val="00384BF9"/>
    <w:rsid w:val="00384C2F"/>
    <w:rsid w:val="00384DA6"/>
    <w:rsid w:val="0038504B"/>
    <w:rsid w:val="00385247"/>
    <w:rsid w:val="0038536E"/>
    <w:rsid w:val="0038552B"/>
    <w:rsid w:val="003856A5"/>
    <w:rsid w:val="00385A80"/>
    <w:rsid w:val="00385D4F"/>
    <w:rsid w:val="00385D87"/>
    <w:rsid w:val="00385EC8"/>
    <w:rsid w:val="00385F12"/>
    <w:rsid w:val="00385F14"/>
    <w:rsid w:val="00385F38"/>
    <w:rsid w:val="00385F76"/>
    <w:rsid w:val="00385F8C"/>
    <w:rsid w:val="00386051"/>
    <w:rsid w:val="00386155"/>
    <w:rsid w:val="00386226"/>
    <w:rsid w:val="00386243"/>
    <w:rsid w:val="003864F5"/>
    <w:rsid w:val="003864F7"/>
    <w:rsid w:val="00386577"/>
    <w:rsid w:val="003865D2"/>
    <w:rsid w:val="00386AB1"/>
    <w:rsid w:val="00386B41"/>
    <w:rsid w:val="00386E7F"/>
    <w:rsid w:val="0038738C"/>
    <w:rsid w:val="00387497"/>
    <w:rsid w:val="003876AC"/>
    <w:rsid w:val="00387767"/>
    <w:rsid w:val="003877E4"/>
    <w:rsid w:val="00387993"/>
    <w:rsid w:val="00387AD8"/>
    <w:rsid w:val="00387CB7"/>
    <w:rsid w:val="00390117"/>
    <w:rsid w:val="003903B8"/>
    <w:rsid w:val="003905E0"/>
    <w:rsid w:val="0039071D"/>
    <w:rsid w:val="003907CD"/>
    <w:rsid w:val="003908CB"/>
    <w:rsid w:val="00390A74"/>
    <w:rsid w:val="00390AA0"/>
    <w:rsid w:val="00390B47"/>
    <w:rsid w:val="00390DE4"/>
    <w:rsid w:val="00390F46"/>
    <w:rsid w:val="003910B5"/>
    <w:rsid w:val="003910DC"/>
    <w:rsid w:val="00391328"/>
    <w:rsid w:val="00391434"/>
    <w:rsid w:val="00391A92"/>
    <w:rsid w:val="00391B50"/>
    <w:rsid w:val="00391B80"/>
    <w:rsid w:val="00391C55"/>
    <w:rsid w:val="00391CC0"/>
    <w:rsid w:val="00391D0B"/>
    <w:rsid w:val="00391D3D"/>
    <w:rsid w:val="00391F3B"/>
    <w:rsid w:val="00391F9B"/>
    <w:rsid w:val="00391FF3"/>
    <w:rsid w:val="0039206F"/>
    <w:rsid w:val="00392081"/>
    <w:rsid w:val="003921B4"/>
    <w:rsid w:val="003921D0"/>
    <w:rsid w:val="003921FD"/>
    <w:rsid w:val="00392309"/>
    <w:rsid w:val="00392347"/>
    <w:rsid w:val="0039244E"/>
    <w:rsid w:val="003925FB"/>
    <w:rsid w:val="00392841"/>
    <w:rsid w:val="0039290F"/>
    <w:rsid w:val="00392B7E"/>
    <w:rsid w:val="00392E0C"/>
    <w:rsid w:val="00393893"/>
    <w:rsid w:val="0039391E"/>
    <w:rsid w:val="00393990"/>
    <w:rsid w:val="00393BB2"/>
    <w:rsid w:val="00393C84"/>
    <w:rsid w:val="00393D88"/>
    <w:rsid w:val="00393DAC"/>
    <w:rsid w:val="00393E06"/>
    <w:rsid w:val="00393EF6"/>
    <w:rsid w:val="00393F26"/>
    <w:rsid w:val="00393FB3"/>
    <w:rsid w:val="003940A4"/>
    <w:rsid w:val="003940A8"/>
    <w:rsid w:val="0039416D"/>
    <w:rsid w:val="003941A7"/>
    <w:rsid w:val="003941EE"/>
    <w:rsid w:val="003942A6"/>
    <w:rsid w:val="00394338"/>
    <w:rsid w:val="00394798"/>
    <w:rsid w:val="003947AB"/>
    <w:rsid w:val="003947EB"/>
    <w:rsid w:val="00394893"/>
    <w:rsid w:val="00394A0E"/>
    <w:rsid w:val="00394A6F"/>
    <w:rsid w:val="00394C2E"/>
    <w:rsid w:val="00394CFF"/>
    <w:rsid w:val="00394D02"/>
    <w:rsid w:val="00394D9B"/>
    <w:rsid w:val="00395014"/>
    <w:rsid w:val="0039511D"/>
    <w:rsid w:val="0039517B"/>
    <w:rsid w:val="003951C2"/>
    <w:rsid w:val="00395218"/>
    <w:rsid w:val="00395256"/>
    <w:rsid w:val="003952CC"/>
    <w:rsid w:val="00395308"/>
    <w:rsid w:val="00395514"/>
    <w:rsid w:val="00395600"/>
    <w:rsid w:val="00395794"/>
    <w:rsid w:val="003957A3"/>
    <w:rsid w:val="00395804"/>
    <w:rsid w:val="0039587E"/>
    <w:rsid w:val="003959FD"/>
    <w:rsid w:val="00395A9F"/>
    <w:rsid w:val="00395B59"/>
    <w:rsid w:val="00395D40"/>
    <w:rsid w:val="00395E7C"/>
    <w:rsid w:val="00395E9E"/>
    <w:rsid w:val="00395FC8"/>
    <w:rsid w:val="003961C7"/>
    <w:rsid w:val="003962A4"/>
    <w:rsid w:val="003963B7"/>
    <w:rsid w:val="0039645D"/>
    <w:rsid w:val="0039656A"/>
    <w:rsid w:val="0039661B"/>
    <w:rsid w:val="003966B4"/>
    <w:rsid w:val="0039679B"/>
    <w:rsid w:val="003968A6"/>
    <w:rsid w:val="0039699B"/>
    <w:rsid w:val="00396AA0"/>
    <w:rsid w:val="00396B25"/>
    <w:rsid w:val="00397102"/>
    <w:rsid w:val="0039710F"/>
    <w:rsid w:val="00397240"/>
    <w:rsid w:val="00397418"/>
    <w:rsid w:val="00397870"/>
    <w:rsid w:val="003979A1"/>
    <w:rsid w:val="00397A44"/>
    <w:rsid w:val="00397B0A"/>
    <w:rsid w:val="00397BE6"/>
    <w:rsid w:val="00397C56"/>
    <w:rsid w:val="00397CF5"/>
    <w:rsid w:val="00397D9C"/>
    <w:rsid w:val="003A0516"/>
    <w:rsid w:val="003A0812"/>
    <w:rsid w:val="003A092F"/>
    <w:rsid w:val="003A095D"/>
    <w:rsid w:val="003A09D9"/>
    <w:rsid w:val="003A09E5"/>
    <w:rsid w:val="003A0FB5"/>
    <w:rsid w:val="003A1034"/>
    <w:rsid w:val="003A108B"/>
    <w:rsid w:val="003A10A7"/>
    <w:rsid w:val="003A10C3"/>
    <w:rsid w:val="003A10F6"/>
    <w:rsid w:val="003A1192"/>
    <w:rsid w:val="003A1342"/>
    <w:rsid w:val="003A1652"/>
    <w:rsid w:val="003A1890"/>
    <w:rsid w:val="003A1920"/>
    <w:rsid w:val="003A19C2"/>
    <w:rsid w:val="003A1B07"/>
    <w:rsid w:val="003A1B76"/>
    <w:rsid w:val="003A1BCF"/>
    <w:rsid w:val="003A1E09"/>
    <w:rsid w:val="003A24FC"/>
    <w:rsid w:val="003A2510"/>
    <w:rsid w:val="003A2647"/>
    <w:rsid w:val="003A2807"/>
    <w:rsid w:val="003A2833"/>
    <w:rsid w:val="003A2AE6"/>
    <w:rsid w:val="003A2AF1"/>
    <w:rsid w:val="003A2B3C"/>
    <w:rsid w:val="003A2B43"/>
    <w:rsid w:val="003A2B8B"/>
    <w:rsid w:val="003A3222"/>
    <w:rsid w:val="003A3256"/>
    <w:rsid w:val="003A32E2"/>
    <w:rsid w:val="003A372B"/>
    <w:rsid w:val="003A39BF"/>
    <w:rsid w:val="003A3BF8"/>
    <w:rsid w:val="003A3C0D"/>
    <w:rsid w:val="003A3E5D"/>
    <w:rsid w:val="003A3F1A"/>
    <w:rsid w:val="003A4068"/>
    <w:rsid w:val="003A4098"/>
    <w:rsid w:val="003A415A"/>
    <w:rsid w:val="003A4192"/>
    <w:rsid w:val="003A4444"/>
    <w:rsid w:val="003A4703"/>
    <w:rsid w:val="003A4780"/>
    <w:rsid w:val="003A49F2"/>
    <w:rsid w:val="003A4A0A"/>
    <w:rsid w:val="003A4A60"/>
    <w:rsid w:val="003A4B91"/>
    <w:rsid w:val="003A4D6F"/>
    <w:rsid w:val="003A5357"/>
    <w:rsid w:val="003A5399"/>
    <w:rsid w:val="003A53DA"/>
    <w:rsid w:val="003A546C"/>
    <w:rsid w:val="003A54F3"/>
    <w:rsid w:val="003A55EA"/>
    <w:rsid w:val="003A56E5"/>
    <w:rsid w:val="003A57CC"/>
    <w:rsid w:val="003A57CE"/>
    <w:rsid w:val="003A5B40"/>
    <w:rsid w:val="003A5BA3"/>
    <w:rsid w:val="003A5C7E"/>
    <w:rsid w:val="003A5CA4"/>
    <w:rsid w:val="003A5ECA"/>
    <w:rsid w:val="003A5FA1"/>
    <w:rsid w:val="003A60A4"/>
    <w:rsid w:val="003A62AF"/>
    <w:rsid w:val="003A64BB"/>
    <w:rsid w:val="003A67FB"/>
    <w:rsid w:val="003A6B31"/>
    <w:rsid w:val="003A6CAC"/>
    <w:rsid w:val="003A6CF6"/>
    <w:rsid w:val="003A6DCF"/>
    <w:rsid w:val="003A6DDA"/>
    <w:rsid w:val="003A7004"/>
    <w:rsid w:val="003A71CA"/>
    <w:rsid w:val="003A7225"/>
    <w:rsid w:val="003A727D"/>
    <w:rsid w:val="003A72B9"/>
    <w:rsid w:val="003A741E"/>
    <w:rsid w:val="003A7572"/>
    <w:rsid w:val="003A75BA"/>
    <w:rsid w:val="003A75CE"/>
    <w:rsid w:val="003A75DC"/>
    <w:rsid w:val="003A7625"/>
    <w:rsid w:val="003A763E"/>
    <w:rsid w:val="003A7643"/>
    <w:rsid w:val="003A77E6"/>
    <w:rsid w:val="003A77ED"/>
    <w:rsid w:val="003A78BE"/>
    <w:rsid w:val="003A795F"/>
    <w:rsid w:val="003A7E5A"/>
    <w:rsid w:val="003A7E67"/>
    <w:rsid w:val="003A7FD7"/>
    <w:rsid w:val="003B040B"/>
    <w:rsid w:val="003B04AA"/>
    <w:rsid w:val="003B0591"/>
    <w:rsid w:val="003B0721"/>
    <w:rsid w:val="003B0829"/>
    <w:rsid w:val="003B08DF"/>
    <w:rsid w:val="003B0A62"/>
    <w:rsid w:val="003B0A95"/>
    <w:rsid w:val="003B0AC1"/>
    <w:rsid w:val="003B0AEA"/>
    <w:rsid w:val="003B0B06"/>
    <w:rsid w:val="003B0B5D"/>
    <w:rsid w:val="003B0C5B"/>
    <w:rsid w:val="003B0D50"/>
    <w:rsid w:val="003B0E96"/>
    <w:rsid w:val="003B1033"/>
    <w:rsid w:val="003B109F"/>
    <w:rsid w:val="003B11DE"/>
    <w:rsid w:val="003B11EE"/>
    <w:rsid w:val="003B12BA"/>
    <w:rsid w:val="003B1342"/>
    <w:rsid w:val="003B161C"/>
    <w:rsid w:val="003B16CB"/>
    <w:rsid w:val="003B1867"/>
    <w:rsid w:val="003B1948"/>
    <w:rsid w:val="003B1A54"/>
    <w:rsid w:val="003B1A77"/>
    <w:rsid w:val="003B1B2D"/>
    <w:rsid w:val="003B1D15"/>
    <w:rsid w:val="003B1D71"/>
    <w:rsid w:val="003B1DFA"/>
    <w:rsid w:val="003B21A7"/>
    <w:rsid w:val="003B21AD"/>
    <w:rsid w:val="003B224A"/>
    <w:rsid w:val="003B243B"/>
    <w:rsid w:val="003B2507"/>
    <w:rsid w:val="003B267A"/>
    <w:rsid w:val="003B2872"/>
    <w:rsid w:val="003B2998"/>
    <w:rsid w:val="003B2B1F"/>
    <w:rsid w:val="003B2B67"/>
    <w:rsid w:val="003B2C4C"/>
    <w:rsid w:val="003B2C8C"/>
    <w:rsid w:val="003B2CB3"/>
    <w:rsid w:val="003B2D26"/>
    <w:rsid w:val="003B2D32"/>
    <w:rsid w:val="003B2D9F"/>
    <w:rsid w:val="003B2F00"/>
    <w:rsid w:val="003B30C1"/>
    <w:rsid w:val="003B3106"/>
    <w:rsid w:val="003B3238"/>
    <w:rsid w:val="003B33DF"/>
    <w:rsid w:val="003B35FD"/>
    <w:rsid w:val="003B3AE0"/>
    <w:rsid w:val="003B3BC7"/>
    <w:rsid w:val="003B3BE1"/>
    <w:rsid w:val="003B3C35"/>
    <w:rsid w:val="003B3CAD"/>
    <w:rsid w:val="003B3CF6"/>
    <w:rsid w:val="003B3FAF"/>
    <w:rsid w:val="003B4057"/>
    <w:rsid w:val="003B4195"/>
    <w:rsid w:val="003B41B5"/>
    <w:rsid w:val="003B41E5"/>
    <w:rsid w:val="003B438C"/>
    <w:rsid w:val="003B4463"/>
    <w:rsid w:val="003B4537"/>
    <w:rsid w:val="003B46D7"/>
    <w:rsid w:val="003B4826"/>
    <w:rsid w:val="003B4B72"/>
    <w:rsid w:val="003B4BF0"/>
    <w:rsid w:val="003B4F95"/>
    <w:rsid w:val="003B501B"/>
    <w:rsid w:val="003B5102"/>
    <w:rsid w:val="003B539D"/>
    <w:rsid w:val="003B5450"/>
    <w:rsid w:val="003B5471"/>
    <w:rsid w:val="003B54F4"/>
    <w:rsid w:val="003B5794"/>
    <w:rsid w:val="003B57C0"/>
    <w:rsid w:val="003B584F"/>
    <w:rsid w:val="003B599D"/>
    <w:rsid w:val="003B5A76"/>
    <w:rsid w:val="003B5A80"/>
    <w:rsid w:val="003B5D0F"/>
    <w:rsid w:val="003B5EBD"/>
    <w:rsid w:val="003B6057"/>
    <w:rsid w:val="003B6181"/>
    <w:rsid w:val="003B62D4"/>
    <w:rsid w:val="003B6330"/>
    <w:rsid w:val="003B6347"/>
    <w:rsid w:val="003B657A"/>
    <w:rsid w:val="003B65DD"/>
    <w:rsid w:val="003B68B9"/>
    <w:rsid w:val="003B6A36"/>
    <w:rsid w:val="003B6A5F"/>
    <w:rsid w:val="003B6ACA"/>
    <w:rsid w:val="003B6AF4"/>
    <w:rsid w:val="003B6E50"/>
    <w:rsid w:val="003B6F63"/>
    <w:rsid w:val="003B6F86"/>
    <w:rsid w:val="003B71F8"/>
    <w:rsid w:val="003B72E8"/>
    <w:rsid w:val="003B72EB"/>
    <w:rsid w:val="003B734F"/>
    <w:rsid w:val="003B745A"/>
    <w:rsid w:val="003B7723"/>
    <w:rsid w:val="003B779C"/>
    <w:rsid w:val="003B785E"/>
    <w:rsid w:val="003B7974"/>
    <w:rsid w:val="003B7D8C"/>
    <w:rsid w:val="003B7E33"/>
    <w:rsid w:val="003B7EA9"/>
    <w:rsid w:val="003B7FE9"/>
    <w:rsid w:val="003C00E3"/>
    <w:rsid w:val="003C04B8"/>
    <w:rsid w:val="003C064F"/>
    <w:rsid w:val="003C06ED"/>
    <w:rsid w:val="003C0727"/>
    <w:rsid w:val="003C083D"/>
    <w:rsid w:val="003C0864"/>
    <w:rsid w:val="003C0960"/>
    <w:rsid w:val="003C0989"/>
    <w:rsid w:val="003C099F"/>
    <w:rsid w:val="003C0A40"/>
    <w:rsid w:val="003C0BA2"/>
    <w:rsid w:val="003C0C16"/>
    <w:rsid w:val="003C0C4E"/>
    <w:rsid w:val="003C10ED"/>
    <w:rsid w:val="003C1273"/>
    <w:rsid w:val="003C128A"/>
    <w:rsid w:val="003C12C7"/>
    <w:rsid w:val="003C1315"/>
    <w:rsid w:val="003C14AF"/>
    <w:rsid w:val="003C152F"/>
    <w:rsid w:val="003C15F4"/>
    <w:rsid w:val="003C173C"/>
    <w:rsid w:val="003C19A0"/>
    <w:rsid w:val="003C19B2"/>
    <w:rsid w:val="003C1ABF"/>
    <w:rsid w:val="003C1B27"/>
    <w:rsid w:val="003C1BB3"/>
    <w:rsid w:val="003C1CB1"/>
    <w:rsid w:val="003C1CC2"/>
    <w:rsid w:val="003C1CF3"/>
    <w:rsid w:val="003C1D49"/>
    <w:rsid w:val="003C22AA"/>
    <w:rsid w:val="003C23A3"/>
    <w:rsid w:val="003C2470"/>
    <w:rsid w:val="003C2564"/>
    <w:rsid w:val="003C2577"/>
    <w:rsid w:val="003C26A4"/>
    <w:rsid w:val="003C295E"/>
    <w:rsid w:val="003C29C6"/>
    <w:rsid w:val="003C2A5B"/>
    <w:rsid w:val="003C2ACC"/>
    <w:rsid w:val="003C2B33"/>
    <w:rsid w:val="003C2B5D"/>
    <w:rsid w:val="003C2CEC"/>
    <w:rsid w:val="003C2D06"/>
    <w:rsid w:val="003C2D2C"/>
    <w:rsid w:val="003C2D39"/>
    <w:rsid w:val="003C2D59"/>
    <w:rsid w:val="003C2E46"/>
    <w:rsid w:val="003C3365"/>
    <w:rsid w:val="003C35BB"/>
    <w:rsid w:val="003C360D"/>
    <w:rsid w:val="003C3709"/>
    <w:rsid w:val="003C3A86"/>
    <w:rsid w:val="003C3BCD"/>
    <w:rsid w:val="003C3DA2"/>
    <w:rsid w:val="003C3DD5"/>
    <w:rsid w:val="003C3E73"/>
    <w:rsid w:val="003C3F8A"/>
    <w:rsid w:val="003C4076"/>
    <w:rsid w:val="003C40B6"/>
    <w:rsid w:val="003C41E5"/>
    <w:rsid w:val="003C438F"/>
    <w:rsid w:val="003C4629"/>
    <w:rsid w:val="003C49F8"/>
    <w:rsid w:val="003C4A08"/>
    <w:rsid w:val="003C4C84"/>
    <w:rsid w:val="003C4E71"/>
    <w:rsid w:val="003C51A9"/>
    <w:rsid w:val="003C5402"/>
    <w:rsid w:val="003C544D"/>
    <w:rsid w:val="003C5542"/>
    <w:rsid w:val="003C5580"/>
    <w:rsid w:val="003C56BD"/>
    <w:rsid w:val="003C56E4"/>
    <w:rsid w:val="003C59DC"/>
    <w:rsid w:val="003C59F5"/>
    <w:rsid w:val="003C5BD8"/>
    <w:rsid w:val="003C5CD2"/>
    <w:rsid w:val="003C5EA0"/>
    <w:rsid w:val="003C600F"/>
    <w:rsid w:val="003C606F"/>
    <w:rsid w:val="003C60E0"/>
    <w:rsid w:val="003C6134"/>
    <w:rsid w:val="003C63D9"/>
    <w:rsid w:val="003C6420"/>
    <w:rsid w:val="003C649F"/>
    <w:rsid w:val="003C64A8"/>
    <w:rsid w:val="003C6565"/>
    <w:rsid w:val="003C6743"/>
    <w:rsid w:val="003C68DC"/>
    <w:rsid w:val="003C6920"/>
    <w:rsid w:val="003C692A"/>
    <w:rsid w:val="003C6A4E"/>
    <w:rsid w:val="003C6A86"/>
    <w:rsid w:val="003C6F95"/>
    <w:rsid w:val="003C6FCA"/>
    <w:rsid w:val="003C7101"/>
    <w:rsid w:val="003C7114"/>
    <w:rsid w:val="003C722E"/>
    <w:rsid w:val="003C726A"/>
    <w:rsid w:val="003C7312"/>
    <w:rsid w:val="003C744D"/>
    <w:rsid w:val="003C758E"/>
    <w:rsid w:val="003C7766"/>
    <w:rsid w:val="003C7840"/>
    <w:rsid w:val="003C7A63"/>
    <w:rsid w:val="003C7ACF"/>
    <w:rsid w:val="003C7B5B"/>
    <w:rsid w:val="003C7C44"/>
    <w:rsid w:val="003C7E80"/>
    <w:rsid w:val="003C7EAB"/>
    <w:rsid w:val="003C7ED8"/>
    <w:rsid w:val="003CEAD5"/>
    <w:rsid w:val="003D031C"/>
    <w:rsid w:val="003D035B"/>
    <w:rsid w:val="003D04BF"/>
    <w:rsid w:val="003D053E"/>
    <w:rsid w:val="003D056E"/>
    <w:rsid w:val="003D08B7"/>
    <w:rsid w:val="003D0A0B"/>
    <w:rsid w:val="003D0B8D"/>
    <w:rsid w:val="003D0C4A"/>
    <w:rsid w:val="003D0C64"/>
    <w:rsid w:val="003D0D25"/>
    <w:rsid w:val="003D0E2B"/>
    <w:rsid w:val="003D1003"/>
    <w:rsid w:val="003D107D"/>
    <w:rsid w:val="003D1110"/>
    <w:rsid w:val="003D1377"/>
    <w:rsid w:val="003D1568"/>
    <w:rsid w:val="003D157A"/>
    <w:rsid w:val="003D15BF"/>
    <w:rsid w:val="003D15C7"/>
    <w:rsid w:val="003D1813"/>
    <w:rsid w:val="003D184A"/>
    <w:rsid w:val="003D1B57"/>
    <w:rsid w:val="003D1BA4"/>
    <w:rsid w:val="003D1D54"/>
    <w:rsid w:val="003D1D62"/>
    <w:rsid w:val="003D1EE0"/>
    <w:rsid w:val="003D1F1E"/>
    <w:rsid w:val="003D206C"/>
    <w:rsid w:val="003D2100"/>
    <w:rsid w:val="003D223C"/>
    <w:rsid w:val="003D2378"/>
    <w:rsid w:val="003D23FA"/>
    <w:rsid w:val="003D2558"/>
    <w:rsid w:val="003D2615"/>
    <w:rsid w:val="003D2B1D"/>
    <w:rsid w:val="003D2B64"/>
    <w:rsid w:val="003D2B8E"/>
    <w:rsid w:val="003D2C36"/>
    <w:rsid w:val="003D2DE6"/>
    <w:rsid w:val="003D2F27"/>
    <w:rsid w:val="003D3010"/>
    <w:rsid w:val="003D313D"/>
    <w:rsid w:val="003D3194"/>
    <w:rsid w:val="003D31AA"/>
    <w:rsid w:val="003D3301"/>
    <w:rsid w:val="003D336B"/>
    <w:rsid w:val="003D34FF"/>
    <w:rsid w:val="003D36C5"/>
    <w:rsid w:val="003D39AE"/>
    <w:rsid w:val="003D3BEF"/>
    <w:rsid w:val="003D3C42"/>
    <w:rsid w:val="003D3D25"/>
    <w:rsid w:val="003D3D51"/>
    <w:rsid w:val="003D3DCC"/>
    <w:rsid w:val="003D3DE4"/>
    <w:rsid w:val="003D3E2A"/>
    <w:rsid w:val="003D3F34"/>
    <w:rsid w:val="003D4011"/>
    <w:rsid w:val="003D40B3"/>
    <w:rsid w:val="003D41DD"/>
    <w:rsid w:val="003D4282"/>
    <w:rsid w:val="003D4363"/>
    <w:rsid w:val="003D43BA"/>
    <w:rsid w:val="003D44EA"/>
    <w:rsid w:val="003D4545"/>
    <w:rsid w:val="003D465D"/>
    <w:rsid w:val="003D46BD"/>
    <w:rsid w:val="003D4A06"/>
    <w:rsid w:val="003D4BD2"/>
    <w:rsid w:val="003D4C92"/>
    <w:rsid w:val="003D4F92"/>
    <w:rsid w:val="003D511F"/>
    <w:rsid w:val="003D5202"/>
    <w:rsid w:val="003D525E"/>
    <w:rsid w:val="003D530C"/>
    <w:rsid w:val="003D5358"/>
    <w:rsid w:val="003D5564"/>
    <w:rsid w:val="003D55E9"/>
    <w:rsid w:val="003D58AB"/>
    <w:rsid w:val="003D5A45"/>
    <w:rsid w:val="003D5AC2"/>
    <w:rsid w:val="003D5B9F"/>
    <w:rsid w:val="003D5BB3"/>
    <w:rsid w:val="003D5C72"/>
    <w:rsid w:val="003D5CA9"/>
    <w:rsid w:val="003D5CC2"/>
    <w:rsid w:val="003D5CCF"/>
    <w:rsid w:val="003D5E33"/>
    <w:rsid w:val="003D5F29"/>
    <w:rsid w:val="003D601B"/>
    <w:rsid w:val="003D609B"/>
    <w:rsid w:val="003D611E"/>
    <w:rsid w:val="003D6285"/>
    <w:rsid w:val="003D62C1"/>
    <w:rsid w:val="003D6319"/>
    <w:rsid w:val="003D63BD"/>
    <w:rsid w:val="003D6682"/>
    <w:rsid w:val="003D677C"/>
    <w:rsid w:val="003D680D"/>
    <w:rsid w:val="003D6876"/>
    <w:rsid w:val="003D6B81"/>
    <w:rsid w:val="003D6E0E"/>
    <w:rsid w:val="003D6F94"/>
    <w:rsid w:val="003D7010"/>
    <w:rsid w:val="003D71AC"/>
    <w:rsid w:val="003D7291"/>
    <w:rsid w:val="003D7333"/>
    <w:rsid w:val="003D7348"/>
    <w:rsid w:val="003D752F"/>
    <w:rsid w:val="003D7536"/>
    <w:rsid w:val="003D7711"/>
    <w:rsid w:val="003D7730"/>
    <w:rsid w:val="003D789A"/>
    <w:rsid w:val="003D7981"/>
    <w:rsid w:val="003D7A74"/>
    <w:rsid w:val="003D7C72"/>
    <w:rsid w:val="003D7CF9"/>
    <w:rsid w:val="003D7D15"/>
    <w:rsid w:val="003D7D69"/>
    <w:rsid w:val="003D7D88"/>
    <w:rsid w:val="003D7E3E"/>
    <w:rsid w:val="003D7FD7"/>
    <w:rsid w:val="003E00B5"/>
    <w:rsid w:val="003E00F3"/>
    <w:rsid w:val="003E02D8"/>
    <w:rsid w:val="003E055C"/>
    <w:rsid w:val="003E0764"/>
    <w:rsid w:val="003E0778"/>
    <w:rsid w:val="003E07B9"/>
    <w:rsid w:val="003E0842"/>
    <w:rsid w:val="003E086D"/>
    <w:rsid w:val="003E08F8"/>
    <w:rsid w:val="003E0A49"/>
    <w:rsid w:val="003E0BDC"/>
    <w:rsid w:val="003E0C05"/>
    <w:rsid w:val="003E0EA1"/>
    <w:rsid w:val="003E0EB7"/>
    <w:rsid w:val="003E0F39"/>
    <w:rsid w:val="003E0F98"/>
    <w:rsid w:val="003E0F9C"/>
    <w:rsid w:val="003E1276"/>
    <w:rsid w:val="003E1355"/>
    <w:rsid w:val="003E1443"/>
    <w:rsid w:val="003E175A"/>
    <w:rsid w:val="003E1789"/>
    <w:rsid w:val="003E17BF"/>
    <w:rsid w:val="003E1804"/>
    <w:rsid w:val="003E1851"/>
    <w:rsid w:val="003E18BF"/>
    <w:rsid w:val="003E1920"/>
    <w:rsid w:val="003E195C"/>
    <w:rsid w:val="003E199B"/>
    <w:rsid w:val="003E1A33"/>
    <w:rsid w:val="003E1BCD"/>
    <w:rsid w:val="003E1D2B"/>
    <w:rsid w:val="003E1F41"/>
    <w:rsid w:val="003E1FCC"/>
    <w:rsid w:val="003E2162"/>
    <w:rsid w:val="003E219B"/>
    <w:rsid w:val="003E23DE"/>
    <w:rsid w:val="003E2470"/>
    <w:rsid w:val="003E2527"/>
    <w:rsid w:val="003E2599"/>
    <w:rsid w:val="003E25B6"/>
    <w:rsid w:val="003E26F8"/>
    <w:rsid w:val="003E2777"/>
    <w:rsid w:val="003E29E2"/>
    <w:rsid w:val="003E2A5C"/>
    <w:rsid w:val="003E2B45"/>
    <w:rsid w:val="003E2DB4"/>
    <w:rsid w:val="003E2E5A"/>
    <w:rsid w:val="003E31A6"/>
    <w:rsid w:val="003E33F0"/>
    <w:rsid w:val="003E34A7"/>
    <w:rsid w:val="003E34F6"/>
    <w:rsid w:val="003E3517"/>
    <w:rsid w:val="003E351B"/>
    <w:rsid w:val="003E3583"/>
    <w:rsid w:val="003E3657"/>
    <w:rsid w:val="003E3825"/>
    <w:rsid w:val="003E3857"/>
    <w:rsid w:val="003E3916"/>
    <w:rsid w:val="003E3A2C"/>
    <w:rsid w:val="003E3B97"/>
    <w:rsid w:val="003E3BD9"/>
    <w:rsid w:val="003E3C31"/>
    <w:rsid w:val="003E3D2C"/>
    <w:rsid w:val="003E3F26"/>
    <w:rsid w:val="003E4089"/>
    <w:rsid w:val="003E40E2"/>
    <w:rsid w:val="003E42A1"/>
    <w:rsid w:val="003E42BB"/>
    <w:rsid w:val="003E431C"/>
    <w:rsid w:val="003E4375"/>
    <w:rsid w:val="003E4688"/>
    <w:rsid w:val="003E4756"/>
    <w:rsid w:val="003E47EA"/>
    <w:rsid w:val="003E48D2"/>
    <w:rsid w:val="003E4B54"/>
    <w:rsid w:val="003E4C15"/>
    <w:rsid w:val="003E4C24"/>
    <w:rsid w:val="003E4EB7"/>
    <w:rsid w:val="003E4EDD"/>
    <w:rsid w:val="003E4FBA"/>
    <w:rsid w:val="003E5120"/>
    <w:rsid w:val="003E533C"/>
    <w:rsid w:val="003E5385"/>
    <w:rsid w:val="003E540F"/>
    <w:rsid w:val="003E549C"/>
    <w:rsid w:val="003E556D"/>
    <w:rsid w:val="003E5691"/>
    <w:rsid w:val="003E5750"/>
    <w:rsid w:val="003E57C9"/>
    <w:rsid w:val="003E5937"/>
    <w:rsid w:val="003E5992"/>
    <w:rsid w:val="003E5B53"/>
    <w:rsid w:val="003E5CD9"/>
    <w:rsid w:val="003E5D8E"/>
    <w:rsid w:val="003E5DA5"/>
    <w:rsid w:val="003E605A"/>
    <w:rsid w:val="003E615B"/>
    <w:rsid w:val="003E61AF"/>
    <w:rsid w:val="003E6208"/>
    <w:rsid w:val="003E640F"/>
    <w:rsid w:val="003E67A7"/>
    <w:rsid w:val="003E684C"/>
    <w:rsid w:val="003E68C6"/>
    <w:rsid w:val="003E6B13"/>
    <w:rsid w:val="003E6C2C"/>
    <w:rsid w:val="003E6C89"/>
    <w:rsid w:val="003E6D38"/>
    <w:rsid w:val="003E6E2D"/>
    <w:rsid w:val="003E6E6C"/>
    <w:rsid w:val="003E726A"/>
    <w:rsid w:val="003E7449"/>
    <w:rsid w:val="003E747F"/>
    <w:rsid w:val="003E7547"/>
    <w:rsid w:val="003E7595"/>
    <w:rsid w:val="003E7599"/>
    <w:rsid w:val="003E75B8"/>
    <w:rsid w:val="003E771B"/>
    <w:rsid w:val="003E778A"/>
    <w:rsid w:val="003E7876"/>
    <w:rsid w:val="003E7972"/>
    <w:rsid w:val="003E7A15"/>
    <w:rsid w:val="003E7DB0"/>
    <w:rsid w:val="003E7DB8"/>
    <w:rsid w:val="003E7F9D"/>
    <w:rsid w:val="003F00AC"/>
    <w:rsid w:val="003F010A"/>
    <w:rsid w:val="003F0649"/>
    <w:rsid w:val="003F073A"/>
    <w:rsid w:val="003F0894"/>
    <w:rsid w:val="003F090E"/>
    <w:rsid w:val="003F098C"/>
    <w:rsid w:val="003F0F3C"/>
    <w:rsid w:val="003F0F3D"/>
    <w:rsid w:val="003F0F8F"/>
    <w:rsid w:val="003F1120"/>
    <w:rsid w:val="003F11C3"/>
    <w:rsid w:val="003F12CC"/>
    <w:rsid w:val="003F1412"/>
    <w:rsid w:val="003F160A"/>
    <w:rsid w:val="003F1619"/>
    <w:rsid w:val="003F1668"/>
    <w:rsid w:val="003F198E"/>
    <w:rsid w:val="003F1A31"/>
    <w:rsid w:val="003F1A90"/>
    <w:rsid w:val="003F1A96"/>
    <w:rsid w:val="003F1AA0"/>
    <w:rsid w:val="003F1ABC"/>
    <w:rsid w:val="003F1BD0"/>
    <w:rsid w:val="003F1C00"/>
    <w:rsid w:val="003F1DB8"/>
    <w:rsid w:val="003F1FA7"/>
    <w:rsid w:val="003F242C"/>
    <w:rsid w:val="003F2460"/>
    <w:rsid w:val="003F2551"/>
    <w:rsid w:val="003F2610"/>
    <w:rsid w:val="003F276E"/>
    <w:rsid w:val="003F2941"/>
    <w:rsid w:val="003F2C4B"/>
    <w:rsid w:val="003F2C4E"/>
    <w:rsid w:val="003F2CA2"/>
    <w:rsid w:val="003F2E0E"/>
    <w:rsid w:val="003F30E4"/>
    <w:rsid w:val="003F32AD"/>
    <w:rsid w:val="003F360F"/>
    <w:rsid w:val="003F3662"/>
    <w:rsid w:val="003F366D"/>
    <w:rsid w:val="003F3778"/>
    <w:rsid w:val="003F37AF"/>
    <w:rsid w:val="003F3955"/>
    <w:rsid w:val="003F3A72"/>
    <w:rsid w:val="003F3B26"/>
    <w:rsid w:val="003F3B84"/>
    <w:rsid w:val="003F3BAC"/>
    <w:rsid w:val="003F3DD1"/>
    <w:rsid w:val="003F3DFD"/>
    <w:rsid w:val="003F3FC6"/>
    <w:rsid w:val="003F407A"/>
    <w:rsid w:val="003F4257"/>
    <w:rsid w:val="003F43C9"/>
    <w:rsid w:val="003F4475"/>
    <w:rsid w:val="003F4667"/>
    <w:rsid w:val="003F4717"/>
    <w:rsid w:val="003F4837"/>
    <w:rsid w:val="003F4D87"/>
    <w:rsid w:val="003F4E87"/>
    <w:rsid w:val="003F4F6C"/>
    <w:rsid w:val="003F4FA0"/>
    <w:rsid w:val="003F53DE"/>
    <w:rsid w:val="003F5461"/>
    <w:rsid w:val="003F5551"/>
    <w:rsid w:val="003F5594"/>
    <w:rsid w:val="003F55D3"/>
    <w:rsid w:val="003F582C"/>
    <w:rsid w:val="003F5A9E"/>
    <w:rsid w:val="003F5BB1"/>
    <w:rsid w:val="003F5D6A"/>
    <w:rsid w:val="003F5F2F"/>
    <w:rsid w:val="003F5F57"/>
    <w:rsid w:val="003F603D"/>
    <w:rsid w:val="003F609B"/>
    <w:rsid w:val="003F6260"/>
    <w:rsid w:val="003F6346"/>
    <w:rsid w:val="003F6389"/>
    <w:rsid w:val="003F63B2"/>
    <w:rsid w:val="003F6619"/>
    <w:rsid w:val="003F66E7"/>
    <w:rsid w:val="003F6826"/>
    <w:rsid w:val="003F685E"/>
    <w:rsid w:val="003F6961"/>
    <w:rsid w:val="003F6A59"/>
    <w:rsid w:val="003F6A73"/>
    <w:rsid w:val="003F6C17"/>
    <w:rsid w:val="003F6D21"/>
    <w:rsid w:val="003F6DB9"/>
    <w:rsid w:val="003F6FC3"/>
    <w:rsid w:val="003F707F"/>
    <w:rsid w:val="003F72B9"/>
    <w:rsid w:val="003F72DD"/>
    <w:rsid w:val="003F74AA"/>
    <w:rsid w:val="003F761D"/>
    <w:rsid w:val="003F76B6"/>
    <w:rsid w:val="003F781B"/>
    <w:rsid w:val="003F7842"/>
    <w:rsid w:val="003F784C"/>
    <w:rsid w:val="003F795B"/>
    <w:rsid w:val="003F79DC"/>
    <w:rsid w:val="003F7AF8"/>
    <w:rsid w:val="003F7B96"/>
    <w:rsid w:val="003F7BB9"/>
    <w:rsid w:val="003F7EA6"/>
    <w:rsid w:val="003F7F13"/>
    <w:rsid w:val="003F7FEF"/>
    <w:rsid w:val="00400147"/>
    <w:rsid w:val="0040019C"/>
    <w:rsid w:val="004001EC"/>
    <w:rsid w:val="004003E2"/>
    <w:rsid w:val="004004F9"/>
    <w:rsid w:val="004005CA"/>
    <w:rsid w:val="00400717"/>
    <w:rsid w:val="00400AC2"/>
    <w:rsid w:val="00400AEC"/>
    <w:rsid w:val="00400AFB"/>
    <w:rsid w:val="00400BB0"/>
    <w:rsid w:val="00400D61"/>
    <w:rsid w:val="00400D6F"/>
    <w:rsid w:val="00400E6E"/>
    <w:rsid w:val="00400E7F"/>
    <w:rsid w:val="00400F64"/>
    <w:rsid w:val="00401286"/>
    <w:rsid w:val="00401442"/>
    <w:rsid w:val="004014D7"/>
    <w:rsid w:val="00401559"/>
    <w:rsid w:val="00401628"/>
    <w:rsid w:val="00401741"/>
    <w:rsid w:val="004018BD"/>
    <w:rsid w:val="00401912"/>
    <w:rsid w:val="00401A44"/>
    <w:rsid w:val="00401B36"/>
    <w:rsid w:val="00401C7A"/>
    <w:rsid w:val="00401CBC"/>
    <w:rsid w:val="00401D9C"/>
    <w:rsid w:val="00401E08"/>
    <w:rsid w:val="00401E34"/>
    <w:rsid w:val="00402000"/>
    <w:rsid w:val="00402317"/>
    <w:rsid w:val="0040234F"/>
    <w:rsid w:val="004023B7"/>
    <w:rsid w:val="004024C6"/>
    <w:rsid w:val="0040258A"/>
    <w:rsid w:val="004025B5"/>
    <w:rsid w:val="00402743"/>
    <w:rsid w:val="004027AD"/>
    <w:rsid w:val="00402D21"/>
    <w:rsid w:val="00402E98"/>
    <w:rsid w:val="00402EB4"/>
    <w:rsid w:val="00403178"/>
    <w:rsid w:val="0040319C"/>
    <w:rsid w:val="0040319F"/>
    <w:rsid w:val="00403287"/>
    <w:rsid w:val="00403411"/>
    <w:rsid w:val="0040377A"/>
    <w:rsid w:val="004039A3"/>
    <w:rsid w:val="004039C8"/>
    <w:rsid w:val="00403ACF"/>
    <w:rsid w:val="00403BCE"/>
    <w:rsid w:val="00403C82"/>
    <w:rsid w:val="00403D96"/>
    <w:rsid w:val="00403EE3"/>
    <w:rsid w:val="00403F97"/>
    <w:rsid w:val="004041AF"/>
    <w:rsid w:val="00404268"/>
    <w:rsid w:val="004042E6"/>
    <w:rsid w:val="004042F9"/>
    <w:rsid w:val="00404350"/>
    <w:rsid w:val="0040444B"/>
    <w:rsid w:val="00404596"/>
    <w:rsid w:val="00404735"/>
    <w:rsid w:val="00404853"/>
    <w:rsid w:val="00404861"/>
    <w:rsid w:val="00404A07"/>
    <w:rsid w:val="00404D74"/>
    <w:rsid w:val="00404DF0"/>
    <w:rsid w:val="00404E81"/>
    <w:rsid w:val="00405032"/>
    <w:rsid w:val="00405087"/>
    <w:rsid w:val="004050CF"/>
    <w:rsid w:val="0040516B"/>
    <w:rsid w:val="00405489"/>
    <w:rsid w:val="004054D8"/>
    <w:rsid w:val="0040580D"/>
    <w:rsid w:val="0040583B"/>
    <w:rsid w:val="00405886"/>
    <w:rsid w:val="00405C4B"/>
    <w:rsid w:val="00405C57"/>
    <w:rsid w:val="00405DDB"/>
    <w:rsid w:val="00405DFB"/>
    <w:rsid w:val="00405FD2"/>
    <w:rsid w:val="00406244"/>
    <w:rsid w:val="00406274"/>
    <w:rsid w:val="004062B7"/>
    <w:rsid w:val="004062C3"/>
    <w:rsid w:val="0040632E"/>
    <w:rsid w:val="00406592"/>
    <w:rsid w:val="004067D0"/>
    <w:rsid w:val="00406904"/>
    <w:rsid w:val="00406CDA"/>
    <w:rsid w:val="00406EE1"/>
    <w:rsid w:val="00406F88"/>
    <w:rsid w:val="004070AF"/>
    <w:rsid w:val="0040715E"/>
    <w:rsid w:val="004073D4"/>
    <w:rsid w:val="004074A0"/>
    <w:rsid w:val="00407597"/>
    <w:rsid w:val="00407706"/>
    <w:rsid w:val="004078BE"/>
    <w:rsid w:val="00407965"/>
    <w:rsid w:val="00407994"/>
    <w:rsid w:val="00407BE6"/>
    <w:rsid w:val="00407DDB"/>
    <w:rsid w:val="00407E0D"/>
    <w:rsid w:val="00407EC5"/>
    <w:rsid w:val="00407F06"/>
    <w:rsid w:val="00410071"/>
    <w:rsid w:val="004100EC"/>
    <w:rsid w:val="0041015C"/>
    <w:rsid w:val="004102A7"/>
    <w:rsid w:val="0041040C"/>
    <w:rsid w:val="004104BF"/>
    <w:rsid w:val="0041066E"/>
    <w:rsid w:val="00410891"/>
    <w:rsid w:val="00410946"/>
    <w:rsid w:val="00410B25"/>
    <w:rsid w:val="00410BF1"/>
    <w:rsid w:val="00410D22"/>
    <w:rsid w:val="00410DAC"/>
    <w:rsid w:val="00410E39"/>
    <w:rsid w:val="00410F6F"/>
    <w:rsid w:val="00410F8D"/>
    <w:rsid w:val="0041131C"/>
    <w:rsid w:val="004113DF"/>
    <w:rsid w:val="00411ADC"/>
    <w:rsid w:val="00411B04"/>
    <w:rsid w:val="0041202E"/>
    <w:rsid w:val="004120CA"/>
    <w:rsid w:val="0041224D"/>
    <w:rsid w:val="004122DF"/>
    <w:rsid w:val="00412453"/>
    <w:rsid w:val="00412497"/>
    <w:rsid w:val="004124F0"/>
    <w:rsid w:val="00412562"/>
    <w:rsid w:val="00412567"/>
    <w:rsid w:val="0041273C"/>
    <w:rsid w:val="004127F8"/>
    <w:rsid w:val="0041285D"/>
    <w:rsid w:val="00412A3A"/>
    <w:rsid w:val="00412A73"/>
    <w:rsid w:val="00412AB9"/>
    <w:rsid w:val="00412ABF"/>
    <w:rsid w:val="00412CB7"/>
    <w:rsid w:val="00412EE7"/>
    <w:rsid w:val="00412FE7"/>
    <w:rsid w:val="00413170"/>
    <w:rsid w:val="00413223"/>
    <w:rsid w:val="004133F9"/>
    <w:rsid w:val="00413432"/>
    <w:rsid w:val="0041350A"/>
    <w:rsid w:val="00413528"/>
    <w:rsid w:val="00413575"/>
    <w:rsid w:val="004135C1"/>
    <w:rsid w:val="0041364A"/>
    <w:rsid w:val="00413672"/>
    <w:rsid w:val="004137A1"/>
    <w:rsid w:val="004137B7"/>
    <w:rsid w:val="00413A80"/>
    <w:rsid w:val="00413AF6"/>
    <w:rsid w:val="00413C61"/>
    <w:rsid w:val="00413D17"/>
    <w:rsid w:val="00413D57"/>
    <w:rsid w:val="0041403F"/>
    <w:rsid w:val="004141A1"/>
    <w:rsid w:val="0041439E"/>
    <w:rsid w:val="004143B6"/>
    <w:rsid w:val="004143E9"/>
    <w:rsid w:val="00414431"/>
    <w:rsid w:val="00414478"/>
    <w:rsid w:val="00414978"/>
    <w:rsid w:val="004149D2"/>
    <w:rsid w:val="004149F8"/>
    <w:rsid w:val="00414AD9"/>
    <w:rsid w:val="00414B28"/>
    <w:rsid w:val="00414BC3"/>
    <w:rsid w:val="00414C8E"/>
    <w:rsid w:val="00414F25"/>
    <w:rsid w:val="00414F2B"/>
    <w:rsid w:val="00414F70"/>
    <w:rsid w:val="00414FB2"/>
    <w:rsid w:val="00415083"/>
    <w:rsid w:val="00415196"/>
    <w:rsid w:val="00415239"/>
    <w:rsid w:val="004152F7"/>
    <w:rsid w:val="00415335"/>
    <w:rsid w:val="004154F6"/>
    <w:rsid w:val="004156C5"/>
    <w:rsid w:val="004156DF"/>
    <w:rsid w:val="004157E1"/>
    <w:rsid w:val="004158A2"/>
    <w:rsid w:val="004159C7"/>
    <w:rsid w:val="00415A57"/>
    <w:rsid w:val="00415D5B"/>
    <w:rsid w:val="00415EBA"/>
    <w:rsid w:val="00415F91"/>
    <w:rsid w:val="00415FE8"/>
    <w:rsid w:val="0041625E"/>
    <w:rsid w:val="00416294"/>
    <w:rsid w:val="00416538"/>
    <w:rsid w:val="00416898"/>
    <w:rsid w:val="004168A7"/>
    <w:rsid w:val="004168C5"/>
    <w:rsid w:val="0041697E"/>
    <w:rsid w:val="00416AA1"/>
    <w:rsid w:val="00416AF7"/>
    <w:rsid w:val="00416B70"/>
    <w:rsid w:val="00416CEB"/>
    <w:rsid w:val="00416E5E"/>
    <w:rsid w:val="00416EC7"/>
    <w:rsid w:val="00416F6F"/>
    <w:rsid w:val="00417076"/>
    <w:rsid w:val="00417108"/>
    <w:rsid w:val="0041750B"/>
    <w:rsid w:val="00417648"/>
    <w:rsid w:val="0041774A"/>
    <w:rsid w:val="00417977"/>
    <w:rsid w:val="00417A21"/>
    <w:rsid w:val="00417A99"/>
    <w:rsid w:val="00417B65"/>
    <w:rsid w:val="00417E48"/>
    <w:rsid w:val="00417E5E"/>
    <w:rsid w:val="00417E6A"/>
    <w:rsid w:val="004201A6"/>
    <w:rsid w:val="004205AC"/>
    <w:rsid w:val="004206EC"/>
    <w:rsid w:val="00420756"/>
    <w:rsid w:val="00420793"/>
    <w:rsid w:val="0042080C"/>
    <w:rsid w:val="0042081F"/>
    <w:rsid w:val="004208C0"/>
    <w:rsid w:val="00420C11"/>
    <w:rsid w:val="00420CD8"/>
    <w:rsid w:val="00420D45"/>
    <w:rsid w:val="00420D50"/>
    <w:rsid w:val="00421022"/>
    <w:rsid w:val="0042131D"/>
    <w:rsid w:val="0042146D"/>
    <w:rsid w:val="004216F6"/>
    <w:rsid w:val="0042172C"/>
    <w:rsid w:val="004217A3"/>
    <w:rsid w:val="004217C3"/>
    <w:rsid w:val="0042181E"/>
    <w:rsid w:val="00421871"/>
    <w:rsid w:val="00421A26"/>
    <w:rsid w:val="00421A68"/>
    <w:rsid w:val="00421C81"/>
    <w:rsid w:val="00421C98"/>
    <w:rsid w:val="00421E08"/>
    <w:rsid w:val="00421E0B"/>
    <w:rsid w:val="00421F44"/>
    <w:rsid w:val="004222A4"/>
    <w:rsid w:val="004224F6"/>
    <w:rsid w:val="004227CD"/>
    <w:rsid w:val="00422818"/>
    <w:rsid w:val="00422ACA"/>
    <w:rsid w:val="00422B55"/>
    <w:rsid w:val="00422C2C"/>
    <w:rsid w:val="00422D1D"/>
    <w:rsid w:val="00422D23"/>
    <w:rsid w:val="00422E59"/>
    <w:rsid w:val="00423047"/>
    <w:rsid w:val="0042305B"/>
    <w:rsid w:val="0042314F"/>
    <w:rsid w:val="00423182"/>
    <w:rsid w:val="00423409"/>
    <w:rsid w:val="00423689"/>
    <w:rsid w:val="0042378D"/>
    <w:rsid w:val="00423895"/>
    <w:rsid w:val="00423916"/>
    <w:rsid w:val="00423ECD"/>
    <w:rsid w:val="00423F19"/>
    <w:rsid w:val="0042412D"/>
    <w:rsid w:val="004243E5"/>
    <w:rsid w:val="00424486"/>
    <w:rsid w:val="004244E3"/>
    <w:rsid w:val="0042450A"/>
    <w:rsid w:val="00424780"/>
    <w:rsid w:val="00424902"/>
    <w:rsid w:val="00424A0D"/>
    <w:rsid w:val="00424A18"/>
    <w:rsid w:val="00424B2D"/>
    <w:rsid w:val="00424B38"/>
    <w:rsid w:val="00424B61"/>
    <w:rsid w:val="00424D41"/>
    <w:rsid w:val="00424E38"/>
    <w:rsid w:val="004251D2"/>
    <w:rsid w:val="004256CC"/>
    <w:rsid w:val="004257AB"/>
    <w:rsid w:val="00425B02"/>
    <w:rsid w:val="00425B16"/>
    <w:rsid w:val="00425B64"/>
    <w:rsid w:val="00425EA1"/>
    <w:rsid w:val="00425FB1"/>
    <w:rsid w:val="00426116"/>
    <w:rsid w:val="00426174"/>
    <w:rsid w:val="00426301"/>
    <w:rsid w:val="00426304"/>
    <w:rsid w:val="00426391"/>
    <w:rsid w:val="0042641D"/>
    <w:rsid w:val="004265A6"/>
    <w:rsid w:val="0042660E"/>
    <w:rsid w:val="0042664F"/>
    <w:rsid w:val="00426738"/>
    <w:rsid w:val="00426755"/>
    <w:rsid w:val="004268B1"/>
    <w:rsid w:val="00426ACB"/>
    <w:rsid w:val="00426D0D"/>
    <w:rsid w:val="00426E50"/>
    <w:rsid w:val="0042705F"/>
    <w:rsid w:val="004270C0"/>
    <w:rsid w:val="00427104"/>
    <w:rsid w:val="00427105"/>
    <w:rsid w:val="00427143"/>
    <w:rsid w:val="0042715C"/>
    <w:rsid w:val="0042718A"/>
    <w:rsid w:val="004271B8"/>
    <w:rsid w:val="00427290"/>
    <w:rsid w:val="00427304"/>
    <w:rsid w:val="0042749D"/>
    <w:rsid w:val="0042755A"/>
    <w:rsid w:val="004277BA"/>
    <w:rsid w:val="0042788A"/>
    <w:rsid w:val="004278E1"/>
    <w:rsid w:val="00427978"/>
    <w:rsid w:val="00427A11"/>
    <w:rsid w:val="00427A19"/>
    <w:rsid w:val="00427BBA"/>
    <w:rsid w:val="00427C1E"/>
    <w:rsid w:val="00427C21"/>
    <w:rsid w:val="00427C87"/>
    <w:rsid w:val="00427D17"/>
    <w:rsid w:val="0043009E"/>
    <w:rsid w:val="004301D2"/>
    <w:rsid w:val="0043026B"/>
    <w:rsid w:val="004305C4"/>
    <w:rsid w:val="00430740"/>
    <w:rsid w:val="00430868"/>
    <w:rsid w:val="00430A7A"/>
    <w:rsid w:val="00430D44"/>
    <w:rsid w:val="00430D72"/>
    <w:rsid w:val="00430EAC"/>
    <w:rsid w:val="00430F93"/>
    <w:rsid w:val="0043129F"/>
    <w:rsid w:val="0043140C"/>
    <w:rsid w:val="0043143B"/>
    <w:rsid w:val="00431503"/>
    <w:rsid w:val="004317C2"/>
    <w:rsid w:val="004317CD"/>
    <w:rsid w:val="00431913"/>
    <w:rsid w:val="0043198E"/>
    <w:rsid w:val="00431AC1"/>
    <w:rsid w:val="00431B0E"/>
    <w:rsid w:val="00431DDA"/>
    <w:rsid w:val="00431F3A"/>
    <w:rsid w:val="004321D4"/>
    <w:rsid w:val="0043223F"/>
    <w:rsid w:val="004324BC"/>
    <w:rsid w:val="0043253F"/>
    <w:rsid w:val="00432707"/>
    <w:rsid w:val="0043271C"/>
    <w:rsid w:val="00432774"/>
    <w:rsid w:val="004327D9"/>
    <w:rsid w:val="00432AB1"/>
    <w:rsid w:val="00432AE9"/>
    <w:rsid w:val="00432C51"/>
    <w:rsid w:val="00432C84"/>
    <w:rsid w:val="00432D8B"/>
    <w:rsid w:val="00432F36"/>
    <w:rsid w:val="00432F52"/>
    <w:rsid w:val="00433028"/>
    <w:rsid w:val="00433042"/>
    <w:rsid w:val="00433171"/>
    <w:rsid w:val="00433231"/>
    <w:rsid w:val="004333B7"/>
    <w:rsid w:val="00433466"/>
    <w:rsid w:val="00433560"/>
    <w:rsid w:val="0043361B"/>
    <w:rsid w:val="004336D6"/>
    <w:rsid w:val="0043378F"/>
    <w:rsid w:val="004337AE"/>
    <w:rsid w:val="00433A33"/>
    <w:rsid w:val="00433AEB"/>
    <w:rsid w:val="00433B4E"/>
    <w:rsid w:val="00433BD3"/>
    <w:rsid w:val="00433C13"/>
    <w:rsid w:val="00433C82"/>
    <w:rsid w:val="00433D23"/>
    <w:rsid w:val="00433D85"/>
    <w:rsid w:val="00433DC1"/>
    <w:rsid w:val="00434463"/>
    <w:rsid w:val="0043447D"/>
    <w:rsid w:val="00434504"/>
    <w:rsid w:val="00434583"/>
    <w:rsid w:val="00434678"/>
    <w:rsid w:val="004346A6"/>
    <w:rsid w:val="004346AA"/>
    <w:rsid w:val="004346DF"/>
    <w:rsid w:val="00434755"/>
    <w:rsid w:val="004348CC"/>
    <w:rsid w:val="004348E4"/>
    <w:rsid w:val="004348F8"/>
    <w:rsid w:val="0043490A"/>
    <w:rsid w:val="00434928"/>
    <w:rsid w:val="00434A85"/>
    <w:rsid w:val="00434C44"/>
    <w:rsid w:val="00434CC6"/>
    <w:rsid w:val="00434FD0"/>
    <w:rsid w:val="00435440"/>
    <w:rsid w:val="00435567"/>
    <w:rsid w:val="004355FF"/>
    <w:rsid w:val="00435792"/>
    <w:rsid w:val="004358B3"/>
    <w:rsid w:val="004359C8"/>
    <w:rsid w:val="00435D5B"/>
    <w:rsid w:val="00435D74"/>
    <w:rsid w:val="00435FE9"/>
    <w:rsid w:val="004360AA"/>
    <w:rsid w:val="004363E1"/>
    <w:rsid w:val="004364C2"/>
    <w:rsid w:val="004366B0"/>
    <w:rsid w:val="004366BE"/>
    <w:rsid w:val="0043681F"/>
    <w:rsid w:val="004368D4"/>
    <w:rsid w:val="00436A53"/>
    <w:rsid w:val="00436A5D"/>
    <w:rsid w:val="00436C19"/>
    <w:rsid w:val="00436E03"/>
    <w:rsid w:val="004371B9"/>
    <w:rsid w:val="0043737A"/>
    <w:rsid w:val="0043752B"/>
    <w:rsid w:val="00437691"/>
    <w:rsid w:val="0043772A"/>
    <w:rsid w:val="004377CC"/>
    <w:rsid w:val="004378CE"/>
    <w:rsid w:val="004379FA"/>
    <w:rsid w:val="00437A55"/>
    <w:rsid w:val="00437AC4"/>
    <w:rsid w:val="00437AEF"/>
    <w:rsid w:val="00437B42"/>
    <w:rsid w:val="00437E09"/>
    <w:rsid w:val="00437FCE"/>
    <w:rsid w:val="00440074"/>
    <w:rsid w:val="004401CC"/>
    <w:rsid w:val="00440439"/>
    <w:rsid w:val="0044052B"/>
    <w:rsid w:val="00440622"/>
    <w:rsid w:val="00440915"/>
    <w:rsid w:val="00440941"/>
    <w:rsid w:val="004409F7"/>
    <w:rsid w:val="00440A1B"/>
    <w:rsid w:val="00440E40"/>
    <w:rsid w:val="00440E9B"/>
    <w:rsid w:val="00441163"/>
    <w:rsid w:val="0044131C"/>
    <w:rsid w:val="00441321"/>
    <w:rsid w:val="00441379"/>
    <w:rsid w:val="0044165B"/>
    <w:rsid w:val="004418D3"/>
    <w:rsid w:val="00441C37"/>
    <w:rsid w:val="00441CDE"/>
    <w:rsid w:val="00441FCB"/>
    <w:rsid w:val="004421E1"/>
    <w:rsid w:val="0044238F"/>
    <w:rsid w:val="004423EC"/>
    <w:rsid w:val="004423F7"/>
    <w:rsid w:val="0044242E"/>
    <w:rsid w:val="0044256B"/>
    <w:rsid w:val="00442714"/>
    <w:rsid w:val="004427F1"/>
    <w:rsid w:val="00442ADD"/>
    <w:rsid w:val="00442B22"/>
    <w:rsid w:val="00442C3B"/>
    <w:rsid w:val="00442E4D"/>
    <w:rsid w:val="00443174"/>
    <w:rsid w:val="00443228"/>
    <w:rsid w:val="0044366B"/>
    <w:rsid w:val="0044369D"/>
    <w:rsid w:val="00443745"/>
    <w:rsid w:val="00443799"/>
    <w:rsid w:val="00443840"/>
    <w:rsid w:val="00443862"/>
    <w:rsid w:val="0044389D"/>
    <w:rsid w:val="00443C01"/>
    <w:rsid w:val="00443CBB"/>
    <w:rsid w:val="00443D4B"/>
    <w:rsid w:val="00443EBD"/>
    <w:rsid w:val="00443F17"/>
    <w:rsid w:val="00443FA4"/>
    <w:rsid w:val="004440D7"/>
    <w:rsid w:val="00444392"/>
    <w:rsid w:val="004443CB"/>
    <w:rsid w:val="0044478E"/>
    <w:rsid w:val="00444809"/>
    <w:rsid w:val="0044481A"/>
    <w:rsid w:val="0044483F"/>
    <w:rsid w:val="00444942"/>
    <w:rsid w:val="00444A4F"/>
    <w:rsid w:val="00444A6F"/>
    <w:rsid w:val="00444CC0"/>
    <w:rsid w:val="00444CDB"/>
    <w:rsid w:val="00444D05"/>
    <w:rsid w:val="00444DF0"/>
    <w:rsid w:val="00444E9D"/>
    <w:rsid w:val="00444F27"/>
    <w:rsid w:val="00444FC1"/>
    <w:rsid w:val="00444FF9"/>
    <w:rsid w:val="00445257"/>
    <w:rsid w:val="0044541B"/>
    <w:rsid w:val="004454DC"/>
    <w:rsid w:val="00445730"/>
    <w:rsid w:val="00445945"/>
    <w:rsid w:val="00445BEF"/>
    <w:rsid w:val="00445DE9"/>
    <w:rsid w:val="00445F57"/>
    <w:rsid w:val="00446070"/>
    <w:rsid w:val="00446079"/>
    <w:rsid w:val="0044618C"/>
    <w:rsid w:val="0044626B"/>
    <w:rsid w:val="004462D5"/>
    <w:rsid w:val="004463DC"/>
    <w:rsid w:val="00446510"/>
    <w:rsid w:val="0044655B"/>
    <w:rsid w:val="004465B6"/>
    <w:rsid w:val="00446880"/>
    <w:rsid w:val="004469D6"/>
    <w:rsid w:val="00446F46"/>
    <w:rsid w:val="00446FB5"/>
    <w:rsid w:val="004470F8"/>
    <w:rsid w:val="0044719B"/>
    <w:rsid w:val="0044719D"/>
    <w:rsid w:val="004472F0"/>
    <w:rsid w:val="0044730F"/>
    <w:rsid w:val="004474A9"/>
    <w:rsid w:val="0044763B"/>
    <w:rsid w:val="0044784A"/>
    <w:rsid w:val="0044796D"/>
    <w:rsid w:val="00447AF4"/>
    <w:rsid w:val="00447B93"/>
    <w:rsid w:val="00447C60"/>
    <w:rsid w:val="00447CD3"/>
    <w:rsid w:val="00447F4D"/>
    <w:rsid w:val="004500D3"/>
    <w:rsid w:val="0045013D"/>
    <w:rsid w:val="004503E9"/>
    <w:rsid w:val="0045042B"/>
    <w:rsid w:val="0045067D"/>
    <w:rsid w:val="0045069E"/>
    <w:rsid w:val="004506D7"/>
    <w:rsid w:val="0045096E"/>
    <w:rsid w:val="00450A1C"/>
    <w:rsid w:val="00450AD0"/>
    <w:rsid w:val="00450B4A"/>
    <w:rsid w:val="00450B94"/>
    <w:rsid w:val="00450B9C"/>
    <w:rsid w:val="00450D94"/>
    <w:rsid w:val="00451020"/>
    <w:rsid w:val="004510B1"/>
    <w:rsid w:val="004510EA"/>
    <w:rsid w:val="00451214"/>
    <w:rsid w:val="004513C0"/>
    <w:rsid w:val="004513E3"/>
    <w:rsid w:val="00451949"/>
    <w:rsid w:val="00451A28"/>
    <w:rsid w:val="00451B29"/>
    <w:rsid w:val="00451B8B"/>
    <w:rsid w:val="00451BFF"/>
    <w:rsid w:val="00451D16"/>
    <w:rsid w:val="00451F74"/>
    <w:rsid w:val="00451F86"/>
    <w:rsid w:val="00452271"/>
    <w:rsid w:val="00452469"/>
    <w:rsid w:val="004525B5"/>
    <w:rsid w:val="004525C0"/>
    <w:rsid w:val="004529E5"/>
    <w:rsid w:val="00452A54"/>
    <w:rsid w:val="00452D07"/>
    <w:rsid w:val="0045307D"/>
    <w:rsid w:val="00453176"/>
    <w:rsid w:val="0045366A"/>
    <w:rsid w:val="00453897"/>
    <w:rsid w:val="00453941"/>
    <w:rsid w:val="00453AB4"/>
    <w:rsid w:val="00453ABC"/>
    <w:rsid w:val="00453B78"/>
    <w:rsid w:val="00453C68"/>
    <w:rsid w:val="00453D2D"/>
    <w:rsid w:val="00453E7B"/>
    <w:rsid w:val="0045436C"/>
    <w:rsid w:val="004543FA"/>
    <w:rsid w:val="0045445A"/>
    <w:rsid w:val="0045453A"/>
    <w:rsid w:val="004546F7"/>
    <w:rsid w:val="0045477E"/>
    <w:rsid w:val="00454915"/>
    <w:rsid w:val="004549C7"/>
    <w:rsid w:val="00454B7A"/>
    <w:rsid w:val="00454CD0"/>
    <w:rsid w:val="00454CE4"/>
    <w:rsid w:val="00454F4D"/>
    <w:rsid w:val="004553F3"/>
    <w:rsid w:val="00455445"/>
    <w:rsid w:val="00455572"/>
    <w:rsid w:val="00455597"/>
    <w:rsid w:val="0045564E"/>
    <w:rsid w:val="0045574D"/>
    <w:rsid w:val="00455796"/>
    <w:rsid w:val="00455A1C"/>
    <w:rsid w:val="00455A33"/>
    <w:rsid w:val="00455A7E"/>
    <w:rsid w:val="00455AA3"/>
    <w:rsid w:val="00455AF3"/>
    <w:rsid w:val="00455B12"/>
    <w:rsid w:val="00455BFC"/>
    <w:rsid w:val="00455D12"/>
    <w:rsid w:val="00455E21"/>
    <w:rsid w:val="00455F5E"/>
    <w:rsid w:val="00455FB9"/>
    <w:rsid w:val="00455FD8"/>
    <w:rsid w:val="0045613F"/>
    <w:rsid w:val="00456142"/>
    <w:rsid w:val="0045636B"/>
    <w:rsid w:val="0045642C"/>
    <w:rsid w:val="0045649C"/>
    <w:rsid w:val="00456766"/>
    <w:rsid w:val="00456845"/>
    <w:rsid w:val="0045689B"/>
    <w:rsid w:val="00456A7E"/>
    <w:rsid w:val="00456DF3"/>
    <w:rsid w:val="00456E30"/>
    <w:rsid w:val="00456EFC"/>
    <w:rsid w:val="00456FCE"/>
    <w:rsid w:val="004571D4"/>
    <w:rsid w:val="004572A3"/>
    <w:rsid w:val="004572AB"/>
    <w:rsid w:val="004572B6"/>
    <w:rsid w:val="004572CC"/>
    <w:rsid w:val="00457400"/>
    <w:rsid w:val="00457498"/>
    <w:rsid w:val="004574CB"/>
    <w:rsid w:val="0045765D"/>
    <w:rsid w:val="004577E1"/>
    <w:rsid w:val="0045792F"/>
    <w:rsid w:val="00457B3B"/>
    <w:rsid w:val="00457F57"/>
    <w:rsid w:val="00460025"/>
    <w:rsid w:val="00460096"/>
    <w:rsid w:val="004600E1"/>
    <w:rsid w:val="004601B5"/>
    <w:rsid w:val="004602B5"/>
    <w:rsid w:val="00460528"/>
    <w:rsid w:val="004605CF"/>
    <w:rsid w:val="00460A9D"/>
    <w:rsid w:val="00460AA4"/>
    <w:rsid w:val="00460C13"/>
    <w:rsid w:val="00460D8F"/>
    <w:rsid w:val="00460DD3"/>
    <w:rsid w:val="0046103C"/>
    <w:rsid w:val="0046117C"/>
    <w:rsid w:val="00461195"/>
    <w:rsid w:val="00461246"/>
    <w:rsid w:val="004612AC"/>
    <w:rsid w:val="00461474"/>
    <w:rsid w:val="004614D2"/>
    <w:rsid w:val="00461936"/>
    <w:rsid w:val="00461D3E"/>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33"/>
    <w:rsid w:val="00462F21"/>
    <w:rsid w:val="004631B0"/>
    <w:rsid w:val="0046353A"/>
    <w:rsid w:val="00463593"/>
    <w:rsid w:val="0046362B"/>
    <w:rsid w:val="0046363B"/>
    <w:rsid w:val="00463824"/>
    <w:rsid w:val="0046389F"/>
    <w:rsid w:val="004638E4"/>
    <w:rsid w:val="00463BA4"/>
    <w:rsid w:val="00463CE8"/>
    <w:rsid w:val="00463DD4"/>
    <w:rsid w:val="00463E54"/>
    <w:rsid w:val="00463EB0"/>
    <w:rsid w:val="00463EE4"/>
    <w:rsid w:val="004640EE"/>
    <w:rsid w:val="00464134"/>
    <w:rsid w:val="0046424E"/>
    <w:rsid w:val="00464305"/>
    <w:rsid w:val="0046431F"/>
    <w:rsid w:val="00464376"/>
    <w:rsid w:val="00464625"/>
    <w:rsid w:val="004649A3"/>
    <w:rsid w:val="00464B96"/>
    <w:rsid w:val="00464BDC"/>
    <w:rsid w:val="004654D1"/>
    <w:rsid w:val="00465571"/>
    <w:rsid w:val="0046560A"/>
    <w:rsid w:val="00465808"/>
    <w:rsid w:val="0046585D"/>
    <w:rsid w:val="004658A8"/>
    <w:rsid w:val="00465D23"/>
    <w:rsid w:val="00465D31"/>
    <w:rsid w:val="00465E25"/>
    <w:rsid w:val="00465EB0"/>
    <w:rsid w:val="004661F0"/>
    <w:rsid w:val="0046620F"/>
    <w:rsid w:val="00466262"/>
    <w:rsid w:val="0046628B"/>
    <w:rsid w:val="004663A6"/>
    <w:rsid w:val="0046641F"/>
    <w:rsid w:val="00466611"/>
    <w:rsid w:val="00466642"/>
    <w:rsid w:val="004666C2"/>
    <w:rsid w:val="004666ED"/>
    <w:rsid w:val="004667AD"/>
    <w:rsid w:val="004667EB"/>
    <w:rsid w:val="00466BBB"/>
    <w:rsid w:val="00466C84"/>
    <w:rsid w:val="004670C4"/>
    <w:rsid w:val="004672B8"/>
    <w:rsid w:val="004672FF"/>
    <w:rsid w:val="00467347"/>
    <w:rsid w:val="00467489"/>
    <w:rsid w:val="0046764C"/>
    <w:rsid w:val="004676D6"/>
    <w:rsid w:val="0046771A"/>
    <w:rsid w:val="00467772"/>
    <w:rsid w:val="004679E0"/>
    <w:rsid w:val="00467D6E"/>
    <w:rsid w:val="00467DA0"/>
    <w:rsid w:val="00467DB4"/>
    <w:rsid w:val="00467E75"/>
    <w:rsid w:val="004700AD"/>
    <w:rsid w:val="004700B1"/>
    <w:rsid w:val="004701A5"/>
    <w:rsid w:val="004701D7"/>
    <w:rsid w:val="004703F5"/>
    <w:rsid w:val="0047064E"/>
    <w:rsid w:val="00470659"/>
    <w:rsid w:val="004707EC"/>
    <w:rsid w:val="004709D5"/>
    <w:rsid w:val="00470C30"/>
    <w:rsid w:val="00470CF9"/>
    <w:rsid w:val="00470D09"/>
    <w:rsid w:val="00470D13"/>
    <w:rsid w:val="00470D59"/>
    <w:rsid w:val="00470DFC"/>
    <w:rsid w:val="00470F41"/>
    <w:rsid w:val="004710D2"/>
    <w:rsid w:val="004713D7"/>
    <w:rsid w:val="004714B4"/>
    <w:rsid w:val="00471584"/>
    <w:rsid w:val="004715AD"/>
    <w:rsid w:val="004715AF"/>
    <w:rsid w:val="004715D8"/>
    <w:rsid w:val="00471641"/>
    <w:rsid w:val="00471841"/>
    <w:rsid w:val="00471870"/>
    <w:rsid w:val="00471A4B"/>
    <w:rsid w:val="00471C20"/>
    <w:rsid w:val="00471D38"/>
    <w:rsid w:val="00471DC0"/>
    <w:rsid w:val="00471E10"/>
    <w:rsid w:val="00471E8B"/>
    <w:rsid w:val="00471EDA"/>
    <w:rsid w:val="004720B1"/>
    <w:rsid w:val="004720BB"/>
    <w:rsid w:val="00472139"/>
    <w:rsid w:val="0047213C"/>
    <w:rsid w:val="00472291"/>
    <w:rsid w:val="004722E8"/>
    <w:rsid w:val="00472376"/>
    <w:rsid w:val="004724CF"/>
    <w:rsid w:val="004724F1"/>
    <w:rsid w:val="00472657"/>
    <w:rsid w:val="004729CB"/>
    <w:rsid w:val="00472B22"/>
    <w:rsid w:val="00472D53"/>
    <w:rsid w:val="00472ED9"/>
    <w:rsid w:val="00472EF9"/>
    <w:rsid w:val="00472F0C"/>
    <w:rsid w:val="00472F91"/>
    <w:rsid w:val="00472F98"/>
    <w:rsid w:val="004731F6"/>
    <w:rsid w:val="00473333"/>
    <w:rsid w:val="004735EB"/>
    <w:rsid w:val="0047368E"/>
    <w:rsid w:val="0047386C"/>
    <w:rsid w:val="004739F7"/>
    <w:rsid w:val="00473AD4"/>
    <w:rsid w:val="00473C70"/>
    <w:rsid w:val="00473D92"/>
    <w:rsid w:val="00473F14"/>
    <w:rsid w:val="00473F4F"/>
    <w:rsid w:val="00473F93"/>
    <w:rsid w:val="00473FF3"/>
    <w:rsid w:val="0047403D"/>
    <w:rsid w:val="0047457B"/>
    <w:rsid w:val="0047468A"/>
    <w:rsid w:val="0047470F"/>
    <w:rsid w:val="00474814"/>
    <w:rsid w:val="004748CA"/>
    <w:rsid w:val="004748DD"/>
    <w:rsid w:val="00474BD4"/>
    <w:rsid w:val="00474C24"/>
    <w:rsid w:val="00474C8D"/>
    <w:rsid w:val="00474E37"/>
    <w:rsid w:val="00474E3A"/>
    <w:rsid w:val="00474F3A"/>
    <w:rsid w:val="004751F8"/>
    <w:rsid w:val="00475245"/>
    <w:rsid w:val="004752B7"/>
    <w:rsid w:val="004753CF"/>
    <w:rsid w:val="004753FE"/>
    <w:rsid w:val="00475408"/>
    <w:rsid w:val="004754DA"/>
    <w:rsid w:val="004757AB"/>
    <w:rsid w:val="00475947"/>
    <w:rsid w:val="00475A1D"/>
    <w:rsid w:val="00475B42"/>
    <w:rsid w:val="00475B90"/>
    <w:rsid w:val="00475BEE"/>
    <w:rsid w:val="00475C54"/>
    <w:rsid w:val="00475CDC"/>
    <w:rsid w:val="00475E6D"/>
    <w:rsid w:val="0047609D"/>
    <w:rsid w:val="00476111"/>
    <w:rsid w:val="004761AF"/>
    <w:rsid w:val="004761F6"/>
    <w:rsid w:val="004765B7"/>
    <w:rsid w:val="00476603"/>
    <w:rsid w:val="0047662C"/>
    <w:rsid w:val="004767FF"/>
    <w:rsid w:val="00476814"/>
    <w:rsid w:val="00476815"/>
    <w:rsid w:val="00476904"/>
    <w:rsid w:val="004769E3"/>
    <w:rsid w:val="00476B84"/>
    <w:rsid w:val="00476BDD"/>
    <w:rsid w:val="00476CD3"/>
    <w:rsid w:val="00476DB7"/>
    <w:rsid w:val="00476E78"/>
    <w:rsid w:val="00477047"/>
    <w:rsid w:val="00477122"/>
    <w:rsid w:val="004771A8"/>
    <w:rsid w:val="004774F7"/>
    <w:rsid w:val="004775E3"/>
    <w:rsid w:val="00477CE3"/>
    <w:rsid w:val="00477E9D"/>
    <w:rsid w:val="00477F38"/>
    <w:rsid w:val="00477F4E"/>
    <w:rsid w:val="00477F92"/>
    <w:rsid w:val="00480014"/>
    <w:rsid w:val="00480066"/>
    <w:rsid w:val="00480067"/>
    <w:rsid w:val="0048012A"/>
    <w:rsid w:val="00480133"/>
    <w:rsid w:val="00480151"/>
    <w:rsid w:val="00480166"/>
    <w:rsid w:val="004803EA"/>
    <w:rsid w:val="004804E2"/>
    <w:rsid w:val="004805C0"/>
    <w:rsid w:val="0048065E"/>
    <w:rsid w:val="00480827"/>
    <w:rsid w:val="00480846"/>
    <w:rsid w:val="00480855"/>
    <w:rsid w:val="004808F2"/>
    <w:rsid w:val="00480B8F"/>
    <w:rsid w:val="00480EAE"/>
    <w:rsid w:val="00480F9A"/>
    <w:rsid w:val="00481089"/>
    <w:rsid w:val="0048133B"/>
    <w:rsid w:val="00481360"/>
    <w:rsid w:val="004816FE"/>
    <w:rsid w:val="0048174B"/>
    <w:rsid w:val="004817C0"/>
    <w:rsid w:val="004817CF"/>
    <w:rsid w:val="0048197A"/>
    <w:rsid w:val="0048198B"/>
    <w:rsid w:val="00481C98"/>
    <w:rsid w:val="00481E62"/>
    <w:rsid w:val="00481F5A"/>
    <w:rsid w:val="00481F6A"/>
    <w:rsid w:val="004822EE"/>
    <w:rsid w:val="00482302"/>
    <w:rsid w:val="00482342"/>
    <w:rsid w:val="00482548"/>
    <w:rsid w:val="0048265D"/>
    <w:rsid w:val="0048267A"/>
    <w:rsid w:val="004827DC"/>
    <w:rsid w:val="0048281A"/>
    <w:rsid w:val="00482D1A"/>
    <w:rsid w:val="00482D88"/>
    <w:rsid w:val="00482DF6"/>
    <w:rsid w:val="0048306C"/>
    <w:rsid w:val="00483131"/>
    <w:rsid w:val="00483153"/>
    <w:rsid w:val="004833B8"/>
    <w:rsid w:val="00483401"/>
    <w:rsid w:val="0048340F"/>
    <w:rsid w:val="004835AD"/>
    <w:rsid w:val="00483635"/>
    <w:rsid w:val="00483723"/>
    <w:rsid w:val="00483738"/>
    <w:rsid w:val="0048382E"/>
    <w:rsid w:val="0048385F"/>
    <w:rsid w:val="0048394D"/>
    <w:rsid w:val="00483AEB"/>
    <w:rsid w:val="00483CC7"/>
    <w:rsid w:val="00483D0D"/>
    <w:rsid w:val="00483D9A"/>
    <w:rsid w:val="00483FB4"/>
    <w:rsid w:val="004841C3"/>
    <w:rsid w:val="0048464C"/>
    <w:rsid w:val="00484667"/>
    <w:rsid w:val="004847C6"/>
    <w:rsid w:val="0048482C"/>
    <w:rsid w:val="004849D4"/>
    <w:rsid w:val="00484BE9"/>
    <w:rsid w:val="00484CF6"/>
    <w:rsid w:val="004851B5"/>
    <w:rsid w:val="00485786"/>
    <w:rsid w:val="00485B6F"/>
    <w:rsid w:val="00485C43"/>
    <w:rsid w:val="00485C51"/>
    <w:rsid w:val="00485DAC"/>
    <w:rsid w:val="00485DF1"/>
    <w:rsid w:val="00486004"/>
    <w:rsid w:val="00486142"/>
    <w:rsid w:val="004861C6"/>
    <w:rsid w:val="00486313"/>
    <w:rsid w:val="004863B4"/>
    <w:rsid w:val="0048649A"/>
    <w:rsid w:val="00486597"/>
    <w:rsid w:val="00486C26"/>
    <w:rsid w:val="00486C69"/>
    <w:rsid w:val="00486D9F"/>
    <w:rsid w:val="00486E44"/>
    <w:rsid w:val="00486F96"/>
    <w:rsid w:val="00486FBD"/>
    <w:rsid w:val="00487085"/>
    <w:rsid w:val="004870B0"/>
    <w:rsid w:val="004870F9"/>
    <w:rsid w:val="004871F0"/>
    <w:rsid w:val="00487209"/>
    <w:rsid w:val="0048731A"/>
    <w:rsid w:val="00487335"/>
    <w:rsid w:val="00487384"/>
    <w:rsid w:val="004876DE"/>
    <w:rsid w:val="00487834"/>
    <w:rsid w:val="00487941"/>
    <w:rsid w:val="00487A16"/>
    <w:rsid w:val="00487B51"/>
    <w:rsid w:val="00487BAD"/>
    <w:rsid w:val="00487DB0"/>
    <w:rsid w:val="00487E93"/>
    <w:rsid w:val="00490085"/>
    <w:rsid w:val="00490202"/>
    <w:rsid w:val="0049038A"/>
    <w:rsid w:val="004905F4"/>
    <w:rsid w:val="0049060B"/>
    <w:rsid w:val="00490619"/>
    <w:rsid w:val="004906F5"/>
    <w:rsid w:val="004907C6"/>
    <w:rsid w:val="0049086E"/>
    <w:rsid w:val="004908B4"/>
    <w:rsid w:val="00490A21"/>
    <w:rsid w:val="00490BE6"/>
    <w:rsid w:val="00490E1C"/>
    <w:rsid w:val="00490FE5"/>
    <w:rsid w:val="004910CD"/>
    <w:rsid w:val="004912BE"/>
    <w:rsid w:val="00491366"/>
    <w:rsid w:val="004913E9"/>
    <w:rsid w:val="00491548"/>
    <w:rsid w:val="004915A5"/>
    <w:rsid w:val="0049175B"/>
    <w:rsid w:val="00491858"/>
    <w:rsid w:val="0049196B"/>
    <w:rsid w:val="004919A4"/>
    <w:rsid w:val="00491E38"/>
    <w:rsid w:val="00491E50"/>
    <w:rsid w:val="00491EBC"/>
    <w:rsid w:val="00491F86"/>
    <w:rsid w:val="0049230E"/>
    <w:rsid w:val="0049243E"/>
    <w:rsid w:val="004925C2"/>
    <w:rsid w:val="00492685"/>
    <w:rsid w:val="004926CE"/>
    <w:rsid w:val="00492775"/>
    <w:rsid w:val="004927F7"/>
    <w:rsid w:val="004929E6"/>
    <w:rsid w:val="00492A29"/>
    <w:rsid w:val="00492F3D"/>
    <w:rsid w:val="00492F4D"/>
    <w:rsid w:val="00493006"/>
    <w:rsid w:val="004931C2"/>
    <w:rsid w:val="0049331D"/>
    <w:rsid w:val="004933BD"/>
    <w:rsid w:val="00493436"/>
    <w:rsid w:val="004935EC"/>
    <w:rsid w:val="0049375D"/>
    <w:rsid w:val="00493764"/>
    <w:rsid w:val="00493817"/>
    <w:rsid w:val="00493867"/>
    <w:rsid w:val="004939C6"/>
    <w:rsid w:val="004939EB"/>
    <w:rsid w:val="00493B32"/>
    <w:rsid w:val="00493B38"/>
    <w:rsid w:val="00493C99"/>
    <w:rsid w:val="00493E45"/>
    <w:rsid w:val="00494015"/>
    <w:rsid w:val="0049409B"/>
    <w:rsid w:val="0049453C"/>
    <w:rsid w:val="00494689"/>
    <w:rsid w:val="004947C4"/>
    <w:rsid w:val="0049499C"/>
    <w:rsid w:val="00494B72"/>
    <w:rsid w:val="00494C5C"/>
    <w:rsid w:val="00494DF9"/>
    <w:rsid w:val="00494FD7"/>
    <w:rsid w:val="00495014"/>
    <w:rsid w:val="00495189"/>
    <w:rsid w:val="00495449"/>
    <w:rsid w:val="004954C7"/>
    <w:rsid w:val="004956B6"/>
    <w:rsid w:val="004956CB"/>
    <w:rsid w:val="00495784"/>
    <w:rsid w:val="004957D5"/>
    <w:rsid w:val="004959EF"/>
    <w:rsid w:val="00495A5F"/>
    <w:rsid w:val="00495D36"/>
    <w:rsid w:val="00495FE2"/>
    <w:rsid w:val="00496162"/>
    <w:rsid w:val="00496285"/>
    <w:rsid w:val="00496581"/>
    <w:rsid w:val="0049680F"/>
    <w:rsid w:val="0049684D"/>
    <w:rsid w:val="004969F2"/>
    <w:rsid w:val="00496C98"/>
    <w:rsid w:val="00496E7B"/>
    <w:rsid w:val="00496EE8"/>
    <w:rsid w:val="0049709A"/>
    <w:rsid w:val="004970BC"/>
    <w:rsid w:val="004972BF"/>
    <w:rsid w:val="00497378"/>
    <w:rsid w:val="0049741B"/>
    <w:rsid w:val="0049742E"/>
    <w:rsid w:val="004974F7"/>
    <w:rsid w:val="00497537"/>
    <w:rsid w:val="004978C6"/>
    <w:rsid w:val="00497C37"/>
    <w:rsid w:val="00497C4C"/>
    <w:rsid w:val="00497D92"/>
    <w:rsid w:val="00497E79"/>
    <w:rsid w:val="00497F68"/>
    <w:rsid w:val="004A02A2"/>
    <w:rsid w:val="004A0315"/>
    <w:rsid w:val="004A050A"/>
    <w:rsid w:val="004A05BF"/>
    <w:rsid w:val="004A05F5"/>
    <w:rsid w:val="004A06EA"/>
    <w:rsid w:val="004A0707"/>
    <w:rsid w:val="004A0790"/>
    <w:rsid w:val="004A08E2"/>
    <w:rsid w:val="004A0925"/>
    <w:rsid w:val="004A0DAB"/>
    <w:rsid w:val="004A0E94"/>
    <w:rsid w:val="004A1271"/>
    <w:rsid w:val="004A1433"/>
    <w:rsid w:val="004A1717"/>
    <w:rsid w:val="004A1768"/>
    <w:rsid w:val="004A177B"/>
    <w:rsid w:val="004A1B12"/>
    <w:rsid w:val="004A1B4C"/>
    <w:rsid w:val="004A1BF0"/>
    <w:rsid w:val="004A214A"/>
    <w:rsid w:val="004A2230"/>
    <w:rsid w:val="004A22ED"/>
    <w:rsid w:val="004A238E"/>
    <w:rsid w:val="004A23D8"/>
    <w:rsid w:val="004A252C"/>
    <w:rsid w:val="004A28FA"/>
    <w:rsid w:val="004A2A84"/>
    <w:rsid w:val="004A2ADB"/>
    <w:rsid w:val="004A2B2C"/>
    <w:rsid w:val="004A2CDC"/>
    <w:rsid w:val="004A2D74"/>
    <w:rsid w:val="004A2E32"/>
    <w:rsid w:val="004A311E"/>
    <w:rsid w:val="004A3166"/>
    <w:rsid w:val="004A319A"/>
    <w:rsid w:val="004A3318"/>
    <w:rsid w:val="004A3439"/>
    <w:rsid w:val="004A3487"/>
    <w:rsid w:val="004A34F1"/>
    <w:rsid w:val="004A3639"/>
    <w:rsid w:val="004A378E"/>
    <w:rsid w:val="004A37CC"/>
    <w:rsid w:val="004A38F3"/>
    <w:rsid w:val="004A39AF"/>
    <w:rsid w:val="004A3B4F"/>
    <w:rsid w:val="004A3C1D"/>
    <w:rsid w:val="004A3CB7"/>
    <w:rsid w:val="004A3D4F"/>
    <w:rsid w:val="004A3D61"/>
    <w:rsid w:val="004A3F48"/>
    <w:rsid w:val="004A441B"/>
    <w:rsid w:val="004A443D"/>
    <w:rsid w:val="004A44D8"/>
    <w:rsid w:val="004A45B1"/>
    <w:rsid w:val="004A4718"/>
    <w:rsid w:val="004A49C3"/>
    <w:rsid w:val="004A4A98"/>
    <w:rsid w:val="004A4B0A"/>
    <w:rsid w:val="004A4C13"/>
    <w:rsid w:val="004A4F1D"/>
    <w:rsid w:val="004A5084"/>
    <w:rsid w:val="004A50D7"/>
    <w:rsid w:val="004A522A"/>
    <w:rsid w:val="004A5307"/>
    <w:rsid w:val="004A54B5"/>
    <w:rsid w:val="004A5748"/>
    <w:rsid w:val="004A574B"/>
    <w:rsid w:val="004A5756"/>
    <w:rsid w:val="004A5809"/>
    <w:rsid w:val="004A5908"/>
    <w:rsid w:val="004A5A2D"/>
    <w:rsid w:val="004A5C37"/>
    <w:rsid w:val="004A5C52"/>
    <w:rsid w:val="004A5CF8"/>
    <w:rsid w:val="004A6003"/>
    <w:rsid w:val="004A6045"/>
    <w:rsid w:val="004A607B"/>
    <w:rsid w:val="004A6247"/>
    <w:rsid w:val="004A6366"/>
    <w:rsid w:val="004A6538"/>
    <w:rsid w:val="004A668D"/>
    <w:rsid w:val="004A679A"/>
    <w:rsid w:val="004A68C6"/>
    <w:rsid w:val="004A6914"/>
    <w:rsid w:val="004A6C12"/>
    <w:rsid w:val="004A6D60"/>
    <w:rsid w:val="004A6DFF"/>
    <w:rsid w:val="004A6EAE"/>
    <w:rsid w:val="004A7037"/>
    <w:rsid w:val="004A70A2"/>
    <w:rsid w:val="004A70A6"/>
    <w:rsid w:val="004A7164"/>
    <w:rsid w:val="004A7373"/>
    <w:rsid w:val="004A7426"/>
    <w:rsid w:val="004A742D"/>
    <w:rsid w:val="004A744E"/>
    <w:rsid w:val="004A7450"/>
    <w:rsid w:val="004A75BF"/>
    <w:rsid w:val="004A77CF"/>
    <w:rsid w:val="004A78A2"/>
    <w:rsid w:val="004A7A4C"/>
    <w:rsid w:val="004A7A7D"/>
    <w:rsid w:val="004A7AE9"/>
    <w:rsid w:val="004A7B70"/>
    <w:rsid w:val="004A7CCB"/>
    <w:rsid w:val="004A7D3A"/>
    <w:rsid w:val="004A7E75"/>
    <w:rsid w:val="004B0193"/>
    <w:rsid w:val="004B021C"/>
    <w:rsid w:val="004B037D"/>
    <w:rsid w:val="004B0382"/>
    <w:rsid w:val="004B03F6"/>
    <w:rsid w:val="004B0800"/>
    <w:rsid w:val="004B0804"/>
    <w:rsid w:val="004B0B54"/>
    <w:rsid w:val="004B0B5B"/>
    <w:rsid w:val="004B0B73"/>
    <w:rsid w:val="004B0BC5"/>
    <w:rsid w:val="004B0CA6"/>
    <w:rsid w:val="004B0DE7"/>
    <w:rsid w:val="004B0E3B"/>
    <w:rsid w:val="004B1172"/>
    <w:rsid w:val="004B11E8"/>
    <w:rsid w:val="004B1330"/>
    <w:rsid w:val="004B156B"/>
    <w:rsid w:val="004B1686"/>
    <w:rsid w:val="004B168E"/>
    <w:rsid w:val="004B196F"/>
    <w:rsid w:val="004B1B02"/>
    <w:rsid w:val="004B1CDD"/>
    <w:rsid w:val="004B1D36"/>
    <w:rsid w:val="004B1FD9"/>
    <w:rsid w:val="004B2016"/>
    <w:rsid w:val="004B26B1"/>
    <w:rsid w:val="004B271C"/>
    <w:rsid w:val="004B2756"/>
    <w:rsid w:val="004B2800"/>
    <w:rsid w:val="004B2A78"/>
    <w:rsid w:val="004B2BEC"/>
    <w:rsid w:val="004B2DED"/>
    <w:rsid w:val="004B2F42"/>
    <w:rsid w:val="004B3033"/>
    <w:rsid w:val="004B31AC"/>
    <w:rsid w:val="004B33F8"/>
    <w:rsid w:val="004B34F7"/>
    <w:rsid w:val="004B3567"/>
    <w:rsid w:val="004B35F3"/>
    <w:rsid w:val="004B363E"/>
    <w:rsid w:val="004B3662"/>
    <w:rsid w:val="004B3824"/>
    <w:rsid w:val="004B3B32"/>
    <w:rsid w:val="004B3B5E"/>
    <w:rsid w:val="004B3CA7"/>
    <w:rsid w:val="004B3D12"/>
    <w:rsid w:val="004B3E38"/>
    <w:rsid w:val="004B3F8B"/>
    <w:rsid w:val="004B3FD7"/>
    <w:rsid w:val="004B44AA"/>
    <w:rsid w:val="004B4566"/>
    <w:rsid w:val="004B45AC"/>
    <w:rsid w:val="004B4680"/>
    <w:rsid w:val="004B47A6"/>
    <w:rsid w:val="004B47A9"/>
    <w:rsid w:val="004B495A"/>
    <w:rsid w:val="004B4972"/>
    <w:rsid w:val="004B4A12"/>
    <w:rsid w:val="004B4AF5"/>
    <w:rsid w:val="004B4C58"/>
    <w:rsid w:val="004B4C79"/>
    <w:rsid w:val="004B4DF0"/>
    <w:rsid w:val="004B5025"/>
    <w:rsid w:val="004B5064"/>
    <w:rsid w:val="004B510E"/>
    <w:rsid w:val="004B5282"/>
    <w:rsid w:val="004B558E"/>
    <w:rsid w:val="004B5693"/>
    <w:rsid w:val="004B56B0"/>
    <w:rsid w:val="004B56D4"/>
    <w:rsid w:val="004B599F"/>
    <w:rsid w:val="004B5A3F"/>
    <w:rsid w:val="004B5D4F"/>
    <w:rsid w:val="004B603F"/>
    <w:rsid w:val="004B607B"/>
    <w:rsid w:val="004B61D5"/>
    <w:rsid w:val="004B62AD"/>
    <w:rsid w:val="004B641B"/>
    <w:rsid w:val="004B656F"/>
    <w:rsid w:val="004B687A"/>
    <w:rsid w:val="004B69A3"/>
    <w:rsid w:val="004B6A5B"/>
    <w:rsid w:val="004B6BC9"/>
    <w:rsid w:val="004B6C01"/>
    <w:rsid w:val="004B6DC2"/>
    <w:rsid w:val="004B6E96"/>
    <w:rsid w:val="004B6FE4"/>
    <w:rsid w:val="004B709E"/>
    <w:rsid w:val="004B722C"/>
    <w:rsid w:val="004B7346"/>
    <w:rsid w:val="004B750E"/>
    <w:rsid w:val="004B76B0"/>
    <w:rsid w:val="004B7820"/>
    <w:rsid w:val="004B784B"/>
    <w:rsid w:val="004B7AA5"/>
    <w:rsid w:val="004B7B3D"/>
    <w:rsid w:val="004B7BF0"/>
    <w:rsid w:val="004B7E16"/>
    <w:rsid w:val="004B7F0A"/>
    <w:rsid w:val="004B7FB1"/>
    <w:rsid w:val="004C007E"/>
    <w:rsid w:val="004C01B8"/>
    <w:rsid w:val="004C01F9"/>
    <w:rsid w:val="004C024D"/>
    <w:rsid w:val="004C0334"/>
    <w:rsid w:val="004C041F"/>
    <w:rsid w:val="004C0455"/>
    <w:rsid w:val="004C046C"/>
    <w:rsid w:val="004C05FB"/>
    <w:rsid w:val="004C0676"/>
    <w:rsid w:val="004C088C"/>
    <w:rsid w:val="004C0A82"/>
    <w:rsid w:val="004C0DD3"/>
    <w:rsid w:val="004C0E8D"/>
    <w:rsid w:val="004C0EE6"/>
    <w:rsid w:val="004C1010"/>
    <w:rsid w:val="004C112B"/>
    <w:rsid w:val="004C113C"/>
    <w:rsid w:val="004C1234"/>
    <w:rsid w:val="004C1321"/>
    <w:rsid w:val="004C132F"/>
    <w:rsid w:val="004C14FA"/>
    <w:rsid w:val="004C1543"/>
    <w:rsid w:val="004C1592"/>
    <w:rsid w:val="004C1599"/>
    <w:rsid w:val="004C159A"/>
    <w:rsid w:val="004C1650"/>
    <w:rsid w:val="004C18DD"/>
    <w:rsid w:val="004C19C2"/>
    <w:rsid w:val="004C1BF3"/>
    <w:rsid w:val="004C1C4E"/>
    <w:rsid w:val="004C1D1D"/>
    <w:rsid w:val="004C1E70"/>
    <w:rsid w:val="004C1ED2"/>
    <w:rsid w:val="004C2207"/>
    <w:rsid w:val="004C24A5"/>
    <w:rsid w:val="004C252E"/>
    <w:rsid w:val="004C25B1"/>
    <w:rsid w:val="004C25D4"/>
    <w:rsid w:val="004C26DF"/>
    <w:rsid w:val="004C2808"/>
    <w:rsid w:val="004C2A56"/>
    <w:rsid w:val="004C2BAC"/>
    <w:rsid w:val="004C2C01"/>
    <w:rsid w:val="004C2CA1"/>
    <w:rsid w:val="004C2DF7"/>
    <w:rsid w:val="004C2E33"/>
    <w:rsid w:val="004C2E7C"/>
    <w:rsid w:val="004C3066"/>
    <w:rsid w:val="004C319E"/>
    <w:rsid w:val="004C3225"/>
    <w:rsid w:val="004C32B4"/>
    <w:rsid w:val="004C3348"/>
    <w:rsid w:val="004C334E"/>
    <w:rsid w:val="004C34F5"/>
    <w:rsid w:val="004C36B3"/>
    <w:rsid w:val="004C3A79"/>
    <w:rsid w:val="004C3B7E"/>
    <w:rsid w:val="004C3C50"/>
    <w:rsid w:val="004C3CEF"/>
    <w:rsid w:val="004C3D31"/>
    <w:rsid w:val="004C3ED3"/>
    <w:rsid w:val="004C4011"/>
    <w:rsid w:val="004C409F"/>
    <w:rsid w:val="004C4107"/>
    <w:rsid w:val="004C41BA"/>
    <w:rsid w:val="004C4910"/>
    <w:rsid w:val="004C4A11"/>
    <w:rsid w:val="004C4A4F"/>
    <w:rsid w:val="004C4AFE"/>
    <w:rsid w:val="004C4CEC"/>
    <w:rsid w:val="004C4D0E"/>
    <w:rsid w:val="004C4DC9"/>
    <w:rsid w:val="004C4E8D"/>
    <w:rsid w:val="004C4EDE"/>
    <w:rsid w:val="004C4F5E"/>
    <w:rsid w:val="004C5030"/>
    <w:rsid w:val="004C50C6"/>
    <w:rsid w:val="004C50E9"/>
    <w:rsid w:val="004C5153"/>
    <w:rsid w:val="004C51C0"/>
    <w:rsid w:val="004C53EE"/>
    <w:rsid w:val="004C5561"/>
    <w:rsid w:val="004C57AA"/>
    <w:rsid w:val="004C5835"/>
    <w:rsid w:val="004C59B3"/>
    <w:rsid w:val="004C59FE"/>
    <w:rsid w:val="004C5B33"/>
    <w:rsid w:val="004C5B5D"/>
    <w:rsid w:val="004C5D83"/>
    <w:rsid w:val="004C5DE5"/>
    <w:rsid w:val="004C5E48"/>
    <w:rsid w:val="004C5F53"/>
    <w:rsid w:val="004C5F6B"/>
    <w:rsid w:val="004C600B"/>
    <w:rsid w:val="004C6188"/>
    <w:rsid w:val="004C6208"/>
    <w:rsid w:val="004C6550"/>
    <w:rsid w:val="004C6572"/>
    <w:rsid w:val="004C659B"/>
    <w:rsid w:val="004C6625"/>
    <w:rsid w:val="004C6713"/>
    <w:rsid w:val="004C6964"/>
    <w:rsid w:val="004C69F5"/>
    <w:rsid w:val="004C6A35"/>
    <w:rsid w:val="004C6B4F"/>
    <w:rsid w:val="004C6B82"/>
    <w:rsid w:val="004C6B86"/>
    <w:rsid w:val="004C6BED"/>
    <w:rsid w:val="004C6D44"/>
    <w:rsid w:val="004C6D71"/>
    <w:rsid w:val="004C6D88"/>
    <w:rsid w:val="004C6F17"/>
    <w:rsid w:val="004C6FAA"/>
    <w:rsid w:val="004C7099"/>
    <w:rsid w:val="004C70B8"/>
    <w:rsid w:val="004C70D1"/>
    <w:rsid w:val="004C70EC"/>
    <w:rsid w:val="004C7296"/>
    <w:rsid w:val="004C72F6"/>
    <w:rsid w:val="004C7427"/>
    <w:rsid w:val="004C7434"/>
    <w:rsid w:val="004C7523"/>
    <w:rsid w:val="004C77CC"/>
    <w:rsid w:val="004C7820"/>
    <w:rsid w:val="004C7875"/>
    <w:rsid w:val="004C7A67"/>
    <w:rsid w:val="004C7BBA"/>
    <w:rsid w:val="004C7BEB"/>
    <w:rsid w:val="004C7D17"/>
    <w:rsid w:val="004D00B9"/>
    <w:rsid w:val="004D042A"/>
    <w:rsid w:val="004D0512"/>
    <w:rsid w:val="004D0576"/>
    <w:rsid w:val="004D058C"/>
    <w:rsid w:val="004D06D3"/>
    <w:rsid w:val="004D0706"/>
    <w:rsid w:val="004D096C"/>
    <w:rsid w:val="004D0BED"/>
    <w:rsid w:val="004D0C4E"/>
    <w:rsid w:val="004D0EC3"/>
    <w:rsid w:val="004D10B4"/>
    <w:rsid w:val="004D1167"/>
    <w:rsid w:val="004D119E"/>
    <w:rsid w:val="004D11BA"/>
    <w:rsid w:val="004D14BE"/>
    <w:rsid w:val="004D1666"/>
    <w:rsid w:val="004D1890"/>
    <w:rsid w:val="004D1940"/>
    <w:rsid w:val="004D1966"/>
    <w:rsid w:val="004D1BC2"/>
    <w:rsid w:val="004D209C"/>
    <w:rsid w:val="004D20F0"/>
    <w:rsid w:val="004D255D"/>
    <w:rsid w:val="004D2603"/>
    <w:rsid w:val="004D274E"/>
    <w:rsid w:val="004D2798"/>
    <w:rsid w:val="004D28BE"/>
    <w:rsid w:val="004D2A6D"/>
    <w:rsid w:val="004D2B61"/>
    <w:rsid w:val="004D2BC0"/>
    <w:rsid w:val="004D2F5D"/>
    <w:rsid w:val="004D30C8"/>
    <w:rsid w:val="004D30D8"/>
    <w:rsid w:val="004D3215"/>
    <w:rsid w:val="004D33C1"/>
    <w:rsid w:val="004D33EF"/>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BAE"/>
    <w:rsid w:val="004D3CDE"/>
    <w:rsid w:val="004D3F57"/>
    <w:rsid w:val="004D40B4"/>
    <w:rsid w:val="004D4509"/>
    <w:rsid w:val="004D4644"/>
    <w:rsid w:val="004D46AC"/>
    <w:rsid w:val="004D4733"/>
    <w:rsid w:val="004D482B"/>
    <w:rsid w:val="004D4A34"/>
    <w:rsid w:val="004D4B43"/>
    <w:rsid w:val="004D4BB9"/>
    <w:rsid w:val="004D4BD0"/>
    <w:rsid w:val="004D4D3B"/>
    <w:rsid w:val="004D4F16"/>
    <w:rsid w:val="004D510B"/>
    <w:rsid w:val="004D51C2"/>
    <w:rsid w:val="004D520E"/>
    <w:rsid w:val="004D532E"/>
    <w:rsid w:val="004D5AA8"/>
    <w:rsid w:val="004D5AC0"/>
    <w:rsid w:val="004D5BB8"/>
    <w:rsid w:val="004D5C29"/>
    <w:rsid w:val="004D5E13"/>
    <w:rsid w:val="004D5E47"/>
    <w:rsid w:val="004D60E5"/>
    <w:rsid w:val="004D63EE"/>
    <w:rsid w:val="004D63F3"/>
    <w:rsid w:val="004D6410"/>
    <w:rsid w:val="004D644D"/>
    <w:rsid w:val="004D6640"/>
    <w:rsid w:val="004D66ED"/>
    <w:rsid w:val="004D6862"/>
    <w:rsid w:val="004D68C2"/>
    <w:rsid w:val="004D6931"/>
    <w:rsid w:val="004D6A76"/>
    <w:rsid w:val="004D6CF6"/>
    <w:rsid w:val="004D6E58"/>
    <w:rsid w:val="004D6EB7"/>
    <w:rsid w:val="004D70A8"/>
    <w:rsid w:val="004D71B0"/>
    <w:rsid w:val="004D71CD"/>
    <w:rsid w:val="004D7293"/>
    <w:rsid w:val="004D73CE"/>
    <w:rsid w:val="004D740D"/>
    <w:rsid w:val="004D751A"/>
    <w:rsid w:val="004D76E9"/>
    <w:rsid w:val="004D770D"/>
    <w:rsid w:val="004D7721"/>
    <w:rsid w:val="004D79A5"/>
    <w:rsid w:val="004D7AE3"/>
    <w:rsid w:val="004D7B2B"/>
    <w:rsid w:val="004D7C75"/>
    <w:rsid w:val="004D7D43"/>
    <w:rsid w:val="004D7E2D"/>
    <w:rsid w:val="004D7ED3"/>
    <w:rsid w:val="004E022C"/>
    <w:rsid w:val="004E0457"/>
    <w:rsid w:val="004E0535"/>
    <w:rsid w:val="004E06D7"/>
    <w:rsid w:val="004E06FD"/>
    <w:rsid w:val="004E0A9E"/>
    <w:rsid w:val="004E0CEA"/>
    <w:rsid w:val="004E0EB3"/>
    <w:rsid w:val="004E0FE8"/>
    <w:rsid w:val="004E144B"/>
    <w:rsid w:val="004E15FD"/>
    <w:rsid w:val="004E16A9"/>
    <w:rsid w:val="004E172F"/>
    <w:rsid w:val="004E19B2"/>
    <w:rsid w:val="004E1BAF"/>
    <w:rsid w:val="004E2274"/>
    <w:rsid w:val="004E24DE"/>
    <w:rsid w:val="004E2684"/>
    <w:rsid w:val="004E275B"/>
    <w:rsid w:val="004E288E"/>
    <w:rsid w:val="004E2A10"/>
    <w:rsid w:val="004E2ABA"/>
    <w:rsid w:val="004E2BAE"/>
    <w:rsid w:val="004E2D0C"/>
    <w:rsid w:val="004E2DF5"/>
    <w:rsid w:val="004E2EE2"/>
    <w:rsid w:val="004E314F"/>
    <w:rsid w:val="004E33E2"/>
    <w:rsid w:val="004E3601"/>
    <w:rsid w:val="004E37A1"/>
    <w:rsid w:val="004E37BE"/>
    <w:rsid w:val="004E37D6"/>
    <w:rsid w:val="004E37F1"/>
    <w:rsid w:val="004E385E"/>
    <w:rsid w:val="004E3862"/>
    <w:rsid w:val="004E3881"/>
    <w:rsid w:val="004E38F4"/>
    <w:rsid w:val="004E390F"/>
    <w:rsid w:val="004E3AC9"/>
    <w:rsid w:val="004E3D60"/>
    <w:rsid w:val="004E41A4"/>
    <w:rsid w:val="004E4280"/>
    <w:rsid w:val="004E43AE"/>
    <w:rsid w:val="004E47F4"/>
    <w:rsid w:val="004E4C2C"/>
    <w:rsid w:val="004E4D76"/>
    <w:rsid w:val="004E50E9"/>
    <w:rsid w:val="004E511D"/>
    <w:rsid w:val="004E51A1"/>
    <w:rsid w:val="004E526A"/>
    <w:rsid w:val="004E54A6"/>
    <w:rsid w:val="004E55E0"/>
    <w:rsid w:val="004E5630"/>
    <w:rsid w:val="004E5C0F"/>
    <w:rsid w:val="004E5C1C"/>
    <w:rsid w:val="004E5C7B"/>
    <w:rsid w:val="004E5D95"/>
    <w:rsid w:val="004E5E7C"/>
    <w:rsid w:val="004E6033"/>
    <w:rsid w:val="004E6641"/>
    <w:rsid w:val="004E6A4C"/>
    <w:rsid w:val="004E6B20"/>
    <w:rsid w:val="004E6D38"/>
    <w:rsid w:val="004E6DC3"/>
    <w:rsid w:val="004E71AF"/>
    <w:rsid w:val="004E72CD"/>
    <w:rsid w:val="004E7400"/>
    <w:rsid w:val="004E761E"/>
    <w:rsid w:val="004E76D4"/>
    <w:rsid w:val="004E777A"/>
    <w:rsid w:val="004E77FC"/>
    <w:rsid w:val="004E784E"/>
    <w:rsid w:val="004E790D"/>
    <w:rsid w:val="004E7946"/>
    <w:rsid w:val="004E79CF"/>
    <w:rsid w:val="004E7A49"/>
    <w:rsid w:val="004E7BE2"/>
    <w:rsid w:val="004E7C2A"/>
    <w:rsid w:val="004F00B7"/>
    <w:rsid w:val="004F0207"/>
    <w:rsid w:val="004F021B"/>
    <w:rsid w:val="004F0243"/>
    <w:rsid w:val="004F0245"/>
    <w:rsid w:val="004F04C5"/>
    <w:rsid w:val="004F08D1"/>
    <w:rsid w:val="004F0D17"/>
    <w:rsid w:val="004F0D4C"/>
    <w:rsid w:val="004F0E96"/>
    <w:rsid w:val="004F1089"/>
    <w:rsid w:val="004F10BC"/>
    <w:rsid w:val="004F18A9"/>
    <w:rsid w:val="004F1C7C"/>
    <w:rsid w:val="004F1C8F"/>
    <w:rsid w:val="004F1ED1"/>
    <w:rsid w:val="004F2048"/>
    <w:rsid w:val="004F213F"/>
    <w:rsid w:val="004F244A"/>
    <w:rsid w:val="004F246F"/>
    <w:rsid w:val="004F263F"/>
    <w:rsid w:val="004F27FB"/>
    <w:rsid w:val="004F27FF"/>
    <w:rsid w:val="004F29BF"/>
    <w:rsid w:val="004F2C56"/>
    <w:rsid w:val="004F2C77"/>
    <w:rsid w:val="004F2F95"/>
    <w:rsid w:val="004F2FBE"/>
    <w:rsid w:val="004F303A"/>
    <w:rsid w:val="004F30BE"/>
    <w:rsid w:val="004F3163"/>
    <w:rsid w:val="004F3173"/>
    <w:rsid w:val="004F3244"/>
    <w:rsid w:val="004F32A6"/>
    <w:rsid w:val="004F33A0"/>
    <w:rsid w:val="004F33DB"/>
    <w:rsid w:val="004F343D"/>
    <w:rsid w:val="004F35AC"/>
    <w:rsid w:val="004F3611"/>
    <w:rsid w:val="004F3697"/>
    <w:rsid w:val="004F3783"/>
    <w:rsid w:val="004F37C3"/>
    <w:rsid w:val="004F383B"/>
    <w:rsid w:val="004F3A6B"/>
    <w:rsid w:val="004F3AA2"/>
    <w:rsid w:val="004F3B7C"/>
    <w:rsid w:val="004F3BD0"/>
    <w:rsid w:val="004F3EF1"/>
    <w:rsid w:val="004F424E"/>
    <w:rsid w:val="004F427E"/>
    <w:rsid w:val="004F4346"/>
    <w:rsid w:val="004F4448"/>
    <w:rsid w:val="004F455B"/>
    <w:rsid w:val="004F4588"/>
    <w:rsid w:val="004F4A46"/>
    <w:rsid w:val="004F4A63"/>
    <w:rsid w:val="004F4AA3"/>
    <w:rsid w:val="004F4AB0"/>
    <w:rsid w:val="004F4BA8"/>
    <w:rsid w:val="004F4BCC"/>
    <w:rsid w:val="004F4D2B"/>
    <w:rsid w:val="004F4E5B"/>
    <w:rsid w:val="004F4F8E"/>
    <w:rsid w:val="004F4FB3"/>
    <w:rsid w:val="004F5187"/>
    <w:rsid w:val="004F51D2"/>
    <w:rsid w:val="004F52BC"/>
    <w:rsid w:val="004F5403"/>
    <w:rsid w:val="004F54F5"/>
    <w:rsid w:val="004F5842"/>
    <w:rsid w:val="004F595F"/>
    <w:rsid w:val="004F598B"/>
    <w:rsid w:val="004F59B3"/>
    <w:rsid w:val="004F5A9B"/>
    <w:rsid w:val="004F5C8E"/>
    <w:rsid w:val="004F5CE0"/>
    <w:rsid w:val="004F5E4E"/>
    <w:rsid w:val="004F607A"/>
    <w:rsid w:val="004F611B"/>
    <w:rsid w:val="004F62FB"/>
    <w:rsid w:val="004F6427"/>
    <w:rsid w:val="004F653D"/>
    <w:rsid w:val="004F69E0"/>
    <w:rsid w:val="004F6ABA"/>
    <w:rsid w:val="004F6CBB"/>
    <w:rsid w:val="004F6D73"/>
    <w:rsid w:val="004F6D83"/>
    <w:rsid w:val="004F6D98"/>
    <w:rsid w:val="004F7020"/>
    <w:rsid w:val="004F711D"/>
    <w:rsid w:val="004F73B2"/>
    <w:rsid w:val="004F7404"/>
    <w:rsid w:val="004F7474"/>
    <w:rsid w:val="004F7505"/>
    <w:rsid w:val="004F75E4"/>
    <w:rsid w:val="004F763C"/>
    <w:rsid w:val="004F768E"/>
    <w:rsid w:val="004F7782"/>
    <w:rsid w:val="004F77AA"/>
    <w:rsid w:val="004F798C"/>
    <w:rsid w:val="004F79E4"/>
    <w:rsid w:val="004F7AAE"/>
    <w:rsid w:val="004F7B7B"/>
    <w:rsid w:val="004F7BB8"/>
    <w:rsid w:val="004F7C55"/>
    <w:rsid w:val="004F7E8C"/>
    <w:rsid w:val="004F7F0C"/>
    <w:rsid w:val="004F7F85"/>
    <w:rsid w:val="00500368"/>
    <w:rsid w:val="00500453"/>
    <w:rsid w:val="00500A10"/>
    <w:rsid w:val="00500FFA"/>
    <w:rsid w:val="0050101D"/>
    <w:rsid w:val="005011D7"/>
    <w:rsid w:val="005011E9"/>
    <w:rsid w:val="00501200"/>
    <w:rsid w:val="0050120A"/>
    <w:rsid w:val="0050129C"/>
    <w:rsid w:val="005013B2"/>
    <w:rsid w:val="005015DC"/>
    <w:rsid w:val="0050165E"/>
    <w:rsid w:val="0050182B"/>
    <w:rsid w:val="005019D1"/>
    <w:rsid w:val="00501A53"/>
    <w:rsid w:val="00501BFD"/>
    <w:rsid w:val="00501C00"/>
    <w:rsid w:val="00501C22"/>
    <w:rsid w:val="00501E49"/>
    <w:rsid w:val="00501E79"/>
    <w:rsid w:val="00501F27"/>
    <w:rsid w:val="00501F5E"/>
    <w:rsid w:val="00502168"/>
    <w:rsid w:val="0050220D"/>
    <w:rsid w:val="0050230C"/>
    <w:rsid w:val="005025E5"/>
    <w:rsid w:val="00502620"/>
    <w:rsid w:val="00502756"/>
    <w:rsid w:val="00502910"/>
    <w:rsid w:val="00502958"/>
    <w:rsid w:val="005029E7"/>
    <w:rsid w:val="005029F4"/>
    <w:rsid w:val="00502A4E"/>
    <w:rsid w:val="00502A68"/>
    <w:rsid w:val="00502A6E"/>
    <w:rsid w:val="00502BAB"/>
    <w:rsid w:val="00502C58"/>
    <w:rsid w:val="00502D82"/>
    <w:rsid w:val="00502E02"/>
    <w:rsid w:val="00502E22"/>
    <w:rsid w:val="0050301B"/>
    <w:rsid w:val="005030DF"/>
    <w:rsid w:val="005031ED"/>
    <w:rsid w:val="005032FA"/>
    <w:rsid w:val="005034DE"/>
    <w:rsid w:val="00503802"/>
    <w:rsid w:val="005039D3"/>
    <w:rsid w:val="005039EE"/>
    <w:rsid w:val="00503A06"/>
    <w:rsid w:val="00503AA8"/>
    <w:rsid w:val="00503AD4"/>
    <w:rsid w:val="00503CD7"/>
    <w:rsid w:val="00503D3A"/>
    <w:rsid w:val="00503D7E"/>
    <w:rsid w:val="00503D9F"/>
    <w:rsid w:val="00503E9D"/>
    <w:rsid w:val="00503F3D"/>
    <w:rsid w:val="005042C8"/>
    <w:rsid w:val="00504770"/>
    <w:rsid w:val="005047C5"/>
    <w:rsid w:val="00504BBF"/>
    <w:rsid w:val="00504DF7"/>
    <w:rsid w:val="00504F1C"/>
    <w:rsid w:val="005052E1"/>
    <w:rsid w:val="00505371"/>
    <w:rsid w:val="005053B8"/>
    <w:rsid w:val="00505528"/>
    <w:rsid w:val="0050576C"/>
    <w:rsid w:val="00505AB0"/>
    <w:rsid w:val="00505F02"/>
    <w:rsid w:val="00505FAB"/>
    <w:rsid w:val="0050603F"/>
    <w:rsid w:val="005060AD"/>
    <w:rsid w:val="005063A1"/>
    <w:rsid w:val="005063DA"/>
    <w:rsid w:val="0050640A"/>
    <w:rsid w:val="005065DA"/>
    <w:rsid w:val="0050679F"/>
    <w:rsid w:val="00506A63"/>
    <w:rsid w:val="00506CB9"/>
    <w:rsid w:val="00506D84"/>
    <w:rsid w:val="00506F85"/>
    <w:rsid w:val="00507029"/>
    <w:rsid w:val="0050707B"/>
    <w:rsid w:val="005071C6"/>
    <w:rsid w:val="005071D4"/>
    <w:rsid w:val="00507429"/>
    <w:rsid w:val="00507626"/>
    <w:rsid w:val="005076A2"/>
    <w:rsid w:val="005077FB"/>
    <w:rsid w:val="0050794B"/>
    <w:rsid w:val="0050797B"/>
    <w:rsid w:val="005079FB"/>
    <w:rsid w:val="00507AD7"/>
    <w:rsid w:val="00507C12"/>
    <w:rsid w:val="00507CB8"/>
    <w:rsid w:val="00507EA7"/>
    <w:rsid w:val="005100D9"/>
    <w:rsid w:val="0051030B"/>
    <w:rsid w:val="0051038F"/>
    <w:rsid w:val="00510498"/>
    <w:rsid w:val="00510514"/>
    <w:rsid w:val="00510527"/>
    <w:rsid w:val="0051058A"/>
    <w:rsid w:val="00510C7D"/>
    <w:rsid w:val="00510CF1"/>
    <w:rsid w:val="00510E3D"/>
    <w:rsid w:val="00510E49"/>
    <w:rsid w:val="00510F16"/>
    <w:rsid w:val="0051116A"/>
    <w:rsid w:val="00511390"/>
    <w:rsid w:val="005113EB"/>
    <w:rsid w:val="0051141A"/>
    <w:rsid w:val="0051141C"/>
    <w:rsid w:val="0051145C"/>
    <w:rsid w:val="005114C1"/>
    <w:rsid w:val="00511596"/>
    <w:rsid w:val="005116CA"/>
    <w:rsid w:val="00511707"/>
    <w:rsid w:val="00511771"/>
    <w:rsid w:val="005117FF"/>
    <w:rsid w:val="00511941"/>
    <w:rsid w:val="005119FF"/>
    <w:rsid w:val="00511BC3"/>
    <w:rsid w:val="00511C14"/>
    <w:rsid w:val="00511CA4"/>
    <w:rsid w:val="00511CF8"/>
    <w:rsid w:val="00511E43"/>
    <w:rsid w:val="0051213D"/>
    <w:rsid w:val="00512190"/>
    <w:rsid w:val="00512239"/>
    <w:rsid w:val="00512304"/>
    <w:rsid w:val="00512320"/>
    <w:rsid w:val="00512359"/>
    <w:rsid w:val="0051242C"/>
    <w:rsid w:val="00512478"/>
    <w:rsid w:val="0051252C"/>
    <w:rsid w:val="005126ED"/>
    <w:rsid w:val="00512705"/>
    <w:rsid w:val="005127A2"/>
    <w:rsid w:val="00512B78"/>
    <w:rsid w:val="00512C21"/>
    <w:rsid w:val="00512DEA"/>
    <w:rsid w:val="005130B7"/>
    <w:rsid w:val="0051340D"/>
    <w:rsid w:val="00513515"/>
    <w:rsid w:val="00513544"/>
    <w:rsid w:val="005135E0"/>
    <w:rsid w:val="00513790"/>
    <w:rsid w:val="005137DC"/>
    <w:rsid w:val="0051398A"/>
    <w:rsid w:val="00513D2C"/>
    <w:rsid w:val="00513D2F"/>
    <w:rsid w:val="0051409D"/>
    <w:rsid w:val="005141C5"/>
    <w:rsid w:val="00514208"/>
    <w:rsid w:val="0051439A"/>
    <w:rsid w:val="005144E9"/>
    <w:rsid w:val="00514598"/>
    <w:rsid w:val="00514699"/>
    <w:rsid w:val="005146B2"/>
    <w:rsid w:val="005147E2"/>
    <w:rsid w:val="00514821"/>
    <w:rsid w:val="00514949"/>
    <w:rsid w:val="00514974"/>
    <w:rsid w:val="005149B9"/>
    <w:rsid w:val="005149D2"/>
    <w:rsid w:val="005149E3"/>
    <w:rsid w:val="005149EE"/>
    <w:rsid w:val="005149F2"/>
    <w:rsid w:val="00514A4F"/>
    <w:rsid w:val="00514A85"/>
    <w:rsid w:val="00514A90"/>
    <w:rsid w:val="00514CE0"/>
    <w:rsid w:val="00514DED"/>
    <w:rsid w:val="00514E17"/>
    <w:rsid w:val="00514E4F"/>
    <w:rsid w:val="00514FFE"/>
    <w:rsid w:val="0051516F"/>
    <w:rsid w:val="005151AB"/>
    <w:rsid w:val="005151EE"/>
    <w:rsid w:val="00515213"/>
    <w:rsid w:val="00515281"/>
    <w:rsid w:val="00515495"/>
    <w:rsid w:val="00515689"/>
    <w:rsid w:val="00515875"/>
    <w:rsid w:val="005158C7"/>
    <w:rsid w:val="00515AA7"/>
    <w:rsid w:val="00515D44"/>
    <w:rsid w:val="00515DAA"/>
    <w:rsid w:val="00515E52"/>
    <w:rsid w:val="00515E98"/>
    <w:rsid w:val="00515F7B"/>
    <w:rsid w:val="00515FC5"/>
    <w:rsid w:val="00516089"/>
    <w:rsid w:val="00516180"/>
    <w:rsid w:val="0051627E"/>
    <w:rsid w:val="00516389"/>
    <w:rsid w:val="00516484"/>
    <w:rsid w:val="005168DB"/>
    <w:rsid w:val="00516A43"/>
    <w:rsid w:val="00516C6E"/>
    <w:rsid w:val="00516CF4"/>
    <w:rsid w:val="00516D18"/>
    <w:rsid w:val="00516DDA"/>
    <w:rsid w:val="00516E2A"/>
    <w:rsid w:val="00516E45"/>
    <w:rsid w:val="00516F42"/>
    <w:rsid w:val="00516FAE"/>
    <w:rsid w:val="005171DC"/>
    <w:rsid w:val="00517231"/>
    <w:rsid w:val="00517813"/>
    <w:rsid w:val="0051797D"/>
    <w:rsid w:val="0051798E"/>
    <w:rsid w:val="00517AF0"/>
    <w:rsid w:val="00517AF5"/>
    <w:rsid w:val="00517BEC"/>
    <w:rsid w:val="00517F33"/>
    <w:rsid w:val="00517F3E"/>
    <w:rsid w:val="00517F80"/>
    <w:rsid w:val="00517FBF"/>
    <w:rsid w:val="00520147"/>
    <w:rsid w:val="00520339"/>
    <w:rsid w:val="005203AE"/>
    <w:rsid w:val="00520415"/>
    <w:rsid w:val="005204F3"/>
    <w:rsid w:val="0052056E"/>
    <w:rsid w:val="005208C1"/>
    <w:rsid w:val="00520F1C"/>
    <w:rsid w:val="00520F7F"/>
    <w:rsid w:val="00520F89"/>
    <w:rsid w:val="005213A8"/>
    <w:rsid w:val="005213B5"/>
    <w:rsid w:val="005214DC"/>
    <w:rsid w:val="0052153E"/>
    <w:rsid w:val="005215AD"/>
    <w:rsid w:val="00521903"/>
    <w:rsid w:val="00521A56"/>
    <w:rsid w:val="00521C03"/>
    <w:rsid w:val="00521EAA"/>
    <w:rsid w:val="0052213A"/>
    <w:rsid w:val="0052227A"/>
    <w:rsid w:val="005224CC"/>
    <w:rsid w:val="00522574"/>
    <w:rsid w:val="00522712"/>
    <w:rsid w:val="00522715"/>
    <w:rsid w:val="005228A7"/>
    <w:rsid w:val="005229CD"/>
    <w:rsid w:val="005229D6"/>
    <w:rsid w:val="00522A2C"/>
    <w:rsid w:val="00522AD3"/>
    <w:rsid w:val="00522B12"/>
    <w:rsid w:val="00522B16"/>
    <w:rsid w:val="00522C8F"/>
    <w:rsid w:val="00522CB4"/>
    <w:rsid w:val="00522EC3"/>
    <w:rsid w:val="0052323E"/>
    <w:rsid w:val="005232BA"/>
    <w:rsid w:val="005233A8"/>
    <w:rsid w:val="005234D8"/>
    <w:rsid w:val="0052355D"/>
    <w:rsid w:val="00523666"/>
    <w:rsid w:val="0052382A"/>
    <w:rsid w:val="00523A4D"/>
    <w:rsid w:val="00523AB4"/>
    <w:rsid w:val="00523C24"/>
    <w:rsid w:val="00523C93"/>
    <w:rsid w:val="00523DCC"/>
    <w:rsid w:val="00523F67"/>
    <w:rsid w:val="005240EF"/>
    <w:rsid w:val="005242DF"/>
    <w:rsid w:val="0052476A"/>
    <w:rsid w:val="00524A41"/>
    <w:rsid w:val="00524C77"/>
    <w:rsid w:val="00524D0D"/>
    <w:rsid w:val="00524D16"/>
    <w:rsid w:val="00524EE7"/>
    <w:rsid w:val="005251EA"/>
    <w:rsid w:val="00525224"/>
    <w:rsid w:val="00525299"/>
    <w:rsid w:val="005255DE"/>
    <w:rsid w:val="00525639"/>
    <w:rsid w:val="00525755"/>
    <w:rsid w:val="005257B1"/>
    <w:rsid w:val="0052582D"/>
    <w:rsid w:val="00525956"/>
    <w:rsid w:val="00525A9F"/>
    <w:rsid w:val="00525B6E"/>
    <w:rsid w:val="00525E4A"/>
    <w:rsid w:val="00526135"/>
    <w:rsid w:val="00526161"/>
    <w:rsid w:val="00526264"/>
    <w:rsid w:val="005265D3"/>
    <w:rsid w:val="005265F7"/>
    <w:rsid w:val="00526653"/>
    <w:rsid w:val="00526656"/>
    <w:rsid w:val="0052667E"/>
    <w:rsid w:val="005266F5"/>
    <w:rsid w:val="0052673B"/>
    <w:rsid w:val="00526766"/>
    <w:rsid w:val="005268B0"/>
    <w:rsid w:val="0052690B"/>
    <w:rsid w:val="005269D7"/>
    <w:rsid w:val="00526A8B"/>
    <w:rsid w:val="00526BA4"/>
    <w:rsid w:val="00526D34"/>
    <w:rsid w:val="00526DF3"/>
    <w:rsid w:val="00526FB3"/>
    <w:rsid w:val="0052709E"/>
    <w:rsid w:val="005270CA"/>
    <w:rsid w:val="00527347"/>
    <w:rsid w:val="00527397"/>
    <w:rsid w:val="005274A8"/>
    <w:rsid w:val="005274F1"/>
    <w:rsid w:val="0052772A"/>
    <w:rsid w:val="005277AC"/>
    <w:rsid w:val="005277CD"/>
    <w:rsid w:val="00527812"/>
    <w:rsid w:val="00527E39"/>
    <w:rsid w:val="0053007C"/>
    <w:rsid w:val="0053007F"/>
    <w:rsid w:val="0053023A"/>
    <w:rsid w:val="00530343"/>
    <w:rsid w:val="005304CB"/>
    <w:rsid w:val="00530591"/>
    <w:rsid w:val="0053065A"/>
    <w:rsid w:val="00530955"/>
    <w:rsid w:val="00530C31"/>
    <w:rsid w:val="00530E0F"/>
    <w:rsid w:val="00530F82"/>
    <w:rsid w:val="00530F8F"/>
    <w:rsid w:val="00530FF6"/>
    <w:rsid w:val="00531036"/>
    <w:rsid w:val="00531066"/>
    <w:rsid w:val="00531095"/>
    <w:rsid w:val="00531107"/>
    <w:rsid w:val="00531126"/>
    <w:rsid w:val="005311D6"/>
    <w:rsid w:val="005311E7"/>
    <w:rsid w:val="00531345"/>
    <w:rsid w:val="0053137A"/>
    <w:rsid w:val="00531717"/>
    <w:rsid w:val="00531748"/>
    <w:rsid w:val="00531785"/>
    <w:rsid w:val="005319A2"/>
    <w:rsid w:val="005319F7"/>
    <w:rsid w:val="00531A18"/>
    <w:rsid w:val="00531B28"/>
    <w:rsid w:val="00531D39"/>
    <w:rsid w:val="00531D99"/>
    <w:rsid w:val="00531DEA"/>
    <w:rsid w:val="00531ED6"/>
    <w:rsid w:val="005321E2"/>
    <w:rsid w:val="00532288"/>
    <w:rsid w:val="005324B5"/>
    <w:rsid w:val="0053262C"/>
    <w:rsid w:val="0053270B"/>
    <w:rsid w:val="00532820"/>
    <w:rsid w:val="00532925"/>
    <w:rsid w:val="00532A4F"/>
    <w:rsid w:val="00532CAB"/>
    <w:rsid w:val="00532DC2"/>
    <w:rsid w:val="00532EA5"/>
    <w:rsid w:val="00532EB8"/>
    <w:rsid w:val="00532ED6"/>
    <w:rsid w:val="00532F20"/>
    <w:rsid w:val="00532F67"/>
    <w:rsid w:val="005331D8"/>
    <w:rsid w:val="00533263"/>
    <w:rsid w:val="005332B6"/>
    <w:rsid w:val="0053342B"/>
    <w:rsid w:val="005336ED"/>
    <w:rsid w:val="00533797"/>
    <w:rsid w:val="005337AF"/>
    <w:rsid w:val="005337FD"/>
    <w:rsid w:val="0053384E"/>
    <w:rsid w:val="0053387C"/>
    <w:rsid w:val="00533A74"/>
    <w:rsid w:val="00533A8C"/>
    <w:rsid w:val="00533BB0"/>
    <w:rsid w:val="00533C5C"/>
    <w:rsid w:val="00533E7E"/>
    <w:rsid w:val="00533F27"/>
    <w:rsid w:val="00533F36"/>
    <w:rsid w:val="005340D3"/>
    <w:rsid w:val="00534287"/>
    <w:rsid w:val="005344A0"/>
    <w:rsid w:val="0053468F"/>
    <w:rsid w:val="00534718"/>
    <w:rsid w:val="005347B2"/>
    <w:rsid w:val="005347B4"/>
    <w:rsid w:val="0053482B"/>
    <w:rsid w:val="0053498D"/>
    <w:rsid w:val="00534C14"/>
    <w:rsid w:val="005350C9"/>
    <w:rsid w:val="005352C2"/>
    <w:rsid w:val="005353CA"/>
    <w:rsid w:val="005353ED"/>
    <w:rsid w:val="005355A8"/>
    <w:rsid w:val="005356AD"/>
    <w:rsid w:val="005358E0"/>
    <w:rsid w:val="005359A6"/>
    <w:rsid w:val="00535B5D"/>
    <w:rsid w:val="00535C32"/>
    <w:rsid w:val="00535CC6"/>
    <w:rsid w:val="00535D4F"/>
    <w:rsid w:val="00535F2A"/>
    <w:rsid w:val="00536213"/>
    <w:rsid w:val="005364B1"/>
    <w:rsid w:val="005369C7"/>
    <w:rsid w:val="005369F9"/>
    <w:rsid w:val="00536A66"/>
    <w:rsid w:val="00536C70"/>
    <w:rsid w:val="00536E43"/>
    <w:rsid w:val="00537049"/>
    <w:rsid w:val="0053704A"/>
    <w:rsid w:val="0053724A"/>
    <w:rsid w:val="00537326"/>
    <w:rsid w:val="00537514"/>
    <w:rsid w:val="00537848"/>
    <w:rsid w:val="00537975"/>
    <w:rsid w:val="005379BC"/>
    <w:rsid w:val="005379FA"/>
    <w:rsid w:val="00537A28"/>
    <w:rsid w:val="00537BC2"/>
    <w:rsid w:val="00537BE3"/>
    <w:rsid w:val="00537E7F"/>
    <w:rsid w:val="00537ECF"/>
    <w:rsid w:val="00537F83"/>
    <w:rsid w:val="0054034E"/>
    <w:rsid w:val="005403D9"/>
    <w:rsid w:val="0054045C"/>
    <w:rsid w:val="00540498"/>
    <w:rsid w:val="00540666"/>
    <w:rsid w:val="005406C7"/>
    <w:rsid w:val="0054070B"/>
    <w:rsid w:val="00540766"/>
    <w:rsid w:val="0054092A"/>
    <w:rsid w:val="00540A63"/>
    <w:rsid w:val="00540A84"/>
    <w:rsid w:val="00540FCA"/>
    <w:rsid w:val="005411E4"/>
    <w:rsid w:val="005412AF"/>
    <w:rsid w:val="0054133E"/>
    <w:rsid w:val="005413F8"/>
    <w:rsid w:val="00541440"/>
    <w:rsid w:val="0054183D"/>
    <w:rsid w:val="0054185F"/>
    <w:rsid w:val="00541ABE"/>
    <w:rsid w:val="00542100"/>
    <w:rsid w:val="00542172"/>
    <w:rsid w:val="00542294"/>
    <w:rsid w:val="0054243F"/>
    <w:rsid w:val="00542455"/>
    <w:rsid w:val="005426AB"/>
    <w:rsid w:val="005426C3"/>
    <w:rsid w:val="0054274C"/>
    <w:rsid w:val="005427A1"/>
    <w:rsid w:val="00542895"/>
    <w:rsid w:val="00542A02"/>
    <w:rsid w:val="00542D0F"/>
    <w:rsid w:val="0054305F"/>
    <w:rsid w:val="005430F1"/>
    <w:rsid w:val="00543252"/>
    <w:rsid w:val="00543257"/>
    <w:rsid w:val="00543335"/>
    <w:rsid w:val="00543371"/>
    <w:rsid w:val="005433EF"/>
    <w:rsid w:val="00543564"/>
    <w:rsid w:val="0054398D"/>
    <w:rsid w:val="00543B8B"/>
    <w:rsid w:val="00543DCA"/>
    <w:rsid w:val="00544196"/>
    <w:rsid w:val="0054439B"/>
    <w:rsid w:val="0054440B"/>
    <w:rsid w:val="0054450A"/>
    <w:rsid w:val="0054460D"/>
    <w:rsid w:val="005446CF"/>
    <w:rsid w:val="005446EE"/>
    <w:rsid w:val="00544844"/>
    <w:rsid w:val="00544876"/>
    <w:rsid w:val="00544941"/>
    <w:rsid w:val="00544997"/>
    <w:rsid w:val="005449B3"/>
    <w:rsid w:val="00544C50"/>
    <w:rsid w:val="00544CFB"/>
    <w:rsid w:val="00544CFC"/>
    <w:rsid w:val="005450E6"/>
    <w:rsid w:val="005451F2"/>
    <w:rsid w:val="00545790"/>
    <w:rsid w:val="005457C7"/>
    <w:rsid w:val="00545963"/>
    <w:rsid w:val="005459E1"/>
    <w:rsid w:val="00545A3C"/>
    <w:rsid w:val="00545BA5"/>
    <w:rsid w:val="00545BD4"/>
    <w:rsid w:val="00545CDE"/>
    <w:rsid w:val="00545D45"/>
    <w:rsid w:val="00545DA2"/>
    <w:rsid w:val="00545E48"/>
    <w:rsid w:val="00545FBC"/>
    <w:rsid w:val="005461FA"/>
    <w:rsid w:val="0054630F"/>
    <w:rsid w:val="00546476"/>
    <w:rsid w:val="005466D0"/>
    <w:rsid w:val="005466EC"/>
    <w:rsid w:val="00546700"/>
    <w:rsid w:val="00546986"/>
    <w:rsid w:val="005469D6"/>
    <w:rsid w:val="00546C69"/>
    <w:rsid w:val="00546E2F"/>
    <w:rsid w:val="00546EAE"/>
    <w:rsid w:val="00546EE9"/>
    <w:rsid w:val="00547192"/>
    <w:rsid w:val="005472F8"/>
    <w:rsid w:val="00547373"/>
    <w:rsid w:val="005473F2"/>
    <w:rsid w:val="005474D6"/>
    <w:rsid w:val="005476FC"/>
    <w:rsid w:val="0054772F"/>
    <w:rsid w:val="0054773D"/>
    <w:rsid w:val="00547799"/>
    <w:rsid w:val="00547BAA"/>
    <w:rsid w:val="00547BBE"/>
    <w:rsid w:val="00547CF2"/>
    <w:rsid w:val="00547E09"/>
    <w:rsid w:val="00547E0A"/>
    <w:rsid w:val="00547EAF"/>
    <w:rsid w:val="00547ECD"/>
    <w:rsid w:val="00550170"/>
    <w:rsid w:val="0055033B"/>
    <w:rsid w:val="0055035F"/>
    <w:rsid w:val="005505E2"/>
    <w:rsid w:val="00550701"/>
    <w:rsid w:val="0055083F"/>
    <w:rsid w:val="0055091D"/>
    <w:rsid w:val="00550920"/>
    <w:rsid w:val="00550A80"/>
    <w:rsid w:val="00550BB3"/>
    <w:rsid w:val="00550BC8"/>
    <w:rsid w:val="00550D23"/>
    <w:rsid w:val="00550E03"/>
    <w:rsid w:val="0055106C"/>
    <w:rsid w:val="0055112D"/>
    <w:rsid w:val="00551423"/>
    <w:rsid w:val="005514F5"/>
    <w:rsid w:val="00551588"/>
    <w:rsid w:val="00551618"/>
    <w:rsid w:val="0055163E"/>
    <w:rsid w:val="00551C48"/>
    <w:rsid w:val="00551EBC"/>
    <w:rsid w:val="00552060"/>
    <w:rsid w:val="005520F3"/>
    <w:rsid w:val="00552169"/>
    <w:rsid w:val="005521AE"/>
    <w:rsid w:val="0055220D"/>
    <w:rsid w:val="0055227F"/>
    <w:rsid w:val="0055233E"/>
    <w:rsid w:val="005524D6"/>
    <w:rsid w:val="005527FE"/>
    <w:rsid w:val="005528CC"/>
    <w:rsid w:val="005529A9"/>
    <w:rsid w:val="00552BF6"/>
    <w:rsid w:val="00552D1E"/>
    <w:rsid w:val="00552D6D"/>
    <w:rsid w:val="00552DC1"/>
    <w:rsid w:val="00552EC8"/>
    <w:rsid w:val="00552F66"/>
    <w:rsid w:val="005530A8"/>
    <w:rsid w:val="0055330C"/>
    <w:rsid w:val="0055345C"/>
    <w:rsid w:val="00553840"/>
    <w:rsid w:val="00553856"/>
    <w:rsid w:val="00553BC2"/>
    <w:rsid w:val="00553BDE"/>
    <w:rsid w:val="00553D23"/>
    <w:rsid w:val="00553FCC"/>
    <w:rsid w:val="00554016"/>
    <w:rsid w:val="005542BE"/>
    <w:rsid w:val="00554520"/>
    <w:rsid w:val="00554564"/>
    <w:rsid w:val="005545EE"/>
    <w:rsid w:val="005548E0"/>
    <w:rsid w:val="0055494F"/>
    <w:rsid w:val="00554963"/>
    <w:rsid w:val="00554997"/>
    <w:rsid w:val="00554B1A"/>
    <w:rsid w:val="00554B9F"/>
    <w:rsid w:val="00554C67"/>
    <w:rsid w:val="00554CAF"/>
    <w:rsid w:val="00554E70"/>
    <w:rsid w:val="00554F8B"/>
    <w:rsid w:val="00554FB8"/>
    <w:rsid w:val="005550A0"/>
    <w:rsid w:val="005550E6"/>
    <w:rsid w:val="0055517B"/>
    <w:rsid w:val="005552E6"/>
    <w:rsid w:val="00555438"/>
    <w:rsid w:val="00555470"/>
    <w:rsid w:val="00555554"/>
    <w:rsid w:val="0055556C"/>
    <w:rsid w:val="00555601"/>
    <w:rsid w:val="00555802"/>
    <w:rsid w:val="00555832"/>
    <w:rsid w:val="00555845"/>
    <w:rsid w:val="00555941"/>
    <w:rsid w:val="00555968"/>
    <w:rsid w:val="00555B5B"/>
    <w:rsid w:val="00555C3F"/>
    <w:rsid w:val="00555C5F"/>
    <w:rsid w:val="00555DD6"/>
    <w:rsid w:val="00555E80"/>
    <w:rsid w:val="00556030"/>
    <w:rsid w:val="00556103"/>
    <w:rsid w:val="0055623E"/>
    <w:rsid w:val="0055629F"/>
    <w:rsid w:val="005562C8"/>
    <w:rsid w:val="005562E7"/>
    <w:rsid w:val="0055638E"/>
    <w:rsid w:val="00556411"/>
    <w:rsid w:val="0055663B"/>
    <w:rsid w:val="005566A5"/>
    <w:rsid w:val="0055672D"/>
    <w:rsid w:val="00556735"/>
    <w:rsid w:val="005568BF"/>
    <w:rsid w:val="00556A48"/>
    <w:rsid w:val="00556C02"/>
    <w:rsid w:val="00556C4E"/>
    <w:rsid w:val="00556DD9"/>
    <w:rsid w:val="00556E5A"/>
    <w:rsid w:val="005570F4"/>
    <w:rsid w:val="00557199"/>
    <w:rsid w:val="005571C2"/>
    <w:rsid w:val="00557387"/>
    <w:rsid w:val="0055745A"/>
    <w:rsid w:val="00557628"/>
    <w:rsid w:val="005578F5"/>
    <w:rsid w:val="00557900"/>
    <w:rsid w:val="0056008D"/>
    <w:rsid w:val="0056012B"/>
    <w:rsid w:val="0056024D"/>
    <w:rsid w:val="005602B3"/>
    <w:rsid w:val="005602CE"/>
    <w:rsid w:val="00560341"/>
    <w:rsid w:val="0056041B"/>
    <w:rsid w:val="00560664"/>
    <w:rsid w:val="0056068B"/>
    <w:rsid w:val="00560745"/>
    <w:rsid w:val="005607F8"/>
    <w:rsid w:val="005608C0"/>
    <w:rsid w:val="00560F1D"/>
    <w:rsid w:val="00561171"/>
    <w:rsid w:val="00561307"/>
    <w:rsid w:val="00561394"/>
    <w:rsid w:val="00561785"/>
    <w:rsid w:val="00561786"/>
    <w:rsid w:val="00561856"/>
    <w:rsid w:val="00561AAD"/>
    <w:rsid w:val="00561D74"/>
    <w:rsid w:val="00561DBC"/>
    <w:rsid w:val="00561E5D"/>
    <w:rsid w:val="00561EBE"/>
    <w:rsid w:val="00561EC4"/>
    <w:rsid w:val="005622BB"/>
    <w:rsid w:val="00562400"/>
    <w:rsid w:val="005624B2"/>
    <w:rsid w:val="005625D8"/>
    <w:rsid w:val="00562664"/>
    <w:rsid w:val="00562DF5"/>
    <w:rsid w:val="005630B2"/>
    <w:rsid w:val="005630FD"/>
    <w:rsid w:val="0056316E"/>
    <w:rsid w:val="0056345F"/>
    <w:rsid w:val="0056359E"/>
    <w:rsid w:val="005635FD"/>
    <w:rsid w:val="0056367B"/>
    <w:rsid w:val="0056371A"/>
    <w:rsid w:val="00563865"/>
    <w:rsid w:val="005639DF"/>
    <w:rsid w:val="005639EC"/>
    <w:rsid w:val="00563A54"/>
    <w:rsid w:val="00563F5E"/>
    <w:rsid w:val="00563F73"/>
    <w:rsid w:val="00563F88"/>
    <w:rsid w:val="0056408A"/>
    <w:rsid w:val="00564147"/>
    <w:rsid w:val="00564157"/>
    <w:rsid w:val="0056458B"/>
    <w:rsid w:val="00564606"/>
    <w:rsid w:val="00564612"/>
    <w:rsid w:val="0056485B"/>
    <w:rsid w:val="00564896"/>
    <w:rsid w:val="00564941"/>
    <w:rsid w:val="005649B7"/>
    <w:rsid w:val="005649F9"/>
    <w:rsid w:val="00564DB5"/>
    <w:rsid w:val="00564EAB"/>
    <w:rsid w:val="00565084"/>
    <w:rsid w:val="00565314"/>
    <w:rsid w:val="005653DA"/>
    <w:rsid w:val="00565522"/>
    <w:rsid w:val="005657A7"/>
    <w:rsid w:val="00565A8E"/>
    <w:rsid w:val="00565CE8"/>
    <w:rsid w:val="00565FC1"/>
    <w:rsid w:val="005660EE"/>
    <w:rsid w:val="00566176"/>
    <w:rsid w:val="00566446"/>
    <w:rsid w:val="00566570"/>
    <w:rsid w:val="005666DC"/>
    <w:rsid w:val="00566752"/>
    <w:rsid w:val="005667B5"/>
    <w:rsid w:val="0056685B"/>
    <w:rsid w:val="005669E3"/>
    <w:rsid w:val="00566B1B"/>
    <w:rsid w:val="00566E2B"/>
    <w:rsid w:val="00566E35"/>
    <w:rsid w:val="00567000"/>
    <w:rsid w:val="0056716C"/>
    <w:rsid w:val="005673C0"/>
    <w:rsid w:val="00567647"/>
    <w:rsid w:val="00567885"/>
    <w:rsid w:val="005678FE"/>
    <w:rsid w:val="00567AC8"/>
    <w:rsid w:val="00567AE2"/>
    <w:rsid w:val="00567AF6"/>
    <w:rsid w:val="00567B27"/>
    <w:rsid w:val="00567B37"/>
    <w:rsid w:val="00567B9E"/>
    <w:rsid w:val="00567C01"/>
    <w:rsid w:val="00567DC3"/>
    <w:rsid w:val="00567E4A"/>
    <w:rsid w:val="00567F2F"/>
    <w:rsid w:val="00567F65"/>
    <w:rsid w:val="0057013A"/>
    <w:rsid w:val="00570329"/>
    <w:rsid w:val="005703C5"/>
    <w:rsid w:val="00570434"/>
    <w:rsid w:val="00570795"/>
    <w:rsid w:val="005709AC"/>
    <w:rsid w:val="00570C54"/>
    <w:rsid w:val="00570C6F"/>
    <w:rsid w:val="00570CD6"/>
    <w:rsid w:val="00570F21"/>
    <w:rsid w:val="00570F79"/>
    <w:rsid w:val="00571004"/>
    <w:rsid w:val="00571054"/>
    <w:rsid w:val="00571138"/>
    <w:rsid w:val="005712AE"/>
    <w:rsid w:val="0057131B"/>
    <w:rsid w:val="005714B7"/>
    <w:rsid w:val="00571514"/>
    <w:rsid w:val="005715C0"/>
    <w:rsid w:val="00571975"/>
    <w:rsid w:val="00571B2E"/>
    <w:rsid w:val="00571C3E"/>
    <w:rsid w:val="00571C9F"/>
    <w:rsid w:val="00571D58"/>
    <w:rsid w:val="00571DE1"/>
    <w:rsid w:val="00571DE9"/>
    <w:rsid w:val="00571E8C"/>
    <w:rsid w:val="00571E97"/>
    <w:rsid w:val="00571EAA"/>
    <w:rsid w:val="00571EF2"/>
    <w:rsid w:val="00571F33"/>
    <w:rsid w:val="00572245"/>
    <w:rsid w:val="00572286"/>
    <w:rsid w:val="005723D6"/>
    <w:rsid w:val="005724EF"/>
    <w:rsid w:val="005725C8"/>
    <w:rsid w:val="005725D6"/>
    <w:rsid w:val="005726D1"/>
    <w:rsid w:val="00572717"/>
    <w:rsid w:val="00572941"/>
    <w:rsid w:val="00572AA3"/>
    <w:rsid w:val="00572D10"/>
    <w:rsid w:val="00572D1C"/>
    <w:rsid w:val="00572D64"/>
    <w:rsid w:val="00572E00"/>
    <w:rsid w:val="00572F98"/>
    <w:rsid w:val="00573050"/>
    <w:rsid w:val="00573220"/>
    <w:rsid w:val="0057328A"/>
    <w:rsid w:val="00573354"/>
    <w:rsid w:val="0057337C"/>
    <w:rsid w:val="0057347A"/>
    <w:rsid w:val="005734A7"/>
    <w:rsid w:val="00573589"/>
    <w:rsid w:val="005735ED"/>
    <w:rsid w:val="00573662"/>
    <w:rsid w:val="005736E3"/>
    <w:rsid w:val="00573758"/>
    <w:rsid w:val="00573990"/>
    <w:rsid w:val="00573A8B"/>
    <w:rsid w:val="00573ABA"/>
    <w:rsid w:val="00573B3A"/>
    <w:rsid w:val="00573B52"/>
    <w:rsid w:val="00573B95"/>
    <w:rsid w:val="00573C23"/>
    <w:rsid w:val="00573D36"/>
    <w:rsid w:val="00573D88"/>
    <w:rsid w:val="00573E5E"/>
    <w:rsid w:val="00573E77"/>
    <w:rsid w:val="00573E99"/>
    <w:rsid w:val="00573EC2"/>
    <w:rsid w:val="00573FD9"/>
    <w:rsid w:val="005740A4"/>
    <w:rsid w:val="005741E4"/>
    <w:rsid w:val="00574295"/>
    <w:rsid w:val="0057447B"/>
    <w:rsid w:val="0057494D"/>
    <w:rsid w:val="00574A77"/>
    <w:rsid w:val="005751B2"/>
    <w:rsid w:val="00575350"/>
    <w:rsid w:val="00575476"/>
    <w:rsid w:val="005754D5"/>
    <w:rsid w:val="0057552D"/>
    <w:rsid w:val="0057558A"/>
    <w:rsid w:val="00575650"/>
    <w:rsid w:val="005758C3"/>
    <w:rsid w:val="00575B87"/>
    <w:rsid w:val="00575E1A"/>
    <w:rsid w:val="00575F45"/>
    <w:rsid w:val="00576181"/>
    <w:rsid w:val="005762CF"/>
    <w:rsid w:val="005762D4"/>
    <w:rsid w:val="00576322"/>
    <w:rsid w:val="0057633F"/>
    <w:rsid w:val="0057661B"/>
    <w:rsid w:val="005767AA"/>
    <w:rsid w:val="005767DD"/>
    <w:rsid w:val="00576869"/>
    <w:rsid w:val="00576A1B"/>
    <w:rsid w:val="00576C3F"/>
    <w:rsid w:val="00576CB5"/>
    <w:rsid w:val="00576EBB"/>
    <w:rsid w:val="00576F96"/>
    <w:rsid w:val="00577080"/>
    <w:rsid w:val="00577169"/>
    <w:rsid w:val="00577385"/>
    <w:rsid w:val="0057751C"/>
    <w:rsid w:val="00577544"/>
    <w:rsid w:val="005777CF"/>
    <w:rsid w:val="005777EA"/>
    <w:rsid w:val="005778A0"/>
    <w:rsid w:val="0057791B"/>
    <w:rsid w:val="005779E2"/>
    <w:rsid w:val="00577B83"/>
    <w:rsid w:val="00577E8A"/>
    <w:rsid w:val="00577F52"/>
    <w:rsid w:val="00580096"/>
    <w:rsid w:val="005803B6"/>
    <w:rsid w:val="0058044F"/>
    <w:rsid w:val="005804CC"/>
    <w:rsid w:val="005805CD"/>
    <w:rsid w:val="005807A4"/>
    <w:rsid w:val="005807E3"/>
    <w:rsid w:val="0058089F"/>
    <w:rsid w:val="005808CA"/>
    <w:rsid w:val="00580918"/>
    <w:rsid w:val="00580A6D"/>
    <w:rsid w:val="00580B47"/>
    <w:rsid w:val="00580BA7"/>
    <w:rsid w:val="00580BC1"/>
    <w:rsid w:val="00580C24"/>
    <w:rsid w:val="00580E5A"/>
    <w:rsid w:val="00580F2F"/>
    <w:rsid w:val="00580F80"/>
    <w:rsid w:val="00580F93"/>
    <w:rsid w:val="005811BA"/>
    <w:rsid w:val="005811FE"/>
    <w:rsid w:val="0058199D"/>
    <w:rsid w:val="005819CA"/>
    <w:rsid w:val="00581A60"/>
    <w:rsid w:val="00581B9E"/>
    <w:rsid w:val="00581BF2"/>
    <w:rsid w:val="00581EAE"/>
    <w:rsid w:val="00581FBD"/>
    <w:rsid w:val="00582089"/>
    <w:rsid w:val="0058221B"/>
    <w:rsid w:val="00582228"/>
    <w:rsid w:val="005823CE"/>
    <w:rsid w:val="0058246B"/>
    <w:rsid w:val="0058253D"/>
    <w:rsid w:val="00582749"/>
    <w:rsid w:val="005827F2"/>
    <w:rsid w:val="00582BD1"/>
    <w:rsid w:val="00582BFF"/>
    <w:rsid w:val="00582FA4"/>
    <w:rsid w:val="0058331B"/>
    <w:rsid w:val="0058349C"/>
    <w:rsid w:val="005834B5"/>
    <w:rsid w:val="0058362C"/>
    <w:rsid w:val="0058379E"/>
    <w:rsid w:val="005837B5"/>
    <w:rsid w:val="0058382D"/>
    <w:rsid w:val="005838CA"/>
    <w:rsid w:val="0058396E"/>
    <w:rsid w:val="00583C06"/>
    <w:rsid w:val="00583C92"/>
    <w:rsid w:val="00583CAD"/>
    <w:rsid w:val="00583EE3"/>
    <w:rsid w:val="00584011"/>
    <w:rsid w:val="005841DB"/>
    <w:rsid w:val="00584207"/>
    <w:rsid w:val="00584250"/>
    <w:rsid w:val="005842EC"/>
    <w:rsid w:val="00584401"/>
    <w:rsid w:val="00584783"/>
    <w:rsid w:val="005848FC"/>
    <w:rsid w:val="0058496A"/>
    <w:rsid w:val="00584988"/>
    <w:rsid w:val="0058498E"/>
    <w:rsid w:val="00584BCC"/>
    <w:rsid w:val="00584C91"/>
    <w:rsid w:val="00584CA4"/>
    <w:rsid w:val="00584CD1"/>
    <w:rsid w:val="00584E20"/>
    <w:rsid w:val="00584E23"/>
    <w:rsid w:val="00584FCC"/>
    <w:rsid w:val="0058507B"/>
    <w:rsid w:val="0058515E"/>
    <w:rsid w:val="005851DE"/>
    <w:rsid w:val="005854CC"/>
    <w:rsid w:val="005855D4"/>
    <w:rsid w:val="00585975"/>
    <w:rsid w:val="005859D6"/>
    <w:rsid w:val="00585D34"/>
    <w:rsid w:val="00585D92"/>
    <w:rsid w:val="00585ECC"/>
    <w:rsid w:val="00585F22"/>
    <w:rsid w:val="00585FDD"/>
    <w:rsid w:val="00586077"/>
    <w:rsid w:val="00586109"/>
    <w:rsid w:val="0058615E"/>
    <w:rsid w:val="0058617F"/>
    <w:rsid w:val="005861FB"/>
    <w:rsid w:val="005865C0"/>
    <w:rsid w:val="00586680"/>
    <w:rsid w:val="00586985"/>
    <w:rsid w:val="00586CFA"/>
    <w:rsid w:val="00586E23"/>
    <w:rsid w:val="00586FB6"/>
    <w:rsid w:val="00587045"/>
    <w:rsid w:val="005870AA"/>
    <w:rsid w:val="00587247"/>
    <w:rsid w:val="0058728A"/>
    <w:rsid w:val="005873CD"/>
    <w:rsid w:val="005874A9"/>
    <w:rsid w:val="00587586"/>
    <w:rsid w:val="00587614"/>
    <w:rsid w:val="0058769B"/>
    <w:rsid w:val="005877E1"/>
    <w:rsid w:val="0058786D"/>
    <w:rsid w:val="005879CB"/>
    <w:rsid w:val="00587A30"/>
    <w:rsid w:val="00587A49"/>
    <w:rsid w:val="00587BA8"/>
    <w:rsid w:val="00587F54"/>
    <w:rsid w:val="00590094"/>
    <w:rsid w:val="0059039C"/>
    <w:rsid w:val="00590466"/>
    <w:rsid w:val="005904A2"/>
    <w:rsid w:val="00590567"/>
    <w:rsid w:val="005907E0"/>
    <w:rsid w:val="00590A49"/>
    <w:rsid w:val="00590BF8"/>
    <w:rsid w:val="00590C50"/>
    <w:rsid w:val="00590EAE"/>
    <w:rsid w:val="00591030"/>
    <w:rsid w:val="00591130"/>
    <w:rsid w:val="005911DB"/>
    <w:rsid w:val="005911E1"/>
    <w:rsid w:val="005911FB"/>
    <w:rsid w:val="0059138D"/>
    <w:rsid w:val="00591411"/>
    <w:rsid w:val="005914D9"/>
    <w:rsid w:val="0059150A"/>
    <w:rsid w:val="00591988"/>
    <w:rsid w:val="005919ED"/>
    <w:rsid w:val="00591AD3"/>
    <w:rsid w:val="00591C1C"/>
    <w:rsid w:val="00591CB8"/>
    <w:rsid w:val="00591EA7"/>
    <w:rsid w:val="00591FB4"/>
    <w:rsid w:val="0059202A"/>
    <w:rsid w:val="00592127"/>
    <w:rsid w:val="005921CB"/>
    <w:rsid w:val="00592224"/>
    <w:rsid w:val="00592355"/>
    <w:rsid w:val="005923C8"/>
    <w:rsid w:val="0059244F"/>
    <w:rsid w:val="005924C7"/>
    <w:rsid w:val="00592521"/>
    <w:rsid w:val="00592581"/>
    <w:rsid w:val="005927B1"/>
    <w:rsid w:val="00592A0B"/>
    <w:rsid w:val="00592A87"/>
    <w:rsid w:val="00592AEC"/>
    <w:rsid w:val="00592B3E"/>
    <w:rsid w:val="00592C07"/>
    <w:rsid w:val="00592D23"/>
    <w:rsid w:val="00592F10"/>
    <w:rsid w:val="00592F12"/>
    <w:rsid w:val="00592FE3"/>
    <w:rsid w:val="0059332C"/>
    <w:rsid w:val="005934D9"/>
    <w:rsid w:val="0059350D"/>
    <w:rsid w:val="005935FA"/>
    <w:rsid w:val="00593614"/>
    <w:rsid w:val="00593744"/>
    <w:rsid w:val="0059379D"/>
    <w:rsid w:val="0059382B"/>
    <w:rsid w:val="00593A74"/>
    <w:rsid w:val="00593A93"/>
    <w:rsid w:val="00593A96"/>
    <w:rsid w:val="00593BFF"/>
    <w:rsid w:val="00593D09"/>
    <w:rsid w:val="00593EA1"/>
    <w:rsid w:val="00593EE1"/>
    <w:rsid w:val="00593F90"/>
    <w:rsid w:val="00593FF3"/>
    <w:rsid w:val="005940C0"/>
    <w:rsid w:val="005940FC"/>
    <w:rsid w:val="005941F6"/>
    <w:rsid w:val="0059421E"/>
    <w:rsid w:val="0059439A"/>
    <w:rsid w:val="00594585"/>
    <w:rsid w:val="0059463B"/>
    <w:rsid w:val="00594670"/>
    <w:rsid w:val="0059480D"/>
    <w:rsid w:val="005949EF"/>
    <w:rsid w:val="00594A1F"/>
    <w:rsid w:val="00594AD7"/>
    <w:rsid w:val="00594C52"/>
    <w:rsid w:val="00594D13"/>
    <w:rsid w:val="00594ECF"/>
    <w:rsid w:val="00594F91"/>
    <w:rsid w:val="005950B7"/>
    <w:rsid w:val="00595195"/>
    <w:rsid w:val="00595312"/>
    <w:rsid w:val="0059564C"/>
    <w:rsid w:val="00595686"/>
    <w:rsid w:val="00595726"/>
    <w:rsid w:val="0059575A"/>
    <w:rsid w:val="0059575F"/>
    <w:rsid w:val="0059577F"/>
    <w:rsid w:val="005958EB"/>
    <w:rsid w:val="00596178"/>
    <w:rsid w:val="005961DA"/>
    <w:rsid w:val="00596290"/>
    <w:rsid w:val="0059630B"/>
    <w:rsid w:val="005967AA"/>
    <w:rsid w:val="0059697F"/>
    <w:rsid w:val="00596994"/>
    <w:rsid w:val="00596ADE"/>
    <w:rsid w:val="00596B55"/>
    <w:rsid w:val="00596B81"/>
    <w:rsid w:val="00596BC7"/>
    <w:rsid w:val="00596D8A"/>
    <w:rsid w:val="00596E01"/>
    <w:rsid w:val="00596EF2"/>
    <w:rsid w:val="00596F47"/>
    <w:rsid w:val="00597053"/>
    <w:rsid w:val="0059718C"/>
    <w:rsid w:val="005971C2"/>
    <w:rsid w:val="005971E1"/>
    <w:rsid w:val="005971E4"/>
    <w:rsid w:val="005972AD"/>
    <w:rsid w:val="005972D5"/>
    <w:rsid w:val="00597307"/>
    <w:rsid w:val="005975F2"/>
    <w:rsid w:val="00597A4E"/>
    <w:rsid w:val="00597AA9"/>
    <w:rsid w:val="00597AEB"/>
    <w:rsid w:val="00597E29"/>
    <w:rsid w:val="00597F63"/>
    <w:rsid w:val="005A0049"/>
    <w:rsid w:val="005A009E"/>
    <w:rsid w:val="005A00AE"/>
    <w:rsid w:val="005A0134"/>
    <w:rsid w:val="005A025C"/>
    <w:rsid w:val="005A02D8"/>
    <w:rsid w:val="005A05AF"/>
    <w:rsid w:val="005A05FF"/>
    <w:rsid w:val="005A06E1"/>
    <w:rsid w:val="005A06ED"/>
    <w:rsid w:val="005A073D"/>
    <w:rsid w:val="005A08A1"/>
    <w:rsid w:val="005A096E"/>
    <w:rsid w:val="005A0989"/>
    <w:rsid w:val="005A0AA3"/>
    <w:rsid w:val="005A0B42"/>
    <w:rsid w:val="005A0E88"/>
    <w:rsid w:val="005A0F78"/>
    <w:rsid w:val="005A104E"/>
    <w:rsid w:val="005A1150"/>
    <w:rsid w:val="005A11C0"/>
    <w:rsid w:val="005A1214"/>
    <w:rsid w:val="005A122C"/>
    <w:rsid w:val="005A126F"/>
    <w:rsid w:val="005A127D"/>
    <w:rsid w:val="005A13B6"/>
    <w:rsid w:val="005A14A5"/>
    <w:rsid w:val="005A185C"/>
    <w:rsid w:val="005A1996"/>
    <w:rsid w:val="005A19A4"/>
    <w:rsid w:val="005A19ED"/>
    <w:rsid w:val="005A1A6B"/>
    <w:rsid w:val="005A1AFC"/>
    <w:rsid w:val="005A1C5D"/>
    <w:rsid w:val="005A1C6B"/>
    <w:rsid w:val="005A1D27"/>
    <w:rsid w:val="005A1DF0"/>
    <w:rsid w:val="005A2197"/>
    <w:rsid w:val="005A22BA"/>
    <w:rsid w:val="005A22D8"/>
    <w:rsid w:val="005A2423"/>
    <w:rsid w:val="005A24F0"/>
    <w:rsid w:val="005A2747"/>
    <w:rsid w:val="005A299F"/>
    <w:rsid w:val="005A2B3B"/>
    <w:rsid w:val="005A2BB6"/>
    <w:rsid w:val="005A2BC3"/>
    <w:rsid w:val="005A2CF3"/>
    <w:rsid w:val="005A2DEC"/>
    <w:rsid w:val="005A2DF9"/>
    <w:rsid w:val="005A2F8D"/>
    <w:rsid w:val="005A31CD"/>
    <w:rsid w:val="005A3295"/>
    <w:rsid w:val="005A3371"/>
    <w:rsid w:val="005A357F"/>
    <w:rsid w:val="005A36BC"/>
    <w:rsid w:val="005A3907"/>
    <w:rsid w:val="005A3A36"/>
    <w:rsid w:val="005A3D86"/>
    <w:rsid w:val="005A3E96"/>
    <w:rsid w:val="005A3F74"/>
    <w:rsid w:val="005A3F90"/>
    <w:rsid w:val="005A4128"/>
    <w:rsid w:val="005A42EC"/>
    <w:rsid w:val="005A4592"/>
    <w:rsid w:val="005A474B"/>
    <w:rsid w:val="005A4756"/>
    <w:rsid w:val="005A47D3"/>
    <w:rsid w:val="005A47F9"/>
    <w:rsid w:val="005A480A"/>
    <w:rsid w:val="005A4914"/>
    <w:rsid w:val="005A4A30"/>
    <w:rsid w:val="005A4A4A"/>
    <w:rsid w:val="005A4A71"/>
    <w:rsid w:val="005A4BB0"/>
    <w:rsid w:val="005A4C18"/>
    <w:rsid w:val="005A507C"/>
    <w:rsid w:val="005A50B7"/>
    <w:rsid w:val="005A5191"/>
    <w:rsid w:val="005A51C6"/>
    <w:rsid w:val="005A5317"/>
    <w:rsid w:val="005A539E"/>
    <w:rsid w:val="005A53D4"/>
    <w:rsid w:val="005A54A6"/>
    <w:rsid w:val="005A54A7"/>
    <w:rsid w:val="005A55BC"/>
    <w:rsid w:val="005A571C"/>
    <w:rsid w:val="005A57CF"/>
    <w:rsid w:val="005A5ADC"/>
    <w:rsid w:val="005A5B25"/>
    <w:rsid w:val="005A5CF0"/>
    <w:rsid w:val="005A5DAC"/>
    <w:rsid w:val="005A5F3E"/>
    <w:rsid w:val="005A5FAB"/>
    <w:rsid w:val="005A5FAE"/>
    <w:rsid w:val="005A614E"/>
    <w:rsid w:val="005A623D"/>
    <w:rsid w:val="005A6537"/>
    <w:rsid w:val="005A6593"/>
    <w:rsid w:val="005A65B5"/>
    <w:rsid w:val="005A65D8"/>
    <w:rsid w:val="005A6802"/>
    <w:rsid w:val="005A688E"/>
    <w:rsid w:val="005A6974"/>
    <w:rsid w:val="005A6A90"/>
    <w:rsid w:val="005A6AFC"/>
    <w:rsid w:val="005A6C4A"/>
    <w:rsid w:val="005A7023"/>
    <w:rsid w:val="005A73DF"/>
    <w:rsid w:val="005A752D"/>
    <w:rsid w:val="005A753B"/>
    <w:rsid w:val="005A754F"/>
    <w:rsid w:val="005A762B"/>
    <w:rsid w:val="005A7735"/>
    <w:rsid w:val="005A78E2"/>
    <w:rsid w:val="005A79E2"/>
    <w:rsid w:val="005A7C00"/>
    <w:rsid w:val="005A7DD9"/>
    <w:rsid w:val="005A7E8D"/>
    <w:rsid w:val="005A7EBC"/>
    <w:rsid w:val="005A7FF6"/>
    <w:rsid w:val="005B0115"/>
    <w:rsid w:val="005B027F"/>
    <w:rsid w:val="005B0297"/>
    <w:rsid w:val="005B02DC"/>
    <w:rsid w:val="005B033E"/>
    <w:rsid w:val="005B037D"/>
    <w:rsid w:val="005B04EE"/>
    <w:rsid w:val="005B057B"/>
    <w:rsid w:val="005B0743"/>
    <w:rsid w:val="005B0834"/>
    <w:rsid w:val="005B08BA"/>
    <w:rsid w:val="005B08ED"/>
    <w:rsid w:val="005B093A"/>
    <w:rsid w:val="005B0CD6"/>
    <w:rsid w:val="005B0FD1"/>
    <w:rsid w:val="005B1122"/>
    <w:rsid w:val="005B113A"/>
    <w:rsid w:val="005B12F1"/>
    <w:rsid w:val="005B14C4"/>
    <w:rsid w:val="005B1572"/>
    <w:rsid w:val="005B1598"/>
    <w:rsid w:val="005B1655"/>
    <w:rsid w:val="005B16AA"/>
    <w:rsid w:val="005B1933"/>
    <w:rsid w:val="005B1BFF"/>
    <w:rsid w:val="005B1C3D"/>
    <w:rsid w:val="005B1C41"/>
    <w:rsid w:val="005B1DC6"/>
    <w:rsid w:val="005B22CC"/>
    <w:rsid w:val="005B274A"/>
    <w:rsid w:val="005B2833"/>
    <w:rsid w:val="005B2955"/>
    <w:rsid w:val="005B2A2B"/>
    <w:rsid w:val="005B2B45"/>
    <w:rsid w:val="005B2B91"/>
    <w:rsid w:val="005B2BA8"/>
    <w:rsid w:val="005B2CBD"/>
    <w:rsid w:val="005B2CE9"/>
    <w:rsid w:val="005B2D95"/>
    <w:rsid w:val="005B2E90"/>
    <w:rsid w:val="005B3136"/>
    <w:rsid w:val="005B318C"/>
    <w:rsid w:val="005B3238"/>
    <w:rsid w:val="005B36C3"/>
    <w:rsid w:val="005B3772"/>
    <w:rsid w:val="005B3A85"/>
    <w:rsid w:val="005B3A8A"/>
    <w:rsid w:val="005B3D06"/>
    <w:rsid w:val="005B3FAD"/>
    <w:rsid w:val="005B3FCB"/>
    <w:rsid w:val="005B4006"/>
    <w:rsid w:val="005B4061"/>
    <w:rsid w:val="005B40B4"/>
    <w:rsid w:val="005B41B6"/>
    <w:rsid w:val="005B42A7"/>
    <w:rsid w:val="005B42BB"/>
    <w:rsid w:val="005B4387"/>
    <w:rsid w:val="005B43C3"/>
    <w:rsid w:val="005B463B"/>
    <w:rsid w:val="005B4759"/>
    <w:rsid w:val="005B4A4E"/>
    <w:rsid w:val="005B4AEA"/>
    <w:rsid w:val="005B4B1A"/>
    <w:rsid w:val="005B4D3E"/>
    <w:rsid w:val="005B4DE7"/>
    <w:rsid w:val="005B4E07"/>
    <w:rsid w:val="005B4E42"/>
    <w:rsid w:val="005B4FBB"/>
    <w:rsid w:val="005B5003"/>
    <w:rsid w:val="005B5035"/>
    <w:rsid w:val="005B50BF"/>
    <w:rsid w:val="005B519D"/>
    <w:rsid w:val="005B51A8"/>
    <w:rsid w:val="005B51FA"/>
    <w:rsid w:val="005B520C"/>
    <w:rsid w:val="005B582F"/>
    <w:rsid w:val="005B585C"/>
    <w:rsid w:val="005B5979"/>
    <w:rsid w:val="005B59B3"/>
    <w:rsid w:val="005B59E8"/>
    <w:rsid w:val="005B5A65"/>
    <w:rsid w:val="005B5CB6"/>
    <w:rsid w:val="005B5ED0"/>
    <w:rsid w:val="005B5F0B"/>
    <w:rsid w:val="005B60A5"/>
    <w:rsid w:val="005B60AC"/>
    <w:rsid w:val="005B6203"/>
    <w:rsid w:val="005B6333"/>
    <w:rsid w:val="005B644A"/>
    <w:rsid w:val="005B66FE"/>
    <w:rsid w:val="005B6763"/>
    <w:rsid w:val="005B6767"/>
    <w:rsid w:val="005B681C"/>
    <w:rsid w:val="005B6C13"/>
    <w:rsid w:val="005B6D1A"/>
    <w:rsid w:val="005B6DE4"/>
    <w:rsid w:val="005B6F59"/>
    <w:rsid w:val="005B706F"/>
    <w:rsid w:val="005B7257"/>
    <w:rsid w:val="005B7288"/>
    <w:rsid w:val="005B7311"/>
    <w:rsid w:val="005B745E"/>
    <w:rsid w:val="005B749A"/>
    <w:rsid w:val="005B7542"/>
    <w:rsid w:val="005B7582"/>
    <w:rsid w:val="005B75C4"/>
    <w:rsid w:val="005B7663"/>
    <w:rsid w:val="005B76F6"/>
    <w:rsid w:val="005B7A4A"/>
    <w:rsid w:val="005B7A93"/>
    <w:rsid w:val="005B7B0D"/>
    <w:rsid w:val="005B7C8A"/>
    <w:rsid w:val="005B7E99"/>
    <w:rsid w:val="005B7F1D"/>
    <w:rsid w:val="005B7FEF"/>
    <w:rsid w:val="005C027E"/>
    <w:rsid w:val="005C0319"/>
    <w:rsid w:val="005C03EE"/>
    <w:rsid w:val="005C0555"/>
    <w:rsid w:val="005C0744"/>
    <w:rsid w:val="005C083F"/>
    <w:rsid w:val="005C0886"/>
    <w:rsid w:val="005C08FD"/>
    <w:rsid w:val="005C0A11"/>
    <w:rsid w:val="005C0A44"/>
    <w:rsid w:val="005C0B98"/>
    <w:rsid w:val="005C0CD5"/>
    <w:rsid w:val="005C0E4E"/>
    <w:rsid w:val="005C0E60"/>
    <w:rsid w:val="005C0F3B"/>
    <w:rsid w:val="005C0F95"/>
    <w:rsid w:val="005C1064"/>
    <w:rsid w:val="005C12D9"/>
    <w:rsid w:val="005C1327"/>
    <w:rsid w:val="005C1541"/>
    <w:rsid w:val="005C1916"/>
    <w:rsid w:val="005C1961"/>
    <w:rsid w:val="005C1B1A"/>
    <w:rsid w:val="005C1C25"/>
    <w:rsid w:val="005C1F2B"/>
    <w:rsid w:val="005C20A9"/>
    <w:rsid w:val="005C216B"/>
    <w:rsid w:val="005C216F"/>
    <w:rsid w:val="005C21CF"/>
    <w:rsid w:val="005C2256"/>
    <w:rsid w:val="005C263E"/>
    <w:rsid w:val="005C26E5"/>
    <w:rsid w:val="005C2775"/>
    <w:rsid w:val="005C29A5"/>
    <w:rsid w:val="005C2A58"/>
    <w:rsid w:val="005C2AD7"/>
    <w:rsid w:val="005C2AE5"/>
    <w:rsid w:val="005C2B5A"/>
    <w:rsid w:val="005C2CE8"/>
    <w:rsid w:val="005C2E54"/>
    <w:rsid w:val="005C2EDB"/>
    <w:rsid w:val="005C2F8F"/>
    <w:rsid w:val="005C2FE8"/>
    <w:rsid w:val="005C2FEC"/>
    <w:rsid w:val="005C3030"/>
    <w:rsid w:val="005C30E2"/>
    <w:rsid w:val="005C315B"/>
    <w:rsid w:val="005C33D0"/>
    <w:rsid w:val="005C33D3"/>
    <w:rsid w:val="005C33F3"/>
    <w:rsid w:val="005C34B9"/>
    <w:rsid w:val="005C35D8"/>
    <w:rsid w:val="005C364B"/>
    <w:rsid w:val="005C370F"/>
    <w:rsid w:val="005C37CE"/>
    <w:rsid w:val="005C3805"/>
    <w:rsid w:val="005C3B70"/>
    <w:rsid w:val="005C3BBA"/>
    <w:rsid w:val="005C3D48"/>
    <w:rsid w:val="005C3DE0"/>
    <w:rsid w:val="005C3E42"/>
    <w:rsid w:val="005C3F8A"/>
    <w:rsid w:val="005C4240"/>
    <w:rsid w:val="005C425D"/>
    <w:rsid w:val="005C427E"/>
    <w:rsid w:val="005C428B"/>
    <w:rsid w:val="005C4373"/>
    <w:rsid w:val="005C43C2"/>
    <w:rsid w:val="005C43DE"/>
    <w:rsid w:val="005C4509"/>
    <w:rsid w:val="005C46C1"/>
    <w:rsid w:val="005C475D"/>
    <w:rsid w:val="005C489B"/>
    <w:rsid w:val="005C4A8A"/>
    <w:rsid w:val="005C4B6D"/>
    <w:rsid w:val="005C4C1C"/>
    <w:rsid w:val="005C4E9D"/>
    <w:rsid w:val="005C4EB7"/>
    <w:rsid w:val="005C4EF4"/>
    <w:rsid w:val="005C52D8"/>
    <w:rsid w:val="005C5642"/>
    <w:rsid w:val="005C5739"/>
    <w:rsid w:val="005C578E"/>
    <w:rsid w:val="005C5BAD"/>
    <w:rsid w:val="005C5D2F"/>
    <w:rsid w:val="005C5D5D"/>
    <w:rsid w:val="005C5D86"/>
    <w:rsid w:val="005C5E77"/>
    <w:rsid w:val="005C5F71"/>
    <w:rsid w:val="005C607F"/>
    <w:rsid w:val="005C6092"/>
    <w:rsid w:val="005C6102"/>
    <w:rsid w:val="005C6114"/>
    <w:rsid w:val="005C6368"/>
    <w:rsid w:val="005C63BE"/>
    <w:rsid w:val="005C63F6"/>
    <w:rsid w:val="005C644F"/>
    <w:rsid w:val="005C649B"/>
    <w:rsid w:val="005C659D"/>
    <w:rsid w:val="005C6604"/>
    <w:rsid w:val="005C661A"/>
    <w:rsid w:val="005C674A"/>
    <w:rsid w:val="005C6793"/>
    <w:rsid w:val="005C67A8"/>
    <w:rsid w:val="005C67AE"/>
    <w:rsid w:val="005C69FD"/>
    <w:rsid w:val="005C6BB2"/>
    <w:rsid w:val="005C6E77"/>
    <w:rsid w:val="005C6F44"/>
    <w:rsid w:val="005C6FFB"/>
    <w:rsid w:val="005C751B"/>
    <w:rsid w:val="005C7841"/>
    <w:rsid w:val="005C797D"/>
    <w:rsid w:val="005C7E0E"/>
    <w:rsid w:val="005C7E1D"/>
    <w:rsid w:val="005C7F0F"/>
    <w:rsid w:val="005C7F97"/>
    <w:rsid w:val="005D0018"/>
    <w:rsid w:val="005D00AA"/>
    <w:rsid w:val="005D02E8"/>
    <w:rsid w:val="005D0489"/>
    <w:rsid w:val="005D051E"/>
    <w:rsid w:val="005D0A0C"/>
    <w:rsid w:val="005D0B22"/>
    <w:rsid w:val="005D0BAA"/>
    <w:rsid w:val="005D0D06"/>
    <w:rsid w:val="005D0E77"/>
    <w:rsid w:val="005D1068"/>
    <w:rsid w:val="005D1253"/>
    <w:rsid w:val="005D1460"/>
    <w:rsid w:val="005D15D9"/>
    <w:rsid w:val="005D1608"/>
    <w:rsid w:val="005D1663"/>
    <w:rsid w:val="005D1840"/>
    <w:rsid w:val="005D1A23"/>
    <w:rsid w:val="005D1A46"/>
    <w:rsid w:val="005D1B06"/>
    <w:rsid w:val="005D1C18"/>
    <w:rsid w:val="005D1F0F"/>
    <w:rsid w:val="005D203E"/>
    <w:rsid w:val="005D20F4"/>
    <w:rsid w:val="005D2212"/>
    <w:rsid w:val="005D2215"/>
    <w:rsid w:val="005D22C1"/>
    <w:rsid w:val="005D22CF"/>
    <w:rsid w:val="005D22F8"/>
    <w:rsid w:val="005D230A"/>
    <w:rsid w:val="005D239A"/>
    <w:rsid w:val="005D2685"/>
    <w:rsid w:val="005D2690"/>
    <w:rsid w:val="005D274C"/>
    <w:rsid w:val="005D28CC"/>
    <w:rsid w:val="005D28D1"/>
    <w:rsid w:val="005D2973"/>
    <w:rsid w:val="005D2AC8"/>
    <w:rsid w:val="005D2CDA"/>
    <w:rsid w:val="005D2E8E"/>
    <w:rsid w:val="005D328F"/>
    <w:rsid w:val="005D32D7"/>
    <w:rsid w:val="005D3347"/>
    <w:rsid w:val="005D33CE"/>
    <w:rsid w:val="005D33FF"/>
    <w:rsid w:val="005D3597"/>
    <w:rsid w:val="005D36A0"/>
    <w:rsid w:val="005D3A83"/>
    <w:rsid w:val="005D3A9D"/>
    <w:rsid w:val="005D3ADF"/>
    <w:rsid w:val="005D3AF8"/>
    <w:rsid w:val="005D3B24"/>
    <w:rsid w:val="005D3BFF"/>
    <w:rsid w:val="005D3C0E"/>
    <w:rsid w:val="005D3CBE"/>
    <w:rsid w:val="005D3DA4"/>
    <w:rsid w:val="005D3E0D"/>
    <w:rsid w:val="005D3FCE"/>
    <w:rsid w:val="005D4338"/>
    <w:rsid w:val="005D4394"/>
    <w:rsid w:val="005D43FC"/>
    <w:rsid w:val="005D453E"/>
    <w:rsid w:val="005D477E"/>
    <w:rsid w:val="005D47B9"/>
    <w:rsid w:val="005D486E"/>
    <w:rsid w:val="005D49EC"/>
    <w:rsid w:val="005D4BBB"/>
    <w:rsid w:val="005D4CD3"/>
    <w:rsid w:val="005D4D7B"/>
    <w:rsid w:val="005D4E7E"/>
    <w:rsid w:val="005D4F7D"/>
    <w:rsid w:val="005D4F8E"/>
    <w:rsid w:val="005D5125"/>
    <w:rsid w:val="005D523D"/>
    <w:rsid w:val="005D5262"/>
    <w:rsid w:val="005D5288"/>
    <w:rsid w:val="005D5367"/>
    <w:rsid w:val="005D538B"/>
    <w:rsid w:val="005D552E"/>
    <w:rsid w:val="005D57FA"/>
    <w:rsid w:val="005D5894"/>
    <w:rsid w:val="005D58FB"/>
    <w:rsid w:val="005D5A39"/>
    <w:rsid w:val="005D5B63"/>
    <w:rsid w:val="005D5C10"/>
    <w:rsid w:val="005D5C8F"/>
    <w:rsid w:val="005D5CD7"/>
    <w:rsid w:val="005D5EA4"/>
    <w:rsid w:val="005D5EF4"/>
    <w:rsid w:val="005D6112"/>
    <w:rsid w:val="005D6161"/>
    <w:rsid w:val="005D61EC"/>
    <w:rsid w:val="005D6357"/>
    <w:rsid w:val="005D643E"/>
    <w:rsid w:val="005D65A4"/>
    <w:rsid w:val="005D693B"/>
    <w:rsid w:val="005D69BC"/>
    <w:rsid w:val="005D6C61"/>
    <w:rsid w:val="005D6FD0"/>
    <w:rsid w:val="005D70C9"/>
    <w:rsid w:val="005D7118"/>
    <w:rsid w:val="005D711A"/>
    <w:rsid w:val="005D71BA"/>
    <w:rsid w:val="005D7262"/>
    <w:rsid w:val="005D739F"/>
    <w:rsid w:val="005D73C3"/>
    <w:rsid w:val="005D7511"/>
    <w:rsid w:val="005D7641"/>
    <w:rsid w:val="005D77B7"/>
    <w:rsid w:val="005D77DC"/>
    <w:rsid w:val="005D77E5"/>
    <w:rsid w:val="005D780A"/>
    <w:rsid w:val="005D7A49"/>
    <w:rsid w:val="005D7B78"/>
    <w:rsid w:val="005D7C21"/>
    <w:rsid w:val="005D7C88"/>
    <w:rsid w:val="005D7D37"/>
    <w:rsid w:val="005D7DE5"/>
    <w:rsid w:val="005D7E9F"/>
    <w:rsid w:val="005D7F33"/>
    <w:rsid w:val="005D7FA1"/>
    <w:rsid w:val="005E0064"/>
    <w:rsid w:val="005E01A1"/>
    <w:rsid w:val="005E02D0"/>
    <w:rsid w:val="005E030E"/>
    <w:rsid w:val="005E0487"/>
    <w:rsid w:val="005E070E"/>
    <w:rsid w:val="005E0865"/>
    <w:rsid w:val="005E094D"/>
    <w:rsid w:val="005E09B6"/>
    <w:rsid w:val="005E09C2"/>
    <w:rsid w:val="005E09C8"/>
    <w:rsid w:val="005E0A3D"/>
    <w:rsid w:val="005E0AD7"/>
    <w:rsid w:val="005E0C12"/>
    <w:rsid w:val="005E0D23"/>
    <w:rsid w:val="005E0DFD"/>
    <w:rsid w:val="005E0F89"/>
    <w:rsid w:val="005E0FE1"/>
    <w:rsid w:val="005E10E5"/>
    <w:rsid w:val="005E1119"/>
    <w:rsid w:val="005E114B"/>
    <w:rsid w:val="005E1179"/>
    <w:rsid w:val="005E1260"/>
    <w:rsid w:val="005E129D"/>
    <w:rsid w:val="005E133E"/>
    <w:rsid w:val="005E137F"/>
    <w:rsid w:val="005E1620"/>
    <w:rsid w:val="005E1638"/>
    <w:rsid w:val="005E16F7"/>
    <w:rsid w:val="005E1893"/>
    <w:rsid w:val="005E1B3E"/>
    <w:rsid w:val="005E1C91"/>
    <w:rsid w:val="005E1F00"/>
    <w:rsid w:val="005E1F29"/>
    <w:rsid w:val="005E217C"/>
    <w:rsid w:val="005E229E"/>
    <w:rsid w:val="005E238E"/>
    <w:rsid w:val="005E2567"/>
    <w:rsid w:val="005E2626"/>
    <w:rsid w:val="005E2712"/>
    <w:rsid w:val="005E2869"/>
    <w:rsid w:val="005E2945"/>
    <w:rsid w:val="005E298D"/>
    <w:rsid w:val="005E2AC2"/>
    <w:rsid w:val="005E2C36"/>
    <w:rsid w:val="005E2C9F"/>
    <w:rsid w:val="005E2CDB"/>
    <w:rsid w:val="005E2D41"/>
    <w:rsid w:val="005E2E2E"/>
    <w:rsid w:val="005E2E67"/>
    <w:rsid w:val="005E305E"/>
    <w:rsid w:val="005E317C"/>
    <w:rsid w:val="005E318A"/>
    <w:rsid w:val="005E32D9"/>
    <w:rsid w:val="005E34CE"/>
    <w:rsid w:val="005E3639"/>
    <w:rsid w:val="005E3A74"/>
    <w:rsid w:val="005E3C60"/>
    <w:rsid w:val="005E3D96"/>
    <w:rsid w:val="005E41B2"/>
    <w:rsid w:val="005E42FA"/>
    <w:rsid w:val="005E437F"/>
    <w:rsid w:val="005E45F6"/>
    <w:rsid w:val="005E46E2"/>
    <w:rsid w:val="005E49F9"/>
    <w:rsid w:val="005E4A19"/>
    <w:rsid w:val="005E4A23"/>
    <w:rsid w:val="005E4A7A"/>
    <w:rsid w:val="005E4B23"/>
    <w:rsid w:val="005E4BCE"/>
    <w:rsid w:val="005E4CBD"/>
    <w:rsid w:val="005E4DAD"/>
    <w:rsid w:val="005E4DB8"/>
    <w:rsid w:val="005E4ED3"/>
    <w:rsid w:val="005E5062"/>
    <w:rsid w:val="005E50A7"/>
    <w:rsid w:val="005E5165"/>
    <w:rsid w:val="005E52C8"/>
    <w:rsid w:val="005E52D8"/>
    <w:rsid w:val="005E5383"/>
    <w:rsid w:val="005E53DC"/>
    <w:rsid w:val="005E5480"/>
    <w:rsid w:val="005E5643"/>
    <w:rsid w:val="005E56AD"/>
    <w:rsid w:val="005E56F3"/>
    <w:rsid w:val="005E57B9"/>
    <w:rsid w:val="005E5B32"/>
    <w:rsid w:val="005E5BD5"/>
    <w:rsid w:val="005E5CB8"/>
    <w:rsid w:val="005E5DDF"/>
    <w:rsid w:val="005E5E62"/>
    <w:rsid w:val="005E5F57"/>
    <w:rsid w:val="005E60FB"/>
    <w:rsid w:val="005E61A3"/>
    <w:rsid w:val="005E6258"/>
    <w:rsid w:val="005E6266"/>
    <w:rsid w:val="005E6647"/>
    <w:rsid w:val="005E6838"/>
    <w:rsid w:val="005E69C5"/>
    <w:rsid w:val="005E6A28"/>
    <w:rsid w:val="005E6A65"/>
    <w:rsid w:val="005E6AA4"/>
    <w:rsid w:val="005E6C19"/>
    <w:rsid w:val="005E700A"/>
    <w:rsid w:val="005E7054"/>
    <w:rsid w:val="005E712F"/>
    <w:rsid w:val="005E7254"/>
    <w:rsid w:val="005E72DF"/>
    <w:rsid w:val="005E730B"/>
    <w:rsid w:val="005E735D"/>
    <w:rsid w:val="005E74BA"/>
    <w:rsid w:val="005E767C"/>
    <w:rsid w:val="005E7C5F"/>
    <w:rsid w:val="005E7CC8"/>
    <w:rsid w:val="005E7E7E"/>
    <w:rsid w:val="005F0364"/>
    <w:rsid w:val="005F06F6"/>
    <w:rsid w:val="005F0976"/>
    <w:rsid w:val="005F0A20"/>
    <w:rsid w:val="005F0A2B"/>
    <w:rsid w:val="005F0B04"/>
    <w:rsid w:val="005F0B9F"/>
    <w:rsid w:val="005F0C2B"/>
    <w:rsid w:val="005F0D7F"/>
    <w:rsid w:val="005F100E"/>
    <w:rsid w:val="005F109C"/>
    <w:rsid w:val="005F10BC"/>
    <w:rsid w:val="005F11CC"/>
    <w:rsid w:val="005F150D"/>
    <w:rsid w:val="005F1597"/>
    <w:rsid w:val="005F15C5"/>
    <w:rsid w:val="005F1840"/>
    <w:rsid w:val="005F196F"/>
    <w:rsid w:val="005F1C74"/>
    <w:rsid w:val="005F1D11"/>
    <w:rsid w:val="005F1DDD"/>
    <w:rsid w:val="005F2034"/>
    <w:rsid w:val="005F24B7"/>
    <w:rsid w:val="005F24EE"/>
    <w:rsid w:val="005F24FA"/>
    <w:rsid w:val="005F257B"/>
    <w:rsid w:val="005F2619"/>
    <w:rsid w:val="005F2709"/>
    <w:rsid w:val="005F2974"/>
    <w:rsid w:val="005F2A45"/>
    <w:rsid w:val="005F2B44"/>
    <w:rsid w:val="005F2D4E"/>
    <w:rsid w:val="005F2E75"/>
    <w:rsid w:val="005F308C"/>
    <w:rsid w:val="005F30FA"/>
    <w:rsid w:val="005F3413"/>
    <w:rsid w:val="005F342B"/>
    <w:rsid w:val="005F3469"/>
    <w:rsid w:val="005F35BC"/>
    <w:rsid w:val="005F39AF"/>
    <w:rsid w:val="005F3A60"/>
    <w:rsid w:val="005F3C07"/>
    <w:rsid w:val="005F3D1B"/>
    <w:rsid w:val="005F3EBC"/>
    <w:rsid w:val="005F3EE3"/>
    <w:rsid w:val="005F3F87"/>
    <w:rsid w:val="005F417E"/>
    <w:rsid w:val="005F4263"/>
    <w:rsid w:val="005F42DA"/>
    <w:rsid w:val="005F438A"/>
    <w:rsid w:val="005F43D6"/>
    <w:rsid w:val="005F45D0"/>
    <w:rsid w:val="005F461C"/>
    <w:rsid w:val="005F4AA7"/>
    <w:rsid w:val="005F4E18"/>
    <w:rsid w:val="005F4E2F"/>
    <w:rsid w:val="005F4E71"/>
    <w:rsid w:val="005F5268"/>
    <w:rsid w:val="005F555B"/>
    <w:rsid w:val="005F560F"/>
    <w:rsid w:val="005F5738"/>
    <w:rsid w:val="005F5848"/>
    <w:rsid w:val="005F590D"/>
    <w:rsid w:val="005F5A25"/>
    <w:rsid w:val="005F5BA0"/>
    <w:rsid w:val="005F5D31"/>
    <w:rsid w:val="005F5D4C"/>
    <w:rsid w:val="005F5EF8"/>
    <w:rsid w:val="005F6002"/>
    <w:rsid w:val="005F6006"/>
    <w:rsid w:val="005F63E3"/>
    <w:rsid w:val="005F6410"/>
    <w:rsid w:val="005F6561"/>
    <w:rsid w:val="005F65D5"/>
    <w:rsid w:val="005F65F9"/>
    <w:rsid w:val="005F6A9A"/>
    <w:rsid w:val="005F6E1E"/>
    <w:rsid w:val="005F6EB4"/>
    <w:rsid w:val="005F7071"/>
    <w:rsid w:val="005F70C9"/>
    <w:rsid w:val="005F7264"/>
    <w:rsid w:val="005F7315"/>
    <w:rsid w:val="005F75AE"/>
    <w:rsid w:val="005F7658"/>
    <w:rsid w:val="005F76A3"/>
    <w:rsid w:val="005F7BCA"/>
    <w:rsid w:val="005F7BD7"/>
    <w:rsid w:val="005F7D8F"/>
    <w:rsid w:val="005F7DB1"/>
    <w:rsid w:val="005F7E0B"/>
    <w:rsid w:val="005F7E91"/>
    <w:rsid w:val="005F7F03"/>
    <w:rsid w:val="006001A3"/>
    <w:rsid w:val="00600253"/>
    <w:rsid w:val="006002CC"/>
    <w:rsid w:val="006002ED"/>
    <w:rsid w:val="00600317"/>
    <w:rsid w:val="0060040C"/>
    <w:rsid w:val="0060045E"/>
    <w:rsid w:val="00600578"/>
    <w:rsid w:val="006006FE"/>
    <w:rsid w:val="00600799"/>
    <w:rsid w:val="00600D16"/>
    <w:rsid w:val="00600DE3"/>
    <w:rsid w:val="00600E8C"/>
    <w:rsid w:val="00600EAD"/>
    <w:rsid w:val="00600F47"/>
    <w:rsid w:val="00601024"/>
    <w:rsid w:val="00601165"/>
    <w:rsid w:val="006011C2"/>
    <w:rsid w:val="00601212"/>
    <w:rsid w:val="00601276"/>
    <w:rsid w:val="00601525"/>
    <w:rsid w:val="00601625"/>
    <w:rsid w:val="00601831"/>
    <w:rsid w:val="00601A00"/>
    <w:rsid w:val="00601A56"/>
    <w:rsid w:val="00601B49"/>
    <w:rsid w:val="00601B6F"/>
    <w:rsid w:val="00601B84"/>
    <w:rsid w:val="00601D99"/>
    <w:rsid w:val="00601DB0"/>
    <w:rsid w:val="00601EE3"/>
    <w:rsid w:val="0060215F"/>
    <w:rsid w:val="00602258"/>
    <w:rsid w:val="0060234D"/>
    <w:rsid w:val="006023B1"/>
    <w:rsid w:val="006024E2"/>
    <w:rsid w:val="0060251C"/>
    <w:rsid w:val="00602619"/>
    <w:rsid w:val="00602735"/>
    <w:rsid w:val="00602823"/>
    <w:rsid w:val="006028D1"/>
    <w:rsid w:val="00602ADC"/>
    <w:rsid w:val="00602B92"/>
    <w:rsid w:val="00602ED6"/>
    <w:rsid w:val="00603194"/>
    <w:rsid w:val="006031E3"/>
    <w:rsid w:val="006032A6"/>
    <w:rsid w:val="00603446"/>
    <w:rsid w:val="0060348A"/>
    <w:rsid w:val="0060349C"/>
    <w:rsid w:val="006036C3"/>
    <w:rsid w:val="006036CE"/>
    <w:rsid w:val="00603733"/>
    <w:rsid w:val="006037DE"/>
    <w:rsid w:val="00603B46"/>
    <w:rsid w:val="00603B58"/>
    <w:rsid w:val="00603BB9"/>
    <w:rsid w:val="00603EFF"/>
    <w:rsid w:val="00603FC5"/>
    <w:rsid w:val="0060424F"/>
    <w:rsid w:val="006044EC"/>
    <w:rsid w:val="0060468D"/>
    <w:rsid w:val="00604704"/>
    <w:rsid w:val="00604912"/>
    <w:rsid w:val="00604946"/>
    <w:rsid w:val="00604A65"/>
    <w:rsid w:val="00604B99"/>
    <w:rsid w:val="00604BB7"/>
    <w:rsid w:val="00604BD7"/>
    <w:rsid w:val="00604BFF"/>
    <w:rsid w:val="00604D19"/>
    <w:rsid w:val="00604D3B"/>
    <w:rsid w:val="00604ECA"/>
    <w:rsid w:val="00604F20"/>
    <w:rsid w:val="00605166"/>
    <w:rsid w:val="006051F2"/>
    <w:rsid w:val="006052C3"/>
    <w:rsid w:val="00605897"/>
    <w:rsid w:val="0060596D"/>
    <w:rsid w:val="00605AE7"/>
    <w:rsid w:val="00605CEB"/>
    <w:rsid w:val="00605F97"/>
    <w:rsid w:val="006060D4"/>
    <w:rsid w:val="00606432"/>
    <w:rsid w:val="0060668A"/>
    <w:rsid w:val="006066FA"/>
    <w:rsid w:val="006067F4"/>
    <w:rsid w:val="006068E7"/>
    <w:rsid w:val="00606915"/>
    <w:rsid w:val="0060691C"/>
    <w:rsid w:val="006069AE"/>
    <w:rsid w:val="00606A4C"/>
    <w:rsid w:val="00606A54"/>
    <w:rsid w:val="00606A69"/>
    <w:rsid w:val="00606C28"/>
    <w:rsid w:val="00606D83"/>
    <w:rsid w:val="00606E85"/>
    <w:rsid w:val="006070CE"/>
    <w:rsid w:val="00607158"/>
    <w:rsid w:val="00607314"/>
    <w:rsid w:val="0060733D"/>
    <w:rsid w:val="00607363"/>
    <w:rsid w:val="006074DE"/>
    <w:rsid w:val="00607859"/>
    <w:rsid w:val="0060787E"/>
    <w:rsid w:val="006079A4"/>
    <w:rsid w:val="006079B7"/>
    <w:rsid w:val="00607B01"/>
    <w:rsid w:val="00607B30"/>
    <w:rsid w:val="00607C23"/>
    <w:rsid w:val="00607D06"/>
    <w:rsid w:val="00607D37"/>
    <w:rsid w:val="00607E6F"/>
    <w:rsid w:val="00607F2F"/>
    <w:rsid w:val="00607FB3"/>
    <w:rsid w:val="00607FE1"/>
    <w:rsid w:val="00610092"/>
    <w:rsid w:val="006101E2"/>
    <w:rsid w:val="0061028B"/>
    <w:rsid w:val="006102B3"/>
    <w:rsid w:val="00610471"/>
    <w:rsid w:val="006104E8"/>
    <w:rsid w:val="0061053E"/>
    <w:rsid w:val="0061073B"/>
    <w:rsid w:val="00610880"/>
    <w:rsid w:val="00610C32"/>
    <w:rsid w:val="00610C83"/>
    <w:rsid w:val="00610CE6"/>
    <w:rsid w:val="00610D7F"/>
    <w:rsid w:val="00610FDD"/>
    <w:rsid w:val="006111A6"/>
    <w:rsid w:val="006115DB"/>
    <w:rsid w:val="00611700"/>
    <w:rsid w:val="00611994"/>
    <w:rsid w:val="00611A85"/>
    <w:rsid w:val="00611EE4"/>
    <w:rsid w:val="00611F17"/>
    <w:rsid w:val="00611FC0"/>
    <w:rsid w:val="0061205F"/>
    <w:rsid w:val="006120A4"/>
    <w:rsid w:val="00612214"/>
    <w:rsid w:val="0061234F"/>
    <w:rsid w:val="006124F9"/>
    <w:rsid w:val="00612552"/>
    <w:rsid w:val="0061279A"/>
    <w:rsid w:val="0061297C"/>
    <w:rsid w:val="00612A03"/>
    <w:rsid w:val="00612E0F"/>
    <w:rsid w:val="00613146"/>
    <w:rsid w:val="006132E8"/>
    <w:rsid w:val="00613513"/>
    <w:rsid w:val="0061353A"/>
    <w:rsid w:val="00613558"/>
    <w:rsid w:val="00613689"/>
    <w:rsid w:val="00613D47"/>
    <w:rsid w:val="00613E71"/>
    <w:rsid w:val="00613E88"/>
    <w:rsid w:val="00613EF8"/>
    <w:rsid w:val="00613F8B"/>
    <w:rsid w:val="00614034"/>
    <w:rsid w:val="006141AC"/>
    <w:rsid w:val="00614348"/>
    <w:rsid w:val="0061442E"/>
    <w:rsid w:val="0061447B"/>
    <w:rsid w:val="006144D5"/>
    <w:rsid w:val="0061452A"/>
    <w:rsid w:val="00614610"/>
    <w:rsid w:val="00614795"/>
    <w:rsid w:val="006147D8"/>
    <w:rsid w:val="006147FD"/>
    <w:rsid w:val="00614901"/>
    <w:rsid w:val="00614AD8"/>
    <w:rsid w:val="00614C2B"/>
    <w:rsid w:val="00614D90"/>
    <w:rsid w:val="00614DE1"/>
    <w:rsid w:val="0061500E"/>
    <w:rsid w:val="00615022"/>
    <w:rsid w:val="0061504F"/>
    <w:rsid w:val="006152FF"/>
    <w:rsid w:val="00615578"/>
    <w:rsid w:val="006157D5"/>
    <w:rsid w:val="0061592D"/>
    <w:rsid w:val="00615B7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940"/>
    <w:rsid w:val="00616B4B"/>
    <w:rsid w:val="00616C85"/>
    <w:rsid w:val="00616D01"/>
    <w:rsid w:val="00616DBC"/>
    <w:rsid w:val="00616E57"/>
    <w:rsid w:val="00616F3B"/>
    <w:rsid w:val="00616F95"/>
    <w:rsid w:val="00616FDB"/>
    <w:rsid w:val="0061726F"/>
    <w:rsid w:val="006172D3"/>
    <w:rsid w:val="006174D8"/>
    <w:rsid w:val="006174F8"/>
    <w:rsid w:val="006174FE"/>
    <w:rsid w:val="00617693"/>
    <w:rsid w:val="006177E2"/>
    <w:rsid w:val="00617AAE"/>
    <w:rsid w:val="00617B81"/>
    <w:rsid w:val="00617BBD"/>
    <w:rsid w:val="00617CC9"/>
    <w:rsid w:val="00617DE0"/>
    <w:rsid w:val="00617F6D"/>
    <w:rsid w:val="006201E7"/>
    <w:rsid w:val="006202CB"/>
    <w:rsid w:val="006205BE"/>
    <w:rsid w:val="00620751"/>
    <w:rsid w:val="0062079E"/>
    <w:rsid w:val="006207FC"/>
    <w:rsid w:val="0062081E"/>
    <w:rsid w:val="00620854"/>
    <w:rsid w:val="006208AB"/>
    <w:rsid w:val="006208B5"/>
    <w:rsid w:val="00620948"/>
    <w:rsid w:val="00620A48"/>
    <w:rsid w:val="00620B15"/>
    <w:rsid w:val="00620DE7"/>
    <w:rsid w:val="00620FD3"/>
    <w:rsid w:val="00620FFB"/>
    <w:rsid w:val="00621041"/>
    <w:rsid w:val="00621166"/>
    <w:rsid w:val="00621420"/>
    <w:rsid w:val="00621435"/>
    <w:rsid w:val="006215CF"/>
    <w:rsid w:val="006216B6"/>
    <w:rsid w:val="006216CD"/>
    <w:rsid w:val="00621811"/>
    <w:rsid w:val="00621822"/>
    <w:rsid w:val="006218E5"/>
    <w:rsid w:val="00621929"/>
    <w:rsid w:val="00621939"/>
    <w:rsid w:val="006219B5"/>
    <w:rsid w:val="00621AE5"/>
    <w:rsid w:val="00621BB7"/>
    <w:rsid w:val="00621BE8"/>
    <w:rsid w:val="00621C3C"/>
    <w:rsid w:val="00621F5C"/>
    <w:rsid w:val="00622042"/>
    <w:rsid w:val="006220CD"/>
    <w:rsid w:val="00622168"/>
    <w:rsid w:val="0062245B"/>
    <w:rsid w:val="006224BC"/>
    <w:rsid w:val="006224E6"/>
    <w:rsid w:val="00622522"/>
    <w:rsid w:val="00622568"/>
    <w:rsid w:val="00622628"/>
    <w:rsid w:val="0062267B"/>
    <w:rsid w:val="0062267D"/>
    <w:rsid w:val="0062270D"/>
    <w:rsid w:val="00622769"/>
    <w:rsid w:val="0062278B"/>
    <w:rsid w:val="00622829"/>
    <w:rsid w:val="00622AFA"/>
    <w:rsid w:val="00622C2D"/>
    <w:rsid w:val="00622CCC"/>
    <w:rsid w:val="00622DD7"/>
    <w:rsid w:val="0062301D"/>
    <w:rsid w:val="006232AE"/>
    <w:rsid w:val="006232B1"/>
    <w:rsid w:val="0062331B"/>
    <w:rsid w:val="00623340"/>
    <w:rsid w:val="00623621"/>
    <w:rsid w:val="006236C0"/>
    <w:rsid w:val="006239F5"/>
    <w:rsid w:val="00623A00"/>
    <w:rsid w:val="00623BA0"/>
    <w:rsid w:val="00623C87"/>
    <w:rsid w:val="00623DAB"/>
    <w:rsid w:val="00623E7B"/>
    <w:rsid w:val="00623E98"/>
    <w:rsid w:val="00623FD0"/>
    <w:rsid w:val="006241C4"/>
    <w:rsid w:val="0062433F"/>
    <w:rsid w:val="00624579"/>
    <w:rsid w:val="006245B3"/>
    <w:rsid w:val="006245D8"/>
    <w:rsid w:val="00624690"/>
    <w:rsid w:val="00624763"/>
    <w:rsid w:val="00624852"/>
    <w:rsid w:val="006249AD"/>
    <w:rsid w:val="00624ACC"/>
    <w:rsid w:val="00624AD4"/>
    <w:rsid w:val="00624C1A"/>
    <w:rsid w:val="00624CC7"/>
    <w:rsid w:val="00624D07"/>
    <w:rsid w:val="00624ECA"/>
    <w:rsid w:val="006250E4"/>
    <w:rsid w:val="0062514E"/>
    <w:rsid w:val="0062515B"/>
    <w:rsid w:val="0062518D"/>
    <w:rsid w:val="0062525C"/>
    <w:rsid w:val="0062534C"/>
    <w:rsid w:val="00625662"/>
    <w:rsid w:val="00625678"/>
    <w:rsid w:val="00625952"/>
    <w:rsid w:val="006259A1"/>
    <w:rsid w:val="00625A2A"/>
    <w:rsid w:val="00625BC1"/>
    <w:rsid w:val="00625D04"/>
    <w:rsid w:val="00625D83"/>
    <w:rsid w:val="00625DF5"/>
    <w:rsid w:val="00625E94"/>
    <w:rsid w:val="00625F00"/>
    <w:rsid w:val="00625F1D"/>
    <w:rsid w:val="00625F36"/>
    <w:rsid w:val="00625F92"/>
    <w:rsid w:val="0062601B"/>
    <w:rsid w:val="00626161"/>
    <w:rsid w:val="006262D1"/>
    <w:rsid w:val="006262E3"/>
    <w:rsid w:val="006262E9"/>
    <w:rsid w:val="0062635E"/>
    <w:rsid w:val="00626578"/>
    <w:rsid w:val="006268AD"/>
    <w:rsid w:val="006269B6"/>
    <w:rsid w:val="006269C6"/>
    <w:rsid w:val="00626A5B"/>
    <w:rsid w:val="00626B7F"/>
    <w:rsid w:val="00626BEC"/>
    <w:rsid w:val="006270FD"/>
    <w:rsid w:val="006272FB"/>
    <w:rsid w:val="00627315"/>
    <w:rsid w:val="006273AA"/>
    <w:rsid w:val="006274BC"/>
    <w:rsid w:val="006275EE"/>
    <w:rsid w:val="006276B0"/>
    <w:rsid w:val="00627897"/>
    <w:rsid w:val="006279D1"/>
    <w:rsid w:val="00627D16"/>
    <w:rsid w:val="00627D4A"/>
    <w:rsid w:val="00627F74"/>
    <w:rsid w:val="00627F7E"/>
    <w:rsid w:val="00627F8B"/>
    <w:rsid w:val="00630080"/>
    <w:rsid w:val="00630354"/>
    <w:rsid w:val="00630515"/>
    <w:rsid w:val="00630526"/>
    <w:rsid w:val="006305C9"/>
    <w:rsid w:val="00630604"/>
    <w:rsid w:val="006306BF"/>
    <w:rsid w:val="00630866"/>
    <w:rsid w:val="00630AA6"/>
    <w:rsid w:val="00630D60"/>
    <w:rsid w:val="00630D98"/>
    <w:rsid w:val="00630E42"/>
    <w:rsid w:val="0063102F"/>
    <w:rsid w:val="006311D3"/>
    <w:rsid w:val="006311E1"/>
    <w:rsid w:val="0063140B"/>
    <w:rsid w:val="006314E6"/>
    <w:rsid w:val="00631563"/>
    <w:rsid w:val="00631620"/>
    <w:rsid w:val="00631660"/>
    <w:rsid w:val="00631922"/>
    <w:rsid w:val="00631959"/>
    <w:rsid w:val="00631A26"/>
    <w:rsid w:val="00631CA1"/>
    <w:rsid w:val="00631D59"/>
    <w:rsid w:val="00631E2F"/>
    <w:rsid w:val="00631FD1"/>
    <w:rsid w:val="006321B5"/>
    <w:rsid w:val="0063247D"/>
    <w:rsid w:val="006329BE"/>
    <w:rsid w:val="00632D7B"/>
    <w:rsid w:val="006330BD"/>
    <w:rsid w:val="00633234"/>
    <w:rsid w:val="006332CA"/>
    <w:rsid w:val="006333D0"/>
    <w:rsid w:val="006335F3"/>
    <w:rsid w:val="00633636"/>
    <w:rsid w:val="00633699"/>
    <w:rsid w:val="006338C6"/>
    <w:rsid w:val="00633994"/>
    <w:rsid w:val="00633F10"/>
    <w:rsid w:val="00633F55"/>
    <w:rsid w:val="006340B1"/>
    <w:rsid w:val="0063415A"/>
    <w:rsid w:val="006342D2"/>
    <w:rsid w:val="006343E9"/>
    <w:rsid w:val="00634482"/>
    <w:rsid w:val="006344CA"/>
    <w:rsid w:val="006344F5"/>
    <w:rsid w:val="0063473C"/>
    <w:rsid w:val="006348CC"/>
    <w:rsid w:val="006349B4"/>
    <w:rsid w:val="00634B8B"/>
    <w:rsid w:val="00634BF5"/>
    <w:rsid w:val="00634C24"/>
    <w:rsid w:val="00634EA2"/>
    <w:rsid w:val="00634EA3"/>
    <w:rsid w:val="00634F3E"/>
    <w:rsid w:val="006351EA"/>
    <w:rsid w:val="00635319"/>
    <w:rsid w:val="006353E2"/>
    <w:rsid w:val="006354FB"/>
    <w:rsid w:val="0063558D"/>
    <w:rsid w:val="006357E4"/>
    <w:rsid w:val="00635A11"/>
    <w:rsid w:val="00635B5E"/>
    <w:rsid w:val="00635EE5"/>
    <w:rsid w:val="00635EEB"/>
    <w:rsid w:val="00636081"/>
    <w:rsid w:val="00636189"/>
    <w:rsid w:val="006363D5"/>
    <w:rsid w:val="0063652C"/>
    <w:rsid w:val="006365A7"/>
    <w:rsid w:val="006365F3"/>
    <w:rsid w:val="006366EE"/>
    <w:rsid w:val="00636713"/>
    <w:rsid w:val="0063693F"/>
    <w:rsid w:val="00636C08"/>
    <w:rsid w:val="00636D00"/>
    <w:rsid w:val="00636D7A"/>
    <w:rsid w:val="00636D8E"/>
    <w:rsid w:val="00636E42"/>
    <w:rsid w:val="00636FBB"/>
    <w:rsid w:val="00637098"/>
    <w:rsid w:val="006371C0"/>
    <w:rsid w:val="0063734B"/>
    <w:rsid w:val="006373AF"/>
    <w:rsid w:val="006373D3"/>
    <w:rsid w:val="00637530"/>
    <w:rsid w:val="00637743"/>
    <w:rsid w:val="00637955"/>
    <w:rsid w:val="00637A56"/>
    <w:rsid w:val="00637F4F"/>
    <w:rsid w:val="00640187"/>
    <w:rsid w:val="00640255"/>
    <w:rsid w:val="006402A5"/>
    <w:rsid w:val="0064031A"/>
    <w:rsid w:val="00640486"/>
    <w:rsid w:val="0064051F"/>
    <w:rsid w:val="00640552"/>
    <w:rsid w:val="006406BD"/>
    <w:rsid w:val="00640719"/>
    <w:rsid w:val="00640738"/>
    <w:rsid w:val="00640938"/>
    <w:rsid w:val="00640AEF"/>
    <w:rsid w:val="00640BE7"/>
    <w:rsid w:val="00640CC0"/>
    <w:rsid w:val="00640E83"/>
    <w:rsid w:val="00640F13"/>
    <w:rsid w:val="00640FC9"/>
    <w:rsid w:val="0064103A"/>
    <w:rsid w:val="00641148"/>
    <w:rsid w:val="006413D6"/>
    <w:rsid w:val="006415D7"/>
    <w:rsid w:val="00641862"/>
    <w:rsid w:val="0064186C"/>
    <w:rsid w:val="00641B6F"/>
    <w:rsid w:val="00641B7F"/>
    <w:rsid w:val="00641DFF"/>
    <w:rsid w:val="00641E59"/>
    <w:rsid w:val="00641EA7"/>
    <w:rsid w:val="00642016"/>
    <w:rsid w:val="006423A4"/>
    <w:rsid w:val="006424DC"/>
    <w:rsid w:val="0064254D"/>
    <w:rsid w:val="006425BC"/>
    <w:rsid w:val="00642636"/>
    <w:rsid w:val="00642AD1"/>
    <w:rsid w:val="00642AD6"/>
    <w:rsid w:val="00642B85"/>
    <w:rsid w:val="00642C7C"/>
    <w:rsid w:val="00642DAB"/>
    <w:rsid w:val="00642E40"/>
    <w:rsid w:val="00642EB0"/>
    <w:rsid w:val="00642EFE"/>
    <w:rsid w:val="00642F5D"/>
    <w:rsid w:val="00642F7B"/>
    <w:rsid w:val="006430F6"/>
    <w:rsid w:val="006431C0"/>
    <w:rsid w:val="00643597"/>
    <w:rsid w:val="006438F1"/>
    <w:rsid w:val="00643B46"/>
    <w:rsid w:val="00643B48"/>
    <w:rsid w:val="00643E41"/>
    <w:rsid w:val="00643ED7"/>
    <w:rsid w:val="006441FF"/>
    <w:rsid w:val="00644202"/>
    <w:rsid w:val="006442D2"/>
    <w:rsid w:val="0064444D"/>
    <w:rsid w:val="006446CC"/>
    <w:rsid w:val="00644892"/>
    <w:rsid w:val="006449EE"/>
    <w:rsid w:val="006449FF"/>
    <w:rsid w:val="00644E3D"/>
    <w:rsid w:val="006450AA"/>
    <w:rsid w:val="006450B9"/>
    <w:rsid w:val="00645395"/>
    <w:rsid w:val="00645419"/>
    <w:rsid w:val="00645443"/>
    <w:rsid w:val="006454AC"/>
    <w:rsid w:val="00645708"/>
    <w:rsid w:val="00645816"/>
    <w:rsid w:val="00645960"/>
    <w:rsid w:val="00645C11"/>
    <w:rsid w:val="00645D21"/>
    <w:rsid w:val="00645DE5"/>
    <w:rsid w:val="00645E21"/>
    <w:rsid w:val="0064605C"/>
    <w:rsid w:val="006461AF"/>
    <w:rsid w:val="0064656C"/>
    <w:rsid w:val="00646627"/>
    <w:rsid w:val="0064666C"/>
    <w:rsid w:val="006466A1"/>
    <w:rsid w:val="00646802"/>
    <w:rsid w:val="006468C3"/>
    <w:rsid w:val="006468C6"/>
    <w:rsid w:val="00646A91"/>
    <w:rsid w:val="00646CCF"/>
    <w:rsid w:val="00646D97"/>
    <w:rsid w:val="00646E4A"/>
    <w:rsid w:val="00647270"/>
    <w:rsid w:val="006472AE"/>
    <w:rsid w:val="00647352"/>
    <w:rsid w:val="006473ED"/>
    <w:rsid w:val="006476D4"/>
    <w:rsid w:val="00647703"/>
    <w:rsid w:val="0064795A"/>
    <w:rsid w:val="00647A65"/>
    <w:rsid w:val="00647AA6"/>
    <w:rsid w:val="00647B0D"/>
    <w:rsid w:val="00647C0A"/>
    <w:rsid w:val="00647CD0"/>
    <w:rsid w:val="00647E41"/>
    <w:rsid w:val="00647F02"/>
    <w:rsid w:val="00647F24"/>
    <w:rsid w:val="00647FD3"/>
    <w:rsid w:val="00647FF0"/>
    <w:rsid w:val="00650180"/>
    <w:rsid w:val="00650213"/>
    <w:rsid w:val="0065024E"/>
    <w:rsid w:val="00650519"/>
    <w:rsid w:val="006507A3"/>
    <w:rsid w:val="006508C4"/>
    <w:rsid w:val="0065096A"/>
    <w:rsid w:val="00650A25"/>
    <w:rsid w:val="00650E04"/>
    <w:rsid w:val="00650F19"/>
    <w:rsid w:val="00650FF4"/>
    <w:rsid w:val="00651217"/>
    <w:rsid w:val="006512CB"/>
    <w:rsid w:val="00651391"/>
    <w:rsid w:val="006513C8"/>
    <w:rsid w:val="006515A4"/>
    <w:rsid w:val="0065173B"/>
    <w:rsid w:val="00651A7C"/>
    <w:rsid w:val="00651ADA"/>
    <w:rsid w:val="00651B36"/>
    <w:rsid w:val="00651D37"/>
    <w:rsid w:val="00651D70"/>
    <w:rsid w:val="00651D9C"/>
    <w:rsid w:val="00651DF7"/>
    <w:rsid w:val="00651E53"/>
    <w:rsid w:val="00651E82"/>
    <w:rsid w:val="00652188"/>
    <w:rsid w:val="006521F1"/>
    <w:rsid w:val="00652469"/>
    <w:rsid w:val="00652489"/>
    <w:rsid w:val="00652496"/>
    <w:rsid w:val="006524EB"/>
    <w:rsid w:val="006525A5"/>
    <w:rsid w:val="006525CA"/>
    <w:rsid w:val="00652B22"/>
    <w:rsid w:val="00652B2D"/>
    <w:rsid w:val="00652B30"/>
    <w:rsid w:val="00652C98"/>
    <w:rsid w:val="00652C9B"/>
    <w:rsid w:val="00652CDD"/>
    <w:rsid w:val="00652D7D"/>
    <w:rsid w:val="00652F3F"/>
    <w:rsid w:val="00653031"/>
    <w:rsid w:val="00653085"/>
    <w:rsid w:val="006530CF"/>
    <w:rsid w:val="0065312D"/>
    <w:rsid w:val="00653158"/>
    <w:rsid w:val="006532CB"/>
    <w:rsid w:val="0065336D"/>
    <w:rsid w:val="00653432"/>
    <w:rsid w:val="0065354C"/>
    <w:rsid w:val="0065361E"/>
    <w:rsid w:val="0065371B"/>
    <w:rsid w:val="006538B9"/>
    <w:rsid w:val="00653926"/>
    <w:rsid w:val="0065394C"/>
    <w:rsid w:val="0065399C"/>
    <w:rsid w:val="006539D9"/>
    <w:rsid w:val="00653CA6"/>
    <w:rsid w:val="00653E97"/>
    <w:rsid w:val="00654163"/>
    <w:rsid w:val="006541FC"/>
    <w:rsid w:val="006545C9"/>
    <w:rsid w:val="0065463E"/>
    <w:rsid w:val="006547CF"/>
    <w:rsid w:val="006549A1"/>
    <w:rsid w:val="00654A5B"/>
    <w:rsid w:val="00654B00"/>
    <w:rsid w:val="00654B35"/>
    <w:rsid w:val="00654BFA"/>
    <w:rsid w:val="00654BFD"/>
    <w:rsid w:val="00654CA8"/>
    <w:rsid w:val="00654D44"/>
    <w:rsid w:val="00654D90"/>
    <w:rsid w:val="00654DFB"/>
    <w:rsid w:val="00654E65"/>
    <w:rsid w:val="00654EDF"/>
    <w:rsid w:val="00655156"/>
    <w:rsid w:val="00655229"/>
    <w:rsid w:val="00655372"/>
    <w:rsid w:val="0065539B"/>
    <w:rsid w:val="006554EF"/>
    <w:rsid w:val="006556FC"/>
    <w:rsid w:val="0065573A"/>
    <w:rsid w:val="006557F6"/>
    <w:rsid w:val="0065597B"/>
    <w:rsid w:val="0065598D"/>
    <w:rsid w:val="006559C5"/>
    <w:rsid w:val="00655A88"/>
    <w:rsid w:val="00655C73"/>
    <w:rsid w:val="00655CEA"/>
    <w:rsid w:val="00655D10"/>
    <w:rsid w:val="00655E46"/>
    <w:rsid w:val="00655E4E"/>
    <w:rsid w:val="00656224"/>
    <w:rsid w:val="0065623D"/>
    <w:rsid w:val="00656331"/>
    <w:rsid w:val="00656434"/>
    <w:rsid w:val="006565E4"/>
    <w:rsid w:val="00656776"/>
    <w:rsid w:val="00656833"/>
    <w:rsid w:val="0065684F"/>
    <w:rsid w:val="00656918"/>
    <w:rsid w:val="00656AEC"/>
    <w:rsid w:val="00656B6D"/>
    <w:rsid w:val="00656C03"/>
    <w:rsid w:val="00656D2A"/>
    <w:rsid w:val="00656D41"/>
    <w:rsid w:val="00656DA2"/>
    <w:rsid w:val="00656E1F"/>
    <w:rsid w:val="00656EB5"/>
    <w:rsid w:val="0065722F"/>
    <w:rsid w:val="0065756E"/>
    <w:rsid w:val="0065764E"/>
    <w:rsid w:val="00657910"/>
    <w:rsid w:val="00657A56"/>
    <w:rsid w:val="00657ADC"/>
    <w:rsid w:val="00657AF4"/>
    <w:rsid w:val="00657B19"/>
    <w:rsid w:val="00657B6D"/>
    <w:rsid w:val="00657C1D"/>
    <w:rsid w:val="00657C5C"/>
    <w:rsid w:val="00657D9E"/>
    <w:rsid w:val="00657DE5"/>
    <w:rsid w:val="00657EFE"/>
    <w:rsid w:val="006601BA"/>
    <w:rsid w:val="00660240"/>
    <w:rsid w:val="00660299"/>
    <w:rsid w:val="006604B0"/>
    <w:rsid w:val="00660506"/>
    <w:rsid w:val="00660593"/>
    <w:rsid w:val="006605D3"/>
    <w:rsid w:val="00660774"/>
    <w:rsid w:val="006607E0"/>
    <w:rsid w:val="00660875"/>
    <w:rsid w:val="006608CD"/>
    <w:rsid w:val="0066097F"/>
    <w:rsid w:val="00660B06"/>
    <w:rsid w:val="00660B11"/>
    <w:rsid w:val="00660C95"/>
    <w:rsid w:val="00660FD5"/>
    <w:rsid w:val="006610B9"/>
    <w:rsid w:val="006610C1"/>
    <w:rsid w:val="0066110F"/>
    <w:rsid w:val="00661378"/>
    <w:rsid w:val="0066139C"/>
    <w:rsid w:val="006614DD"/>
    <w:rsid w:val="006616C4"/>
    <w:rsid w:val="00661808"/>
    <w:rsid w:val="00661814"/>
    <w:rsid w:val="00661A24"/>
    <w:rsid w:val="00661A40"/>
    <w:rsid w:val="00661A98"/>
    <w:rsid w:val="00661A9C"/>
    <w:rsid w:val="00661AE1"/>
    <w:rsid w:val="00661D17"/>
    <w:rsid w:val="00661E17"/>
    <w:rsid w:val="00661FF7"/>
    <w:rsid w:val="00662134"/>
    <w:rsid w:val="006624EB"/>
    <w:rsid w:val="006625E7"/>
    <w:rsid w:val="0066274D"/>
    <w:rsid w:val="00662949"/>
    <w:rsid w:val="00662970"/>
    <w:rsid w:val="00662A44"/>
    <w:rsid w:val="00662ADD"/>
    <w:rsid w:val="00662B90"/>
    <w:rsid w:val="00662E36"/>
    <w:rsid w:val="00663275"/>
    <w:rsid w:val="0066337B"/>
    <w:rsid w:val="00663581"/>
    <w:rsid w:val="006636FD"/>
    <w:rsid w:val="0066371E"/>
    <w:rsid w:val="00663762"/>
    <w:rsid w:val="00663942"/>
    <w:rsid w:val="00663998"/>
    <w:rsid w:val="006639B6"/>
    <w:rsid w:val="00663A36"/>
    <w:rsid w:val="00663B5F"/>
    <w:rsid w:val="00663BA0"/>
    <w:rsid w:val="00663BB0"/>
    <w:rsid w:val="006640EA"/>
    <w:rsid w:val="0066427D"/>
    <w:rsid w:val="0066448A"/>
    <w:rsid w:val="0066466F"/>
    <w:rsid w:val="006646BB"/>
    <w:rsid w:val="006648FE"/>
    <w:rsid w:val="00664A12"/>
    <w:rsid w:val="00664A5F"/>
    <w:rsid w:val="00664CA5"/>
    <w:rsid w:val="00664CDD"/>
    <w:rsid w:val="00664CF4"/>
    <w:rsid w:val="00664D50"/>
    <w:rsid w:val="00664D81"/>
    <w:rsid w:val="00664E1B"/>
    <w:rsid w:val="00664E41"/>
    <w:rsid w:val="00664F90"/>
    <w:rsid w:val="00664FFA"/>
    <w:rsid w:val="0066507B"/>
    <w:rsid w:val="0066537B"/>
    <w:rsid w:val="00665445"/>
    <w:rsid w:val="006654C8"/>
    <w:rsid w:val="00665956"/>
    <w:rsid w:val="006659BA"/>
    <w:rsid w:val="00665A1E"/>
    <w:rsid w:val="00665A36"/>
    <w:rsid w:val="00665CDA"/>
    <w:rsid w:val="00665EEA"/>
    <w:rsid w:val="00665F92"/>
    <w:rsid w:val="0066629D"/>
    <w:rsid w:val="006662DA"/>
    <w:rsid w:val="006663BD"/>
    <w:rsid w:val="00666436"/>
    <w:rsid w:val="00666664"/>
    <w:rsid w:val="0066667C"/>
    <w:rsid w:val="006666C1"/>
    <w:rsid w:val="006666DA"/>
    <w:rsid w:val="00666746"/>
    <w:rsid w:val="00666870"/>
    <w:rsid w:val="00666986"/>
    <w:rsid w:val="00666A53"/>
    <w:rsid w:val="00666A7D"/>
    <w:rsid w:val="00666B23"/>
    <w:rsid w:val="00666C32"/>
    <w:rsid w:val="00666C37"/>
    <w:rsid w:val="00666D74"/>
    <w:rsid w:val="00666DB1"/>
    <w:rsid w:val="00666F1E"/>
    <w:rsid w:val="0066700C"/>
    <w:rsid w:val="00667082"/>
    <w:rsid w:val="00667167"/>
    <w:rsid w:val="0066718C"/>
    <w:rsid w:val="00667217"/>
    <w:rsid w:val="006673E6"/>
    <w:rsid w:val="006674DE"/>
    <w:rsid w:val="00667707"/>
    <w:rsid w:val="0066790A"/>
    <w:rsid w:val="006679D5"/>
    <w:rsid w:val="00667A90"/>
    <w:rsid w:val="00667B60"/>
    <w:rsid w:val="00667B7B"/>
    <w:rsid w:val="00667DC2"/>
    <w:rsid w:val="00667E09"/>
    <w:rsid w:val="00667E51"/>
    <w:rsid w:val="00667E5B"/>
    <w:rsid w:val="00667F78"/>
    <w:rsid w:val="006702B3"/>
    <w:rsid w:val="006702ED"/>
    <w:rsid w:val="006703FC"/>
    <w:rsid w:val="006704E6"/>
    <w:rsid w:val="0067058F"/>
    <w:rsid w:val="006706C7"/>
    <w:rsid w:val="0067085A"/>
    <w:rsid w:val="00670877"/>
    <w:rsid w:val="0067094B"/>
    <w:rsid w:val="00670A7D"/>
    <w:rsid w:val="00670ECC"/>
    <w:rsid w:val="00671318"/>
    <w:rsid w:val="006714EE"/>
    <w:rsid w:val="0067166A"/>
    <w:rsid w:val="006716A3"/>
    <w:rsid w:val="00671964"/>
    <w:rsid w:val="0067197F"/>
    <w:rsid w:val="00671AE8"/>
    <w:rsid w:val="00671B0A"/>
    <w:rsid w:val="00671D58"/>
    <w:rsid w:val="00671DA3"/>
    <w:rsid w:val="00671E39"/>
    <w:rsid w:val="00671F53"/>
    <w:rsid w:val="00671F60"/>
    <w:rsid w:val="00672119"/>
    <w:rsid w:val="0067251A"/>
    <w:rsid w:val="0067285F"/>
    <w:rsid w:val="00672B53"/>
    <w:rsid w:val="00672DB5"/>
    <w:rsid w:val="00672E01"/>
    <w:rsid w:val="00673169"/>
    <w:rsid w:val="0067335D"/>
    <w:rsid w:val="006734C6"/>
    <w:rsid w:val="00673749"/>
    <w:rsid w:val="006737C9"/>
    <w:rsid w:val="00673881"/>
    <w:rsid w:val="00673A39"/>
    <w:rsid w:val="00673A94"/>
    <w:rsid w:val="00673BB4"/>
    <w:rsid w:val="00673D5F"/>
    <w:rsid w:val="00673E44"/>
    <w:rsid w:val="00673EF5"/>
    <w:rsid w:val="00673F64"/>
    <w:rsid w:val="006740BD"/>
    <w:rsid w:val="006740F8"/>
    <w:rsid w:val="0067434B"/>
    <w:rsid w:val="00674643"/>
    <w:rsid w:val="00674755"/>
    <w:rsid w:val="0067483F"/>
    <w:rsid w:val="00674923"/>
    <w:rsid w:val="00674924"/>
    <w:rsid w:val="00674B47"/>
    <w:rsid w:val="00674C8E"/>
    <w:rsid w:val="00674DF6"/>
    <w:rsid w:val="0067501B"/>
    <w:rsid w:val="006750EF"/>
    <w:rsid w:val="0067513B"/>
    <w:rsid w:val="00675197"/>
    <w:rsid w:val="0067538F"/>
    <w:rsid w:val="00675515"/>
    <w:rsid w:val="00675716"/>
    <w:rsid w:val="00675729"/>
    <w:rsid w:val="00675851"/>
    <w:rsid w:val="00675982"/>
    <w:rsid w:val="00675A7F"/>
    <w:rsid w:val="00675AC8"/>
    <w:rsid w:val="00675AEB"/>
    <w:rsid w:val="00675B34"/>
    <w:rsid w:val="00675E4C"/>
    <w:rsid w:val="00675F06"/>
    <w:rsid w:val="00675FDE"/>
    <w:rsid w:val="00676012"/>
    <w:rsid w:val="006762DC"/>
    <w:rsid w:val="00676396"/>
    <w:rsid w:val="00676514"/>
    <w:rsid w:val="00676733"/>
    <w:rsid w:val="006767D6"/>
    <w:rsid w:val="00676B4E"/>
    <w:rsid w:val="00676B84"/>
    <w:rsid w:val="006770C0"/>
    <w:rsid w:val="00677149"/>
    <w:rsid w:val="006772B1"/>
    <w:rsid w:val="00677346"/>
    <w:rsid w:val="006774B2"/>
    <w:rsid w:val="0067751B"/>
    <w:rsid w:val="006778B9"/>
    <w:rsid w:val="00677B47"/>
    <w:rsid w:val="00677BAD"/>
    <w:rsid w:val="00677E92"/>
    <w:rsid w:val="00677F0B"/>
    <w:rsid w:val="00677F92"/>
    <w:rsid w:val="006800E0"/>
    <w:rsid w:val="0068012D"/>
    <w:rsid w:val="00680253"/>
    <w:rsid w:val="006802E7"/>
    <w:rsid w:val="00680410"/>
    <w:rsid w:val="00680532"/>
    <w:rsid w:val="00680559"/>
    <w:rsid w:val="00680578"/>
    <w:rsid w:val="006805CE"/>
    <w:rsid w:val="006805E0"/>
    <w:rsid w:val="00680651"/>
    <w:rsid w:val="00680B71"/>
    <w:rsid w:val="00680E2D"/>
    <w:rsid w:val="00680E30"/>
    <w:rsid w:val="00680E4C"/>
    <w:rsid w:val="006810D8"/>
    <w:rsid w:val="00681335"/>
    <w:rsid w:val="00681417"/>
    <w:rsid w:val="00681500"/>
    <w:rsid w:val="006817F1"/>
    <w:rsid w:val="00681888"/>
    <w:rsid w:val="0068196E"/>
    <w:rsid w:val="00681A11"/>
    <w:rsid w:val="00681AE7"/>
    <w:rsid w:val="00681AFE"/>
    <w:rsid w:val="00681B59"/>
    <w:rsid w:val="00681BF4"/>
    <w:rsid w:val="00681C56"/>
    <w:rsid w:val="00681D88"/>
    <w:rsid w:val="00681FF6"/>
    <w:rsid w:val="00682082"/>
    <w:rsid w:val="006821FB"/>
    <w:rsid w:val="0068227B"/>
    <w:rsid w:val="00682283"/>
    <w:rsid w:val="00682538"/>
    <w:rsid w:val="006829C2"/>
    <w:rsid w:val="00682EF5"/>
    <w:rsid w:val="00682F87"/>
    <w:rsid w:val="00683046"/>
    <w:rsid w:val="006830F6"/>
    <w:rsid w:val="006831F6"/>
    <w:rsid w:val="0068323B"/>
    <w:rsid w:val="006832A6"/>
    <w:rsid w:val="0068333D"/>
    <w:rsid w:val="006833E3"/>
    <w:rsid w:val="00683694"/>
    <w:rsid w:val="006836B7"/>
    <w:rsid w:val="006836CB"/>
    <w:rsid w:val="00683799"/>
    <w:rsid w:val="00683B68"/>
    <w:rsid w:val="00683C1E"/>
    <w:rsid w:val="00683D17"/>
    <w:rsid w:val="00683ED4"/>
    <w:rsid w:val="00684051"/>
    <w:rsid w:val="00684792"/>
    <w:rsid w:val="00684B12"/>
    <w:rsid w:val="00684C9A"/>
    <w:rsid w:val="00684FAC"/>
    <w:rsid w:val="00684FB8"/>
    <w:rsid w:val="006851AF"/>
    <w:rsid w:val="006851FC"/>
    <w:rsid w:val="0068527E"/>
    <w:rsid w:val="0068528D"/>
    <w:rsid w:val="00685353"/>
    <w:rsid w:val="006853E1"/>
    <w:rsid w:val="006854DF"/>
    <w:rsid w:val="0068554A"/>
    <w:rsid w:val="0068556E"/>
    <w:rsid w:val="00685615"/>
    <w:rsid w:val="0068561E"/>
    <w:rsid w:val="006856DC"/>
    <w:rsid w:val="0068575F"/>
    <w:rsid w:val="006857BF"/>
    <w:rsid w:val="006858AB"/>
    <w:rsid w:val="00685A38"/>
    <w:rsid w:val="00685E1E"/>
    <w:rsid w:val="00685E7F"/>
    <w:rsid w:val="00685F92"/>
    <w:rsid w:val="0068613A"/>
    <w:rsid w:val="006863D1"/>
    <w:rsid w:val="00686477"/>
    <w:rsid w:val="006865C4"/>
    <w:rsid w:val="00686694"/>
    <w:rsid w:val="006866CC"/>
    <w:rsid w:val="00686973"/>
    <w:rsid w:val="00686AC2"/>
    <w:rsid w:val="00686DF8"/>
    <w:rsid w:val="00687158"/>
    <w:rsid w:val="006871CC"/>
    <w:rsid w:val="006871D3"/>
    <w:rsid w:val="0068741F"/>
    <w:rsid w:val="00687673"/>
    <w:rsid w:val="0068773B"/>
    <w:rsid w:val="006878EB"/>
    <w:rsid w:val="00687F6A"/>
    <w:rsid w:val="00690113"/>
    <w:rsid w:val="006901C1"/>
    <w:rsid w:val="00690308"/>
    <w:rsid w:val="006905D1"/>
    <w:rsid w:val="006909EA"/>
    <w:rsid w:val="00690A34"/>
    <w:rsid w:val="00690B28"/>
    <w:rsid w:val="00690CCD"/>
    <w:rsid w:val="00690CCF"/>
    <w:rsid w:val="00690CE0"/>
    <w:rsid w:val="00690D12"/>
    <w:rsid w:val="00690EDF"/>
    <w:rsid w:val="00690FCC"/>
    <w:rsid w:val="00690FEF"/>
    <w:rsid w:val="00690FFA"/>
    <w:rsid w:val="0069119B"/>
    <w:rsid w:val="00691223"/>
    <w:rsid w:val="00691224"/>
    <w:rsid w:val="00691454"/>
    <w:rsid w:val="00691485"/>
    <w:rsid w:val="006914CA"/>
    <w:rsid w:val="006915D2"/>
    <w:rsid w:val="00691719"/>
    <w:rsid w:val="0069181E"/>
    <w:rsid w:val="0069196E"/>
    <w:rsid w:val="00691A05"/>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671"/>
    <w:rsid w:val="0069273F"/>
    <w:rsid w:val="006927AF"/>
    <w:rsid w:val="00692958"/>
    <w:rsid w:val="00692965"/>
    <w:rsid w:val="00692BED"/>
    <w:rsid w:val="00692F65"/>
    <w:rsid w:val="00692FD5"/>
    <w:rsid w:val="00693431"/>
    <w:rsid w:val="0069358A"/>
    <w:rsid w:val="006935D2"/>
    <w:rsid w:val="0069366F"/>
    <w:rsid w:val="006936E9"/>
    <w:rsid w:val="006937D7"/>
    <w:rsid w:val="00693802"/>
    <w:rsid w:val="00693812"/>
    <w:rsid w:val="00693B4A"/>
    <w:rsid w:val="00693D6B"/>
    <w:rsid w:val="00693E71"/>
    <w:rsid w:val="006940D6"/>
    <w:rsid w:val="006941C7"/>
    <w:rsid w:val="006942E3"/>
    <w:rsid w:val="0069469A"/>
    <w:rsid w:val="006946C8"/>
    <w:rsid w:val="006946CB"/>
    <w:rsid w:val="00694737"/>
    <w:rsid w:val="0069474B"/>
    <w:rsid w:val="0069482E"/>
    <w:rsid w:val="00694924"/>
    <w:rsid w:val="00694E5A"/>
    <w:rsid w:val="00694F64"/>
    <w:rsid w:val="00694F7B"/>
    <w:rsid w:val="006950CB"/>
    <w:rsid w:val="00695105"/>
    <w:rsid w:val="00695111"/>
    <w:rsid w:val="0069533B"/>
    <w:rsid w:val="006954AF"/>
    <w:rsid w:val="0069579A"/>
    <w:rsid w:val="006958CB"/>
    <w:rsid w:val="0069598D"/>
    <w:rsid w:val="006959D7"/>
    <w:rsid w:val="00695A6C"/>
    <w:rsid w:val="00695BBB"/>
    <w:rsid w:val="00695E17"/>
    <w:rsid w:val="00695F95"/>
    <w:rsid w:val="00696006"/>
    <w:rsid w:val="006963D5"/>
    <w:rsid w:val="00696752"/>
    <w:rsid w:val="00696871"/>
    <w:rsid w:val="00696A83"/>
    <w:rsid w:val="00696D41"/>
    <w:rsid w:val="00696D97"/>
    <w:rsid w:val="0069711F"/>
    <w:rsid w:val="006972FF"/>
    <w:rsid w:val="006976CD"/>
    <w:rsid w:val="00697775"/>
    <w:rsid w:val="00697795"/>
    <w:rsid w:val="00697841"/>
    <w:rsid w:val="00697933"/>
    <w:rsid w:val="0069799E"/>
    <w:rsid w:val="006979AF"/>
    <w:rsid w:val="00697D48"/>
    <w:rsid w:val="006A021D"/>
    <w:rsid w:val="006A03A7"/>
    <w:rsid w:val="006A0490"/>
    <w:rsid w:val="006A04A2"/>
    <w:rsid w:val="006A0544"/>
    <w:rsid w:val="006A0577"/>
    <w:rsid w:val="006A08AF"/>
    <w:rsid w:val="006A0926"/>
    <w:rsid w:val="006A093A"/>
    <w:rsid w:val="006A0A44"/>
    <w:rsid w:val="006A0B8C"/>
    <w:rsid w:val="006A0BC5"/>
    <w:rsid w:val="006A0CB6"/>
    <w:rsid w:val="006A0FE7"/>
    <w:rsid w:val="006A1072"/>
    <w:rsid w:val="006A11C7"/>
    <w:rsid w:val="006A124C"/>
    <w:rsid w:val="006A1299"/>
    <w:rsid w:val="006A129E"/>
    <w:rsid w:val="006A1332"/>
    <w:rsid w:val="006A1566"/>
    <w:rsid w:val="006A16A1"/>
    <w:rsid w:val="006A16C4"/>
    <w:rsid w:val="006A1C7D"/>
    <w:rsid w:val="006A1D66"/>
    <w:rsid w:val="006A1F31"/>
    <w:rsid w:val="006A2099"/>
    <w:rsid w:val="006A20AF"/>
    <w:rsid w:val="006A238C"/>
    <w:rsid w:val="006A255D"/>
    <w:rsid w:val="006A25AE"/>
    <w:rsid w:val="006A26E4"/>
    <w:rsid w:val="006A2773"/>
    <w:rsid w:val="006A2905"/>
    <w:rsid w:val="006A2C8B"/>
    <w:rsid w:val="006A2EB9"/>
    <w:rsid w:val="006A2F20"/>
    <w:rsid w:val="006A2F9C"/>
    <w:rsid w:val="006A302A"/>
    <w:rsid w:val="006A30D7"/>
    <w:rsid w:val="006A3159"/>
    <w:rsid w:val="006A3338"/>
    <w:rsid w:val="006A33A4"/>
    <w:rsid w:val="006A37C4"/>
    <w:rsid w:val="006A38F3"/>
    <w:rsid w:val="006A38F5"/>
    <w:rsid w:val="006A39AB"/>
    <w:rsid w:val="006A3BFD"/>
    <w:rsid w:val="006A3CA0"/>
    <w:rsid w:val="006A3E63"/>
    <w:rsid w:val="006A3E9C"/>
    <w:rsid w:val="006A4022"/>
    <w:rsid w:val="006A41ED"/>
    <w:rsid w:val="006A42B7"/>
    <w:rsid w:val="006A4390"/>
    <w:rsid w:val="006A4693"/>
    <w:rsid w:val="006A47E3"/>
    <w:rsid w:val="006A4832"/>
    <w:rsid w:val="006A4846"/>
    <w:rsid w:val="006A4B7C"/>
    <w:rsid w:val="006A4C30"/>
    <w:rsid w:val="006A52BD"/>
    <w:rsid w:val="006A52E5"/>
    <w:rsid w:val="006A5589"/>
    <w:rsid w:val="006A571F"/>
    <w:rsid w:val="006A5787"/>
    <w:rsid w:val="006A5A53"/>
    <w:rsid w:val="006A5B24"/>
    <w:rsid w:val="006A5BA8"/>
    <w:rsid w:val="006A5BD9"/>
    <w:rsid w:val="006A5D9A"/>
    <w:rsid w:val="006A5ED9"/>
    <w:rsid w:val="006A5EDF"/>
    <w:rsid w:val="006A5FA2"/>
    <w:rsid w:val="006A602D"/>
    <w:rsid w:val="006A6175"/>
    <w:rsid w:val="006A61C0"/>
    <w:rsid w:val="006A61FB"/>
    <w:rsid w:val="006A62CC"/>
    <w:rsid w:val="006A6328"/>
    <w:rsid w:val="006A6517"/>
    <w:rsid w:val="006A6558"/>
    <w:rsid w:val="006A65B9"/>
    <w:rsid w:val="006A6602"/>
    <w:rsid w:val="006A669E"/>
    <w:rsid w:val="006A6854"/>
    <w:rsid w:val="006A6986"/>
    <w:rsid w:val="006A6BED"/>
    <w:rsid w:val="006A6C85"/>
    <w:rsid w:val="006A6D3E"/>
    <w:rsid w:val="006A6FB8"/>
    <w:rsid w:val="006A704D"/>
    <w:rsid w:val="006A70D8"/>
    <w:rsid w:val="006A71D7"/>
    <w:rsid w:val="006A74DC"/>
    <w:rsid w:val="006A74E3"/>
    <w:rsid w:val="006A77D3"/>
    <w:rsid w:val="006A783E"/>
    <w:rsid w:val="006A793D"/>
    <w:rsid w:val="006A794B"/>
    <w:rsid w:val="006A79D4"/>
    <w:rsid w:val="006A7A52"/>
    <w:rsid w:val="006A7A97"/>
    <w:rsid w:val="006A7BAA"/>
    <w:rsid w:val="006A7C2A"/>
    <w:rsid w:val="006A7E04"/>
    <w:rsid w:val="006AF860"/>
    <w:rsid w:val="006B0018"/>
    <w:rsid w:val="006B0081"/>
    <w:rsid w:val="006B0163"/>
    <w:rsid w:val="006B0238"/>
    <w:rsid w:val="006B0399"/>
    <w:rsid w:val="006B04FC"/>
    <w:rsid w:val="006B05A1"/>
    <w:rsid w:val="006B0784"/>
    <w:rsid w:val="006B095E"/>
    <w:rsid w:val="006B0A49"/>
    <w:rsid w:val="006B0B0A"/>
    <w:rsid w:val="006B0CF4"/>
    <w:rsid w:val="006B0EE0"/>
    <w:rsid w:val="006B0FF8"/>
    <w:rsid w:val="006B0FFF"/>
    <w:rsid w:val="006B114C"/>
    <w:rsid w:val="006B13AE"/>
    <w:rsid w:val="006B143E"/>
    <w:rsid w:val="006B153C"/>
    <w:rsid w:val="006B1628"/>
    <w:rsid w:val="006B1659"/>
    <w:rsid w:val="006B1671"/>
    <w:rsid w:val="006B19BF"/>
    <w:rsid w:val="006B1A20"/>
    <w:rsid w:val="006B1A96"/>
    <w:rsid w:val="006B1B01"/>
    <w:rsid w:val="006B1C5E"/>
    <w:rsid w:val="006B1F29"/>
    <w:rsid w:val="006B1F4D"/>
    <w:rsid w:val="006B1F91"/>
    <w:rsid w:val="006B21FA"/>
    <w:rsid w:val="006B246F"/>
    <w:rsid w:val="006B24B8"/>
    <w:rsid w:val="006B2699"/>
    <w:rsid w:val="006B269E"/>
    <w:rsid w:val="006B2862"/>
    <w:rsid w:val="006B29B9"/>
    <w:rsid w:val="006B29C8"/>
    <w:rsid w:val="006B2B56"/>
    <w:rsid w:val="006B2D23"/>
    <w:rsid w:val="006B2D44"/>
    <w:rsid w:val="006B2D6A"/>
    <w:rsid w:val="006B2DE1"/>
    <w:rsid w:val="006B2E65"/>
    <w:rsid w:val="006B2EE4"/>
    <w:rsid w:val="006B3067"/>
    <w:rsid w:val="006B30E1"/>
    <w:rsid w:val="006B3192"/>
    <w:rsid w:val="006B31F9"/>
    <w:rsid w:val="006B32D1"/>
    <w:rsid w:val="006B36AA"/>
    <w:rsid w:val="006B3763"/>
    <w:rsid w:val="006B3857"/>
    <w:rsid w:val="006B387D"/>
    <w:rsid w:val="006B3A8C"/>
    <w:rsid w:val="006B3E9B"/>
    <w:rsid w:val="006B4024"/>
    <w:rsid w:val="006B4098"/>
    <w:rsid w:val="006B438B"/>
    <w:rsid w:val="006B46F5"/>
    <w:rsid w:val="006B4710"/>
    <w:rsid w:val="006B49D4"/>
    <w:rsid w:val="006B4C2E"/>
    <w:rsid w:val="006B4CEE"/>
    <w:rsid w:val="006B4D4C"/>
    <w:rsid w:val="006B4DAD"/>
    <w:rsid w:val="006B4FDD"/>
    <w:rsid w:val="006B509B"/>
    <w:rsid w:val="006B51D7"/>
    <w:rsid w:val="006B5269"/>
    <w:rsid w:val="006B5322"/>
    <w:rsid w:val="006B5360"/>
    <w:rsid w:val="006B58B0"/>
    <w:rsid w:val="006B5C86"/>
    <w:rsid w:val="006B5CA3"/>
    <w:rsid w:val="006B5D66"/>
    <w:rsid w:val="006B5D89"/>
    <w:rsid w:val="006B602C"/>
    <w:rsid w:val="006B6127"/>
    <w:rsid w:val="006B62C4"/>
    <w:rsid w:val="006B63E2"/>
    <w:rsid w:val="006B6413"/>
    <w:rsid w:val="006B6597"/>
    <w:rsid w:val="006B66A6"/>
    <w:rsid w:val="006B6A87"/>
    <w:rsid w:val="006B6ABA"/>
    <w:rsid w:val="006B6ACD"/>
    <w:rsid w:val="006B6BFC"/>
    <w:rsid w:val="006B6CDC"/>
    <w:rsid w:val="006B6CED"/>
    <w:rsid w:val="006B6CEF"/>
    <w:rsid w:val="006B6E95"/>
    <w:rsid w:val="006B7028"/>
    <w:rsid w:val="006B7059"/>
    <w:rsid w:val="006B709E"/>
    <w:rsid w:val="006B70C9"/>
    <w:rsid w:val="006B70D2"/>
    <w:rsid w:val="006B7138"/>
    <w:rsid w:val="006B713C"/>
    <w:rsid w:val="006B71B7"/>
    <w:rsid w:val="006B71C0"/>
    <w:rsid w:val="006B7517"/>
    <w:rsid w:val="006B7521"/>
    <w:rsid w:val="006B7525"/>
    <w:rsid w:val="006B767F"/>
    <w:rsid w:val="006B7916"/>
    <w:rsid w:val="006B793A"/>
    <w:rsid w:val="006B79E3"/>
    <w:rsid w:val="006B7A9B"/>
    <w:rsid w:val="006B7B8E"/>
    <w:rsid w:val="006B7C2A"/>
    <w:rsid w:val="006B7C74"/>
    <w:rsid w:val="006B7E31"/>
    <w:rsid w:val="006C0034"/>
    <w:rsid w:val="006C01EF"/>
    <w:rsid w:val="006C029F"/>
    <w:rsid w:val="006C05C9"/>
    <w:rsid w:val="006C0674"/>
    <w:rsid w:val="006C06DC"/>
    <w:rsid w:val="006C0A58"/>
    <w:rsid w:val="006C0B45"/>
    <w:rsid w:val="006C0DE3"/>
    <w:rsid w:val="006C0EA2"/>
    <w:rsid w:val="006C0F44"/>
    <w:rsid w:val="006C1013"/>
    <w:rsid w:val="006C1066"/>
    <w:rsid w:val="006C1148"/>
    <w:rsid w:val="006C1252"/>
    <w:rsid w:val="006C125B"/>
    <w:rsid w:val="006C1266"/>
    <w:rsid w:val="006C15D6"/>
    <w:rsid w:val="006C1721"/>
    <w:rsid w:val="006C1A0A"/>
    <w:rsid w:val="006C1AD4"/>
    <w:rsid w:val="006C1DC6"/>
    <w:rsid w:val="006C1EA6"/>
    <w:rsid w:val="006C1EDD"/>
    <w:rsid w:val="006C1F6C"/>
    <w:rsid w:val="006C20B2"/>
    <w:rsid w:val="006C2127"/>
    <w:rsid w:val="006C2135"/>
    <w:rsid w:val="006C226C"/>
    <w:rsid w:val="006C2443"/>
    <w:rsid w:val="006C2643"/>
    <w:rsid w:val="006C29D1"/>
    <w:rsid w:val="006C2C65"/>
    <w:rsid w:val="006C2CCF"/>
    <w:rsid w:val="006C2CFD"/>
    <w:rsid w:val="006C2E20"/>
    <w:rsid w:val="006C31DB"/>
    <w:rsid w:val="006C3501"/>
    <w:rsid w:val="006C3595"/>
    <w:rsid w:val="006C35D8"/>
    <w:rsid w:val="006C3793"/>
    <w:rsid w:val="006C37CC"/>
    <w:rsid w:val="006C3872"/>
    <w:rsid w:val="006C38D1"/>
    <w:rsid w:val="006C391B"/>
    <w:rsid w:val="006C39D2"/>
    <w:rsid w:val="006C3E6B"/>
    <w:rsid w:val="006C4490"/>
    <w:rsid w:val="006C4572"/>
    <w:rsid w:val="006C4881"/>
    <w:rsid w:val="006C4A66"/>
    <w:rsid w:val="006C4AAF"/>
    <w:rsid w:val="006C4B75"/>
    <w:rsid w:val="006C4B87"/>
    <w:rsid w:val="006C4B8C"/>
    <w:rsid w:val="006C4BFF"/>
    <w:rsid w:val="006C4D26"/>
    <w:rsid w:val="006C4F6F"/>
    <w:rsid w:val="006C5007"/>
    <w:rsid w:val="006C500A"/>
    <w:rsid w:val="006C5055"/>
    <w:rsid w:val="006C506F"/>
    <w:rsid w:val="006C5183"/>
    <w:rsid w:val="006C531D"/>
    <w:rsid w:val="006C5464"/>
    <w:rsid w:val="006C55FF"/>
    <w:rsid w:val="006C56CB"/>
    <w:rsid w:val="006C5718"/>
    <w:rsid w:val="006C5798"/>
    <w:rsid w:val="006C5806"/>
    <w:rsid w:val="006C5929"/>
    <w:rsid w:val="006C59E3"/>
    <w:rsid w:val="006C59FA"/>
    <w:rsid w:val="006C5CF7"/>
    <w:rsid w:val="006C5FA8"/>
    <w:rsid w:val="006C616E"/>
    <w:rsid w:val="006C630B"/>
    <w:rsid w:val="006C6326"/>
    <w:rsid w:val="006C633A"/>
    <w:rsid w:val="006C638B"/>
    <w:rsid w:val="006C6418"/>
    <w:rsid w:val="006C6527"/>
    <w:rsid w:val="006C660F"/>
    <w:rsid w:val="006C665A"/>
    <w:rsid w:val="006C66A2"/>
    <w:rsid w:val="006C66AF"/>
    <w:rsid w:val="006C696D"/>
    <w:rsid w:val="006C6B7E"/>
    <w:rsid w:val="006C6C2D"/>
    <w:rsid w:val="006C6C4D"/>
    <w:rsid w:val="006C6FF5"/>
    <w:rsid w:val="006C7017"/>
    <w:rsid w:val="006C70FF"/>
    <w:rsid w:val="006C7168"/>
    <w:rsid w:val="006C751F"/>
    <w:rsid w:val="006C7532"/>
    <w:rsid w:val="006C765F"/>
    <w:rsid w:val="006C7725"/>
    <w:rsid w:val="006C7746"/>
    <w:rsid w:val="006C7981"/>
    <w:rsid w:val="006C79CA"/>
    <w:rsid w:val="006C7A3D"/>
    <w:rsid w:val="006C7BFD"/>
    <w:rsid w:val="006C7C30"/>
    <w:rsid w:val="006C7F94"/>
    <w:rsid w:val="006D00B6"/>
    <w:rsid w:val="006D064C"/>
    <w:rsid w:val="006D0697"/>
    <w:rsid w:val="006D0A82"/>
    <w:rsid w:val="006D0BBF"/>
    <w:rsid w:val="006D0CBA"/>
    <w:rsid w:val="006D0DFE"/>
    <w:rsid w:val="006D0EC0"/>
    <w:rsid w:val="006D1003"/>
    <w:rsid w:val="006D11F1"/>
    <w:rsid w:val="006D1205"/>
    <w:rsid w:val="006D1334"/>
    <w:rsid w:val="006D136F"/>
    <w:rsid w:val="006D174C"/>
    <w:rsid w:val="006D1811"/>
    <w:rsid w:val="006D1B1B"/>
    <w:rsid w:val="006D1D24"/>
    <w:rsid w:val="006D1E85"/>
    <w:rsid w:val="006D2045"/>
    <w:rsid w:val="006D218F"/>
    <w:rsid w:val="006D23F2"/>
    <w:rsid w:val="006D251C"/>
    <w:rsid w:val="006D2718"/>
    <w:rsid w:val="006D2A7C"/>
    <w:rsid w:val="006D2A8B"/>
    <w:rsid w:val="006D2B10"/>
    <w:rsid w:val="006D2D41"/>
    <w:rsid w:val="006D2DF4"/>
    <w:rsid w:val="006D30A3"/>
    <w:rsid w:val="006D330B"/>
    <w:rsid w:val="006D347A"/>
    <w:rsid w:val="006D34BE"/>
    <w:rsid w:val="006D35D7"/>
    <w:rsid w:val="006D386E"/>
    <w:rsid w:val="006D38FD"/>
    <w:rsid w:val="006D395F"/>
    <w:rsid w:val="006D3A5B"/>
    <w:rsid w:val="006D3FAD"/>
    <w:rsid w:val="006D3FBD"/>
    <w:rsid w:val="006D40BA"/>
    <w:rsid w:val="006D418F"/>
    <w:rsid w:val="006D424B"/>
    <w:rsid w:val="006D4279"/>
    <w:rsid w:val="006D42E5"/>
    <w:rsid w:val="006D451E"/>
    <w:rsid w:val="006D458B"/>
    <w:rsid w:val="006D45E7"/>
    <w:rsid w:val="006D45F4"/>
    <w:rsid w:val="006D4644"/>
    <w:rsid w:val="006D46BE"/>
    <w:rsid w:val="006D49DC"/>
    <w:rsid w:val="006D49EB"/>
    <w:rsid w:val="006D4A38"/>
    <w:rsid w:val="006D4A61"/>
    <w:rsid w:val="006D4AD2"/>
    <w:rsid w:val="006D4BB6"/>
    <w:rsid w:val="006D4BD1"/>
    <w:rsid w:val="006D4CBF"/>
    <w:rsid w:val="006D54FA"/>
    <w:rsid w:val="006D55BE"/>
    <w:rsid w:val="006D58A8"/>
    <w:rsid w:val="006D5904"/>
    <w:rsid w:val="006D5A89"/>
    <w:rsid w:val="006D5B6A"/>
    <w:rsid w:val="006D606A"/>
    <w:rsid w:val="006D622E"/>
    <w:rsid w:val="006D6732"/>
    <w:rsid w:val="006D676D"/>
    <w:rsid w:val="006D67DE"/>
    <w:rsid w:val="006D6887"/>
    <w:rsid w:val="006D689C"/>
    <w:rsid w:val="006D69B6"/>
    <w:rsid w:val="006D6B79"/>
    <w:rsid w:val="006D6B9E"/>
    <w:rsid w:val="006D6FAF"/>
    <w:rsid w:val="006D70D9"/>
    <w:rsid w:val="006D71D7"/>
    <w:rsid w:val="006D7204"/>
    <w:rsid w:val="006D734D"/>
    <w:rsid w:val="006D7513"/>
    <w:rsid w:val="006D780C"/>
    <w:rsid w:val="006D7912"/>
    <w:rsid w:val="006D794D"/>
    <w:rsid w:val="006D79D8"/>
    <w:rsid w:val="006D7C59"/>
    <w:rsid w:val="006D7F03"/>
    <w:rsid w:val="006D7F13"/>
    <w:rsid w:val="006D7F8F"/>
    <w:rsid w:val="006D7FD3"/>
    <w:rsid w:val="006E0166"/>
    <w:rsid w:val="006E02E3"/>
    <w:rsid w:val="006E0312"/>
    <w:rsid w:val="006E058E"/>
    <w:rsid w:val="006E060D"/>
    <w:rsid w:val="006E064A"/>
    <w:rsid w:val="006E0686"/>
    <w:rsid w:val="006E06B6"/>
    <w:rsid w:val="006E0750"/>
    <w:rsid w:val="006E07B2"/>
    <w:rsid w:val="006E07D5"/>
    <w:rsid w:val="006E087B"/>
    <w:rsid w:val="006E0C6F"/>
    <w:rsid w:val="006E0C8C"/>
    <w:rsid w:val="006E0D04"/>
    <w:rsid w:val="006E0D49"/>
    <w:rsid w:val="006E1072"/>
    <w:rsid w:val="006E1110"/>
    <w:rsid w:val="006E126E"/>
    <w:rsid w:val="006E1331"/>
    <w:rsid w:val="006E1413"/>
    <w:rsid w:val="006E1755"/>
    <w:rsid w:val="006E1810"/>
    <w:rsid w:val="006E1854"/>
    <w:rsid w:val="006E19A4"/>
    <w:rsid w:val="006E1B60"/>
    <w:rsid w:val="006E1C2A"/>
    <w:rsid w:val="006E1D76"/>
    <w:rsid w:val="006E1F3D"/>
    <w:rsid w:val="006E1FF3"/>
    <w:rsid w:val="006E202A"/>
    <w:rsid w:val="006E22A2"/>
    <w:rsid w:val="006E22F2"/>
    <w:rsid w:val="006E2317"/>
    <w:rsid w:val="006E233B"/>
    <w:rsid w:val="006E23D1"/>
    <w:rsid w:val="006E24A8"/>
    <w:rsid w:val="006E254B"/>
    <w:rsid w:val="006E26C6"/>
    <w:rsid w:val="006E28C3"/>
    <w:rsid w:val="006E2A1C"/>
    <w:rsid w:val="006E2AD3"/>
    <w:rsid w:val="006E2B88"/>
    <w:rsid w:val="006E2D1C"/>
    <w:rsid w:val="006E2D5E"/>
    <w:rsid w:val="006E2DFB"/>
    <w:rsid w:val="006E2EEC"/>
    <w:rsid w:val="006E34D5"/>
    <w:rsid w:val="006E3629"/>
    <w:rsid w:val="006E36FD"/>
    <w:rsid w:val="006E371F"/>
    <w:rsid w:val="006E39CE"/>
    <w:rsid w:val="006E39DE"/>
    <w:rsid w:val="006E3AA3"/>
    <w:rsid w:val="006E3C94"/>
    <w:rsid w:val="006E3D57"/>
    <w:rsid w:val="006E3DD8"/>
    <w:rsid w:val="006E3DEA"/>
    <w:rsid w:val="006E4342"/>
    <w:rsid w:val="006E4567"/>
    <w:rsid w:val="006E46AE"/>
    <w:rsid w:val="006E4718"/>
    <w:rsid w:val="006E4754"/>
    <w:rsid w:val="006E4767"/>
    <w:rsid w:val="006E477E"/>
    <w:rsid w:val="006E47E0"/>
    <w:rsid w:val="006E47E6"/>
    <w:rsid w:val="006E47EF"/>
    <w:rsid w:val="006E4956"/>
    <w:rsid w:val="006E496E"/>
    <w:rsid w:val="006E4A8B"/>
    <w:rsid w:val="006E4B19"/>
    <w:rsid w:val="006E4B20"/>
    <w:rsid w:val="006E4B5D"/>
    <w:rsid w:val="006E4B78"/>
    <w:rsid w:val="006E4BB2"/>
    <w:rsid w:val="006E4BE4"/>
    <w:rsid w:val="006E4BF8"/>
    <w:rsid w:val="006E4CB4"/>
    <w:rsid w:val="006E4DA5"/>
    <w:rsid w:val="006E4DD4"/>
    <w:rsid w:val="006E4E5B"/>
    <w:rsid w:val="006E4F87"/>
    <w:rsid w:val="006E4FE2"/>
    <w:rsid w:val="006E50E4"/>
    <w:rsid w:val="006E5333"/>
    <w:rsid w:val="006E551D"/>
    <w:rsid w:val="006E5BE3"/>
    <w:rsid w:val="006E5EC3"/>
    <w:rsid w:val="006E5FB6"/>
    <w:rsid w:val="006E6066"/>
    <w:rsid w:val="006E60CD"/>
    <w:rsid w:val="006E627B"/>
    <w:rsid w:val="006E659B"/>
    <w:rsid w:val="006E66D9"/>
    <w:rsid w:val="006E672A"/>
    <w:rsid w:val="006E6752"/>
    <w:rsid w:val="006E67F4"/>
    <w:rsid w:val="006E6A60"/>
    <w:rsid w:val="006E7064"/>
    <w:rsid w:val="006E71E1"/>
    <w:rsid w:val="006E7207"/>
    <w:rsid w:val="006E722C"/>
    <w:rsid w:val="006E743B"/>
    <w:rsid w:val="006E7454"/>
    <w:rsid w:val="006E78B3"/>
    <w:rsid w:val="006E7903"/>
    <w:rsid w:val="006E7AD8"/>
    <w:rsid w:val="006E7D28"/>
    <w:rsid w:val="006E7D2E"/>
    <w:rsid w:val="006E7D3F"/>
    <w:rsid w:val="006E7DCB"/>
    <w:rsid w:val="006F0056"/>
    <w:rsid w:val="006F032C"/>
    <w:rsid w:val="006F07C3"/>
    <w:rsid w:val="006F0854"/>
    <w:rsid w:val="006F0A9A"/>
    <w:rsid w:val="006F0BF7"/>
    <w:rsid w:val="006F0CCA"/>
    <w:rsid w:val="006F0EF0"/>
    <w:rsid w:val="006F1141"/>
    <w:rsid w:val="006F1192"/>
    <w:rsid w:val="006F1288"/>
    <w:rsid w:val="006F129B"/>
    <w:rsid w:val="006F12DC"/>
    <w:rsid w:val="006F12F4"/>
    <w:rsid w:val="006F154E"/>
    <w:rsid w:val="006F16B8"/>
    <w:rsid w:val="006F19EF"/>
    <w:rsid w:val="006F1F86"/>
    <w:rsid w:val="006F2011"/>
    <w:rsid w:val="006F21C4"/>
    <w:rsid w:val="006F23EB"/>
    <w:rsid w:val="006F2418"/>
    <w:rsid w:val="006F2519"/>
    <w:rsid w:val="006F276D"/>
    <w:rsid w:val="006F2916"/>
    <w:rsid w:val="006F2946"/>
    <w:rsid w:val="006F2952"/>
    <w:rsid w:val="006F2A04"/>
    <w:rsid w:val="006F2AD3"/>
    <w:rsid w:val="006F2BB6"/>
    <w:rsid w:val="006F2D3B"/>
    <w:rsid w:val="006F2F85"/>
    <w:rsid w:val="006F33A0"/>
    <w:rsid w:val="006F34ED"/>
    <w:rsid w:val="006F363D"/>
    <w:rsid w:val="006F3666"/>
    <w:rsid w:val="006F3CF1"/>
    <w:rsid w:val="006F3D4B"/>
    <w:rsid w:val="006F3D60"/>
    <w:rsid w:val="006F3FC4"/>
    <w:rsid w:val="006F4148"/>
    <w:rsid w:val="006F4164"/>
    <w:rsid w:val="006F41B7"/>
    <w:rsid w:val="006F434F"/>
    <w:rsid w:val="006F4379"/>
    <w:rsid w:val="006F43A5"/>
    <w:rsid w:val="006F43F9"/>
    <w:rsid w:val="006F4549"/>
    <w:rsid w:val="006F45C0"/>
    <w:rsid w:val="006F45E2"/>
    <w:rsid w:val="006F4619"/>
    <w:rsid w:val="006F4666"/>
    <w:rsid w:val="006F4705"/>
    <w:rsid w:val="006F4778"/>
    <w:rsid w:val="006F47E4"/>
    <w:rsid w:val="006F481E"/>
    <w:rsid w:val="006F4861"/>
    <w:rsid w:val="006F4959"/>
    <w:rsid w:val="006F49C1"/>
    <w:rsid w:val="006F4ADC"/>
    <w:rsid w:val="006F4BC5"/>
    <w:rsid w:val="006F4C09"/>
    <w:rsid w:val="006F4CD7"/>
    <w:rsid w:val="006F4E26"/>
    <w:rsid w:val="006F50F5"/>
    <w:rsid w:val="006F5291"/>
    <w:rsid w:val="006F54C5"/>
    <w:rsid w:val="006F57B0"/>
    <w:rsid w:val="006F586D"/>
    <w:rsid w:val="006F587C"/>
    <w:rsid w:val="006F59AA"/>
    <w:rsid w:val="006F5A20"/>
    <w:rsid w:val="006F5A39"/>
    <w:rsid w:val="006F5BCD"/>
    <w:rsid w:val="006F5EB5"/>
    <w:rsid w:val="006F604B"/>
    <w:rsid w:val="006F62ED"/>
    <w:rsid w:val="006F62FF"/>
    <w:rsid w:val="006F6365"/>
    <w:rsid w:val="006F65E6"/>
    <w:rsid w:val="006F666F"/>
    <w:rsid w:val="006F6694"/>
    <w:rsid w:val="006F66B2"/>
    <w:rsid w:val="006F6777"/>
    <w:rsid w:val="006F679A"/>
    <w:rsid w:val="006F67A8"/>
    <w:rsid w:val="006F67B4"/>
    <w:rsid w:val="006F6914"/>
    <w:rsid w:val="006F6A1F"/>
    <w:rsid w:val="006F6B31"/>
    <w:rsid w:val="006F6B92"/>
    <w:rsid w:val="006F6DA5"/>
    <w:rsid w:val="006F7007"/>
    <w:rsid w:val="006F7029"/>
    <w:rsid w:val="006F73F1"/>
    <w:rsid w:val="006F764D"/>
    <w:rsid w:val="006F77EE"/>
    <w:rsid w:val="006F7A47"/>
    <w:rsid w:val="006F7BB1"/>
    <w:rsid w:val="006F7BB3"/>
    <w:rsid w:val="00700080"/>
    <w:rsid w:val="00700185"/>
    <w:rsid w:val="007001E1"/>
    <w:rsid w:val="0070030B"/>
    <w:rsid w:val="007003C4"/>
    <w:rsid w:val="007007AD"/>
    <w:rsid w:val="00700803"/>
    <w:rsid w:val="0070081E"/>
    <w:rsid w:val="0070085E"/>
    <w:rsid w:val="00700A65"/>
    <w:rsid w:val="00700BD3"/>
    <w:rsid w:val="00700D37"/>
    <w:rsid w:val="00700DCC"/>
    <w:rsid w:val="00700E97"/>
    <w:rsid w:val="00700F3E"/>
    <w:rsid w:val="007010B0"/>
    <w:rsid w:val="0070129D"/>
    <w:rsid w:val="007018B0"/>
    <w:rsid w:val="0070192E"/>
    <w:rsid w:val="00701ED6"/>
    <w:rsid w:val="00701EE3"/>
    <w:rsid w:val="007020D1"/>
    <w:rsid w:val="00702115"/>
    <w:rsid w:val="007021BE"/>
    <w:rsid w:val="00702372"/>
    <w:rsid w:val="0070244A"/>
    <w:rsid w:val="00702489"/>
    <w:rsid w:val="00702655"/>
    <w:rsid w:val="007027DB"/>
    <w:rsid w:val="0070296C"/>
    <w:rsid w:val="00702A08"/>
    <w:rsid w:val="00702A94"/>
    <w:rsid w:val="00702AD9"/>
    <w:rsid w:val="00702E65"/>
    <w:rsid w:val="00702F2F"/>
    <w:rsid w:val="00702FBD"/>
    <w:rsid w:val="00702FC0"/>
    <w:rsid w:val="0070328A"/>
    <w:rsid w:val="007035EB"/>
    <w:rsid w:val="007036E9"/>
    <w:rsid w:val="007037C9"/>
    <w:rsid w:val="00703950"/>
    <w:rsid w:val="00703CF0"/>
    <w:rsid w:val="00703DDD"/>
    <w:rsid w:val="0070411F"/>
    <w:rsid w:val="0070430E"/>
    <w:rsid w:val="00704338"/>
    <w:rsid w:val="0070447F"/>
    <w:rsid w:val="0070450D"/>
    <w:rsid w:val="0070453E"/>
    <w:rsid w:val="00704595"/>
    <w:rsid w:val="0070464D"/>
    <w:rsid w:val="0070473B"/>
    <w:rsid w:val="00704790"/>
    <w:rsid w:val="00704A4C"/>
    <w:rsid w:val="00704DFC"/>
    <w:rsid w:val="00704E16"/>
    <w:rsid w:val="007050A8"/>
    <w:rsid w:val="0070510E"/>
    <w:rsid w:val="007055F3"/>
    <w:rsid w:val="00705796"/>
    <w:rsid w:val="00705807"/>
    <w:rsid w:val="0070586C"/>
    <w:rsid w:val="007058B5"/>
    <w:rsid w:val="00705AA9"/>
    <w:rsid w:val="00705BB7"/>
    <w:rsid w:val="00705E2B"/>
    <w:rsid w:val="00705E6B"/>
    <w:rsid w:val="00705ED9"/>
    <w:rsid w:val="00705F7A"/>
    <w:rsid w:val="0070610C"/>
    <w:rsid w:val="007061F6"/>
    <w:rsid w:val="0070622C"/>
    <w:rsid w:val="0070672E"/>
    <w:rsid w:val="00706764"/>
    <w:rsid w:val="007067D7"/>
    <w:rsid w:val="0070682D"/>
    <w:rsid w:val="007069CA"/>
    <w:rsid w:val="00706AA1"/>
    <w:rsid w:val="00706AED"/>
    <w:rsid w:val="00706CBB"/>
    <w:rsid w:val="00706E0E"/>
    <w:rsid w:val="007070AC"/>
    <w:rsid w:val="007072DE"/>
    <w:rsid w:val="0070733F"/>
    <w:rsid w:val="007073FA"/>
    <w:rsid w:val="00707498"/>
    <w:rsid w:val="0070781F"/>
    <w:rsid w:val="00707AA5"/>
    <w:rsid w:val="007101DC"/>
    <w:rsid w:val="00710420"/>
    <w:rsid w:val="00710689"/>
    <w:rsid w:val="00710764"/>
    <w:rsid w:val="007107DD"/>
    <w:rsid w:val="00710868"/>
    <w:rsid w:val="00710BD0"/>
    <w:rsid w:val="00710D05"/>
    <w:rsid w:val="00710E17"/>
    <w:rsid w:val="00710E5C"/>
    <w:rsid w:val="00711029"/>
    <w:rsid w:val="007110D4"/>
    <w:rsid w:val="00711221"/>
    <w:rsid w:val="0071139E"/>
    <w:rsid w:val="0071147A"/>
    <w:rsid w:val="00711523"/>
    <w:rsid w:val="00711566"/>
    <w:rsid w:val="007115DE"/>
    <w:rsid w:val="00711723"/>
    <w:rsid w:val="007117B9"/>
    <w:rsid w:val="007117E8"/>
    <w:rsid w:val="00711AD1"/>
    <w:rsid w:val="00711C07"/>
    <w:rsid w:val="00711D08"/>
    <w:rsid w:val="00711D41"/>
    <w:rsid w:val="00711EA5"/>
    <w:rsid w:val="00712068"/>
    <w:rsid w:val="00712143"/>
    <w:rsid w:val="0071262A"/>
    <w:rsid w:val="00712798"/>
    <w:rsid w:val="007127A4"/>
    <w:rsid w:val="00712B2D"/>
    <w:rsid w:val="00712B5B"/>
    <w:rsid w:val="00712E0B"/>
    <w:rsid w:val="00712E60"/>
    <w:rsid w:val="00712FE3"/>
    <w:rsid w:val="007130A8"/>
    <w:rsid w:val="007130F8"/>
    <w:rsid w:val="00713217"/>
    <w:rsid w:val="00713297"/>
    <w:rsid w:val="00713298"/>
    <w:rsid w:val="007132B0"/>
    <w:rsid w:val="007137C5"/>
    <w:rsid w:val="007137DF"/>
    <w:rsid w:val="007137EC"/>
    <w:rsid w:val="00713871"/>
    <w:rsid w:val="0071387D"/>
    <w:rsid w:val="00713A03"/>
    <w:rsid w:val="00713AB5"/>
    <w:rsid w:val="00713AB7"/>
    <w:rsid w:val="00713B44"/>
    <w:rsid w:val="00713CFE"/>
    <w:rsid w:val="00713CFF"/>
    <w:rsid w:val="00713DA7"/>
    <w:rsid w:val="00713E2A"/>
    <w:rsid w:val="00713EED"/>
    <w:rsid w:val="0071418A"/>
    <w:rsid w:val="0071420C"/>
    <w:rsid w:val="0071442E"/>
    <w:rsid w:val="007144A2"/>
    <w:rsid w:val="00714724"/>
    <w:rsid w:val="007147A2"/>
    <w:rsid w:val="007147B4"/>
    <w:rsid w:val="00714A66"/>
    <w:rsid w:val="00714B0E"/>
    <w:rsid w:val="00714C1D"/>
    <w:rsid w:val="00714CC1"/>
    <w:rsid w:val="00714D71"/>
    <w:rsid w:val="00714EBB"/>
    <w:rsid w:val="007150E3"/>
    <w:rsid w:val="007150E8"/>
    <w:rsid w:val="007152BB"/>
    <w:rsid w:val="007152D6"/>
    <w:rsid w:val="007153CF"/>
    <w:rsid w:val="00715417"/>
    <w:rsid w:val="007155EB"/>
    <w:rsid w:val="0071563F"/>
    <w:rsid w:val="0071573B"/>
    <w:rsid w:val="0071574E"/>
    <w:rsid w:val="00715A1D"/>
    <w:rsid w:val="00715AB6"/>
    <w:rsid w:val="00715B1F"/>
    <w:rsid w:val="00715BC8"/>
    <w:rsid w:val="00715DA9"/>
    <w:rsid w:val="0071614A"/>
    <w:rsid w:val="0071619C"/>
    <w:rsid w:val="007161B4"/>
    <w:rsid w:val="007164BF"/>
    <w:rsid w:val="007164DB"/>
    <w:rsid w:val="00716648"/>
    <w:rsid w:val="00716674"/>
    <w:rsid w:val="007167F4"/>
    <w:rsid w:val="00716839"/>
    <w:rsid w:val="0071695A"/>
    <w:rsid w:val="00716B60"/>
    <w:rsid w:val="00716CAB"/>
    <w:rsid w:val="00716E1B"/>
    <w:rsid w:val="00716ECC"/>
    <w:rsid w:val="00717139"/>
    <w:rsid w:val="0071714B"/>
    <w:rsid w:val="0071714E"/>
    <w:rsid w:val="007171E7"/>
    <w:rsid w:val="007172B2"/>
    <w:rsid w:val="00717329"/>
    <w:rsid w:val="007176C5"/>
    <w:rsid w:val="007176E4"/>
    <w:rsid w:val="00717791"/>
    <w:rsid w:val="007177E4"/>
    <w:rsid w:val="00717811"/>
    <w:rsid w:val="00717AD5"/>
    <w:rsid w:val="00717AFE"/>
    <w:rsid w:val="00717DD9"/>
    <w:rsid w:val="00717EB6"/>
    <w:rsid w:val="007200E6"/>
    <w:rsid w:val="007203B2"/>
    <w:rsid w:val="007203B5"/>
    <w:rsid w:val="007205A0"/>
    <w:rsid w:val="0072069E"/>
    <w:rsid w:val="007206C6"/>
    <w:rsid w:val="007207EB"/>
    <w:rsid w:val="007208AE"/>
    <w:rsid w:val="00720B93"/>
    <w:rsid w:val="00720C0A"/>
    <w:rsid w:val="00720DF7"/>
    <w:rsid w:val="00721381"/>
    <w:rsid w:val="00721388"/>
    <w:rsid w:val="007213A3"/>
    <w:rsid w:val="007213E8"/>
    <w:rsid w:val="00721775"/>
    <w:rsid w:val="007217F9"/>
    <w:rsid w:val="0072183A"/>
    <w:rsid w:val="0072196C"/>
    <w:rsid w:val="00721AC0"/>
    <w:rsid w:val="00721CA4"/>
    <w:rsid w:val="00721E3A"/>
    <w:rsid w:val="00721E7B"/>
    <w:rsid w:val="00721F8E"/>
    <w:rsid w:val="0072207C"/>
    <w:rsid w:val="00722394"/>
    <w:rsid w:val="007224EC"/>
    <w:rsid w:val="007225C6"/>
    <w:rsid w:val="00722975"/>
    <w:rsid w:val="00722AA3"/>
    <w:rsid w:val="00722ACC"/>
    <w:rsid w:val="00722ADF"/>
    <w:rsid w:val="00722D1B"/>
    <w:rsid w:val="00722DD0"/>
    <w:rsid w:val="00722E1F"/>
    <w:rsid w:val="00722FA0"/>
    <w:rsid w:val="00722FAA"/>
    <w:rsid w:val="0072307C"/>
    <w:rsid w:val="007231CA"/>
    <w:rsid w:val="0072331D"/>
    <w:rsid w:val="0072346C"/>
    <w:rsid w:val="007234A1"/>
    <w:rsid w:val="00723621"/>
    <w:rsid w:val="007236E1"/>
    <w:rsid w:val="0072393C"/>
    <w:rsid w:val="007239C0"/>
    <w:rsid w:val="007239E2"/>
    <w:rsid w:val="00723AEA"/>
    <w:rsid w:val="00723BE8"/>
    <w:rsid w:val="00723E90"/>
    <w:rsid w:val="00724263"/>
    <w:rsid w:val="007242F7"/>
    <w:rsid w:val="00724507"/>
    <w:rsid w:val="0072452C"/>
    <w:rsid w:val="007245E2"/>
    <w:rsid w:val="00724616"/>
    <w:rsid w:val="00724683"/>
    <w:rsid w:val="00724760"/>
    <w:rsid w:val="0072480D"/>
    <w:rsid w:val="00724B22"/>
    <w:rsid w:val="00724B71"/>
    <w:rsid w:val="00724D7C"/>
    <w:rsid w:val="00725033"/>
    <w:rsid w:val="00725089"/>
    <w:rsid w:val="0072519C"/>
    <w:rsid w:val="007251A1"/>
    <w:rsid w:val="007253F8"/>
    <w:rsid w:val="0072555B"/>
    <w:rsid w:val="00725562"/>
    <w:rsid w:val="007255B2"/>
    <w:rsid w:val="00725669"/>
    <w:rsid w:val="00725750"/>
    <w:rsid w:val="007257AF"/>
    <w:rsid w:val="00725815"/>
    <w:rsid w:val="007258C0"/>
    <w:rsid w:val="00725A86"/>
    <w:rsid w:val="00725A8B"/>
    <w:rsid w:val="00725CF0"/>
    <w:rsid w:val="00725D84"/>
    <w:rsid w:val="00725D89"/>
    <w:rsid w:val="00725E31"/>
    <w:rsid w:val="00725F5B"/>
    <w:rsid w:val="00725F80"/>
    <w:rsid w:val="007260F5"/>
    <w:rsid w:val="0072611B"/>
    <w:rsid w:val="007263C2"/>
    <w:rsid w:val="007263C3"/>
    <w:rsid w:val="007265BB"/>
    <w:rsid w:val="007266AB"/>
    <w:rsid w:val="00726707"/>
    <w:rsid w:val="00726730"/>
    <w:rsid w:val="007267FC"/>
    <w:rsid w:val="0072684E"/>
    <w:rsid w:val="00726852"/>
    <w:rsid w:val="007269A5"/>
    <w:rsid w:val="00726A7A"/>
    <w:rsid w:val="00726AA2"/>
    <w:rsid w:val="00726E77"/>
    <w:rsid w:val="00726F08"/>
    <w:rsid w:val="00726F92"/>
    <w:rsid w:val="00727002"/>
    <w:rsid w:val="0072703C"/>
    <w:rsid w:val="0072707B"/>
    <w:rsid w:val="00727162"/>
    <w:rsid w:val="00727413"/>
    <w:rsid w:val="00727481"/>
    <w:rsid w:val="0072752B"/>
    <w:rsid w:val="0072754C"/>
    <w:rsid w:val="007275D3"/>
    <w:rsid w:val="007275D9"/>
    <w:rsid w:val="00727611"/>
    <w:rsid w:val="00727687"/>
    <w:rsid w:val="007276F9"/>
    <w:rsid w:val="0072775C"/>
    <w:rsid w:val="0072794C"/>
    <w:rsid w:val="007279D7"/>
    <w:rsid w:val="00727C73"/>
    <w:rsid w:val="00727D77"/>
    <w:rsid w:val="00727E73"/>
    <w:rsid w:val="00730156"/>
    <w:rsid w:val="007302C9"/>
    <w:rsid w:val="00730444"/>
    <w:rsid w:val="007305BE"/>
    <w:rsid w:val="007306A1"/>
    <w:rsid w:val="007307C8"/>
    <w:rsid w:val="007307E3"/>
    <w:rsid w:val="00730AA3"/>
    <w:rsid w:val="00730DDF"/>
    <w:rsid w:val="00730F27"/>
    <w:rsid w:val="0073129A"/>
    <w:rsid w:val="007313A3"/>
    <w:rsid w:val="007317A4"/>
    <w:rsid w:val="007317AF"/>
    <w:rsid w:val="00731808"/>
    <w:rsid w:val="007319EA"/>
    <w:rsid w:val="00731B0C"/>
    <w:rsid w:val="00731DBF"/>
    <w:rsid w:val="00731DFD"/>
    <w:rsid w:val="0073207E"/>
    <w:rsid w:val="00732081"/>
    <w:rsid w:val="0073209D"/>
    <w:rsid w:val="00732290"/>
    <w:rsid w:val="007322F2"/>
    <w:rsid w:val="00732454"/>
    <w:rsid w:val="007326BA"/>
    <w:rsid w:val="007326C6"/>
    <w:rsid w:val="00732800"/>
    <w:rsid w:val="00732BDA"/>
    <w:rsid w:val="00732C0D"/>
    <w:rsid w:val="00732CBF"/>
    <w:rsid w:val="00732E4D"/>
    <w:rsid w:val="007330AB"/>
    <w:rsid w:val="007330D5"/>
    <w:rsid w:val="0073318C"/>
    <w:rsid w:val="007334EB"/>
    <w:rsid w:val="00733502"/>
    <w:rsid w:val="0073358D"/>
    <w:rsid w:val="007335C8"/>
    <w:rsid w:val="007336BF"/>
    <w:rsid w:val="00733764"/>
    <w:rsid w:val="007337DC"/>
    <w:rsid w:val="00733CE7"/>
    <w:rsid w:val="00733D48"/>
    <w:rsid w:val="00733D76"/>
    <w:rsid w:val="00733D8F"/>
    <w:rsid w:val="00734252"/>
    <w:rsid w:val="0073428D"/>
    <w:rsid w:val="0073429F"/>
    <w:rsid w:val="0073436F"/>
    <w:rsid w:val="0073456B"/>
    <w:rsid w:val="007346FF"/>
    <w:rsid w:val="00734D61"/>
    <w:rsid w:val="00734DCC"/>
    <w:rsid w:val="00734DFF"/>
    <w:rsid w:val="00734E23"/>
    <w:rsid w:val="00735044"/>
    <w:rsid w:val="00735215"/>
    <w:rsid w:val="007352E8"/>
    <w:rsid w:val="007353A0"/>
    <w:rsid w:val="007353FF"/>
    <w:rsid w:val="00735479"/>
    <w:rsid w:val="007358CF"/>
    <w:rsid w:val="0073597A"/>
    <w:rsid w:val="00735993"/>
    <w:rsid w:val="00735997"/>
    <w:rsid w:val="00735AA9"/>
    <w:rsid w:val="00735BB8"/>
    <w:rsid w:val="00735C14"/>
    <w:rsid w:val="00735D3F"/>
    <w:rsid w:val="00735E90"/>
    <w:rsid w:val="00735EC3"/>
    <w:rsid w:val="00735F5D"/>
    <w:rsid w:val="00735FAF"/>
    <w:rsid w:val="00735FCB"/>
    <w:rsid w:val="00736343"/>
    <w:rsid w:val="007363CA"/>
    <w:rsid w:val="00736559"/>
    <w:rsid w:val="00736589"/>
    <w:rsid w:val="007365B4"/>
    <w:rsid w:val="00736631"/>
    <w:rsid w:val="0073666D"/>
    <w:rsid w:val="007366C5"/>
    <w:rsid w:val="0073670F"/>
    <w:rsid w:val="007367E6"/>
    <w:rsid w:val="00736A3C"/>
    <w:rsid w:val="00736AE0"/>
    <w:rsid w:val="00736BF8"/>
    <w:rsid w:val="00736E15"/>
    <w:rsid w:val="007370A4"/>
    <w:rsid w:val="007376C7"/>
    <w:rsid w:val="007376DA"/>
    <w:rsid w:val="00737799"/>
    <w:rsid w:val="00737891"/>
    <w:rsid w:val="00737AC4"/>
    <w:rsid w:val="00737AD5"/>
    <w:rsid w:val="00737B35"/>
    <w:rsid w:val="00737F03"/>
    <w:rsid w:val="007400C9"/>
    <w:rsid w:val="007403A4"/>
    <w:rsid w:val="007403EA"/>
    <w:rsid w:val="00740622"/>
    <w:rsid w:val="0074080C"/>
    <w:rsid w:val="007408A1"/>
    <w:rsid w:val="007409A4"/>
    <w:rsid w:val="00740A6C"/>
    <w:rsid w:val="00740A74"/>
    <w:rsid w:val="00740AD5"/>
    <w:rsid w:val="00740C0E"/>
    <w:rsid w:val="00740E24"/>
    <w:rsid w:val="00740E36"/>
    <w:rsid w:val="00740F25"/>
    <w:rsid w:val="0074107A"/>
    <w:rsid w:val="007411CA"/>
    <w:rsid w:val="0074125D"/>
    <w:rsid w:val="0074127F"/>
    <w:rsid w:val="0074128D"/>
    <w:rsid w:val="00741312"/>
    <w:rsid w:val="00741417"/>
    <w:rsid w:val="00741498"/>
    <w:rsid w:val="00741522"/>
    <w:rsid w:val="007416EE"/>
    <w:rsid w:val="007417F1"/>
    <w:rsid w:val="00741807"/>
    <w:rsid w:val="0074183C"/>
    <w:rsid w:val="0074185D"/>
    <w:rsid w:val="00741AAE"/>
    <w:rsid w:val="00741CEC"/>
    <w:rsid w:val="00741E45"/>
    <w:rsid w:val="00741FBE"/>
    <w:rsid w:val="00741FFD"/>
    <w:rsid w:val="00742135"/>
    <w:rsid w:val="00742273"/>
    <w:rsid w:val="0074228E"/>
    <w:rsid w:val="007422B6"/>
    <w:rsid w:val="0074245B"/>
    <w:rsid w:val="00742650"/>
    <w:rsid w:val="00742883"/>
    <w:rsid w:val="00742D2B"/>
    <w:rsid w:val="0074323E"/>
    <w:rsid w:val="007432E6"/>
    <w:rsid w:val="0074333A"/>
    <w:rsid w:val="007433CC"/>
    <w:rsid w:val="00743568"/>
    <w:rsid w:val="00743753"/>
    <w:rsid w:val="007438BA"/>
    <w:rsid w:val="00743928"/>
    <w:rsid w:val="007439C5"/>
    <w:rsid w:val="00743A50"/>
    <w:rsid w:val="00743E29"/>
    <w:rsid w:val="00743EBD"/>
    <w:rsid w:val="00743F4B"/>
    <w:rsid w:val="00743FD2"/>
    <w:rsid w:val="007440AA"/>
    <w:rsid w:val="007441EA"/>
    <w:rsid w:val="00744222"/>
    <w:rsid w:val="00744387"/>
    <w:rsid w:val="00744450"/>
    <w:rsid w:val="007445C4"/>
    <w:rsid w:val="0074471C"/>
    <w:rsid w:val="00744A2C"/>
    <w:rsid w:val="00744B90"/>
    <w:rsid w:val="00744D80"/>
    <w:rsid w:val="00744DDE"/>
    <w:rsid w:val="00744E27"/>
    <w:rsid w:val="00744F71"/>
    <w:rsid w:val="00744F9F"/>
    <w:rsid w:val="00745061"/>
    <w:rsid w:val="0074519E"/>
    <w:rsid w:val="007451EF"/>
    <w:rsid w:val="007452A8"/>
    <w:rsid w:val="0074532F"/>
    <w:rsid w:val="00745636"/>
    <w:rsid w:val="0074568F"/>
    <w:rsid w:val="007457C1"/>
    <w:rsid w:val="007457D2"/>
    <w:rsid w:val="0074593B"/>
    <w:rsid w:val="007459D1"/>
    <w:rsid w:val="007459F2"/>
    <w:rsid w:val="00745C9B"/>
    <w:rsid w:val="00745DE6"/>
    <w:rsid w:val="00745E09"/>
    <w:rsid w:val="00745F52"/>
    <w:rsid w:val="00745FA5"/>
    <w:rsid w:val="00746027"/>
    <w:rsid w:val="00746386"/>
    <w:rsid w:val="007463C3"/>
    <w:rsid w:val="00746446"/>
    <w:rsid w:val="0074648F"/>
    <w:rsid w:val="00746599"/>
    <w:rsid w:val="00746860"/>
    <w:rsid w:val="00746A27"/>
    <w:rsid w:val="00746AC8"/>
    <w:rsid w:val="00746B9E"/>
    <w:rsid w:val="00746BBC"/>
    <w:rsid w:val="00746DA6"/>
    <w:rsid w:val="00746FE0"/>
    <w:rsid w:val="00747040"/>
    <w:rsid w:val="007471AD"/>
    <w:rsid w:val="00747334"/>
    <w:rsid w:val="0074742D"/>
    <w:rsid w:val="007474E7"/>
    <w:rsid w:val="0074753C"/>
    <w:rsid w:val="007475A2"/>
    <w:rsid w:val="007475E7"/>
    <w:rsid w:val="00747675"/>
    <w:rsid w:val="007477D8"/>
    <w:rsid w:val="00747864"/>
    <w:rsid w:val="00747B78"/>
    <w:rsid w:val="00747E2B"/>
    <w:rsid w:val="00747F35"/>
    <w:rsid w:val="00750183"/>
    <w:rsid w:val="00750241"/>
    <w:rsid w:val="00750242"/>
    <w:rsid w:val="007502A8"/>
    <w:rsid w:val="00750367"/>
    <w:rsid w:val="00750424"/>
    <w:rsid w:val="007504DF"/>
    <w:rsid w:val="007504FA"/>
    <w:rsid w:val="007505F9"/>
    <w:rsid w:val="00750614"/>
    <w:rsid w:val="007507A9"/>
    <w:rsid w:val="0075098E"/>
    <w:rsid w:val="00750DBA"/>
    <w:rsid w:val="00750E88"/>
    <w:rsid w:val="00750EB1"/>
    <w:rsid w:val="00750EB8"/>
    <w:rsid w:val="0075103B"/>
    <w:rsid w:val="0075105F"/>
    <w:rsid w:val="007510E1"/>
    <w:rsid w:val="00751178"/>
    <w:rsid w:val="0075124C"/>
    <w:rsid w:val="007512D1"/>
    <w:rsid w:val="00751329"/>
    <w:rsid w:val="00751426"/>
    <w:rsid w:val="007514B4"/>
    <w:rsid w:val="0075166E"/>
    <w:rsid w:val="00751670"/>
    <w:rsid w:val="00751686"/>
    <w:rsid w:val="00751864"/>
    <w:rsid w:val="00751AC6"/>
    <w:rsid w:val="00751D4D"/>
    <w:rsid w:val="00751E7A"/>
    <w:rsid w:val="00751F18"/>
    <w:rsid w:val="00751FDC"/>
    <w:rsid w:val="00751FF0"/>
    <w:rsid w:val="007521D1"/>
    <w:rsid w:val="0075220A"/>
    <w:rsid w:val="00752363"/>
    <w:rsid w:val="007526CE"/>
    <w:rsid w:val="00752807"/>
    <w:rsid w:val="007528E3"/>
    <w:rsid w:val="00752AB7"/>
    <w:rsid w:val="00752AFF"/>
    <w:rsid w:val="00752C3F"/>
    <w:rsid w:val="00752D5E"/>
    <w:rsid w:val="00752E2C"/>
    <w:rsid w:val="00752E50"/>
    <w:rsid w:val="00753150"/>
    <w:rsid w:val="0075328E"/>
    <w:rsid w:val="00753366"/>
    <w:rsid w:val="007533BD"/>
    <w:rsid w:val="00753418"/>
    <w:rsid w:val="0075344A"/>
    <w:rsid w:val="00753560"/>
    <w:rsid w:val="0075370A"/>
    <w:rsid w:val="0075373C"/>
    <w:rsid w:val="00753851"/>
    <w:rsid w:val="00753A6F"/>
    <w:rsid w:val="00753ABF"/>
    <w:rsid w:val="00753C4A"/>
    <w:rsid w:val="00753FEC"/>
    <w:rsid w:val="007540A3"/>
    <w:rsid w:val="007541F8"/>
    <w:rsid w:val="00754397"/>
    <w:rsid w:val="0075444F"/>
    <w:rsid w:val="007544F7"/>
    <w:rsid w:val="00754558"/>
    <w:rsid w:val="00754865"/>
    <w:rsid w:val="00754D78"/>
    <w:rsid w:val="007550AF"/>
    <w:rsid w:val="007550B2"/>
    <w:rsid w:val="0075521E"/>
    <w:rsid w:val="007554A9"/>
    <w:rsid w:val="007554D2"/>
    <w:rsid w:val="00755563"/>
    <w:rsid w:val="007556E7"/>
    <w:rsid w:val="00755783"/>
    <w:rsid w:val="007557E0"/>
    <w:rsid w:val="00755BD1"/>
    <w:rsid w:val="00755CC8"/>
    <w:rsid w:val="00755F12"/>
    <w:rsid w:val="00756247"/>
    <w:rsid w:val="00756288"/>
    <w:rsid w:val="00756632"/>
    <w:rsid w:val="007567DA"/>
    <w:rsid w:val="0075689F"/>
    <w:rsid w:val="0075696A"/>
    <w:rsid w:val="00756A91"/>
    <w:rsid w:val="00756AAD"/>
    <w:rsid w:val="00756B8C"/>
    <w:rsid w:val="00756D00"/>
    <w:rsid w:val="00756ED1"/>
    <w:rsid w:val="00757057"/>
    <w:rsid w:val="00757091"/>
    <w:rsid w:val="00757096"/>
    <w:rsid w:val="00757143"/>
    <w:rsid w:val="00757255"/>
    <w:rsid w:val="00757315"/>
    <w:rsid w:val="00757436"/>
    <w:rsid w:val="007575F4"/>
    <w:rsid w:val="007579DA"/>
    <w:rsid w:val="00757A4D"/>
    <w:rsid w:val="00757BE2"/>
    <w:rsid w:val="00757C6D"/>
    <w:rsid w:val="00757CC2"/>
    <w:rsid w:val="00757CEF"/>
    <w:rsid w:val="00757DFF"/>
    <w:rsid w:val="00757F61"/>
    <w:rsid w:val="00757FAB"/>
    <w:rsid w:val="007600BA"/>
    <w:rsid w:val="0076015E"/>
    <w:rsid w:val="0076016B"/>
    <w:rsid w:val="00760268"/>
    <w:rsid w:val="0076031B"/>
    <w:rsid w:val="00760543"/>
    <w:rsid w:val="007605B9"/>
    <w:rsid w:val="0076073A"/>
    <w:rsid w:val="007607D0"/>
    <w:rsid w:val="00760A70"/>
    <w:rsid w:val="00760A82"/>
    <w:rsid w:val="00760A94"/>
    <w:rsid w:val="00760C19"/>
    <w:rsid w:val="00760D20"/>
    <w:rsid w:val="00760F1A"/>
    <w:rsid w:val="00760FF0"/>
    <w:rsid w:val="00761115"/>
    <w:rsid w:val="007611DF"/>
    <w:rsid w:val="0076148F"/>
    <w:rsid w:val="007615D9"/>
    <w:rsid w:val="007616A0"/>
    <w:rsid w:val="007616D5"/>
    <w:rsid w:val="00761A4D"/>
    <w:rsid w:val="00761BF3"/>
    <w:rsid w:val="00761C87"/>
    <w:rsid w:val="00761CA2"/>
    <w:rsid w:val="00761DAA"/>
    <w:rsid w:val="00761DB3"/>
    <w:rsid w:val="00761DCA"/>
    <w:rsid w:val="00761F4E"/>
    <w:rsid w:val="00762003"/>
    <w:rsid w:val="00762095"/>
    <w:rsid w:val="007621B4"/>
    <w:rsid w:val="0076223B"/>
    <w:rsid w:val="00762264"/>
    <w:rsid w:val="007622F8"/>
    <w:rsid w:val="007623E2"/>
    <w:rsid w:val="007624E6"/>
    <w:rsid w:val="007624EB"/>
    <w:rsid w:val="0076256E"/>
    <w:rsid w:val="007625CD"/>
    <w:rsid w:val="00762815"/>
    <w:rsid w:val="00762955"/>
    <w:rsid w:val="0076295C"/>
    <w:rsid w:val="00762AAD"/>
    <w:rsid w:val="00762AFB"/>
    <w:rsid w:val="00762D10"/>
    <w:rsid w:val="00762D8C"/>
    <w:rsid w:val="00762DDF"/>
    <w:rsid w:val="00763033"/>
    <w:rsid w:val="00763649"/>
    <w:rsid w:val="0076371C"/>
    <w:rsid w:val="007637C0"/>
    <w:rsid w:val="0076383F"/>
    <w:rsid w:val="007638EF"/>
    <w:rsid w:val="00763A09"/>
    <w:rsid w:val="00763A7F"/>
    <w:rsid w:val="00763D4B"/>
    <w:rsid w:val="007640CE"/>
    <w:rsid w:val="0076425C"/>
    <w:rsid w:val="007642F0"/>
    <w:rsid w:val="0076437E"/>
    <w:rsid w:val="0076468E"/>
    <w:rsid w:val="00764B38"/>
    <w:rsid w:val="00764B8A"/>
    <w:rsid w:val="00764C08"/>
    <w:rsid w:val="00764C16"/>
    <w:rsid w:val="00764CB9"/>
    <w:rsid w:val="007650BC"/>
    <w:rsid w:val="00765148"/>
    <w:rsid w:val="007652F6"/>
    <w:rsid w:val="007653CC"/>
    <w:rsid w:val="00765605"/>
    <w:rsid w:val="00765897"/>
    <w:rsid w:val="00765B1E"/>
    <w:rsid w:val="00765DE7"/>
    <w:rsid w:val="007660A5"/>
    <w:rsid w:val="0076619E"/>
    <w:rsid w:val="0076654E"/>
    <w:rsid w:val="00766583"/>
    <w:rsid w:val="007665B3"/>
    <w:rsid w:val="00766697"/>
    <w:rsid w:val="00766941"/>
    <w:rsid w:val="00766B36"/>
    <w:rsid w:val="00766CCF"/>
    <w:rsid w:val="00766DF6"/>
    <w:rsid w:val="00766E8F"/>
    <w:rsid w:val="00766EAF"/>
    <w:rsid w:val="00766F47"/>
    <w:rsid w:val="00767007"/>
    <w:rsid w:val="007670B0"/>
    <w:rsid w:val="007670BC"/>
    <w:rsid w:val="007670F3"/>
    <w:rsid w:val="00767352"/>
    <w:rsid w:val="007673B0"/>
    <w:rsid w:val="0076758C"/>
    <w:rsid w:val="00767702"/>
    <w:rsid w:val="007678E9"/>
    <w:rsid w:val="00767A92"/>
    <w:rsid w:val="00767AC3"/>
    <w:rsid w:val="00767CCF"/>
    <w:rsid w:val="00767D13"/>
    <w:rsid w:val="00767FFD"/>
    <w:rsid w:val="00770107"/>
    <w:rsid w:val="00770250"/>
    <w:rsid w:val="00770260"/>
    <w:rsid w:val="00770564"/>
    <w:rsid w:val="007707CC"/>
    <w:rsid w:val="007707F0"/>
    <w:rsid w:val="0077084A"/>
    <w:rsid w:val="007708C2"/>
    <w:rsid w:val="00770AC0"/>
    <w:rsid w:val="00770E09"/>
    <w:rsid w:val="00770E6A"/>
    <w:rsid w:val="00770F3D"/>
    <w:rsid w:val="007710FD"/>
    <w:rsid w:val="00771236"/>
    <w:rsid w:val="0077160D"/>
    <w:rsid w:val="00771B33"/>
    <w:rsid w:val="00771C30"/>
    <w:rsid w:val="00771CE9"/>
    <w:rsid w:val="00771D3A"/>
    <w:rsid w:val="0077206C"/>
    <w:rsid w:val="0077232D"/>
    <w:rsid w:val="0077233A"/>
    <w:rsid w:val="00772418"/>
    <w:rsid w:val="00772496"/>
    <w:rsid w:val="007727D1"/>
    <w:rsid w:val="0077295C"/>
    <w:rsid w:val="00772B6C"/>
    <w:rsid w:val="00772BEE"/>
    <w:rsid w:val="00772DEE"/>
    <w:rsid w:val="00772F91"/>
    <w:rsid w:val="007730F0"/>
    <w:rsid w:val="00773151"/>
    <w:rsid w:val="00773315"/>
    <w:rsid w:val="007733A9"/>
    <w:rsid w:val="007734E0"/>
    <w:rsid w:val="007737BD"/>
    <w:rsid w:val="00773883"/>
    <w:rsid w:val="007738E9"/>
    <w:rsid w:val="0077399E"/>
    <w:rsid w:val="00773CA4"/>
    <w:rsid w:val="00773DFC"/>
    <w:rsid w:val="00773EA9"/>
    <w:rsid w:val="0077401A"/>
    <w:rsid w:val="00774121"/>
    <w:rsid w:val="007742D6"/>
    <w:rsid w:val="00774493"/>
    <w:rsid w:val="0077457C"/>
    <w:rsid w:val="0077469D"/>
    <w:rsid w:val="0077494F"/>
    <w:rsid w:val="00774BB2"/>
    <w:rsid w:val="00774C91"/>
    <w:rsid w:val="00774DD1"/>
    <w:rsid w:val="00774DFD"/>
    <w:rsid w:val="00774E0E"/>
    <w:rsid w:val="00774E53"/>
    <w:rsid w:val="00774FE1"/>
    <w:rsid w:val="00775170"/>
    <w:rsid w:val="007751EE"/>
    <w:rsid w:val="0077520B"/>
    <w:rsid w:val="0077521F"/>
    <w:rsid w:val="007752B1"/>
    <w:rsid w:val="007752D8"/>
    <w:rsid w:val="0077533D"/>
    <w:rsid w:val="0077535F"/>
    <w:rsid w:val="007753FF"/>
    <w:rsid w:val="00775402"/>
    <w:rsid w:val="00775462"/>
    <w:rsid w:val="00775527"/>
    <w:rsid w:val="00775578"/>
    <w:rsid w:val="007755E2"/>
    <w:rsid w:val="00775676"/>
    <w:rsid w:val="0077574A"/>
    <w:rsid w:val="00775B9C"/>
    <w:rsid w:val="00775D36"/>
    <w:rsid w:val="00775DE3"/>
    <w:rsid w:val="00775E83"/>
    <w:rsid w:val="00776036"/>
    <w:rsid w:val="007760B5"/>
    <w:rsid w:val="007760CD"/>
    <w:rsid w:val="00776167"/>
    <w:rsid w:val="0077616B"/>
    <w:rsid w:val="0077620B"/>
    <w:rsid w:val="007762F6"/>
    <w:rsid w:val="00776398"/>
    <w:rsid w:val="007763DD"/>
    <w:rsid w:val="00776458"/>
    <w:rsid w:val="007764B1"/>
    <w:rsid w:val="00776779"/>
    <w:rsid w:val="007767AE"/>
    <w:rsid w:val="00776BF7"/>
    <w:rsid w:val="00776C92"/>
    <w:rsid w:val="00776F77"/>
    <w:rsid w:val="00777184"/>
    <w:rsid w:val="0077733F"/>
    <w:rsid w:val="00777579"/>
    <w:rsid w:val="0077759B"/>
    <w:rsid w:val="007778B5"/>
    <w:rsid w:val="007778FA"/>
    <w:rsid w:val="00777980"/>
    <w:rsid w:val="00777A67"/>
    <w:rsid w:val="00777AD8"/>
    <w:rsid w:val="00777B54"/>
    <w:rsid w:val="00777B7F"/>
    <w:rsid w:val="00777D21"/>
    <w:rsid w:val="00777F04"/>
    <w:rsid w:val="00777F4F"/>
    <w:rsid w:val="00777F5C"/>
    <w:rsid w:val="00780131"/>
    <w:rsid w:val="00780164"/>
    <w:rsid w:val="007801B9"/>
    <w:rsid w:val="007802ED"/>
    <w:rsid w:val="007805D5"/>
    <w:rsid w:val="00780631"/>
    <w:rsid w:val="00780707"/>
    <w:rsid w:val="007809C5"/>
    <w:rsid w:val="00780AB6"/>
    <w:rsid w:val="00780D0D"/>
    <w:rsid w:val="00780D4B"/>
    <w:rsid w:val="00780DB6"/>
    <w:rsid w:val="00780F91"/>
    <w:rsid w:val="00780FC0"/>
    <w:rsid w:val="00781378"/>
    <w:rsid w:val="007814EC"/>
    <w:rsid w:val="0078157E"/>
    <w:rsid w:val="0078164B"/>
    <w:rsid w:val="007816A5"/>
    <w:rsid w:val="007818E1"/>
    <w:rsid w:val="007819C6"/>
    <w:rsid w:val="00781A39"/>
    <w:rsid w:val="00781AED"/>
    <w:rsid w:val="00781AF4"/>
    <w:rsid w:val="00781B31"/>
    <w:rsid w:val="00781B50"/>
    <w:rsid w:val="00781BC9"/>
    <w:rsid w:val="00781BED"/>
    <w:rsid w:val="00781C11"/>
    <w:rsid w:val="00781E67"/>
    <w:rsid w:val="00781F22"/>
    <w:rsid w:val="00781F99"/>
    <w:rsid w:val="007820CB"/>
    <w:rsid w:val="0078228A"/>
    <w:rsid w:val="00782571"/>
    <w:rsid w:val="007825AD"/>
    <w:rsid w:val="007826DA"/>
    <w:rsid w:val="00782757"/>
    <w:rsid w:val="007827F7"/>
    <w:rsid w:val="0078288E"/>
    <w:rsid w:val="0078291E"/>
    <w:rsid w:val="00782A01"/>
    <w:rsid w:val="00782AC1"/>
    <w:rsid w:val="007830D0"/>
    <w:rsid w:val="007831D9"/>
    <w:rsid w:val="0078321E"/>
    <w:rsid w:val="00783396"/>
    <w:rsid w:val="00783430"/>
    <w:rsid w:val="00783677"/>
    <w:rsid w:val="007836D7"/>
    <w:rsid w:val="007838FE"/>
    <w:rsid w:val="00783A69"/>
    <w:rsid w:val="00783AB7"/>
    <w:rsid w:val="00783BE1"/>
    <w:rsid w:val="00783C5E"/>
    <w:rsid w:val="00783E21"/>
    <w:rsid w:val="00783FCE"/>
    <w:rsid w:val="00784051"/>
    <w:rsid w:val="00784086"/>
    <w:rsid w:val="007841E4"/>
    <w:rsid w:val="00784341"/>
    <w:rsid w:val="00784418"/>
    <w:rsid w:val="00784560"/>
    <w:rsid w:val="0078462F"/>
    <w:rsid w:val="007846C3"/>
    <w:rsid w:val="0078483F"/>
    <w:rsid w:val="00784889"/>
    <w:rsid w:val="0078495D"/>
    <w:rsid w:val="00784963"/>
    <w:rsid w:val="00784B69"/>
    <w:rsid w:val="00784DC0"/>
    <w:rsid w:val="00784DCD"/>
    <w:rsid w:val="00784E83"/>
    <w:rsid w:val="00784EF8"/>
    <w:rsid w:val="00784F1F"/>
    <w:rsid w:val="00785006"/>
    <w:rsid w:val="00785216"/>
    <w:rsid w:val="00785258"/>
    <w:rsid w:val="007855EB"/>
    <w:rsid w:val="0078561E"/>
    <w:rsid w:val="0078570A"/>
    <w:rsid w:val="0078571D"/>
    <w:rsid w:val="00785818"/>
    <w:rsid w:val="007859D1"/>
    <w:rsid w:val="007859F3"/>
    <w:rsid w:val="00785A6C"/>
    <w:rsid w:val="00785ABE"/>
    <w:rsid w:val="00785ACD"/>
    <w:rsid w:val="00785BD9"/>
    <w:rsid w:val="00785D06"/>
    <w:rsid w:val="00785D77"/>
    <w:rsid w:val="00785D91"/>
    <w:rsid w:val="00785DB9"/>
    <w:rsid w:val="00785E6A"/>
    <w:rsid w:val="00785F5C"/>
    <w:rsid w:val="00786009"/>
    <w:rsid w:val="0078628C"/>
    <w:rsid w:val="00786383"/>
    <w:rsid w:val="00786434"/>
    <w:rsid w:val="0078643B"/>
    <w:rsid w:val="0078676E"/>
    <w:rsid w:val="0078681F"/>
    <w:rsid w:val="00786954"/>
    <w:rsid w:val="007869F2"/>
    <w:rsid w:val="00786A69"/>
    <w:rsid w:val="00786AFD"/>
    <w:rsid w:val="00786B28"/>
    <w:rsid w:val="00786D80"/>
    <w:rsid w:val="00786DF2"/>
    <w:rsid w:val="00786E2F"/>
    <w:rsid w:val="00786F08"/>
    <w:rsid w:val="00787558"/>
    <w:rsid w:val="007876CD"/>
    <w:rsid w:val="007876D5"/>
    <w:rsid w:val="00787B7D"/>
    <w:rsid w:val="00787C29"/>
    <w:rsid w:val="00787D85"/>
    <w:rsid w:val="007900DF"/>
    <w:rsid w:val="0079017F"/>
    <w:rsid w:val="007903D1"/>
    <w:rsid w:val="007903D5"/>
    <w:rsid w:val="00790448"/>
    <w:rsid w:val="0079049C"/>
    <w:rsid w:val="007907A4"/>
    <w:rsid w:val="007908C6"/>
    <w:rsid w:val="00790AA0"/>
    <w:rsid w:val="00790AF6"/>
    <w:rsid w:val="00790B4B"/>
    <w:rsid w:val="00790BC0"/>
    <w:rsid w:val="00790EF3"/>
    <w:rsid w:val="00790F17"/>
    <w:rsid w:val="007914D0"/>
    <w:rsid w:val="007914DC"/>
    <w:rsid w:val="00791C7B"/>
    <w:rsid w:val="00792056"/>
    <w:rsid w:val="00792139"/>
    <w:rsid w:val="0079235B"/>
    <w:rsid w:val="00792375"/>
    <w:rsid w:val="007924F8"/>
    <w:rsid w:val="00792534"/>
    <w:rsid w:val="00792629"/>
    <w:rsid w:val="007926ED"/>
    <w:rsid w:val="0079278C"/>
    <w:rsid w:val="0079281F"/>
    <w:rsid w:val="0079295B"/>
    <w:rsid w:val="00792A17"/>
    <w:rsid w:val="00792B32"/>
    <w:rsid w:val="00792B4E"/>
    <w:rsid w:val="00792BA6"/>
    <w:rsid w:val="00792BCF"/>
    <w:rsid w:val="00792D89"/>
    <w:rsid w:val="00792D97"/>
    <w:rsid w:val="00792DB3"/>
    <w:rsid w:val="00792E45"/>
    <w:rsid w:val="00793005"/>
    <w:rsid w:val="00793017"/>
    <w:rsid w:val="0079309D"/>
    <w:rsid w:val="00793350"/>
    <w:rsid w:val="00793380"/>
    <w:rsid w:val="00793452"/>
    <w:rsid w:val="00793698"/>
    <w:rsid w:val="00793766"/>
    <w:rsid w:val="007937B5"/>
    <w:rsid w:val="00793826"/>
    <w:rsid w:val="007939B8"/>
    <w:rsid w:val="00793A79"/>
    <w:rsid w:val="00793B9A"/>
    <w:rsid w:val="00793BA6"/>
    <w:rsid w:val="00793C76"/>
    <w:rsid w:val="00793C88"/>
    <w:rsid w:val="00793EC0"/>
    <w:rsid w:val="00794051"/>
    <w:rsid w:val="007940D2"/>
    <w:rsid w:val="007940E8"/>
    <w:rsid w:val="0079433E"/>
    <w:rsid w:val="0079438D"/>
    <w:rsid w:val="007943B4"/>
    <w:rsid w:val="0079445D"/>
    <w:rsid w:val="00794630"/>
    <w:rsid w:val="007946CC"/>
    <w:rsid w:val="00794773"/>
    <w:rsid w:val="0079485C"/>
    <w:rsid w:val="007948CA"/>
    <w:rsid w:val="007949A6"/>
    <w:rsid w:val="00794A93"/>
    <w:rsid w:val="00794AFB"/>
    <w:rsid w:val="00794D2C"/>
    <w:rsid w:val="00794F40"/>
    <w:rsid w:val="0079529E"/>
    <w:rsid w:val="00795532"/>
    <w:rsid w:val="00795615"/>
    <w:rsid w:val="00795714"/>
    <w:rsid w:val="00795865"/>
    <w:rsid w:val="00795A21"/>
    <w:rsid w:val="00795A67"/>
    <w:rsid w:val="00795B60"/>
    <w:rsid w:val="00795DD4"/>
    <w:rsid w:val="00795DFD"/>
    <w:rsid w:val="00796054"/>
    <w:rsid w:val="007960F2"/>
    <w:rsid w:val="007963E7"/>
    <w:rsid w:val="0079657D"/>
    <w:rsid w:val="007966A9"/>
    <w:rsid w:val="007966DA"/>
    <w:rsid w:val="0079675A"/>
    <w:rsid w:val="0079683F"/>
    <w:rsid w:val="00796883"/>
    <w:rsid w:val="00796B85"/>
    <w:rsid w:val="00796D36"/>
    <w:rsid w:val="00797094"/>
    <w:rsid w:val="007970E3"/>
    <w:rsid w:val="00797107"/>
    <w:rsid w:val="00797472"/>
    <w:rsid w:val="00797747"/>
    <w:rsid w:val="0079797C"/>
    <w:rsid w:val="00797988"/>
    <w:rsid w:val="00797E8D"/>
    <w:rsid w:val="00797E96"/>
    <w:rsid w:val="00797F5D"/>
    <w:rsid w:val="007A004B"/>
    <w:rsid w:val="007A0095"/>
    <w:rsid w:val="007A03A5"/>
    <w:rsid w:val="007A056B"/>
    <w:rsid w:val="007A0721"/>
    <w:rsid w:val="007A07EE"/>
    <w:rsid w:val="007A08D6"/>
    <w:rsid w:val="007A098C"/>
    <w:rsid w:val="007A0D35"/>
    <w:rsid w:val="007A0E2E"/>
    <w:rsid w:val="007A0F64"/>
    <w:rsid w:val="007A0FC3"/>
    <w:rsid w:val="007A1148"/>
    <w:rsid w:val="007A11C1"/>
    <w:rsid w:val="007A1233"/>
    <w:rsid w:val="007A130D"/>
    <w:rsid w:val="007A13FB"/>
    <w:rsid w:val="007A14DC"/>
    <w:rsid w:val="007A15EF"/>
    <w:rsid w:val="007A17C3"/>
    <w:rsid w:val="007A17D8"/>
    <w:rsid w:val="007A18C4"/>
    <w:rsid w:val="007A1BA8"/>
    <w:rsid w:val="007A1C4C"/>
    <w:rsid w:val="007A1D7C"/>
    <w:rsid w:val="007A1DCB"/>
    <w:rsid w:val="007A1EA6"/>
    <w:rsid w:val="007A201B"/>
    <w:rsid w:val="007A23BC"/>
    <w:rsid w:val="007A256C"/>
    <w:rsid w:val="007A2583"/>
    <w:rsid w:val="007A26C8"/>
    <w:rsid w:val="007A27B3"/>
    <w:rsid w:val="007A2901"/>
    <w:rsid w:val="007A2918"/>
    <w:rsid w:val="007A2A3E"/>
    <w:rsid w:val="007A2A6D"/>
    <w:rsid w:val="007A2CF0"/>
    <w:rsid w:val="007A2FAE"/>
    <w:rsid w:val="007A30D8"/>
    <w:rsid w:val="007A31DE"/>
    <w:rsid w:val="007A33AE"/>
    <w:rsid w:val="007A33F6"/>
    <w:rsid w:val="007A363C"/>
    <w:rsid w:val="007A3877"/>
    <w:rsid w:val="007A3975"/>
    <w:rsid w:val="007A39C1"/>
    <w:rsid w:val="007A39D9"/>
    <w:rsid w:val="007A3A09"/>
    <w:rsid w:val="007A3A50"/>
    <w:rsid w:val="007A3AB7"/>
    <w:rsid w:val="007A3BD9"/>
    <w:rsid w:val="007A3D29"/>
    <w:rsid w:val="007A3D2F"/>
    <w:rsid w:val="007A3D6E"/>
    <w:rsid w:val="007A3D9B"/>
    <w:rsid w:val="007A3DB0"/>
    <w:rsid w:val="007A4069"/>
    <w:rsid w:val="007A41CC"/>
    <w:rsid w:val="007A42CE"/>
    <w:rsid w:val="007A459E"/>
    <w:rsid w:val="007A4963"/>
    <w:rsid w:val="007A4979"/>
    <w:rsid w:val="007A4F13"/>
    <w:rsid w:val="007A4F2D"/>
    <w:rsid w:val="007A4F80"/>
    <w:rsid w:val="007A51C6"/>
    <w:rsid w:val="007A5354"/>
    <w:rsid w:val="007A5373"/>
    <w:rsid w:val="007A5494"/>
    <w:rsid w:val="007A5529"/>
    <w:rsid w:val="007A5809"/>
    <w:rsid w:val="007A5955"/>
    <w:rsid w:val="007A5ACC"/>
    <w:rsid w:val="007A5BB7"/>
    <w:rsid w:val="007A6070"/>
    <w:rsid w:val="007A614A"/>
    <w:rsid w:val="007A65B8"/>
    <w:rsid w:val="007A67B6"/>
    <w:rsid w:val="007A6934"/>
    <w:rsid w:val="007A6A78"/>
    <w:rsid w:val="007A6BE3"/>
    <w:rsid w:val="007A6C16"/>
    <w:rsid w:val="007A6EFF"/>
    <w:rsid w:val="007A71C0"/>
    <w:rsid w:val="007A721B"/>
    <w:rsid w:val="007A72E4"/>
    <w:rsid w:val="007A732C"/>
    <w:rsid w:val="007A75A0"/>
    <w:rsid w:val="007A7817"/>
    <w:rsid w:val="007A78A0"/>
    <w:rsid w:val="007A792D"/>
    <w:rsid w:val="007A7B18"/>
    <w:rsid w:val="007A7BAB"/>
    <w:rsid w:val="007A7C3E"/>
    <w:rsid w:val="007A7E15"/>
    <w:rsid w:val="007A7E82"/>
    <w:rsid w:val="007B00C2"/>
    <w:rsid w:val="007B0138"/>
    <w:rsid w:val="007B046F"/>
    <w:rsid w:val="007B0533"/>
    <w:rsid w:val="007B05BB"/>
    <w:rsid w:val="007B0652"/>
    <w:rsid w:val="007B06AA"/>
    <w:rsid w:val="007B0837"/>
    <w:rsid w:val="007B092E"/>
    <w:rsid w:val="007B0BC4"/>
    <w:rsid w:val="007B0E09"/>
    <w:rsid w:val="007B0E50"/>
    <w:rsid w:val="007B0E68"/>
    <w:rsid w:val="007B0F1B"/>
    <w:rsid w:val="007B0FC3"/>
    <w:rsid w:val="007B10F9"/>
    <w:rsid w:val="007B121C"/>
    <w:rsid w:val="007B1419"/>
    <w:rsid w:val="007B1421"/>
    <w:rsid w:val="007B1740"/>
    <w:rsid w:val="007B19A0"/>
    <w:rsid w:val="007B19FC"/>
    <w:rsid w:val="007B1B0F"/>
    <w:rsid w:val="007B1CEE"/>
    <w:rsid w:val="007B1DFB"/>
    <w:rsid w:val="007B1E05"/>
    <w:rsid w:val="007B23CD"/>
    <w:rsid w:val="007B2659"/>
    <w:rsid w:val="007B2676"/>
    <w:rsid w:val="007B2682"/>
    <w:rsid w:val="007B293C"/>
    <w:rsid w:val="007B29E6"/>
    <w:rsid w:val="007B2B74"/>
    <w:rsid w:val="007B2D3A"/>
    <w:rsid w:val="007B2E45"/>
    <w:rsid w:val="007B30E3"/>
    <w:rsid w:val="007B3168"/>
    <w:rsid w:val="007B31D3"/>
    <w:rsid w:val="007B3341"/>
    <w:rsid w:val="007B3403"/>
    <w:rsid w:val="007B345F"/>
    <w:rsid w:val="007B37E6"/>
    <w:rsid w:val="007B38C9"/>
    <w:rsid w:val="007B3BA7"/>
    <w:rsid w:val="007B3C01"/>
    <w:rsid w:val="007B3CB2"/>
    <w:rsid w:val="007B3D6C"/>
    <w:rsid w:val="007B3F57"/>
    <w:rsid w:val="007B3FED"/>
    <w:rsid w:val="007B4287"/>
    <w:rsid w:val="007B43A4"/>
    <w:rsid w:val="007B43BE"/>
    <w:rsid w:val="007B44C5"/>
    <w:rsid w:val="007B459E"/>
    <w:rsid w:val="007B462E"/>
    <w:rsid w:val="007B4738"/>
    <w:rsid w:val="007B4A14"/>
    <w:rsid w:val="007B4ACE"/>
    <w:rsid w:val="007B4B00"/>
    <w:rsid w:val="007B4B4C"/>
    <w:rsid w:val="007B4B5E"/>
    <w:rsid w:val="007B4BCC"/>
    <w:rsid w:val="007B4CB1"/>
    <w:rsid w:val="007B4E5B"/>
    <w:rsid w:val="007B52D4"/>
    <w:rsid w:val="007B5331"/>
    <w:rsid w:val="007B5413"/>
    <w:rsid w:val="007B54A4"/>
    <w:rsid w:val="007B56ED"/>
    <w:rsid w:val="007B57AC"/>
    <w:rsid w:val="007B5878"/>
    <w:rsid w:val="007B5BE6"/>
    <w:rsid w:val="007B5C05"/>
    <w:rsid w:val="007B5D69"/>
    <w:rsid w:val="007B5E62"/>
    <w:rsid w:val="007B624D"/>
    <w:rsid w:val="007B6407"/>
    <w:rsid w:val="007B6863"/>
    <w:rsid w:val="007B6BE1"/>
    <w:rsid w:val="007B6ED8"/>
    <w:rsid w:val="007B7028"/>
    <w:rsid w:val="007B704E"/>
    <w:rsid w:val="007B7109"/>
    <w:rsid w:val="007B72AF"/>
    <w:rsid w:val="007B7425"/>
    <w:rsid w:val="007B751D"/>
    <w:rsid w:val="007B76DC"/>
    <w:rsid w:val="007B7709"/>
    <w:rsid w:val="007B787E"/>
    <w:rsid w:val="007B7C2C"/>
    <w:rsid w:val="007B7D1C"/>
    <w:rsid w:val="007B7F0E"/>
    <w:rsid w:val="007C0055"/>
    <w:rsid w:val="007C0180"/>
    <w:rsid w:val="007C0188"/>
    <w:rsid w:val="007C024B"/>
    <w:rsid w:val="007C03B6"/>
    <w:rsid w:val="007C04BB"/>
    <w:rsid w:val="007C04F4"/>
    <w:rsid w:val="007C0554"/>
    <w:rsid w:val="007C0705"/>
    <w:rsid w:val="007C0798"/>
    <w:rsid w:val="007C091D"/>
    <w:rsid w:val="007C0999"/>
    <w:rsid w:val="007C0A36"/>
    <w:rsid w:val="007C0ACB"/>
    <w:rsid w:val="007C0AE4"/>
    <w:rsid w:val="007C0D15"/>
    <w:rsid w:val="007C0F59"/>
    <w:rsid w:val="007C0FAD"/>
    <w:rsid w:val="007C118F"/>
    <w:rsid w:val="007C11F0"/>
    <w:rsid w:val="007C1348"/>
    <w:rsid w:val="007C15EF"/>
    <w:rsid w:val="007C1664"/>
    <w:rsid w:val="007C177F"/>
    <w:rsid w:val="007C17BB"/>
    <w:rsid w:val="007C1B61"/>
    <w:rsid w:val="007C1CC9"/>
    <w:rsid w:val="007C1D48"/>
    <w:rsid w:val="007C1E42"/>
    <w:rsid w:val="007C1F60"/>
    <w:rsid w:val="007C230A"/>
    <w:rsid w:val="007C2379"/>
    <w:rsid w:val="007C238E"/>
    <w:rsid w:val="007C23E8"/>
    <w:rsid w:val="007C2678"/>
    <w:rsid w:val="007C2867"/>
    <w:rsid w:val="007C28A4"/>
    <w:rsid w:val="007C2B7B"/>
    <w:rsid w:val="007C2C6B"/>
    <w:rsid w:val="007C2E4A"/>
    <w:rsid w:val="007C2E61"/>
    <w:rsid w:val="007C2E64"/>
    <w:rsid w:val="007C2F8E"/>
    <w:rsid w:val="007C2FD1"/>
    <w:rsid w:val="007C2FE1"/>
    <w:rsid w:val="007C2FED"/>
    <w:rsid w:val="007C307B"/>
    <w:rsid w:val="007C324B"/>
    <w:rsid w:val="007C32F7"/>
    <w:rsid w:val="007C34DE"/>
    <w:rsid w:val="007C3513"/>
    <w:rsid w:val="007C35C6"/>
    <w:rsid w:val="007C375E"/>
    <w:rsid w:val="007C39DB"/>
    <w:rsid w:val="007C3A25"/>
    <w:rsid w:val="007C3AF2"/>
    <w:rsid w:val="007C3C22"/>
    <w:rsid w:val="007C3C4B"/>
    <w:rsid w:val="007C3D52"/>
    <w:rsid w:val="007C3D9E"/>
    <w:rsid w:val="007C3DD7"/>
    <w:rsid w:val="007C4007"/>
    <w:rsid w:val="007C4020"/>
    <w:rsid w:val="007C4039"/>
    <w:rsid w:val="007C42BC"/>
    <w:rsid w:val="007C439F"/>
    <w:rsid w:val="007C4568"/>
    <w:rsid w:val="007C4588"/>
    <w:rsid w:val="007C4789"/>
    <w:rsid w:val="007C4C76"/>
    <w:rsid w:val="007C4D58"/>
    <w:rsid w:val="007C4D6B"/>
    <w:rsid w:val="007C4D75"/>
    <w:rsid w:val="007C4EB5"/>
    <w:rsid w:val="007C4F3B"/>
    <w:rsid w:val="007C5017"/>
    <w:rsid w:val="007C5475"/>
    <w:rsid w:val="007C54C6"/>
    <w:rsid w:val="007C555F"/>
    <w:rsid w:val="007C557B"/>
    <w:rsid w:val="007C5587"/>
    <w:rsid w:val="007C56D1"/>
    <w:rsid w:val="007C56DC"/>
    <w:rsid w:val="007C56E4"/>
    <w:rsid w:val="007C59DB"/>
    <w:rsid w:val="007C5EBD"/>
    <w:rsid w:val="007C5ECC"/>
    <w:rsid w:val="007C6025"/>
    <w:rsid w:val="007C6048"/>
    <w:rsid w:val="007C6433"/>
    <w:rsid w:val="007C65AD"/>
    <w:rsid w:val="007C65F3"/>
    <w:rsid w:val="007C695E"/>
    <w:rsid w:val="007C69D9"/>
    <w:rsid w:val="007C6A48"/>
    <w:rsid w:val="007C6B13"/>
    <w:rsid w:val="007C6BC2"/>
    <w:rsid w:val="007C7129"/>
    <w:rsid w:val="007C715F"/>
    <w:rsid w:val="007C72D3"/>
    <w:rsid w:val="007C732C"/>
    <w:rsid w:val="007C73E5"/>
    <w:rsid w:val="007C73ED"/>
    <w:rsid w:val="007C748D"/>
    <w:rsid w:val="007C74A1"/>
    <w:rsid w:val="007C7889"/>
    <w:rsid w:val="007C7894"/>
    <w:rsid w:val="007C7A3A"/>
    <w:rsid w:val="007C7B48"/>
    <w:rsid w:val="007C7BF4"/>
    <w:rsid w:val="007C7C5D"/>
    <w:rsid w:val="007C7D18"/>
    <w:rsid w:val="007C7D1C"/>
    <w:rsid w:val="007C7D4C"/>
    <w:rsid w:val="007C7E4C"/>
    <w:rsid w:val="007D0032"/>
    <w:rsid w:val="007D00AF"/>
    <w:rsid w:val="007D00B1"/>
    <w:rsid w:val="007D021B"/>
    <w:rsid w:val="007D0248"/>
    <w:rsid w:val="007D029D"/>
    <w:rsid w:val="007D0699"/>
    <w:rsid w:val="007D07F7"/>
    <w:rsid w:val="007D0866"/>
    <w:rsid w:val="007D0868"/>
    <w:rsid w:val="007D0E12"/>
    <w:rsid w:val="007D0EA8"/>
    <w:rsid w:val="007D0ED7"/>
    <w:rsid w:val="007D0EED"/>
    <w:rsid w:val="007D0FDA"/>
    <w:rsid w:val="007D0FE9"/>
    <w:rsid w:val="007D10F3"/>
    <w:rsid w:val="007D11D8"/>
    <w:rsid w:val="007D16FC"/>
    <w:rsid w:val="007D1795"/>
    <w:rsid w:val="007D1D35"/>
    <w:rsid w:val="007D1EAC"/>
    <w:rsid w:val="007D1ED0"/>
    <w:rsid w:val="007D1EF3"/>
    <w:rsid w:val="007D1EFF"/>
    <w:rsid w:val="007D1F97"/>
    <w:rsid w:val="007D20CC"/>
    <w:rsid w:val="007D2136"/>
    <w:rsid w:val="007D21E8"/>
    <w:rsid w:val="007D23A7"/>
    <w:rsid w:val="007D25A4"/>
    <w:rsid w:val="007D25C4"/>
    <w:rsid w:val="007D2616"/>
    <w:rsid w:val="007D2671"/>
    <w:rsid w:val="007D2765"/>
    <w:rsid w:val="007D287F"/>
    <w:rsid w:val="007D28FF"/>
    <w:rsid w:val="007D294A"/>
    <w:rsid w:val="007D2A37"/>
    <w:rsid w:val="007D2C46"/>
    <w:rsid w:val="007D2C64"/>
    <w:rsid w:val="007D2C75"/>
    <w:rsid w:val="007D2CBB"/>
    <w:rsid w:val="007D2F36"/>
    <w:rsid w:val="007D2FBD"/>
    <w:rsid w:val="007D3094"/>
    <w:rsid w:val="007D3174"/>
    <w:rsid w:val="007D31B2"/>
    <w:rsid w:val="007D3223"/>
    <w:rsid w:val="007D335C"/>
    <w:rsid w:val="007D3373"/>
    <w:rsid w:val="007D34CD"/>
    <w:rsid w:val="007D3531"/>
    <w:rsid w:val="007D35B3"/>
    <w:rsid w:val="007D39C6"/>
    <w:rsid w:val="007D3B1E"/>
    <w:rsid w:val="007D3CAD"/>
    <w:rsid w:val="007D3D03"/>
    <w:rsid w:val="007D3F2B"/>
    <w:rsid w:val="007D3F41"/>
    <w:rsid w:val="007D406F"/>
    <w:rsid w:val="007D40DF"/>
    <w:rsid w:val="007D4161"/>
    <w:rsid w:val="007D416D"/>
    <w:rsid w:val="007D4268"/>
    <w:rsid w:val="007D4414"/>
    <w:rsid w:val="007D445A"/>
    <w:rsid w:val="007D44DE"/>
    <w:rsid w:val="007D45F2"/>
    <w:rsid w:val="007D48AA"/>
    <w:rsid w:val="007D4956"/>
    <w:rsid w:val="007D4981"/>
    <w:rsid w:val="007D4B8F"/>
    <w:rsid w:val="007D4DA5"/>
    <w:rsid w:val="007D4EB8"/>
    <w:rsid w:val="007D4FD3"/>
    <w:rsid w:val="007D5036"/>
    <w:rsid w:val="007D505C"/>
    <w:rsid w:val="007D50A4"/>
    <w:rsid w:val="007D517D"/>
    <w:rsid w:val="007D51E7"/>
    <w:rsid w:val="007D528B"/>
    <w:rsid w:val="007D52AC"/>
    <w:rsid w:val="007D53CC"/>
    <w:rsid w:val="007D53D2"/>
    <w:rsid w:val="007D553B"/>
    <w:rsid w:val="007D55EA"/>
    <w:rsid w:val="007D5762"/>
    <w:rsid w:val="007D5803"/>
    <w:rsid w:val="007D5843"/>
    <w:rsid w:val="007D5890"/>
    <w:rsid w:val="007D5C3E"/>
    <w:rsid w:val="007D5D81"/>
    <w:rsid w:val="007D5E96"/>
    <w:rsid w:val="007D6063"/>
    <w:rsid w:val="007D60EC"/>
    <w:rsid w:val="007D60F0"/>
    <w:rsid w:val="007D65A0"/>
    <w:rsid w:val="007D66B2"/>
    <w:rsid w:val="007D6975"/>
    <w:rsid w:val="007D6A26"/>
    <w:rsid w:val="007D6A9C"/>
    <w:rsid w:val="007D6BF3"/>
    <w:rsid w:val="007D6EDD"/>
    <w:rsid w:val="007D6F3A"/>
    <w:rsid w:val="007D73AC"/>
    <w:rsid w:val="007D740F"/>
    <w:rsid w:val="007D75B7"/>
    <w:rsid w:val="007D7849"/>
    <w:rsid w:val="007D7B03"/>
    <w:rsid w:val="007D7B59"/>
    <w:rsid w:val="007D7C7E"/>
    <w:rsid w:val="007D7D60"/>
    <w:rsid w:val="007D7E24"/>
    <w:rsid w:val="007E019E"/>
    <w:rsid w:val="007E01D3"/>
    <w:rsid w:val="007E01D9"/>
    <w:rsid w:val="007E0314"/>
    <w:rsid w:val="007E057F"/>
    <w:rsid w:val="007E0666"/>
    <w:rsid w:val="007E07A6"/>
    <w:rsid w:val="007E083D"/>
    <w:rsid w:val="007E091D"/>
    <w:rsid w:val="007E0A5E"/>
    <w:rsid w:val="007E0C9E"/>
    <w:rsid w:val="007E0D48"/>
    <w:rsid w:val="007E0D76"/>
    <w:rsid w:val="007E0DE8"/>
    <w:rsid w:val="007E0EDC"/>
    <w:rsid w:val="007E103A"/>
    <w:rsid w:val="007E13B8"/>
    <w:rsid w:val="007E1596"/>
    <w:rsid w:val="007E163C"/>
    <w:rsid w:val="007E1861"/>
    <w:rsid w:val="007E1879"/>
    <w:rsid w:val="007E1AF6"/>
    <w:rsid w:val="007E1B0E"/>
    <w:rsid w:val="007E1B7E"/>
    <w:rsid w:val="007E1BB9"/>
    <w:rsid w:val="007E1D63"/>
    <w:rsid w:val="007E1F0C"/>
    <w:rsid w:val="007E2036"/>
    <w:rsid w:val="007E219F"/>
    <w:rsid w:val="007E21A5"/>
    <w:rsid w:val="007E23AA"/>
    <w:rsid w:val="007E24C7"/>
    <w:rsid w:val="007E278E"/>
    <w:rsid w:val="007E2C00"/>
    <w:rsid w:val="007E2C48"/>
    <w:rsid w:val="007E2CEF"/>
    <w:rsid w:val="007E2D5F"/>
    <w:rsid w:val="007E2E8A"/>
    <w:rsid w:val="007E2EE7"/>
    <w:rsid w:val="007E30C6"/>
    <w:rsid w:val="007E30E3"/>
    <w:rsid w:val="007E3104"/>
    <w:rsid w:val="007E3107"/>
    <w:rsid w:val="007E3174"/>
    <w:rsid w:val="007E32EC"/>
    <w:rsid w:val="007E337A"/>
    <w:rsid w:val="007E3426"/>
    <w:rsid w:val="007E342D"/>
    <w:rsid w:val="007E35B4"/>
    <w:rsid w:val="007E3AB4"/>
    <w:rsid w:val="007E3B92"/>
    <w:rsid w:val="007E3C8A"/>
    <w:rsid w:val="007E3D61"/>
    <w:rsid w:val="007E4262"/>
    <w:rsid w:val="007E4276"/>
    <w:rsid w:val="007E428A"/>
    <w:rsid w:val="007E4343"/>
    <w:rsid w:val="007E44D1"/>
    <w:rsid w:val="007E4658"/>
    <w:rsid w:val="007E4708"/>
    <w:rsid w:val="007E473C"/>
    <w:rsid w:val="007E4894"/>
    <w:rsid w:val="007E4A53"/>
    <w:rsid w:val="007E4C5D"/>
    <w:rsid w:val="007E4D98"/>
    <w:rsid w:val="007E4E19"/>
    <w:rsid w:val="007E4E34"/>
    <w:rsid w:val="007E4EB3"/>
    <w:rsid w:val="007E4F6C"/>
    <w:rsid w:val="007E4FF3"/>
    <w:rsid w:val="007E5220"/>
    <w:rsid w:val="007E53EB"/>
    <w:rsid w:val="007E5402"/>
    <w:rsid w:val="007E5479"/>
    <w:rsid w:val="007E5489"/>
    <w:rsid w:val="007E54C1"/>
    <w:rsid w:val="007E567D"/>
    <w:rsid w:val="007E5685"/>
    <w:rsid w:val="007E56AB"/>
    <w:rsid w:val="007E5B96"/>
    <w:rsid w:val="007E5C5D"/>
    <w:rsid w:val="007E5C6A"/>
    <w:rsid w:val="007E5CC6"/>
    <w:rsid w:val="007E5E85"/>
    <w:rsid w:val="007E6066"/>
    <w:rsid w:val="007E6185"/>
    <w:rsid w:val="007E6320"/>
    <w:rsid w:val="007E639C"/>
    <w:rsid w:val="007E63B0"/>
    <w:rsid w:val="007E64BC"/>
    <w:rsid w:val="007E6513"/>
    <w:rsid w:val="007E6526"/>
    <w:rsid w:val="007E655A"/>
    <w:rsid w:val="007E69F1"/>
    <w:rsid w:val="007E6A9E"/>
    <w:rsid w:val="007E6B34"/>
    <w:rsid w:val="007E6B70"/>
    <w:rsid w:val="007E6CE5"/>
    <w:rsid w:val="007E6DD6"/>
    <w:rsid w:val="007E70AB"/>
    <w:rsid w:val="007E7319"/>
    <w:rsid w:val="007E73A8"/>
    <w:rsid w:val="007E7414"/>
    <w:rsid w:val="007E7416"/>
    <w:rsid w:val="007E7472"/>
    <w:rsid w:val="007E7595"/>
    <w:rsid w:val="007E767C"/>
    <w:rsid w:val="007E7731"/>
    <w:rsid w:val="007E7788"/>
    <w:rsid w:val="007E77E6"/>
    <w:rsid w:val="007E7900"/>
    <w:rsid w:val="007E7A05"/>
    <w:rsid w:val="007E7AEC"/>
    <w:rsid w:val="007E7CA9"/>
    <w:rsid w:val="007E7D89"/>
    <w:rsid w:val="007E7E62"/>
    <w:rsid w:val="007E7FD1"/>
    <w:rsid w:val="007E7FFD"/>
    <w:rsid w:val="007F001C"/>
    <w:rsid w:val="007F00C6"/>
    <w:rsid w:val="007F0111"/>
    <w:rsid w:val="007F0318"/>
    <w:rsid w:val="007F04DB"/>
    <w:rsid w:val="007F0538"/>
    <w:rsid w:val="007F0566"/>
    <w:rsid w:val="007F094A"/>
    <w:rsid w:val="007F0AF2"/>
    <w:rsid w:val="007F0DED"/>
    <w:rsid w:val="007F0DF7"/>
    <w:rsid w:val="007F0E56"/>
    <w:rsid w:val="007F0E81"/>
    <w:rsid w:val="007F1124"/>
    <w:rsid w:val="007F1359"/>
    <w:rsid w:val="007F1577"/>
    <w:rsid w:val="007F16FB"/>
    <w:rsid w:val="007F1786"/>
    <w:rsid w:val="007F1906"/>
    <w:rsid w:val="007F1995"/>
    <w:rsid w:val="007F1D5D"/>
    <w:rsid w:val="007F1E26"/>
    <w:rsid w:val="007F1E93"/>
    <w:rsid w:val="007F1EC9"/>
    <w:rsid w:val="007F1F56"/>
    <w:rsid w:val="007F230C"/>
    <w:rsid w:val="007F258D"/>
    <w:rsid w:val="007F25EA"/>
    <w:rsid w:val="007F2662"/>
    <w:rsid w:val="007F2760"/>
    <w:rsid w:val="007F28DA"/>
    <w:rsid w:val="007F2A0B"/>
    <w:rsid w:val="007F2A60"/>
    <w:rsid w:val="007F2AA1"/>
    <w:rsid w:val="007F2B17"/>
    <w:rsid w:val="007F2B40"/>
    <w:rsid w:val="007F2B90"/>
    <w:rsid w:val="007F2C88"/>
    <w:rsid w:val="007F2D79"/>
    <w:rsid w:val="007F2DE3"/>
    <w:rsid w:val="007F3123"/>
    <w:rsid w:val="007F32B5"/>
    <w:rsid w:val="007F33F9"/>
    <w:rsid w:val="007F3566"/>
    <w:rsid w:val="007F3710"/>
    <w:rsid w:val="007F373B"/>
    <w:rsid w:val="007F3840"/>
    <w:rsid w:val="007F3973"/>
    <w:rsid w:val="007F3A27"/>
    <w:rsid w:val="007F3A8F"/>
    <w:rsid w:val="007F3B58"/>
    <w:rsid w:val="007F3BBF"/>
    <w:rsid w:val="007F3BEE"/>
    <w:rsid w:val="007F3D37"/>
    <w:rsid w:val="007F3D57"/>
    <w:rsid w:val="007F409F"/>
    <w:rsid w:val="007F40D6"/>
    <w:rsid w:val="007F414D"/>
    <w:rsid w:val="007F4324"/>
    <w:rsid w:val="007F463F"/>
    <w:rsid w:val="007F46DB"/>
    <w:rsid w:val="007F47F5"/>
    <w:rsid w:val="007F4860"/>
    <w:rsid w:val="007F4A13"/>
    <w:rsid w:val="007F4D9D"/>
    <w:rsid w:val="007F4DF0"/>
    <w:rsid w:val="007F4E04"/>
    <w:rsid w:val="007F5058"/>
    <w:rsid w:val="007F51A1"/>
    <w:rsid w:val="007F523A"/>
    <w:rsid w:val="007F5393"/>
    <w:rsid w:val="007F5400"/>
    <w:rsid w:val="007F55DE"/>
    <w:rsid w:val="007F5618"/>
    <w:rsid w:val="007F579F"/>
    <w:rsid w:val="007F57A9"/>
    <w:rsid w:val="007F5838"/>
    <w:rsid w:val="007F5E42"/>
    <w:rsid w:val="007F5E50"/>
    <w:rsid w:val="007F5E8F"/>
    <w:rsid w:val="007F5F04"/>
    <w:rsid w:val="007F601F"/>
    <w:rsid w:val="007F605B"/>
    <w:rsid w:val="007F6105"/>
    <w:rsid w:val="007F650B"/>
    <w:rsid w:val="007F654E"/>
    <w:rsid w:val="007F6651"/>
    <w:rsid w:val="007F6B85"/>
    <w:rsid w:val="007F6BEA"/>
    <w:rsid w:val="007F6C1D"/>
    <w:rsid w:val="007F6C2B"/>
    <w:rsid w:val="007F6E0A"/>
    <w:rsid w:val="007F70F9"/>
    <w:rsid w:val="007F711D"/>
    <w:rsid w:val="007F7156"/>
    <w:rsid w:val="007F716E"/>
    <w:rsid w:val="007F720D"/>
    <w:rsid w:val="007F7576"/>
    <w:rsid w:val="007F7990"/>
    <w:rsid w:val="007F7E1E"/>
    <w:rsid w:val="007F7EE7"/>
    <w:rsid w:val="00800004"/>
    <w:rsid w:val="0080007E"/>
    <w:rsid w:val="00800354"/>
    <w:rsid w:val="00800418"/>
    <w:rsid w:val="0080045A"/>
    <w:rsid w:val="008005D8"/>
    <w:rsid w:val="00800924"/>
    <w:rsid w:val="00800967"/>
    <w:rsid w:val="00800A1D"/>
    <w:rsid w:val="00800BED"/>
    <w:rsid w:val="00800C22"/>
    <w:rsid w:val="00800C5C"/>
    <w:rsid w:val="00800DF7"/>
    <w:rsid w:val="00800EB4"/>
    <w:rsid w:val="00801088"/>
    <w:rsid w:val="0080128E"/>
    <w:rsid w:val="008013B7"/>
    <w:rsid w:val="008014EC"/>
    <w:rsid w:val="008015DF"/>
    <w:rsid w:val="008016FA"/>
    <w:rsid w:val="0080180D"/>
    <w:rsid w:val="008018FA"/>
    <w:rsid w:val="00801BAC"/>
    <w:rsid w:val="00801DE7"/>
    <w:rsid w:val="00801DF6"/>
    <w:rsid w:val="00802118"/>
    <w:rsid w:val="008021C5"/>
    <w:rsid w:val="008023AE"/>
    <w:rsid w:val="0080263A"/>
    <w:rsid w:val="00802720"/>
    <w:rsid w:val="0080273E"/>
    <w:rsid w:val="008028F5"/>
    <w:rsid w:val="00802954"/>
    <w:rsid w:val="00802AAD"/>
    <w:rsid w:val="00802B1D"/>
    <w:rsid w:val="00802E05"/>
    <w:rsid w:val="00802E61"/>
    <w:rsid w:val="00802E6A"/>
    <w:rsid w:val="0080308C"/>
    <w:rsid w:val="0080317C"/>
    <w:rsid w:val="00803399"/>
    <w:rsid w:val="008035A6"/>
    <w:rsid w:val="00803645"/>
    <w:rsid w:val="00803656"/>
    <w:rsid w:val="00803682"/>
    <w:rsid w:val="008036CF"/>
    <w:rsid w:val="0080378B"/>
    <w:rsid w:val="008038C7"/>
    <w:rsid w:val="0080392B"/>
    <w:rsid w:val="00803A3C"/>
    <w:rsid w:val="00803AEB"/>
    <w:rsid w:val="00803B75"/>
    <w:rsid w:val="00803F19"/>
    <w:rsid w:val="00803F31"/>
    <w:rsid w:val="00803FFA"/>
    <w:rsid w:val="00804039"/>
    <w:rsid w:val="00804175"/>
    <w:rsid w:val="008041C3"/>
    <w:rsid w:val="008041F7"/>
    <w:rsid w:val="0080423D"/>
    <w:rsid w:val="008042A2"/>
    <w:rsid w:val="008042CA"/>
    <w:rsid w:val="008042CF"/>
    <w:rsid w:val="008043B2"/>
    <w:rsid w:val="008043C4"/>
    <w:rsid w:val="008045A6"/>
    <w:rsid w:val="008045B4"/>
    <w:rsid w:val="008045F6"/>
    <w:rsid w:val="0080464B"/>
    <w:rsid w:val="0080490A"/>
    <w:rsid w:val="00804911"/>
    <w:rsid w:val="008049BD"/>
    <w:rsid w:val="008049F6"/>
    <w:rsid w:val="00804A1D"/>
    <w:rsid w:val="00804B0B"/>
    <w:rsid w:val="00804B9B"/>
    <w:rsid w:val="00804EF4"/>
    <w:rsid w:val="008050F4"/>
    <w:rsid w:val="00805298"/>
    <w:rsid w:val="008053AF"/>
    <w:rsid w:val="008054B2"/>
    <w:rsid w:val="0080553F"/>
    <w:rsid w:val="00805571"/>
    <w:rsid w:val="0080559D"/>
    <w:rsid w:val="008058E2"/>
    <w:rsid w:val="008058FD"/>
    <w:rsid w:val="00805B20"/>
    <w:rsid w:val="00805B24"/>
    <w:rsid w:val="00805C9D"/>
    <w:rsid w:val="00805D31"/>
    <w:rsid w:val="00805E0F"/>
    <w:rsid w:val="00805FB7"/>
    <w:rsid w:val="0080610D"/>
    <w:rsid w:val="00806182"/>
    <w:rsid w:val="008061CB"/>
    <w:rsid w:val="00806450"/>
    <w:rsid w:val="008067AA"/>
    <w:rsid w:val="008069E1"/>
    <w:rsid w:val="00806AB6"/>
    <w:rsid w:val="00806EB7"/>
    <w:rsid w:val="00806F6C"/>
    <w:rsid w:val="00806FBF"/>
    <w:rsid w:val="00807096"/>
    <w:rsid w:val="0080728A"/>
    <w:rsid w:val="008072AE"/>
    <w:rsid w:val="0080731A"/>
    <w:rsid w:val="008074F9"/>
    <w:rsid w:val="008076CA"/>
    <w:rsid w:val="00807AEF"/>
    <w:rsid w:val="00807C21"/>
    <w:rsid w:val="00807D78"/>
    <w:rsid w:val="00807DA9"/>
    <w:rsid w:val="00807E20"/>
    <w:rsid w:val="00807E2C"/>
    <w:rsid w:val="00807F0F"/>
    <w:rsid w:val="0081009B"/>
    <w:rsid w:val="008102ED"/>
    <w:rsid w:val="0081043F"/>
    <w:rsid w:val="00810594"/>
    <w:rsid w:val="00810792"/>
    <w:rsid w:val="008107EA"/>
    <w:rsid w:val="0081085A"/>
    <w:rsid w:val="00810B0D"/>
    <w:rsid w:val="00810B39"/>
    <w:rsid w:val="00810C47"/>
    <w:rsid w:val="00810DCC"/>
    <w:rsid w:val="00810DE4"/>
    <w:rsid w:val="00810F93"/>
    <w:rsid w:val="0081110D"/>
    <w:rsid w:val="00811327"/>
    <w:rsid w:val="00811425"/>
    <w:rsid w:val="008114E8"/>
    <w:rsid w:val="00811563"/>
    <w:rsid w:val="00811698"/>
    <w:rsid w:val="008116B7"/>
    <w:rsid w:val="008118EC"/>
    <w:rsid w:val="00811AD8"/>
    <w:rsid w:val="00811B70"/>
    <w:rsid w:val="00811B7C"/>
    <w:rsid w:val="00811D62"/>
    <w:rsid w:val="00812105"/>
    <w:rsid w:val="0081216B"/>
    <w:rsid w:val="008121AB"/>
    <w:rsid w:val="00812375"/>
    <w:rsid w:val="00812524"/>
    <w:rsid w:val="0081256F"/>
    <w:rsid w:val="008127F1"/>
    <w:rsid w:val="0081287D"/>
    <w:rsid w:val="00812BAD"/>
    <w:rsid w:val="00812D03"/>
    <w:rsid w:val="00812D25"/>
    <w:rsid w:val="00812D2D"/>
    <w:rsid w:val="00812E03"/>
    <w:rsid w:val="00812F22"/>
    <w:rsid w:val="008131AA"/>
    <w:rsid w:val="00813445"/>
    <w:rsid w:val="00813600"/>
    <w:rsid w:val="008136F8"/>
    <w:rsid w:val="008136FA"/>
    <w:rsid w:val="008137B7"/>
    <w:rsid w:val="00813BF0"/>
    <w:rsid w:val="00813E1E"/>
    <w:rsid w:val="00813E4A"/>
    <w:rsid w:val="00814016"/>
    <w:rsid w:val="00814329"/>
    <w:rsid w:val="00814330"/>
    <w:rsid w:val="00814383"/>
    <w:rsid w:val="008143DE"/>
    <w:rsid w:val="00814682"/>
    <w:rsid w:val="008146C0"/>
    <w:rsid w:val="008147DF"/>
    <w:rsid w:val="008147E7"/>
    <w:rsid w:val="00814834"/>
    <w:rsid w:val="00814A4C"/>
    <w:rsid w:val="00814B9B"/>
    <w:rsid w:val="00814CEC"/>
    <w:rsid w:val="00814E22"/>
    <w:rsid w:val="00814EF5"/>
    <w:rsid w:val="00814F33"/>
    <w:rsid w:val="00814FE0"/>
    <w:rsid w:val="0081502D"/>
    <w:rsid w:val="0081509E"/>
    <w:rsid w:val="00815186"/>
    <w:rsid w:val="008151D3"/>
    <w:rsid w:val="0081521F"/>
    <w:rsid w:val="008153FB"/>
    <w:rsid w:val="00815456"/>
    <w:rsid w:val="008154A2"/>
    <w:rsid w:val="008154FD"/>
    <w:rsid w:val="00815500"/>
    <w:rsid w:val="00815513"/>
    <w:rsid w:val="00815666"/>
    <w:rsid w:val="0081576A"/>
    <w:rsid w:val="008157BE"/>
    <w:rsid w:val="00815844"/>
    <w:rsid w:val="008158B9"/>
    <w:rsid w:val="008158E2"/>
    <w:rsid w:val="00815B88"/>
    <w:rsid w:val="00815DE5"/>
    <w:rsid w:val="0081617F"/>
    <w:rsid w:val="00816353"/>
    <w:rsid w:val="00816374"/>
    <w:rsid w:val="008164DC"/>
    <w:rsid w:val="0081667C"/>
    <w:rsid w:val="00816AE5"/>
    <w:rsid w:val="00816E97"/>
    <w:rsid w:val="00816FF5"/>
    <w:rsid w:val="0081715A"/>
    <w:rsid w:val="008174F8"/>
    <w:rsid w:val="008176CB"/>
    <w:rsid w:val="008176F0"/>
    <w:rsid w:val="008178E0"/>
    <w:rsid w:val="008179C2"/>
    <w:rsid w:val="00817B69"/>
    <w:rsid w:val="00817BE6"/>
    <w:rsid w:val="00817D3F"/>
    <w:rsid w:val="00817E62"/>
    <w:rsid w:val="00817F1A"/>
    <w:rsid w:val="0082020A"/>
    <w:rsid w:val="008202F4"/>
    <w:rsid w:val="008203E9"/>
    <w:rsid w:val="008204D4"/>
    <w:rsid w:val="008205B5"/>
    <w:rsid w:val="00820733"/>
    <w:rsid w:val="00820A80"/>
    <w:rsid w:val="00820AB1"/>
    <w:rsid w:val="00820EC9"/>
    <w:rsid w:val="0082103B"/>
    <w:rsid w:val="00821042"/>
    <w:rsid w:val="00821095"/>
    <w:rsid w:val="008210A2"/>
    <w:rsid w:val="00821303"/>
    <w:rsid w:val="0082133C"/>
    <w:rsid w:val="0082134D"/>
    <w:rsid w:val="008213B9"/>
    <w:rsid w:val="00821470"/>
    <w:rsid w:val="0082158F"/>
    <w:rsid w:val="00821744"/>
    <w:rsid w:val="00821869"/>
    <w:rsid w:val="00821B42"/>
    <w:rsid w:val="00821C21"/>
    <w:rsid w:val="00821D43"/>
    <w:rsid w:val="00821D89"/>
    <w:rsid w:val="00821FC7"/>
    <w:rsid w:val="00822118"/>
    <w:rsid w:val="008222DC"/>
    <w:rsid w:val="0082236C"/>
    <w:rsid w:val="008223AB"/>
    <w:rsid w:val="008223F9"/>
    <w:rsid w:val="00822513"/>
    <w:rsid w:val="0082252A"/>
    <w:rsid w:val="00822551"/>
    <w:rsid w:val="008227A5"/>
    <w:rsid w:val="00822946"/>
    <w:rsid w:val="00822D17"/>
    <w:rsid w:val="00822D8C"/>
    <w:rsid w:val="00822E60"/>
    <w:rsid w:val="00823177"/>
    <w:rsid w:val="0082321C"/>
    <w:rsid w:val="0082329F"/>
    <w:rsid w:val="00823415"/>
    <w:rsid w:val="00823525"/>
    <w:rsid w:val="008239EE"/>
    <w:rsid w:val="008239F4"/>
    <w:rsid w:val="008239FA"/>
    <w:rsid w:val="00823A4F"/>
    <w:rsid w:val="00823A90"/>
    <w:rsid w:val="00823C42"/>
    <w:rsid w:val="00823CD8"/>
    <w:rsid w:val="00823F9E"/>
    <w:rsid w:val="0082405A"/>
    <w:rsid w:val="008240D3"/>
    <w:rsid w:val="00824245"/>
    <w:rsid w:val="00824563"/>
    <w:rsid w:val="0082462A"/>
    <w:rsid w:val="00824683"/>
    <w:rsid w:val="008246D4"/>
    <w:rsid w:val="00824761"/>
    <w:rsid w:val="008247FD"/>
    <w:rsid w:val="008248D1"/>
    <w:rsid w:val="0082494F"/>
    <w:rsid w:val="00824A4A"/>
    <w:rsid w:val="00824A6C"/>
    <w:rsid w:val="00824B84"/>
    <w:rsid w:val="00824CA3"/>
    <w:rsid w:val="00824DB6"/>
    <w:rsid w:val="00824E0E"/>
    <w:rsid w:val="00825260"/>
    <w:rsid w:val="008252C0"/>
    <w:rsid w:val="0082563A"/>
    <w:rsid w:val="008256A0"/>
    <w:rsid w:val="00825949"/>
    <w:rsid w:val="00825A37"/>
    <w:rsid w:val="00825C52"/>
    <w:rsid w:val="00825DA5"/>
    <w:rsid w:val="00825DA6"/>
    <w:rsid w:val="00825EE9"/>
    <w:rsid w:val="00826038"/>
    <w:rsid w:val="008261BB"/>
    <w:rsid w:val="00826269"/>
    <w:rsid w:val="008262C4"/>
    <w:rsid w:val="0082632A"/>
    <w:rsid w:val="008264F3"/>
    <w:rsid w:val="0082662C"/>
    <w:rsid w:val="0082672F"/>
    <w:rsid w:val="00826824"/>
    <w:rsid w:val="008268D8"/>
    <w:rsid w:val="008269CB"/>
    <w:rsid w:val="00826B77"/>
    <w:rsid w:val="00826C6C"/>
    <w:rsid w:val="00826C84"/>
    <w:rsid w:val="00826DBD"/>
    <w:rsid w:val="00826EA7"/>
    <w:rsid w:val="0082720D"/>
    <w:rsid w:val="00827272"/>
    <w:rsid w:val="0082764E"/>
    <w:rsid w:val="00827667"/>
    <w:rsid w:val="008277F2"/>
    <w:rsid w:val="00827805"/>
    <w:rsid w:val="00827812"/>
    <w:rsid w:val="00827D1D"/>
    <w:rsid w:val="00827D44"/>
    <w:rsid w:val="00827E9B"/>
    <w:rsid w:val="00830061"/>
    <w:rsid w:val="00830123"/>
    <w:rsid w:val="00830622"/>
    <w:rsid w:val="0083062F"/>
    <w:rsid w:val="008308A5"/>
    <w:rsid w:val="00830925"/>
    <w:rsid w:val="00830981"/>
    <w:rsid w:val="00830BD9"/>
    <w:rsid w:val="00830E52"/>
    <w:rsid w:val="00830E93"/>
    <w:rsid w:val="00830FA4"/>
    <w:rsid w:val="00831046"/>
    <w:rsid w:val="008310AB"/>
    <w:rsid w:val="0083112B"/>
    <w:rsid w:val="00831391"/>
    <w:rsid w:val="008315D7"/>
    <w:rsid w:val="008315EA"/>
    <w:rsid w:val="008317CB"/>
    <w:rsid w:val="00831857"/>
    <w:rsid w:val="008319E8"/>
    <w:rsid w:val="00831C16"/>
    <w:rsid w:val="00831C7E"/>
    <w:rsid w:val="00831C7F"/>
    <w:rsid w:val="00831C83"/>
    <w:rsid w:val="00831C85"/>
    <w:rsid w:val="00831CFF"/>
    <w:rsid w:val="00831D06"/>
    <w:rsid w:val="00831D2F"/>
    <w:rsid w:val="00831D78"/>
    <w:rsid w:val="00831D9E"/>
    <w:rsid w:val="00831E0C"/>
    <w:rsid w:val="00832020"/>
    <w:rsid w:val="0083205C"/>
    <w:rsid w:val="00832153"/>
    <w:rsid w:val="00832187"/>
    <w:rsid w:val="008322D5"/>
    <w:rsid w:val="00832496"/>
    <w:rsid w:val="00832522"/>
    <w:rsid w:val="00832649"/>
    <w:rsid w:val="00832982"/>
    <w:rsid w:val="00832A69"/>
    <w:rsid w:val="00832C86"/>
    <w:rsid w:val="00832D8C"/>
    <w:rsid w:val="00832E49"/>
    <w:rsid w:val="00832F65"/>
    <w:rsid w:val="00833026"/>
    <w:rsid w:val="008330BC"/>
    <w:rsid w:val="00833114"/>
    <w:rsid w:val="00833297"/>
    <w:rsid w:val="0083330E"/>
    <w:rsid w:val="0083341D"/>
    <w:rsid w:val="0083355A"/>
    <w:rsid w:val="00833576"/>
    <w:rsid w:val="008336F6"/>
    <w:rsid w:val="00833C48"/>
    <w:rsid w:val="00833C4E"/>
    <w:rsid w:val="00833C87"/>
    <w:rsid w:val="00833D1C"/>
    <w:rsid w:val="00833EA2"/>
    <w:rsid w:val="00833FFD"/>
    <w:rsid w:val="008341ED"/>
    <w:rsid w:val="008343F7"/>
    <w:rsid w:val="00834613"/>
    <w:rsid w:val="00834707"/>
    <w:rsid w:val="008347D2"/>
    <w:rsid w:val="008348B5"/>
    <w:rsid w:val="00834929"/>
    <w:rsid w:val="00834A26"/>
    <w:rsid w:val="00834BF7"/>
    <w:rsid w:val="00834C03"/>
    <w:rsid w:val="00834D1E"/>
    <w:rsid w:val="00834D63"/>
    <w:rsid w:val="00834DB4"/>
    <w:rsid w:val="00835052"/>
    <w:rsid w:val="008352FB"/>
    <w:rsid w:val="0083532A"/>
    <w:rsid w:val="0083565D"/>
    <w:rsid w:val="008356B6"/>
    <w:rsid w:val="00835709"/>
    <w:rsid w:val="00835963"/>
    <w:rsid w:val="0083598E"/>
    <w:rsid w:val="00835B35"/>
    <w:rsid w:val="00835CA0"/>
    <w:rsid w:val="00835E2E"/>
    <w:rsid w:val="00835E60"/>
    <w:rsid w:val="00835F44"/>
    <w:rsid w:val="00836078"/>
    <w:rsid w:val="008360FE"/>
    <w:rsid w:val="008361D1"/>
    <w:rsid w:val="008361FE"/>
    <w:rsid w:val="0083667D"/>
    <w:rsid w:val="008368F7"/>
    <w:rsid w:val="0083694E"/>
    <w:rsid w:val="00836BC4"/>
    <w:rsid w:val="00836CC1"/>
    <w:rsid w:val="00836E57"/>
    <w:rsid w:val="00836F4E"/>
    <w:rsid w:val="00836F9D"/>
    <w:rsid w:val="00836FCE"/>
    <w:rsid w:val="00837177"/>
    <w:rsid w:val="008374B9"/>
    <w:rsid w:val="008376D7"/>
    <w:rsid w:val="008376EA"/>
    <w:rsid w:val="008378D9"/>
    <w:rsid w:val="008378F1"/>
    <w:rsid w:val="00837938"/>
    <w:rsid w:val="00837AB3"/>
    <w:rsid w:val="00837BD7"/>
    <w:rsid w:val="00837CAD"/>
    <w:rsid w:val="00837E96"/>
    <w:rsid w:val="00837F61"/>
    <w:rsid w:val="0084005E"/>
    <w:rsid w:val="00840101"/>
    <w:rsid w:val="008403FB"/>
    <w:rsid w:val="008404DB"/>
    <w:rsid w:val="00840501"/>
    <w:rsid w:val="00840540"/>
    <w:rsid w:val="00840A22"/>
    <w:rsid w:val="00840AA2"/>
    <w:rsid w:val="00840B11"/>
    <w:rsid w:val="00840B23"/>
    <w:rsid w:val="00840DD3"/>
    <w:rsid w:val="00840DD5"/>
    <w:rsid w:val="00840F07"/>
    <w:rsid w:val="00840F38"/>
    <w:rsid w:val="00840F5E"/>
    <w:rsid w:val="00841046"/>
    <w:rsid w:val="0084116B"/>
    <w:rsid w:val="008411DC"/>
    <w:rsid w:val="0084121E"/>
    <w:rsid w:val="0084123D"/>
    <w:rsid w:val="00841311"/>
    <w:rsid w:val="0084132B"/>
    <w:rsid w:val="008414A8"/>
    <w:rsid w:val="008414EA"/>
    <w:rsid w:val="008416A0"/>
    <w:rsid w:val="008416A7"/>
    <w:rsid w:val="008416F7"/>
    <w:rsid w:val="0084175D"/>
    <w:rsid w:val="008418C5"/>
    <w:rsid w:val="008419AD"/>
    <w:rsid w:val="00841B86"/>
    <w:rsid w:val="00841BA4"/>
    <w:rsid w:val="00841BB8"/>
    <w:rsid w:val="00841CB7"/>
    <w:rsid w:val="00841CCD"/>
    <w:rsid w:val="00841D7D"/>
    <w:rsid w:val="00841E2D"/>
    <w:rsid w:val="00841E41"/>
    <w:rsid w:val="00841F1B"/>
    <w:rsid w:val="008421B2"/>
    <w:rsid w:val="00842261"/>
    <w:rsid w:val="008425AF"/>
    <w:rsid w:val="00842601"/>
    <w:rsid w:val="00842700"/>
    <w:rsid w:val="0084291D"/>
    <w:rsid w:val="00842A25"/>
    <w:rsid w:val="00842AE4"/>
    <w:rsid w:val="00842D50"/>
    <w:rsid w:val="008431D1"/>
    <w:rsid w:val="0084322D"/>
    <w:rsid w:val="008434FA"/>
    <w:rsid w:val="00843532"/>
    <w:rsid w:val="0084375C"/>
    <w:rsid w:val="008437BE"/>
    <w:rsid w:val="008438FE"/>
    <w:rsid w:val="00843C68"/>
    <w:rsid w:val="00843CC5"/>
    <w:rsid w:val="00843E3C"/>
    <w:rsid w:val="00843F7A"/>
    <w:rsid w:val="00844192"/>
    <w:rsid w:val="0084430B"/>
    <w:rsid w:val="00844358"/>
    <w:rsid w:val="008444E6"/>
    <w:rsid w:val="00844505"/>
    <w:rsid w:val="008446FD"/>
    <w:rsid w:val="008447DF"/>
    <w:rsid w:val="008448A9"/>
    <w:rsid w:val="00844936"/>
    <w:rsid w:val="00844A74"/>
    <w:rsid w:val="00844B16"/>
    <w:rsid w:val="00844C6F"/>
    <w:rsid w:val="00844EE7"/>
    <w:rsid w:val="00845063"/>
    <w:rsid w:val="00845387"/>
    <w:rsid w:val="0084544E"/>
    <w:rsid w:val="0084559C"/>
    <w:rsid w:val="008458E9"/>
    <w:rsid w:val="00845944"/>
    <w:rsid w:val="008459F2"/>
    <w:rsid w:val="00845A55"/>
    <w:rsid w:val="00845A84"/>
    <w:rsid w:val="00845BC4"/>
    <w:rsid w:val="00845CC4"/>
    <w:rsid w:val="00845CC7"/>
    <w:rsid w:val="00845CD0"/>
    <w:rsid w:val="00845D6F"/>
    <w:rsid w:val="00845F91"/>
    <w:rsid w:val="00846046"/>
    <w:rsid w:val="0084623B"/>
    <w:rsid w:val="00846251"/>
    <w:rsid w:val="008462C4"/>
    <w:rsid w:val="0084643E"/>
    <w:rsid w:val="00846444"/>
    <w:rsid w:val="0084661C"/>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FC"/>
    <w:rsid w:val="00847D34"/>
    <w:rsid w:val="00847DB9"/>
    <w:rsid w:val="00847DCA"/>
    <w:rsid w:val="00847F29"/>
    <w:rsid w:val="0085028F"/>
    <w:rsid w:val="008502BD"/>
    <w:rsid w:val="00850462"/>
    <w:rsid w:val="0085049F"/>
    <w:rsid w:val="008504EB"/>
    <w:rsid w:val="0085050F"/>
    <w:rsid w:val="00850589"/>
    <w:rsid w:val="0085064C"/>
    <w:rsid w:val="00850665"/>
    <w:rsid w:val="00850A96"/>
    <w:rsid w:val="00850D50"/>
    <w:rsid w:val="00850DBA"/>
    <w:rsid w:val="00850DD9"/>
    <w:rsid w:val="00850E06"/>
    <w:rsid w:val="00851064"/>
    <w:rsid w:val="0085118A"/>
    <w:rsid w:val="00851195"/>
    <w:rsid w:val="008512B4"/>
    <w:rsid w:val="008513CB"/>
    <w:rsid w:val="0085172F"/>
    <w:rsid w:val="008518F5"/>
    <w:rsid w:val="008519D2"/>
    <w:rsid w:val="00851E3E"/>
    <w:rsid w:val="00851E6D"/>
    <w:rsid w:val="008521C7"/>
    <w:rsid w:val="008521FC"/>
    <w:rsid w:val="0085220E"/>
    <w:rsid w:val="008522E3"/>
    <w:rsid w:val="0085232E"/>
    <w:rsid w:val="0085236D"/>
    <w:rsid w:val="00852500"/>
    <w:rsid w:val="00852523"/>
    <w:rsid w:val="00852539"/>
    <w:rsid w:val="0085254A"/>
    <w:rsid w:val="00852569"/>
    <w:rsid w:val="008526EA"/>
    <w:rsid w:val="008527BD"/>
    <w:rsid w:val="0085286D"/>
    <w:rsid w:val="008528F0"/>
    <w:rsid w:val="00852AF7"/>
    <w:rsid w:val="00852C40"/>
    <w:rsid w:val="00852E7F"/>
    <w:rsid w:val="00852EE3"/>
    <w:rsid w:val="00852F91"/>
    <w:rsid w:val="008530BF"/>
    <w:rsid w:val="008530EC"/>
    <w:rsid w:val="00853195"/>
    <w:rsid w:val="0085330F"/>
    <w:rsid w:val="00853366"/>
    <w:rsid w:val="008533C0"/>
    <w:rsid w:val="00853491"/>
    <w:rsid w:val="00853585"/>
    <w:rsid w:val="00853688"/>
    <w:rsid w:val="008538B5"/>
    <w:rsid w:val="00853931"/>
    <w:rsid w:val="00853A5A"/>
    <w:rsid w:val="00853D94"/>
    <w:rsid w:val="00853EC7"/>
    <w:rsid w:val="008542F3"/>
    <w:rsid w:val="00854415"/>
    <w:rsid w:val="00854581"/>
    <w:rsid w:val="008545C7"/>
    <w:rsid w:val="00854A40"/>
    <w:rsid w:val="00854A85"/>
    <w:rsid w:val="00854AE5"/>
    <w:rsid w:val="00854BCF"/>
    <w:rsid w:val="00854C15"/>
    <w:rsid w:val="00854C7F"/>
    <w:rsid w:val="00854CC4"/>
    <w:rsid w:val="00854D7B"/>
    <w:rsid w:val="00854F33"/>
    <w:rsid w:val="00855009"/>
    <w:rsid w:val="008550F2"/>
    <w:rsid w:val="0085511D"/>
    <w:rsid w:val="0085522B"/>
    <w:rsid w:val="00855405"/>
    <w:rsid w:val="00855446"/>
    <w:rsid w:val="00855508"/>
    <w:rsid w:val="00855599"/>
    <w:rsid w:val="00855683"/>
    <w:rsid w:val="00855840"/>
    <w:rsid w:val="008559BE"/>
    <w:rsid w:val="008559D5"/>
    <w:rsid w:val="00855AB1"/>
    <w:rsid w:val="00855ACF"/>
    <w:rsid w:val="00855B56"/>
    <w:rsid w:val="00855C06"/>
    <w:rsid w:val="00855D87"/>
    <w:rsid w:val="00855DAA"/>
    <w:rsid w:val="00855E5E"/>
    <w:rsid w:val="00855FE5"/>
    <w:rsid w:val="008561CF"/>
    <w:rsid w:val="008563AF"/>
    <w:rsid w:val="00856550"/>
    <w:rsid w:val="008565BC"/>
    <w:rsid w:val="008565CD"/>
    <w:rsid w:val="00856624"/>
    <w:rsid w:val="0085663B"/>
    <w:rsid w:val="008566F3"/>
    <w:rsid w:val="00856713"/>
    <w:rsid w:val="00856814"/>
    <w:rsid w:val="00856DD0"/>
    <w:rsid w:val="00856E59"/>
    <w:rsid w:val="0085733B"/>
    <w:rsid w:val="00857545"/>
    <w:rsid w:val="008575C5"/>
    <w:rsid w:val="00857888"/>
    <w:rsid w:val="00857B0B"/>
    <w:rsid w:val="0086007A"/>
    <w:rsid w:val="008600D7"/>
    <w:rsid w:val="008603E3"/>
    <w:rsid w:val="00860646"/>
    <w:rsid w:val="00860686"/>
    <w:rsid w:val="0086092F"/>
    <w:rsid w:val="00860A63"/>
    <w:rsid w:val="00860D0E"/>
    <w:rsid w:val="00860D39"/>
    <w:rsid w:val="00860FF6"/>
    <w:rsid w:val="00861045"/>
    <w:rsid w:val="0086117C"/>
    <w:rsid w:val="0086119E"/>
    <w:rsid w:val="00861494"/>
    <w:rsid w:val="008614B2"/>
    <w:rsid w:val="008617D2"/>
    <w:rsid w:val="0086186F"/>
    <w:rsid w:val="00861A85"/>
    <w:rsid w:val="00861C58"/>
    <w:rsid w:val="00862058"/>
    <w:rsid w:val="0086207C"/>
    <w:rsid w:val="008620D4"/>
    <w:rsid w:val="008620E9"/>
    <w:rsid w:val="008620FA"/>
    <w:rsid w:val="00862345"/>
    <w:rsid w:val="00862586"/>
    <w:rsid w:val="00862724"/>
    <w:rsid w:val="0086283C"/>
    <w:rsid w:val="0086290A"/>
    <w:rsid w:val="00862957"/>
    <w:rsid w:val="0086297F"/>
    <w:rsid w:val="008629B1"/>
    <w:rsid w:val="00862A5D"/>
    <w:rsid w:val="00862A91"/>
    <w:rsid w:val="00862ADD"/>
    <w:rsid w:val="00862BBB"/>
    <w:rsid w:val="00862CF5"/>
    <w:rsid w:val="00862D3E"/>
    <w:rsid w:val="00862D4D"/>
    <w:rsid w:val="00862D81"/>
    <w:rsid w:val="00862F06"/>
    <w:rsid w:val="00862FE4"/>
    <w:rsid w:val="00863128"/>
    <w:rsid w:val="00863136"/>
    <w:rsid w:val="00863207"/>
    <w:rsid w:val="008632AC"/>
    <w:rsid w:val="00863369"/>
    <w:rsid w:val="0086347E"/>
    <w:rsid w:val="0086375D"/>
    <w:rsid w:val="00863827"/>
    <w:rsid w:val="00863862"/>
    <w:rsid w:val="008638A0"/>
    <w:rsid w:val="00863A92"/>
    <w:rsid w:val="00863C26"/>
    <w:rsid w:val="00863DB9"/>
    <w:rsid w:val="00863DEA"/>
    <w:rsid w:val="00863E91"/>
    <w:rsid w:val="00864156"/>
    <w:rsid w:val="0086415D"/>
    <w:rsid w:val="008643F7"/>
    <w:rsid w:val="0086441C"/>
    <w:rsid w:val="0086447F"/>
    <w:rsid w:val="00864666"/>
    <w:rsid w:val="0086468E"/>
    <w:rsid w:val="0086482C"/>
    <w:rsid w:val="00864901"/>
    <w:rsid w:val="00864A03"/>
    <w:rsid w:val="00864B22"/>
    <w:rsid w:val="00864D55"/>
    <w:rsid w:val="00864E04"/>
    <w:rsid w:val="008651BC"/>
    <w:rsid w:val="008652C7"/>
    <w:rsid w:val="0086547E"/>
    <w:rsid w:val="008657CF"/>
    <w:rsid w:val="00865813"/>
    <w:rsid w:val="0086583B"/>
    <w:rsid w:val="00865A54"/>
    <w:rsid w:val="00865C69"/>
    <w:rsid w:val="00865D77"/>
    <w:rsid w:val="00865DD3"/>
    <w:rsid w:val="00865DD5"/>
    <w:rsid w:val="00865E8D"/>
    <w:rsid w:val="00865EBD"/>
    <w:rsid w:val="00865FE2"/>
    <w:rsid w:val="00866013"/>
    <w:rsid w:val="0086617D"/>
    <w:rsid w:val="0086625E"/>
    <w:rsid w:val="00866371"/>
    <w:rsid w:val="008663AB"/>
    <w:rsid w:val="00866532"/>
    <w:rsid w:val="00866604"/>
    <w:rsid w:val="00866830"/>
    <w:rsid w:val="0086683D"/>
    <w:rsid w:val="008669B7"/>
    <w:rsid w:val="008669DC"/>
    <w:rsid w:val="00866A57"/>
    <w:rsid w:val="00866BFE"/>
    <w:rsid w:val="00866E5D"/>
    <w:rsid w:val="00867222"/>
    <w:rsid w:val="0086732A"/>
    <w:rsid w:val="00867494"/>
    <w:rsid w:val="00867730"/>
    <w:rsid w:val="008677C1"/>
    <w:rsid w:val="008677FF"/>
    <w:rsid w:val="0086784E"/>
    <w:rsid w:val="00867893"/>
    <w:rsid w:val="008678D3"/>
    <w:rsid w:val="00867935"/>
    <w:rsid w:val="008679EF"/>
    <w:rsid w:val="008679F7"/>
    <w:rsid w:val="00867A00"/>
    <w:rsid w:val="00867A34"/>
    <w:rsid w:val="00867DE2"/>
    <w:rsid w:val="00867E2F"/>
    <w:rsid w:val="00870182"/>
    <w:rsid w:val="0087022C"/>
    <w:rsid w:val="0087029F"/>
    <w:rsid w:val="008702B6"/>
    <w:rsid w:val="00870388"/>
    <w:rsid w:val="008703EF"/>
    <w:rsid w:val="00870599"/>
    <w:rsid w:val="008705A7"/>
    <w:rsid w:val="0087061A"/>
    <w:rsid w:val="00870703"/>
    <w:rsid w:val="00870B34"/>
    <w:rsid w:val="00870C52"/>
    <w:rsid w:val="00870CD4"/>
    <w:rsid w:val="00870D06"/>
    <w:rsid w:val="00870ED7"/>
    <w:rsid w:val="00870FD0"/>
    <w:rsid w:val="00871091"/>
    <w:rsid w:val="00871106"/>
    <w:rsid w:val="00871163"/>
    <w:rsid w:val="00871180"/>
    <w:rsid w:val="00871221"/>
    <w:rsid w:val="00871271"/>
    <w:rsid w:val="00871306"/>
    <w:rsid w:val="008715DD"/>
    <w:rsid w:val="00871677"/>
    <w:rsid w:val="008716A5"/>
    <w:rsid w:val="00871716"/>
    <w:rsid w:val="0087180A"/>
    <w:rsid w:val="00871A24"/>
    <w:rsid w:val="00871A9F"/>
    <w:rsid w:val="00871C2C"/>
    <w:rsid w:val="00871CF3"/>
    <w:rsid w:val="00871DDF"/>
    <w:rsid w:val="00871EC7"/>
    <w:rsid w:val="0087200B"/>
    <w:rsid w:val="0087203F"/>
    <w:rsid w:val="008720AA"/>
    <w:rsid w:val="0087220E"/>
    <w:rsid w:val="0087232B"/>
    <w:rsid w:val="0087233A"/>
    <w:rsid w:val="00872477"/>
    <w:rsid w:val="00872554"/>
    <w:rsid w:val="008725A4"/>
    <w:rsid w:val="00872710"/>
    <w:rsid w:val="008728E3"/>
    <w:rsid w:val="008728F2"/>
    <w:rsid w:val="00872B13"/>
    <w:rsid w:val="00872C6F"/>
    <w:rsid w:val="00872C82"/>
    <w:rsid w:val="00872F77"/>
    <w:rsid w:val="0087307E"/>
    <w:rsid w:val="00873152"/>
    <w:rsid w:val="00873317"/>
    <w:rsid w:val="0087341A"/>
    <w:rsid w:val="00873437"/>
    <w:rsid w:val="0087364D"/>
    <w:rsid w:val="008739EF"/>
    <w:rsid w:val="00873C39"/>
    <w:rsid w:val="00873E4A"/>
    <w:rsid w:val="00873F60"/>
    <w:rsid w:val="0087418A"/>
    <w:rsid w:val="008741AD"/>
    <w:rsid w:val="008741E3"/>
    <w:rsid w:val="0087444C"/>
    <w:rsid w:val="00874510"/>
    <w:rsid w:val="0087453A"/>
    <w:rsid w:val="008745C2"/>
    <w:rsid w:val="008746E7"/>
    <w:rsid w:val="0087494E"/>
    <w:rsid w:val="00874995"/>
    <w:rsid w:val="00874B90"/>
    <w:rsid w:val="00874C0C"/>
    <w:rsid w:val="00874D21"/>
    <w:rsid w:val="00874DF5"/>
    <w:rsid w:val="00874E3D"/>
    <w:rsid w:val="00874EDE"/>
    <w:rsid w:val="00874FFC"/>
    <w:rsid w:val="00875117"/>
    <w:rsid w:val="0087511B"/>
    <w:rsid w:val="00875158"/>
    <w:rsid w:val="00875240"/>
    <w:rsid w:val="00875258"/>
    <w:rsid w:val="00875422"/>
    <w:rsid w:val="00875540"/>
    <w:rsid w:val="008755C2"/>
    <w:rsid w:val="00875649"/>
    <w:rsid w:val="008756C8"/>
    <w:rsid w:val="00875800"/>
    <w:rsid w:val="008758CC"/>
    <w:rsid w:val="00875A31"/>
    <w:rsid w:val="00875B48"/>
    <w:rsid w:val="00875BEF"/>
    <w:rsid w:val="00875C75"/>
    <w:rsid w:val="00875CCA"/>
    <w:rsid w:val="00875D28"/>
    <w:rsid w:val="00875D4C"/>
    <w:rsid w:val="00875D64"/>
    <w:rsid w:val="00875E56"/>
    <w:rsid w:val="00875FE3"/>
    <w:rsid w:val="008760F6"/>
    <w:rsid w:val="0087647C"/>
    <w:rsid w:val="008764C2"/>
    <w:rsid w:val="008765CF"/>
    <w:rsid w:val="008765F8"/>
    <w:rsid w:val="008765FF"/>
    <w:rsid w:val="00876750"/>
    <w:rsid w:val="008767BE"/>
    <w:rsid w:val="0087695F"/>
    <w:rsid w:val="00876986"/>
    <w:rsid w:val="00876CD8"/>
    <w:rsid w:val="00876D69"/>
    <w:rsid w:val="00876EC2"/>
    <w:rsid w:val="00877177"/>
    <w:rsid w:val="00877585"/>
    <w:rsid w:val="0087758D"/>
    <w:rsid w:val="00877679"/>
    <w:rsid w:val="0087778A"/>
    <w:rsid w:val="0087789F"/>
    <w:rsid w:val="008778FF"/>
    <w:rsid w:val="00877A90"/>
    <w:rsid w:val="00877B63"/>
    <w:rsid w:val="00877C85"/>
    <w:rsid w:val="00877CBA"/>
    <w:rsid w:val="00877CCA"/>
    <w:rsid w:val="00877F99"/>
    <w:rsid w:val="00880025"/>
    <w:rsid w:val="00880048"/>
    <w:rsid w:val="008801D1"/>
    <w:rsid w:val="008801EA"/>
    <w:rsid w:val="008803BC"/>
    <w:rsid w:val="008803DB"/>
    <w:rsid w:val="00880425"/>
    <w:rsid w:val="0088044A"/>
    <w:rsid w:val="008804A0"/>
    <w:rsid w:val="0088069E"/>
    <w:rsid w:val="008806AF"/>
    <w:rsid w:val="00880A96"/>
    <w:rsid w:val="00880B30"/>
    <w:rsid w:val="00880B97"/>
    <w:rsid w:val="00880BA0"/>
    <w:rsid w:val="00880C63"/>
    <w:rsid w:val="00880D06"/>
    <w:rsid w:val="00880EC9"/>
    <w:rsid w:val="0088102E"/>
    <w:rsid w:val="0088121F"/>
    <w:rsid w:val="0088136E"/>
    <w:rsid w:val="00881535"/>
    <w:rsid w:val="008816E1"/>
    <w:rsid w:val="0088192C"/>
    <w:rsid w:val="00881A23"/>
    <w:rsid w:val="00881AE1"/>
    <w:rsid w:val="00881B36"/>
    <w:rsid w:val="00881CFB"/>
    <w:rsid w:val="00881F48"/>
    <w:rsid w:val="00882110"/>
    <w:rsid w:val="00882229"/>
    <w:rsid w:val="008822F5"/>
    <w:rsid w:val="00882526"/>
    <w:rsid w:val="00882701"/>
    <w:rsid w:val="00882829"/>
    <w:rsid w:val="008828BE"/>
    <w:rsid w:val="0088290D"/>
    <w:rsid w:val="00882987"/>
    <w:rsid w:val="008829E5"/>
    <w:rsid w:val="00882B82"/>
    <w:rsid w:val="00882C11"/>
    <w:rsid w:val="00882CCC"/>
    <w:rsid w:val="00882D69"/>
    <w:rsid w:val="00882E1D"/>
    <w:rsid w:val="00882EF1"/>
    <w:rsid w:val="00883178"/>
    <w:rsid w:val="008834BB"/>
    <w:rsid w:val="008835B2"/>
    <w:rsid w:val="00883651"/>
    <w:rsid w:val="008836A7"/>
    <w:rsid w:val="0088381C"/>
    <w:rsid w:val="00883821"/>
    <w:rsid w:val="008838A1"/>
    <w:rsid w:val="00883C21"/>
    <w:rsid w:val="00883DAB"/>
    <w:rsid w:val="00883DC8"/>
    <w:rsid w:val="00883E1F"/>
    <w:rsid w:val="00883E59"/>
    <w:rsid w:val="00883EF2"/>
    <w:rsid w:val="00884099"/>
    <w:rsid w:val="008840FE"/>
    <w:rsid w:val="008841A4"/>
    <w:rsid w:val="00884200"/>
    <w:rsid w:val="00884284"/>
    <w:rsid w:val="00884881"/>
    <w:rsid w:val="00884A57"/>
    <w:rsid w:val="00884C3B"/>
    <w:rsid w:val="00884CCE"/>
    <w:rsid w:val="00884E44"/>
    <w:rsid w:val="0088511F"/>
    <w:rsid w:val="0088525E"/>
    <w:rsid w:val="00885282"/>
    <w:rsid w:val="00885335"/>
    <w:rsid w:val="00885368"/>
    <w:rsid w:val="00885430"/>
    <w:rsid w:val="0088545E"/>
    <w:rsid w:val="008855C1"/>
    <w:rsid w:val="008856B1"/>
    <w:rsid w:val="0088571E"/>
    <w:rsid w:val="008858F9"/>
    <w:rsid w:val="00885AD0"/>
    <w:rsid w:val="00885AD2"/>
    <w:rsid w:val="00885C67"/>
    <w:rsid w:val="00885D95"/>
    <w:rsid w:val="00885E63"/>
    <w:rsid w:val="00885EDA"/>
    <w:rsid w:val="00885FE5"/>
    <w:rsid w:val="0088602F"/>
    <w:rsid w:val="00886131"/>
    <w:rsid w:val="00886276"/>
    <w:rsid w:val="00886359"/>
    <w:rsid w:val="00886449"/>
    <w:rsid w:val="00886491"/>
    <w:rsid w:val="00886532"/>
    <w:rsid w:val="00886AE7"/>
    <w:rsid w:val="008870EA"/>
    <w:rsid w:val="008870F6"/>
    <w:rsid w:val="0088716F"/>
    <w:rsid w:val="0088720E"/>
    <w:rsid w:val="0088732B"/>
    <w:rsid w:val="008874AC"/>
    <w:rsid w:val="008874EB"/>
    <w:rsid w:val="00887665"/>
    <w:rsid w:val="008876DD"/>
    <w:rsid w:val="00887751"/>
    <w:rsid w:val="00887853"/>
    <w:rsid w:val="00887A81"/>
    <w:rsid w:val="00887AD0"/>
    <w:rsid w:val="00887C7C"/>
    <w:rsid w:val="00887EF5"/>
    <w:rsid w:val="00887F1C"/>
    <w:rsid w:val="0089000B"/>
    <w:rsid w:val="00890228"/>
    <w:rsid w:val="0089049B"/>
    <w:rsid w:val="00890568"/>
    <w:rsid w:val="008905A1"/>
    <w:rsid w:val="00890A1D"/>
    <w:rsid w:val="00890A62"/>
    <w:rsid w:val="00890B89"/>
    <w:rsid w:val="00890DEA"/>
    <w:rsid w:val="00890E38"/>
    <w:rsid w:val="00890E90"/>
    <w:rsid w:val="00890FB4"/>
    <w:rsid w:val="008912C8"/>
    <w:rsid w:val="008914C0"/>
    <w:rsid w:val="008914CA"/>
    <w:rsid w:val="00891595"/>
    <w:rsid w:val="008915D3"/>
    <w:rsid w:val="00891650"/>
    <w:rsid w:val="00891663"/>
    <w:rsid w:val="0089179D"/>
    <w:rsid w:val="008918D0"/>
    <w:rsid w:val="00891A30"/>
    <w:rsid w:val="00891AC9"/>
    <w:rsid w:val="00891DC4"/>
    <w:rsid w:val="00891EA1"/>
    <w:rsid w:val="00891FCB"/>
    <w:rsid w:val="00891FE1"/>
    <w:rsid w:val="0089205A"/>
    <w:rsid w:val="008920E4"/>
    <w:rsid w:val="008921FB"/>
    <w:rsid w:val="0089229E"/>
    <w:rsid w:val="00892357"/>
    <w:rsid w:val="0089246F"/>
    <w:rsid w:val="008925FD"/>
    <w:rsid w:val="00892694"/>
    <w:rsid w:val="00892728"/>
    <w:rsid w:val="00892B70"/>
    <w:rsid w:val="00892C65"/>
    <w:rsid w:val="00892D4E"/>
    <w:rsid w:val="00892F7A"/>
    <w:rsid w:val="00892F8F"/>
    <w:rsid w:val="00892FC8"/>
    <w:rsid w:val="00893014"/>
    <w:rsid w:val="00893105"/>
    <w:rsid w:val="00893293"/>
    <w:rsid w:val="00893294"/>
    <w:rsid w:val="00893342"/>
    <w:rsid w:val="00893365"/>
    <w:rsid w:val="008933FB"/>
    <w:rsid w:val="008934A9"/>
    <w:rsid w:val="008938AE"/>
    <w:rsid w:val="008938C4"/>
    <w:rsid w:val="00893A1D"/>
    <w:rsid w:val="00893A50"/>
    <w:rsid w:val="00893C1E"/>
    <w:rsid w:val="00893CD0"/>
    <w:rsid w:val="00893E47"/>
    <w:rsid w:val="00893E9E"/>
    <w:rsid w:val="00893F47"/>
    <w:rsid w:val="008941DA"/>
    <w:rsid w:val="00894769"/>
    <w:rsid w:val="00894883"/>
    <w:rsid w:val="00894958"/>
    <w:rsid w:val="00894C17"/>
    <w:rsid w:val="00894CDF"/>
    <w:rsid w:val="00894E60"/>
    <w:rsid w:val="00894F9C"/>
    <w:rsid w:val="0089510B"/>
    <w:rsid w:val="0089510D"/>
    <w:rsid w:val="00895153"/>
    <w:rsid w:val="0089536A"/>
    <w:rsid w:val="008953D6"/>
    <w:rsid w:val="008954D5"/>
    <w:rsid w:val="008955A6"/>
    <w:rsid w:val="0089563A"/>
    <w:rsid w:val="00895E10"/>
    <w:rsid w:val="00895F4E"/>
    <w:rsid w:val="00895F4F"/>
    <w:rsid w:val="00895F95"/>
    <w:rsid w:val="00895FCB"/>
    <w:rsid w:val="008960EC"/>
    <w:rsid w:val="00896176"/>
    <w:rsid w:val="008962B0"/>
    <w:rsid w:val="00896312"/>
    <w:rsid w:val="00896376"/>
    <w:rsid w:val="008963D2"/>
    <w:rsid w:val="008964B5"/>
    <w:rsid w:val="00896700"/>
    <w:rsid w:val="008967E1"/>
    <w:rsid w:val="00896839"/>
    <w:rsid w:val="0089693D"/>
    <w:rsid w:val="008969D1"/>
    <w:rsid w:val="00896B6D"/>
    <w:rsid w:val="00896DAD"/>
    <w:rsid w:val="00896DDB"/>
    <w:rsid w:val="008972BC"/>
    <w:rsid w:val="008975E9"/>
    <w:rsid w:val="008975EF"/>
    <w:rsid w:val="00897778"/>
    <w:rsid w:val="008978F6"/>
    <w:rsid w:val="008979CA"/>
    <w:rsid w:val="00897BC9"/>
    <w:rsid w:val="00897C9F"/>
    <w:rsid w:val="00897F53"/>
    <w:rsid w:val="008A0262"/>
    <w:rsid w:val="008A0373"/>
    <w:rsid w:val="008A0638"/>
    <w:rsid w:val="008A063A"/>
    <w:rsid w:val="008A063B"/>
    <w:rsid w:val="008A06A0"/>
    <w:rsid w:val="008A0704"/>
    <w:rsid w:val="008A0C40"/>
    <w:rsid w:val="008A0C74"/>
    <w:rsid w:val="008A0DEC"/>
    <w:rsid w:val="008A0E50"/>
    <w:rsid w:val="008A0E91"/>
    <w:rsid w:val="008A1124"/>
    <w:rsid w:val="008A135C"/>
    <w:rsid w:val="008A13A3"/>
    <w:rsid w:val="008A1408"/>
    <w:rsid w:val="008A140E"/>
    <w:rsid w:val="008A1467"/>
    <w:rsid w:val="008A1705"/>
    <w:rsid w:val="008A17FF"/>
    <w:rsid w:val="008A183A"/>
    <w:rsid w:val="008A1A08"/>
    <w:rsid w:val="008A1C59"/>
    <w:rsid w:val="008A1D08"/>
    <w:rsid w:val="008A1F0B"/>
    <w:rsid w:val="008A20D0"/>
    <w:rsid w:val="008A21CA"/>
    <w:rsid w:val="008A2334"/>
    <w:rsid w:val="008A242D"/>
    <w:rsid w:val="008A251C"/>
    <w:rsid w:val="008A27FF"/>
    <w:rsid w:val="008A297B"/>
    <w:rsid w:val="008A2A40"/>
    <w:rsid w:val="008A2A8D"/>
    <w:rsid w:val="008A2B32"/>
    <w:rsid w:val="008A2B77"/>
    <w:rsid w:val="008A2FDC"/>
    <w:rsid w:val="008A327C"/>
    <w:rsid w:val="008A3325"/>
    <w:rsid w:val="008A3381"/>
    <w:rsid w:val="008A34C5"/>
    <w:rsid w:val="008A3660"/>
    <w:rsid w:val="008A380B"/>
    <w:rsid w:val="008A385F"/>
    <w:rsid w:val="008A3B3B"/>
    <w:rsid w:val="008A3F63"/>
    <w:rsid w:val="008A45A7"/>
    <w:rsid w:val="008A473F"/>
    <w:rsid w:val="008A4796"/>
    <w:rsid w:val="008A47E9"/>
    <w:rsid w:val="008A48C9"/>
    <w:rsid w:val="008A4A64"/>
    <w:rsid w:val="008A4B14"/>
    <w:rsid w:val="008A4B73"/>
    <w:rsid w:val="008A4C34"/>
    <w:rsid w:val="008A4C38"/>
    <w:rsid w:val="008A4CA4"/>
    <w:rsid w:val="008A4F32"/>
    <w:rsid w:val="008A5022"/>
    <w:rsid w:val="008A5257"/>
    <w:rsid w:val="008A53C5"/>
    <w:rsid w:val="008A54D9"/>
    <w:rsid w:val="008A55AC"/>
    <w:rsid w:val="008A5804"/>
    <w:rsid w:val="008A5A65"/>
    <w:rsid w:val="008A5B5A"/>
    <w:rsid w:val="008A5BA1"/>
    <w:rsid w:val="008A5E07"/>
    <w:rsid w:val="008A5F1F"/>
    <w:rsid w:val="008A5F48"/>
    <w:rsid w:val="008A5F93"/>
    <w:rsid w:val="008A631D"/>
    <w:rsid w:val="008A63DF"/>
    <w:rsid w:val="008A6793"/>
    <w:rsid w:val="008A699A"/>
    <w:rsid w:val="008A6C8F"/>
    <w:rsid w:val="008A6DAA"/>
    <w:rsid w:val="008A6FCA"/>
    <w:rsid w:val="008A72BA"/>
    <w:rsid w:val="008A7498"/>
    <w:rsid w:val="008A766E"/>
    <w:rsid w:val="008A76DB"/>
    <w:rsid w:val="008A7943"/>
    <w:rsid w:val="008A7A2E"/>
    <w:rsid w:val="008A7B7E"/>
    <w:rsid w:val="008A7BC3"/>
    <w:rsid w:val="008A7DDC"/>
    <w:rsid w:val="008A7E29"/>
    <w:rsid w:val="008A7E9A"/>
    <w:rsid w:val="008A7F07"/>
    <w:rsid w:val="008B0127"/>
    <w:rsid w:val="008B01AD"/>
    <w:rsid w:val="008B0252"/>
    <w:rsid w:val="008B0280"/>
    <w:rsid w:val="008B028C"/>
    <w:rsid w:val="008B02D8"/>
    <w:rsid w:val="008B0349"/>
    <w:rsid w:val="008B0444"/>
    <w:rsid w:val="008B04EB"/>
    <w:rsid w:val="008B05DF"/>
    <w:rsid w:val="008B06C7"/>
    <w:rsid w:val="008B06EA"/>
    <w:rsid w:val="008B0743"/>
    <w:rsid w:val="008B09EB"/>
    <w:rsid w:val="008B0CA9"/>
    <w:rsid w:val="008B0DB9"/>
    <w:rsid w:val="008B10C0"/>
    <w:rsid w:val="008B10F0"/>
    <w:rsid w:val="008B1219"/>
    <w:rsid w:val="008B13E1"/>
    <w:rsid w:val="008B1415"/>
    <w:rsid w:val="008B1524"/>
    <w:rsid w:val="008B1830"/>
    <w:rsid w:val="008B1B75"/>
    <w:rsid w:val="008B1D3A"/>
    <w:rsid w:val="008B1E5F"/>
    <w:rsid w:val="008B2071"/>
    <w:rsid w:val="008B2074"/>
    <w:rsid w:val="008B20CB"/>
    <w:rsid w:val="008B2296"/>
    <w:rsid w:val="008B284F"/>
    <w:rsid w:val="008B2985"/>
    <w:rsid w:val="008B2A08"/>
    <w:rsid w:val="008B2C36"/>
    <w:rsid w:val="008B2CDA"/>
    <w:rsid w:val="008B2DCB"/>
    <w:rsid w:val="008B2EFC"/>
    <w:rsid w:val="008B3078"/>
    <w:rsid w:val="008B308B"/>
    <w:rsid w:val="008B3205"/>
    <w:rsid w:val="008B330D"/>
    <w:rsid w:val="008B331E"/>
    <w:rsid w:val="008B3407"/>
    <w:rsid w:val="008B34BC"/>
    <w:rsid w:val="008B36BB"/>
    <w:rsid w:val="008B373F"/>
    <w:rsid w:val="008B383A"/>
    <w:rsid w:val="008B390B"/>
    <w:rsid w:val="008B39B5"/>
    <w:rsid w:val="008B3B3C"/>
    <w:rsid w:val="008B3BF6"/>
    <w:rsid w:val="008B3C64"/>
    <w:rsid w:val="008B3E98"/>
    <w:rsid w:val="008B407C"/>
    <w:rsid w:val="008B40BB"/>
    <w:rsid w:val="008B416A"/>
    <w:rsid w:val="008B41B5"/>
    <w:rsid w:val="008B421C"/>
    <w:rsid w:val="008B423C"/>
    <w:rsid w:val="008B44D8"/>
    <w:rsid w:val="008B4687"/>
    <w:rsid w:val="008B4915"/>
    <w:rsid w:val="008B4951"/>
    <w:rsid w:val="008B4999"/>
    <w:rsid w:val="008B4A28"/>
    <w:rsid w:val="008B4B3B"/>
    <w:rsid w:val="008B4B72"/>
    <w:rsid w:val="008B4B7F"/>
    <w:rsid w:val="008B4C9D"/>
    <w:rsid w:val="008B4CDC"/>
    <w:rsid w:val="008B4D56"/>
    <w:rsid w:val="008B4E6E"/>
    <w:rsid w:val="008B5039"/>
    <w:rsid w:val="008B50E0"/>
    <w:rsid w:val="008B5174"/>
    <w:rsid w:val="008B51C4"/>
    <w:rsid w:val="008B52F3"/>
    <w:rsid w:val="008B5314"/>
    <w:rsid w:val="008B5322"/>
    <w:rsid w:val="008B555E"/>
    <w:rsid w:val="008B5616"/>
    <w:rsid w:val="008B5714"/>
    <w:rsid w:val="008B5809"/>
    <w:rsid w:val="008B5814"/>
    <w:rsid w:val="008B585E"/>
    <w:rsid w:val="008B5AE6"/>
    <w:rsid w:val="008B5C4E"/>
    <w:rsid w:val="008B5D57"/>
    <w:rsid w:val="008B5FD2"/>
    <w:rsid w:val="008B5FDD"/>
    <w:rsid w:val="008B606A"/>
    <w:rsid w:val="008B61E6"/>
    <w:rsid w:val="008B624A"/>
    <w:rsid w:val="008B629B"/>
    <w:rsid w:val="008B62AE"/>
    <w:rsid w:val="008B658D"/>
    <w:rsid w:val="008B6653"/>
    <w:rsid w:val="008B66A8"/>
    <w:rsid w:val="008B66F6"/>
    <w:rsid w:val="008B6864"/>
    <w:rsid w:val="008B697D"/>
    <w:rsid w:val="008B6B36"/>
    <w:rsid w:val="008B6CD7"/>
    <w:rsid w:val="008B6F87"/>
    <w:rsid w:val="008B70D6"/>
    <w:rsid w:val="008B733F"/>
    <w:rsid w:val="008B73F3"/>
    <w:rsid w:val="008B73FD"/>
    <w:rsid w:val="008B7455"/>
    <w:rsid w:val="008B7462"/>
    <w:rsid w:val="008B74AF"/>
    <w:rsid w:val="008B74EF"/>
    <w:rsid w:val="008B74FF"/>
    <w:rsid w:val="008B77C4"/>
    <w:rsid w:val="008B7802"/>
    <w:rsid w:val="008B7A39"/>
    <w:rsid w:val="008B7C13"/>
    <w:rsid w:val="008B7CFE"/>
    <w:rsid w:val="008C00B2"/>
    <w:rsid w:val="008C00F3"/>
    <w:rsid w:val="008C0167"/>
    <w:rsid w:val="008C028D"/>
    <w:rsid w:val="008C038D"/>
    <w:rsid w:val="008C03C5"/>
    <w:rsid w:val="008C040C"/>
    <w:rsid w:val="008C0607"/>
    <w:rsid w:val="008C094F"/>
    <w:rsid w:val="008C09CA"/>
    <w:rsid w:val="008C0A32"/>
    <w:rsid w:val="008C0D27"/>
    <w:rsid w:val="008C0F9D"/>
    <w:rsid w:val="008C0FEA"/>
    <w:rsid w:val="008C1001"/>
    <w:rsid w:val="008C1007"/>
    <w:rsid w:val="008C1079"/>
    <w:rsid w:val="008C122A"/>
    <w:rsid w:val="008C12BA"/>
    <w:rsid w:val="008C13CC"/>
    <w:rsid w:val="008C13DB"/>
    <w:rsid w:val="008C15EF"/>
    <w:rsid w:val="008C1797"/>
    <w:rsid w:val="008C17E2"/>
    <w:rsid w:val="008C181D"/>
    <w:rsid w:val="008C1A26"/>
    <w:rsid w:val="008C1ABD"/>
    <w:rsid w:val="008C1C2C"/>
    <w:rsid w:val="008C1F70"/>
    <w:rsid w:val="008C21C4"/>
    <w:rsid w:val="008C21DC"/>
    <w:rsid w:val="008C2502"/>
    <w:rsid w:val="008C2707"/>
    <w:rsid w:val="008C27C4"/>
    <w:rsid w:val="008C2AE2"/>
    <w:rsid w:val="008C2AFC"/>
    <w:rsid w:val="008C2C10"/>
    <w:rsid w:val="008C2C62"/>
    <w:rsid w:val="008C2C8F"/>
    <w:rsid w:val="008C2F05"/>
    <w:rsid w:val="008C2FE7"/>
    <w:rsid w:val="008C3091"/>
    <w:rsid w:val="008C30E2"/>
    <w:rsid w:val="008C31B7"/>
    <w:rsid w:val="008C334E"/>
    <w:rsid w:val="008C3666"/>
    <w:rsid w:val="008C3826"/>
    <w:rsid w:val="008C397E"/>
    <w:rsid w:val="008C3A2E"/>
    <w:rsid w:val="008C3A3E"/>
    <w:rsid w:val="008C3B7F"/>
    <w:rsid w:val="008C3D85"/>
    <w:rsid w:val="008C3D8C"/>
    <w:rsid w:val="008C3ED4"/>
    <w:rsid w:val="008C3EF5"/>
    <w:rsid w:val="008C4483"/>
    <w:rsid w:val="008C44FC"/>
    <w:rsid w:val="008C46B4"/>
    <w:rsid w:val="008C4995"/>
    <w:rsid w:val="008C4A19"/>
    <w:rsid w:val="008C4BB5"/>
    <w:rsid w:val="008C4C16"/>
    <w:rsid w:val="008C4F3A"/>
    <w:rsid w:val="008C4F45"/>
    <w:rsid w:val="008C507B"/>
    <w:rsid w:val="008C5100"/>
    <w:rsid w:val="008C5258"/>
    <w:rsid w:val="008C5719"/>
    <w:rsid w:val="008C5960"/>
    <w:rsid w:val="008C5C62"/>
    <w:rsid w:val="008C5CDC"/>
    <w:rsid w:val="008C5D98"/>
    <w:rsid w:val="008C5E0C"/>
    <w:rsid w:val="008C5E25"/>
    <w:rsid w:val="008C5EAD"/>
    <w:rsid w:val="008C5EDA"/>
    <w:rsid w:val="008C5F3C"/>
    <w:rsid w:val="008C6059"/>
    <w:rsid w:val="008C6197"/>
    <w:rsid w:val="008C64ED"/>
    <w:rsid w:val="008C64F5"/>
    <w:rsid w:val="008C6536"/>
    <w:rsid w:val="008C67CA"/>
    <w:rsid w:val="008C6B2F"/>
    <w:rsid w:val="008C6BAD"/>
    <w:rsid w:val="008C6C59"/>
    <w:rsid w:val="008C6C90"/>
    <w:rsid w:val="008C6DEE"/>
    <w:rsid w:val="008C6E60"/>
    <w:rsid w:val="008C6E68"/>
    <w:rsid w:val="008C6EBD"/>
    <w:rsid w:val="008C6EE4"/>
    <w:rsid w:val="008C6EFA"/>
    <w:rsid w:val="008C704A"/>
    <w:rsid w:val="008C7110"/>
    <w:rsid w:val="008C720F"/>
    <w:rsid w:val="008C7474"/>
    <w:rsid w:val="008C7482"/>
    <w:rsid w:val="008C74ED"/>
    <w:rsid w:val="008C7579"/>
    <w:rsid w:val="008C776C"/>
    <w:rsid w:val="008C77A2"/>
    <w:rsid w:val="008C77EC"/>
    <w:rsid w:val="008C7841"/>
    <w:rsid w:val="008C7959"/>
    <w:rsid w:val="008C79AA"/>
    <w:rsid w:val="008C7A2F"/>
    <w:rsid w:val="008C7A37"/>
    <w:rsid w:val="008C7A56"/>
    <w:rsid w:val="008C7DD8"/>
    <w:rsid w:val="008D003A"/>
    <w:rsid w:val="008D0307"/>
    <w:rsid w:val="008D04FE"/>
    <w:rsid w:val="008D0772"/>
    <w:rsid w:val="008D078E"/>
    <w:rsid w:val="008D08FA"/>
    <w:rsid w:val="008D0973"/>
    <w:rsid w:val="008D0B69"/>
    <w:rsid w:val="008D0F9A"/>
    <w:rsid w:val="008D1036"/>
    <w:rsid w:val="008D1182"/>
    <w:rsid w:val="008D12C7"/>
    <w:rsid w:val="008D130A"/>
    <w:rsid w:val="008D161F"/>
    <w:rsid w:val="008D17E8"/>
    <w:rsid w:val="008D185A"/>
    <w:rsid w:val="008D18B0"/>
    <w:rsid w:val="008D198B"/>
    <w:rsid w:val="008D1AAC"/>
    <w:rsid w:val="008D1D0C"/>
    <w:rsid w:val="008D1EA0"/>
    <w:rsid w:val="008D1F37"/>
    <w:rsid w:val="008D21B6"/>
    <w:rsid w:val="008D2241"/>
    <w:rsid w:val="008D22D2"/>
    <w:rsid w:val="008D22E1"/>
    <w:rsid w:val="008D2700"/>
    <w:rsid w:val="008D27A6"/>
    <w:rsid w:val="008D27F6"/>
    <w:rsid w:val="008D2852"/>
    <w:rsid w:val="008D288D"/>
    <w:rsid w:val="008D2B6B"/>
    <w:rsid w:val="008D2DB1"/>
    <w:rsid w:val="008D2DE2"/>
    <w:rsid w:val="008D2E56"/>
    <w:rsid w:val="008D3065"/>
    <w:rsid w:val="008D31CF"/>
    <w:rsid w:val="008D37DA"/>
    <w:rsid w:val="008D38F8"/>
    <w:rsid w:val="008D3975"/>
    <w:rsid w:val="008D3A50"/>
    <w:rsid w:val="008D3BAC"/>
    <w:rsid w:val="008D3E91"/>
    <w:rsid w:val="008D3EC7"/>
    <w:rsid w:val="008D3F05"/>
    <w:rsid w:val="008D3F3B"/>
    <w:rsid w:val="008D4366"/>
    <w:rsid w:val="008D4462"/>
    <w:rsid w:val="008D451C"/>
    <w:rsid w:val="008D484B"/>
    <w:rsid w:val="008D4954"/>
    <w:rsid w:val="008D4A62"/>
    <w:rsid w:val="008D4C1F"/>
    <w:rsid w:val="008D500F"/>
    <w:rsid w:val="008D5250"/>
    <w:rsid w:val="008D546C"/>
    <w:rsid w:val="008D5643"/>
    <w:rsid w:val="008D56CB"/>
    <w:rsid w:val="008D592F"/>
    <w:rsid w:val="008D5ACC"/>
    <w:rsid w:val="008D5C07"/>
    <w:rsid w:val="008D5C1C"/>
    <w:rsid w:val="008D5DCC"/>
    <w:rsid w:val="008D5EFA"/>
    <w:rsid w:val="008D6236"/>
    <w:rsid w:val="008D624E"/>
    <w:rsid w:val="008D6279"/>
    <w:rsid w:val="008D62F1"/>
    <w:rsid w:val="008D6424"/>
    <w:rsid w:val="008D6436"/>
    <w:rsid w:val="008D6455"/>
    <w:rsid w:val="008D6A3F"/>
    <w:rsid w:val="008D6B69"/>
    <w:rsid w:val="008D6BE8"/>
    <w:rsid w:val="008D6DD7"/>
    <w:rsid w:val="008D6E7F"/>
    <w:rsid w:val="008D6E90"/>
    <w:rsid w:val="008D7096"/>
    <w:rsid w:val="008D71DF"/>
    <w:rsid w:val="008D72D3"/>
    <w:rsid w:val="008D7396"/>
    <w:rsid w:val="008D7550"/>
    <w:rsid w:val="008D7582"/>
    <w:rsid w:val="008D7705"/>
    <w:rsid w:val="008D776F"/>
    <w:rsid w:val="008D7891"/>
    <w:rsid w:val="008D79F2"/>
    <w:rsid w:val="008D7B22"/>
    <w:rsid w:val="008D7C7B"/>
    <w:rsid w:val="008D7E89"/>
    <w:rsid w:val="008E02EB"/>
    <w:rsid w:val="008E02F6"/>
    <w:rsid w:val="008E03FD"/>
    <w:rsid w:val="008E05D7"/>
    <w:rsid w:val="008E05D9"/>
    <w:rsid w:val="008E0666"/>
    <w:rsid w:val="008E0814"/>
    <w:rsid w:val="008E087A"/>
    <w:rsid w:val="008E0AB0"/>
    <w:rsid w:val="008E0AE4"/>
    <w:rsid w:val="008E0C9A"/>
    <w:rsid w:val="008E0D2F"/>
    <w:rsid w:val="008E12DC"/>
    <w:rsid w:val="008E1332"/>
    <w:rsid w:val="008E1375"/>
    <w:rsid w:val="008E155C"/>
    <w:rsid w:val="008E165E"/>
    <w:rsid w:val="008E17A5"/>
    <w:rsid w:val="008E182E"/>
    <w:rsid w:val="008E1BC5"/>
    <w:rsid w:val="008E1CC3"/>
    <w:rsid w:val="008E1D66"/>
    <w:rsid w:val="008E1FEA"/>
    <w:rsid w:val="008E2139"/>
    <w:rsid w:val="008E219A"/>
    <w:rsid w:val="008E21A7"/>
    <w:rsid w:val="008E23BD"/>
    <w:rsid w:val="008E2584"/>
    <w:rsid w:val="008E25B9"/>
    <w:rsid w:val="008E26CC"/>
    <w:rsid w:val="008E2737"/>
    <w:rsid w:val="008E2759"/>
    <w:rsid w:val="008E27DF"/>
    <w:rsid w:val="008E2A43"/>
    <w:rsid w:val="008E2AF9"/>
    <w:rsid w:val="008E2BA8"/>
    <w:rsid w:val="008E2C11"/>
    <w:rsid w:val="008E2C7C"/>
    <w:rsid w:val="008E2CAF"/>
    <w:rsid w:val="008E3001"/>
    <w:rsid w:val="008E334A"/>
    <w:rsid w:val="008E33D5"/>
    <w:rsid w:val="008E3415"/>
    <w:rsid w:val="008E34D9"/>
    <w:rsid w:val="008E36E8"/>
    <w:rsid w:val="008E37E6"/>
    <w:rsid w:val="008E3C0C"/>
    <w:rsid w:val="008E3C0E"/>
    <w:rsid w:val="008E4058"/>
    <w:rsid w:val="008E40D1"/>
    <w:rsid w:val="008E41F8"/>
    <w:rsid w:val="008E4224"/>
    <w:rsid w:val="008E43E0"/>
    <w:rsid w:val="008E453C"/>
    <w:rsid w:val="008E4583"/>
    <w:rsid w:val="008E45B2"/>
    <w:rsid w:val="008E45F6"/>
    <w:rsid w:val="008E4630"/>
    <w:rsid w:val="008E46E8"/>
    <w:rsid w:val="008E4726"/>
    <w:rsid w:val="008E48DD"/>
    <w:rsid w:val="008E4B50"/>
    <w:rsid w:val="008E4B71"/>
    <w:rsid w:val="008E4BB8"/>
    <w:rsid w:val="008E4CEE"/>
    <w:rsid w:val="008E4DAD"/>
    <w:rsid w:val="008E4FC6"/>
    <w:rsid w:val="008E503E"/>
    <w:rsid w:val="008E5049"/>
    <w:rsid w:val="008E5164"/>
    <w:rsid w:val="008E51CB"/>
    <w:rsid w:val="008E51D3"/>
    <w:rsid w:val="008E51EE"/>
    <w:rsid w:val="008E56B5"/>
    <w:rsid w:val="008E5AE9"/>
    <w:rsid w:val="008E5AFD"/>
    <w:rsid w:val="008E5B1B"/>
    <w:rsid w:val="008E5BC3"/>
    <w:rsid w:val="008E5CE1"/>
    <w:rsid w:val="008E6044"/>
    <w:rsid w:val="008E62DD"/>
    <w:rsid w:val="008E6446"/>
    <w:rsid w:val="008E647A"/>
    <w:rsid w:val="008E64AD"/>
    <w:rsid w:val="008E64E5"/>
    <w:rsid w:val="008E653E"/>
    <w:rsid w:val="008E6583"/>
    <w:rsid w:val="008E6617"/>
    <w:rsid w:val="008E664F"/>
    <w:rsid w:val="008E67CE"/>
    <w:rsid w:val="008E690B"/>
    <w:rsid w:val="008E6959"/>
    <w:rsid w:val="008E6BFC"/>
    <w:rsid w:val="008E72DA"/>
    <w:rsid w:val="008E7344"/>
    <w:rsid w:val="008E7374"/>
    <w:rsid w:val="008E7393"/>
    <w:rsid w:val="008E749D"/>
    <w:rsid w:val="008E74E9"/>
    <w:rsid w:val="008E7581"/>
    <w:rsid w:val="008E7640"/>
    <w:rsid w:val="008E7664"/>
    <w:rsid w:val="008E768A"/>
    <w:rsid w:val="008E7765"/>
    <w:rsid w:val="008E7A8B"/>
    <w:rsid w:val="008E7DF9"/>
    <w:rsid w:val="008F00F0"/>
    <w:rsid w:val="008F0122"/>
    <w:rsid w:val="008F0169"/>
    <w:rsid w:val="008F0182"/>
    <w:rsid w:val="008F03ED"/>
    <w:rsid w:val="008F04B4"/>
    <w:rsid w:val="008F054C"/>
    <w:rsid w:val="008F059A"/>
    <w:rsid w:val="008F05A2"/>
    <w:rsid w:val="008F05B7"/>
    <w:rsid w:val="008F0623"/>
    <w:rsid w:val="008F078B"/>
    <w:rsid w:val="008F0895"/>
    <w:rsid w:val="008F0A14"/>
    <w:rsid w:val="008F0A92"/>
    <w:rsid w:val="008F0B24"/>
    <w:rsid w:val="008F0C75"/>
    <w:rsid w:val="008F0DC6"/>
    <w:rsid w:val="008F0E20"/>
    <w:rsid w:val="008F0EC8"/>
    <w:rsid w:val="008F0EE1"/>
    <w:rsid w:val="008F0FE7"/>
    <w:rsid w:val="008F1279"/>
    <w:rsid w:val="008F1434"/>
    <w:rsid w:val="008F145B"/>
    <w:rsid w:val="008F16EC"/>
    <w:rsid w:val="008F18E7"/>
    <w:rsid w:val="008F19B1"/>
    <w:rsid w:val="008F1ABE"/>
    <w:rsid w:val="008F1E82"/>
    <w:rsid w:val="008F1EDC"/>
    <w:rsid w:val="008F1EF0"/>
    <w:rsid w:val="008F1F4B"/>
    <w:rsid w:val="008F1F8D"/>
    <w:rsid w:val="008F236F"/>
    <w:rsid w:val="008F248C"/>
    <w:rsid w:val="008F2748"/>
    <w:rsid w:val="008F2975"/>
    <w:rsid w:val="008F29C9"/>
    <w:rsid w:val="008F2A2F"/>
    <w:rsid w:val="008F2A87"/>
    <w:rsid w:val="008F2D97"/>
    <w:rsid w:val="008F2F04"/>
    <w:rsid w:val="008F319B"/>
    <w:rsid w:val="008F3225"/>
    <w:rsid w:val="008F32AA"/>
    <w:rsid w:val="008F34B3"/>
    <w:rsid w:val="008F366E"/>
    <w:rsid w:val="008F3877"/>
    <w:rsid w:val="008F3A6C"/>
    <w:rsid w:val="008F3A76"/>
    <w:rsid w:val="008F3CB3"/>
    <w:rsid w:val="008F3D55"/>
    <w:rsid w:val="008F3D64"/>
    <w:rsid w:val="008F3D88"/>
    <w:rsid w:val="008F409B"/>
    <w:rsid w:val="008F43E5"/>
    <w:rsid w:val="008F44E2"/>
    <w:rsid w:val="008F44FC"/>
    <w:rsid w:val="008F48B1"/>
    <w:rsid w:val="008F4997"/>
    <w:rsid w:val="008F4B1B"/>
    <w:rsid w:val="008F4C52"/>
    <w:rsid w:val="008F4CE1"/>
    <w:rsid w:val="008F4E46"/>
    <w:rsid w:val="008F4E83"/>
    <w:rsid w:val="008F4F1E"/>
    <w:rsid w:val="008F5195"/>
    <w:rsid w:val="008F520E"/>
    <w:rsid w:val="008F5406"/>
    <w:rsid w:val="008F54C7"/>
    <w:rsid w:val="008F5707"/>
    <w:rsid w:val="008F5839"/>
    <w:rsid w:val="008F5885"/>
    <w:rsid w:val="008F58A3"/>
    <w:rsid w:val="008F5A55"/>
    <w:rsid w:val="008F5B7C"/>
    <w:rsid w:val="008F5BAF"/>
    <w:rsid w:val="008F5C38"/>
    <w:rsid w:val="008F5DDF"/>
    <w:rsid w:val="008F6057"/>
    <w:rsid w:val="008F6079"/>
    <w:rsid w:val="008F627F"/>
    <w:rsid w:val="008F6388"/>
    <w:rsid w:val="008F659E"/>
    <w:rsid w:val="008F6656"/>
    <w:rsid w:val="008F67CA"/>
    <w:rsid w:val="008F689B"/>
    <w:rsid w:val="008F6B6C"/>
    <w:rsid w:val="008F6C19"/>
    <w:rsid w:val="008F6D09"/>
    <w:rsid w:val="008F6E7C"/>
    <w:rsid w:val="008F6EB0"/>
    <w:rsid w:val="008F6EDF"/>
    <w:rsid w:val="008F6F26"/>
    <w:rsid w:val="008F6FA7"/>
    <w:rsid w:val="008F6FB0"/>
    <w:rsid w:val="008F7061"/>
    <w:rsid w:val="008F7075"/>
    <w:rsid w:val="008F719F"/>
    <w:rsid w:val="008F71DF"/>
    <w:rsid w:val="008F73C3"/>
    <w:rsid w:val="008F746C"/>
    <w:rsid w:val="008F74AE"/>
    <w:rsid w:val="008F769A"/>
    <w:rsid w:val="008F7B37"/>
    <w:rsid w:val="008F7CEE"/>
    <w:rsid w:val="008F7E2D"/>
    <w:rsid w:val="008F7EAD"/>
    <w:rsid w:val="008F7EF4"/>
    <w:rsid w:val="0090023E"/>
    <w:rsid w:val="0090033E"/>
    <w:rsid w:val="00900453"/>
    <w:rsid w:val="0090045C"/>
    <w:rsid w:val="009007A3"/>
    <w:rsid w:val="009008EE"/>
    <w:rsid w:val="009009CC"/>
    <w:rsid w:val="009009F5"/>
    <w:rsid w:val="00900A83"/>
    <w:rsid w:val="00900BC0"/>
    <w:rsid w:val="00900EA7"/>
    <w:rsid w:val="00901274"/>
    <w:rsid w:val="009013DA"/>
    <w:rsid w:val="009014A1"/>
    <w:rsid w:val="009014E0"/>
    <w:rsid w:val="0090170B"/>
    <w:rsid w:val="00901832"/>
    <w:rsid w:val="00901975"/>
    <w:rsid w:val="00901AD9"/>
    <w:rsid w:val="00901B3D"/>
    <w:rsid w:val="00901BC3"/>
    <w:rsid w:val="00901CC0"/>
    <w:rsid w:val="00901D5B"/>
    <w:rsid w:val="00901E55"/>
    <w:rsid w:val="009021D9"/>
    <w:rsid w:val="00902251"/>
    <w:rsid w:val="00902382"/>
    <w:rsid w:val="009025C0"/>
    <w:rsid w:val="0090260D"/>
    <w:rsid w:val="00902689"/>
    <w:rsid w:val="00902712"/>
    <w:rsid w:val="009027CA"/>
    <w:rsid w:val="00902BDD"/>
    <w:rsid w:val="00902CE8"/>
    <w:rsid w:val="00902D2A"/>
    <w:rsid w:val="009030E5"/>
    <w:rsid w:val="009032B5"/>
    <w:rsid w:val="009033A1"/>
    <w:rsid w:val="009034F3"/>
    <w:rsid w:val="00903579"/>
    <w:rsid w:val="009035A9"/>
    <w:rsid w:val="00903813"/>
    <w:rsid w:val="00903819"/>
    <w:rsid w:val="009039F3"/>
    <w:rsid w:val="00903A30"/>
    <w:rsid w:val="00903C6B"/>
    <w:rsid w:val="00903E4C"/>
    <w:rsid w:val="00903E5F"/>
    <w:rsid w:val="00904068"/>
    <w:rsid w:val="00904100"/>
    <w:rsid w:val="00904280"/>
    <w:rsid w:val="009042F5"/>
    <w:rsid w:val="00904302"/>
    <w:rsid w:val="0090454B"/>
    <w:rsid w:val="009045CA"/>
    <w:rsid w:val="009045FE"/>
    <w:rsid w:val="00904761"/>
    <w:rsid w:val="009047EC"/>
    <w:rsid w:val="00904A9E"/>
    <w:rsid w:val="00904CA7"/>
    <w:rsid w:val="00904FB3"/>
    <w:rsid w:val="00905104"/>
    <w:rsid w:val="0090553E"/>
    <w:rsid w:val="00905765"/>
    <w:rsid w:val="00905AAE"/>
    <w:rsid w:val="00905B24"/>
    <w:rsid w:val="00905D27"/>
    <w:rsid w:val="00905E91"/>
    <w:rsid w:val="00906071"/>
    <w:rsid w:val="009061B9"/>
    <w:rsid w:val="009062C7"/>
    <w:rsid w:val="0090639D"/>
    <w:rsid w:val="00906432"/>
    <w:rsid w:val="00906535"/>
    <w:rsid w:val="00906589"/>
    <w:rsid w:val="0090661D"/>
    <w:rsid w:val="00906672"/>
    <w:rsid w:val="009066A4"/>
    <w:rsid w:val="009066EC"/>
    <w:rsid w:val="009067EE"/>
    <w:rsid w:val="0090689A"/>
    <w:rsid w:val="00906A1E"/>
    <w:rsid w:val="00906BAD"/>
    <w:rsid w:val="00906C20"/>
    <w:rsid w:val="00906DD2"/>
    <w:rsid w:val="00906F40"/>
    <w:rsid w:val="00907098"/>
    <w:rsid w:val="00907136"/>
    <w:rsid w:val="0090716C"/>
    <w:rsid w:val="0090723C"/>
    <w:rsid w:val="009073BB"/>
    <w:rsid w:val="009077D9"/>
    <w:rsid w:val="009078CC"/>
    <w:rsid w:val="00907984"/>
    <w:rsid w:val="009079A0"/>
    <w:rsid w:val="00907BA0"/>
    <w:rsid w:val="00907C77"/>
    <w:rsid w:val="00907CA7"/>
    <w:rsid w:val="00907DC2"/>
    <w:rsid w:val="00907E73"/>
    <w:rsid w:val="00907EEF"/>
    <w:rsid w:val="00907F78"/>
    <w:rsid w:val="00907FE9"/>
    <w:rsid w:val="0091002C"/>
    <w:rsid w:val="00910081"/>
    <w:rsid w:val="00910247"/>
    <w:rsid w:val="0091035A"/>
    <w:rsid w:val="009103AF"/>
    <w:rsid w:val="0091040A"/>
    <w:rsid w:val="00910415"/>
    <w:rsid w:val="009104FE"/>
    <w:rsid w:val="00910566"/>
    <w:rsid w:val="009105CD"/>
    <w:rsid w:val="00910610"/>
    <w:rsid w:val="009108DF"/>
    <w:rsid w:val="00910B2D"/>
    <w:rsid w:val="00910B8C"/>
    <w:rsid w:val="00910D01"/>
    <w:rsid w:val="00910ECC"/>
    <w:rsid w:val="00910F7D"/>
    <w:rsid w:val="00910FB5"/>
    <w:rsid w:val="00911106"/>
    <w:rsid w:val="00911117"/>
    <w:rsid w:val="00911127"/>
    <w:rsid w:val="009112F1"/>
    <w:rsid w:val="00911A5A"/>
    <w:rsid w:val="00911ABC"/>
    <w:rsid w:val="00911CAF"/>
    <w:rsid w:val="00911CF6"/>
    <w:rsid w:val="0091217E"/>
    <w:rsid w:val="0091226F"/>
    <w:rsid w:val="0091230E"/>
    <w:rsid w:val="0091233F"/>
    <w:rsid w:val="009124B7"/>
    <w:rsid w:val="00912536"/>
    <w:rsid w:val="00912651"/>
    <w:rsid w:val="0091288D"/>
    <w:rsid w:val="0091294F"/>
    <w:rsid w:val="009129C4"/>
    <w:rsid w:val="00912A61"/>
    <w:rsid w:val="00912B6E"/>
    <w:rsid w:val="00912CDC"/>
    <w:rsid w:val="00912CE8"/>
    <w:rsid w:val="00912D0E"/>
    <w:rsid w:val="00912D24"/>
    <w:rsid w:val="00912D39"/>
    <w:rsid w:val="00912F18"/>
    <w:rsid w:val="00912F84"/>
    <w:rsid w:val="00913004"/>
    <w:rsid w:val="00913180"/>
    <w:rsid w:val="00913370"/>
    <w:rsid w:val="009135C4"/>
    <w:rsid w:val="00913643"/>
    <w:rsid w:val="00913789"/>
    <w:rsid w:val="00913806"/>
    <w:rsid w:val="009139C3"/>
    <w:rsid w:val="00913A58"/>
    <w:rsid w:val="00913B5B"/>
    <w:rsid w:val="00913DD0"/>
    <w:rsid w:val="00913F1E"/>
    <w:rsid w:val="009140B9"/>
    <w:rsid w:val="00914399"/>
    <w:rsid w:val="00914425"/>
    <w:rsid w:val="00914445"/>
    <w:rsid w:val="0091459D"/>
    <w:rsid w:val="00914632"/>
    <w:rsid w:val="00914AAD"/>
    <w:rsid w:val="00914E31"/>
    <w:rsid w:val="00914EB4"/>
    <w:rsid w:val="00914F13"/>
    <w:rsid w:val="00914FB3"/>
    <w:rsid w:val="009151C7"/>
    <w:rsid w:val="0091520A"/>
    <w:rsid w:val="0091543B"/>
    <w:rsid w:val="00915482"/>
    <w:rsid w:val="00915550"/>
    <w:rsid w:val="00915647"/>
    <w:rsid w:val="009157CC"/>
    <w:rsid w:val="00915C51"/>
    <w:rsid w:val="00915CB2"/>
    <w:rsid w:val="00915D01"/>
    <w:rsid w:val="00915DA6"/>
    <w:rsid w:val="00915EEE"/>
    <w:rsid w:val="00916016"/>
    <w:rsid w:val="00916030"/>
    <w:rsid w:val="009160FF"/>
    <w:rsid w:val="0091622A"/>
    <w:rsid w:val="009162AE"/>
    <w:rsid w:val="009162C9"/>
    <w:rsid w:val="00916462"/>
    <w:rsid w:val="00916713"/>
    <w:rsid w:val="0091673A"/>
    <w:rsid w:val="009169AB"/>
    <w:rsid w:val="00916A3F"/>
    <w:rsid w:val="00916B63"/>
    <w:rsid w:val="00916B9B"/>
    <w:rsid w:val="00916CA5"/>
    <w:rsid w:val="00916CF1"/>
    <w:rsid w:val="00916DCC"/>
    <w:rsid w:val="00916F74"/>
    <w:rsid w:val="0091700A"/>
    <w:rsid w:val="0091713A"/>
    <w:rsid w:val="00917176"/>
    <w:rsid w:val="00917230"/>
    <w:rsid w:val="0091723E"/>
    <w:rsid w:val="00917533"/>
    <w:rsid w:val="0091758F"/>
    <w:rsid w:val="0091761E"/>
    <w:rsid w:val="00917706"/>
    <w:rsid w:val="0091775F"/>
    <w:rsid w:val="0091784F"/>
    <w:rsid w:val="009178A0"/>
    <w:rsid w:val="00917905"/>
    <w:rsid w:val="009179FA"/>
    <w:rsid w:val="00917A1A"/>
    <w:rsid w:val="00917B69"/>
    <w:rsid w:val="00917B6C"/>
    <w:rsid w:val="00917BB2"/>
    <w:rsid w:val="00917F57"/>
    <w:rsid w:val="00920136"/>
    <w:rsid w:val="0092024E"/>
    <w:rsid w:val="0092028F"/>
    <w:rsid w:val="009202DE"/>
    <w:rsid w:val="009204FB"/>
    <w:rsid w:val="00920610"/>
    <w:rsid w:val="00920667"/>
    <w:rsid w:val="009208E0"/>
    <w:rsid w:val="0092098C"/>
    <w:rsid w:val="009209DF"/>
    <w:rsid w:val="009209EC"/>
    <w:rsid w:val="00920B43"/>
    <w:rsid w:val="00920D02"/>
    <w:rsid w:val="00920D7A"/>
    <w:rsid w:val="00920F43"/>
    <w:rsid w:val="0092109D"/>
    <w:rsid w:val="009212E2"/>
    <w:rsid w:val="00921775"/>
    <w:rsid w:val="009217A0"/>
    <w:rsid w:val="00921862"/>
    <w:rsid w:val="00921940"/>
    <w:rsid w:val="00921BC2"/>
    <w:rsid w:val="00921E13"/>
    <w:rsid w:val="00922078"/>
    <w:rsid w:val="009221C3"/>
    <w:rsid w:val="009221CD"/>
    <w:rsid w:val="00922328"/>
    <w:rsid w:val="0092248E"/>
    <w:rsid w:val="009224C8"/>
    <w:rsid w:val="00922760"/>
    <w:rsid w:val="0092283D"/>
    <w:rsid w:val="00922904"/>
    <w:rsid w:val="00922B56"/>
    <w:rsid w:val="00922BCE"/>
    <w:rsid w:val="00922C70"/>
    <w:rsid w:val="00922D20"/>
    <w:rsid w:val="00922D53"/>
    <w:rsid w:val="00922FF4"/>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3EF6"/>
    <w:rsid w:val="009240A8"/>
    <w:rsid w:val="00924248"/>
    <w:rsid w:val="00924327"/>
    <w:rsid w:val="0092464E"/>
    <w:rsid w:val="00924773"/>
    <w:rsid w:val="0092477D"/>
    <w:rsid w:val="009248E0"/>
    <w:rsid w:val="00924936"/>
    <w:rsid w:val="00924992"/>
    <w:rsid w:val="009249EE"/>
    <w:rsid w:val="00924BEB"/>
    <w:rsid w:val="00924CD0"/>
    <w:rsid w:val="00924DBA"/>
    <w:rsid w:val="00924E02"/>
    <w:rsid w:val="00924EEF"/>
    <w:rsid w:val="00925214"/>
    <w:rsid w:val="00925279"/>
    <w:rsid w:val="00925349"/>
    <w:rsid w:val="0092539C"/>
    <w:rsid w:val="009253A4"/>
    <w:rsid w:val="00925592"/>
    <w:rsid w:val="00925630"/>
    <w:rsid w:val="009256EA"/>
    <w:rsid w:val="0092587B"/>
    <w:rsid w:val="00925AFB"/>
    <w:rsid w:val="00925B62"/>
    <w:rsid w:val="00925C69"/>
    <w:rsid w:val="00925FCB"/>
    <w:rsid w:val="00925FD8"/>
    <w:rsid w:val="00925FDD"/>
    <w:rsid w:val="009261E6"/>
    <w:rsid w:val="0092622D"/>
    <w:rsid w:val="0092626F"/>
    <w:rsid w:val="00926538"/>
    <w:rsid w:val="00926760"/>
    <w:rsid w:val="00926BF2"/>
    <w:rsid w:val="00926C07"/>
    <w:rsid w:val="00926D3B"/>
    <w:rsid w:val="00927310"/>
    <w:rsid w:val="0092740A"/>
    <w:rsid w:val="0092791D"/>
    <w:rsid w:val="00927B0E"/>
    <w:rsid w:val="00927BFF"/>
    <w:rsid w:val="00927D2F"/>
    <w:rsid w:val="00927D82"/>
    <w:rsid w:val="00927E65"/>
    <w:rsid w:val="00927F1D"/>
    <w:rsid w:val="00930199"/>
    <w:rsid w:val="009302AE"/>
    <w:rsid w:val="0093052F"/>
    <w:rsid w:val="00930581"/>
    <w:rsid w:val="009305FE"/>
    <w:rsid w:val="00930777"/>
    <w:rsid w:val="009307CF"/>
    <w:rsid w:val="009307DA"/>
    <w:rsid w:val="009307F2"/>
    <w:rsid w:val="0093091C"/>
    <w:rsid w:val="00930C38"/>
    <w:rsid w:val="00930D9F"/>
    <w:rsid w:val="00930E16"/>
    <w:rsid w:val="00930E3D"/>
    <w:rsid w:val="009311DC"/>
    <w:rsid w:val="00931293"/>
    <w:rsid w:val="009312AB"/>
    <w:rsid w:val="009312FD"/>
    <w:rsid w:val="0093144A"/>
    <w:rsid w:val="0093149B"/>
    <w:rsid w:val="009318B9"/>
    <w:rsid w:val="009318D0"/>
    <w:rsid w:val="009319FE"/>
    <w:rsid w:val="00931A94"/>
    <w:rsid w:val="00931B2B"/>
    <w:rsid w:val="00931C62"/>
    <w:rsid w:val="00931CC3"/>
    <w:rsid w:val="00931D33"/>
    <w:rsid w:val="00931D3D"/>
    <w:rsid w:val="00931DFC"/>
    <w:rsid w:val="00931E1C"/>
    <w:rsid w:val="00932069"/>
    <w:rsid w:val="009320D0"/>
    <w:rsid w:val="00932205"/>
    <w:rsid w:val="00932334"/>
    <w:rsid w:val="00932419"/>
    <w:rsid w:val="009324C0"/>
    <w:rsid w:val="0093259C"/>
    <w:rsid w:val="009326E8"/>
    <w:rsid w:val="0093288E"/>
    <w:rsid w:val="009329A8"/>
    <w:rsid w:val="00932BD4"/>
    <w:rsid w:val="00932C68"/>
    <w:rsid w:val="00932D4F"/>
    <w:rsid w:val="009330A2"/>
    <w:rsid w:val="0093337A"/>
    <w:rsid w:val="009333BB"/>
    <w:rsid w:val="00933525"/>
    <w:rsid w:val="00933619"/>
    <w:rsid w:val="0093380E"/>
    <w:rsid w:val="00933931"/>
    <w:rsid w:val="00933A39"/>
    <w:rsid w:val="00933ABA"/>
    <w:rsid w:val="00933BDD"/>
    <w:rsid w:val="00933CEB"/>
    <w:rsid w:val="00934138"/>
    <w:rsid w:val="00934153"/>
    <w:rsid w:val="00934164"/>
    <w:rsid w:val="0093449F"/>
    <w:rsid w:val="00934523"/>
    <w:rsid w:val="0093470C"/>
    <w:rsid w:val="00934831"/>
    <w:rsid w:val="0093483A"/>
    <w:rsid w:val="009348AA"/>
    <w:rsid w:val="009348F3"/>
    <w:rsid w:val="0093496C"/>
    <w:rsid w:val="00934B84"/>
    <w:rsid w:val="00934C70"/>
    <w:rsid w:val="00934DE4"/>
    <w:rsid w:val="00935007"/>
    <w:rsid w:val="0093508E"/>
    <w:rsid w:val="00935193"/>
    <w:rsid w:val="00935279"/>
    <w:rsid w:val="00935337"/>
    <w:rsid w:val="0093539F"/>
    <w:rsid w:val="00935551"/>
    <w:rsid w:val="0093581C"/>
    <w:rsid w:val="00935A54"/>
    <w:rsid w:val="00935BD1"/>
    <w:rsid w:val="00935CA5"/>
    <w:rsid w:val="00935DA8"/>
    <w:rsid w:val="00935E97"/>
    <w:rsid w:val="0093600F"/>
    <w:rsid w:val="00936173"/>
    <w:rsid w:val="009361E6"/>
    <w:rsid w:val="009362FB"/>
    <w:rsid w:val="0093638C"/>
    <w:rsid w:val="009364B4"/>
    <w:rsid w:val="009364F2"/>
    <w:rsid w:val="00936656"/>
    <w:rsid w:val="00936664"/>
    <w:rsid w:val="00936685"/>
    <w:rsid w:val="00936702"/>
    <w:rsid w:val="009368C1"/>
    <w:rsid w:val="00936B49"/>
    <w:rsid w:val="00936DCF"/>
    <w:rsid w:val="00936E51"/>
    <w:rsid w:val="00937016"/>
    <w:rsid w:val="0093713E"/>
    <w:rsid w:val="00937188"/>
    <w:rsid w:val="009373E0"/>
    <w:rsid w:val="009374EE"/>
    <w:rsid w:val="0093751C"/>
    <w:rsid w:val="00937755"/>
    <w:rsid w:val="00937807"/>
    <w:rsid w:val="0093780A"/>
    <w:rsid w:val="00937826"/>
    <w:rsid w:val="009378D6"/>
    <w:rsid w:val="00937CC3"/>
    <w:rsid w:val="00937D06"/>
    <w:rsid w:val="00937F08"/>
    <w:rsid w:val="00937F20"/>
    <w:rsid w:val="0094003F"/>
    <w:rsid w:val="009402F2"/>
    <w:rsid w:val="009404BA"/>
    <w:rsid w:val="009404CE"/>
    <w:rsid w:val="00940590"/>
    <w:rsid w:val="00940841"/>
    <w:rsid w:val="00940C9C"/>
    <w:rsid w:val="00940FDB"/>
    <w:rsid w:val="00940FFC"/>
    <w:rsid w:val="009410B2"/>
    <w:rsid w:val="00941231"/>
    <w:rsid w:val="00941517"/>
    <w:rsid w:val="00941589"/>
    <w:rsid w:val="009416A0"/>
    <w:rsid w:val="00941824"/>
    <w:rsid w:val="00941962"/>
    <w:rsid w:val="00941ABD"/>
    <w:rsid w:val="00941C2A"/>
    <w:rsid w:val="00941E2A"/>
    <w:rsid w:val="00941E97"/>
    <w:rsid w:val="0094216D"/>
    <w:rsid w:val="009421AA"/>
    <w:rsid w:val="009421C1"/>
    <w:rsid w:val="009421D2"/>
    <w:rsid w:val="00942257"/>
    <w:rsid w:val="0094237A"/>
    <w:rsid w:val="0094244E"/>
    <w:rsid w:val="009428A9"/>
    <w:rsid w:val="0094293F"/>
    <w:rsid w:val="00942965"/>
    <w:rsid w:val="00942984"/>
    <w:rsid w:val="009429E9"/>
    <w:rsid w:val="0094305F"/>
    <w:rsid w:val="009430DA"/>
    <w:rsid w:val="009433EE"/>
    <w:rsid w:val="00943635"/>
    <w:rsid w:val="00943794"/>
    <w:rsid w:val="00943814"/>
    <w:rsid w:val="00943A07"/>
    <w:rsid w:val="00943A82"/>
    <w:rsid w:val="00943C14"/>
    <w:rsid w:val="00943CAD"/>
    <w:rsid w:val="00943E48"/>
    <w:rsid w:val="00943E9E"/>
    <w:rsid w:val="00943F1D"/>
    <w:rsid w:val="00944000"/>
    <w:rsid w:val="00944068"/>
    <w:rsid w:val="00944521"/>
    <w:rsid w:val="00944677"/>
    <w:rsid w:val="009447F3"/>
    <w:rsid w:val="00944877"/>
    <w:rsid w:val="0094497D"/>
    <w:rsid w:val="00944B48"/>
    <w:rsid w:val="00944C3F"/>
    <w:rsid w:val="00944EF8"/>
    <w:rsid w:val="00944F6C"/>
    <w:rsid w:val="00945076"/>
    <w:rsid w:val="009453F5"/>
    <w:rsid w:val="0094549A"/>
    <w:rsid w:val="00945662"/>
    <w:rsid w:val="00945683"/>
    <w:rsid w:val="0094570F"/>
    <w:rsid w:val="0094576C"/>
    <w:rsid w:val="0094586F"/>
    <w:rsid w:val="0094595C"/>
    <w:rsid w:val="00945968"/>
    <w:rsid w:val="009459E9"/>
    <w:rsid w:val="00945BB8"/>
    <w:rsid w:val="00945C46"/>
    <w:rsid w:val="00945EEF"/>
    <w:rsid w:val="00945FCB"/>
    <w:rsid w:val="009460E5"/>
    <w:rsid w:val="00946163"/>
    <w:rsid w:val="00946235"/>
    <w:rsid w:val="00946239"/>
    <w:rsid w:val="0094637F"/>
    <w:rsid w:val="00946753"/>
    <w:rsid w:val="00946756"/>
    <w:rsid w:val="009467A7"/>
    <w:rsid w:val="00946813"/>
    <w:rsid w:val="00946935"/>
    <w:rsid w:val="0094693A"/>
    <w:rsid w:val="00946A7C"/>
    <w:rsid w:val="00946AF6"/>
    <w:rsid w:val="00946BE0"/>
    <w:rsid w:val="00946CD0"/>
    <w:rsid w:val="00946D97"/>
    <w:rsid w:val="00946E3E"/>
    <w:rsid w:val="00946EAA"/>
    <w:rsid w:val="00946F67"/>
    <w:rsid w:val="00947010"/>
    <w:rsid w:val="0094706D"/>
    <w:rsid w:val="00947159"/>
    <w:rsid w:val="00947248"/>
    <w:rsid w:val="009474B5"/>
    <w:rsid w:val="009476C6"/>
    <w:rsid w:val="00947744"/>
    <w:rsid w:val="00947773"/>
    <w:rsid w:val="009477C2"/>
    <w:rsid w:val="009477CD"/>
    <w:rsid w:val="009477D7"/>
    <w:rsid w:val="00947921"/>
    <w:rsid w:val="00947967"/>
    <w:rsid w:val="00947BEF"/>
    <w:rsid w:val="00947C84"/>
    <w:rsid w:val="00947CAE"/>
    <w:rsid w:val="00947D6C"/>
    <w:rsid w:val="00947DE1"/>
    <w:rsid w:val="00947EB0"/>
    <w:rsid w:val="00947EDE"/>
    <w:rsid w:val="00947F41"/>
    <w:rsid w:val="00947F97"/>
    <w:rsid w:val="0095000E"/>
    <w:rsid w:val="00950050"/>
    <w:rsid w:val="009500CA"/>
    <w:rsid w:val="00950145"/>
    <w:rsid w:val="00950458"/>
    <w:rsid w:val="00950505"/>
    <w:rsid w:val="009505B2"/>
    <w:rsid w:val="0095073D"/>
    <w:rsid w:val="0095074D"/>
    <w:rsid w:val="00950805"/>
    <w:rsid w:val="009508C1"/>
    <w:rsid w:val="00950A1D"/>
    <w:rsid w:val="00950B7D"/>
    <w:rsid w:val="00950C81"/>
    <w:rsid w:val="00950DD8"/>
    <w:rsid w:val="00950E3B"/>
    <w:rsid w:val="00950EC4"/>
    <w:rsid w:val="00951098"/>
    <w:rsid w:val="0095112F"/>
    <w:rsid w:val="009512A3"/>
    <w:rsid w:val="0095136F"/>
    <w:rsid w:val="00951770"/>
    <w:rsid w:val="00951841"/>
    <w:rsid w:val="009518FC"/>
    <w:rsid w:val="00951BA2"/>
    <w:rsid w:val="00951BD6"/>
    <w:rsid w:val="00951DB2"/>
    <w:rsid w:val="00951DF8"/>
    <w:rsid w:val="00951FD0"/>
    <w:rsid w:val="00952024"/>
    <w:rsid w:val="00952152"/>
    <w:rsid w:val="009521AD"/>
    <w:rsid w:val="00952604"/>
    <w:rsid w:val="00952959"/>
    <w:rsid w:val="00952A34"/>
    <w:rsid w:val="00952B3C"/>
    <w:rsid w:val="00952E09"/>
    <w:rsid w:val="00952F53"/>
    <w:rsid w:val="00953006"/>
    <w:rsid w:val="00953271"/>
    <w:rsid w:val="0095332E"/>
    <w:rsid w:val="009533C2"/>
    <w:rsid w:val="00953774"/>
    <w:rsid w:val="00953924"/>
    <w:rsid w:val="00953ADC"/>
    <w:rsid w:val="00953AFE"/>
    <w:rsid w:val="00953F0D"/>
    <w:rsid w:val="00953FAD"/>
    <w:rsid w:val="0095421D"/>
    <w:rsid w:val="009548FE"/>
    <w:rsid w:val="00954901"/>
    <w:rsid w:val="00954AF6"/>
    <w:rsid w:val="00954B56"/>
    <w:rsid w:val="00954BC1"/>
    <w:rsid w:val="00954C11"/>
    <w:rsid w:val="00954C65"/>
    <w:rsid w:val="00954DE2"/>
    <w:rsid w:val="0095516A"/>
    <w:rsid w:val="009552CC"/>
    <w:rsid w:val="00955338"/>
    <w:rsid w:val="00955476"/>
    <w:rsid w:val="009554DE"/>
    <w:rsid w:val="009555F7"/>
    <w:rsid w:val="00955656"/>
    <w:rsid w:val="00955670"/>
    <w:rsid w:val="00955A28"/>
    <w:rsid w:val="00955A81"/>
    <w:rsid w:val="00955A95"/>
    <w:rsid w:val="00955B27"/>
    <w:rsid w:val="00956084"/>
    <w:rsid w:val="00956434"/>
    <w:rsid w:val="00956852"/>
    <w:rsid w:val="009568E8"/>
    <w:rsid w:val="00956972"/>
    <w:rsid w:val="00956D59"/>
    <w:rsid w:val="00956DF0"/>
    <w:rsid w:val="00956E25"/>
    <w:rsid w:val="00956F25"/>
    <w:rsid w:val="00956FAB"/>
    <w:rsid w:val="0095704D"/>
    <w:rsid w:val="00957073"/>
    <w:rsid w:val="009571E6"/>
    <w:rsid w:val="009573B8"/>
    <w:rsid w:val="009573DA"/>
    <w:rsid w:val="009573DE"/>
    <w:rsid w:val="00957682"/>
    <w:rsid w:val="009576CE"/>
    <w:rsid w:val="0095779D"/>
    <w:rsid w:val="00957802"/>
    <w:rsid w:val="009578F0"/>
    <w:rsid w:val="00957916"/>
    <w:rsid w:val="00957A69"/>
    <w:rsid w:val="00957B4C"/>
    <w:rsid w:val="00957EB3"/>
    <w:rsid w:val="00957F02"/>
    <w:rsid w:val="00957FA3"/>
    <w:rsid w:val="009602EF"/>
    <w:rsid w:val="009603D8"/>
    <w:rsid w:val="0096045C"/>
    <w:rsid w:val="0096074B"/>
    <w:rsid w:val="00960775"/>
    <w:rsid w:val="00960A83"/>
    <w:rsid w:val="00960ED0"/>
    <w:rsid w:val="0096103A"/>
    <w:rsid w:val="00961076"/>
    <w:rsid w:val="009610B7"/>
    <w:rsid w:val="009611DB"/>
    <w:rsid w:val="00961322"/>
    <w:rsid w:val="0096152F"/>
    <w:rsid w:val="009615DF"/>
    <w:rsid w:val="0096166C"/>
    <w:rsid w:val="00961A2F"/>
    <w:rsid w:val="00961A4D"/>
    <w:rsid w:val="00961A5B"/>
    <w:rsid w:val="00961B9E"/>
    <w:rsid w:val="00961E1E"/>
    <w:rsid w:val="00961EB1"/>
    <w:rsid w:val="00962074"/>
    <w:rsid w:val="00962616"/>
    <w:rsid w:val="009627C0"/>
    <w:rsid w:val="00962804"/>
    <w:rsid w:val="009628CC"/>
    <w:rsid w:val="00962963"/>
    <w:rsid w:val="00962BB6"/>
    <w:rsid w:val="00962C32"/>
    <w:rsid w:val="00962C8D"/>
    <w:rsid w:val="00962C9D"/>
    <w:rsid w:val="00962F63"/>
    <w:rsid w:val="00962FF5"/>
    <w:rsid w:val="0096330F"/>
    <w:rsid w:val="00963320"/>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E0"/>
    <w:rsid w:val="009642EA"/>
    <w:rsid w:val="009643E7"/>
    <w:rsid w:val="009644E6"/>
    <w:rsid w:val="0096452F"/>
    <w:rsid w:val="00964535"/>
    <w:rsid w:val="0096457E"/>
    <w:rsid w:val="009645A7"/>
    <w:rsid w:val="009645CD"/>
    <w:rsid w:val="0096474C"/>
    <w:rsid w:val="009647F7"/>
    <w:rsid w:val="00964816"/>
    <w:rsid w:val="0096496B"/>
    <w:rsid w:val="00964A17"/>
    <w:rsid w:val="00964AD8"/>
    <w:rsid w:val="00964B25"/>
    <w:rsid w:val="00964C39"/>
    <w:rsid w:val="00964D0A"/>
    <w:rsid w:val="00964DB8"/>
    <w:rsid w:val="00964DBE"/>
    <w:rsid w:val="00965055"/>
    <w:rsid w:val="009652BF"/>
    <w:rsid w:val="009653C9"/>
    <w:rsid w:val="00965431"/>
    <w:rsid w:val="009654D3"/>
    <w:rsid w:val="009654EB"/>
    <w:rsid w:val="00965504"/>
    <w:rsid w:val="00965536"/>
    <w:rsid w:val="0096561A"/>
    <w:rsid w:val="0096572F"/>
    <w:rsid w:val="0096575E"/>
    <w:rsid w:val="009657C9"/>
    <w:rsid w:val="0096589E"/>
    <w:rsid w:val="009659A8"/>
    <w:rsid w:val="00965A5E"/>
    <w:rsid w:val="00965C34"/>
    <w:rsid w:val="00965CD7"/>
    <w:rsid w:val="00965E37"/>
    <w:rsid w:val="00965E5F"/>
    <w:rsid w:val="00965EF7"/>
    <w:rsid w:val="00965F2D"/>
    <w:rsid w:val="0096602A"/>
    <w:rsid w:val="009661E3"/>
    <w:rsid w:val="009662A4"/>
    <w:rsid w:val="0096630A"/>
    <w:rsid w:val="009663D2"/>
    <w:rsid w:val="0096646C"/>
    <w:rsid w:val="00966486"/>
    <w:rsid w:val="009666B0"/>
    <w:rsid w:val="00966898"/>
    <w:rsid w:val="00966920"/>
    <w:rsid w:val="0096692C"/>
    <w:rsid w:val="0096695A"/>
    <w:rsid w:val="00966CAE"/>
    <w:rsid w:val="00966D31"/>
    <w:rsid w:val="00966E96"/>
    <w:rsid w:val="00966EDA"/>
    <w:rsid w:val="00966F4D"/>
    <w:rsid w:val="00966FE2"/>
    <w:rsid w:val="0096702D"/>
    <w:rsid w:val="009670C1"/>
    <w:rsid w:val="00967219"/>
    <w:rsid w:val="009674C0"/>
    <w:rsid w:val="009674CA"/>
    <w:rsid w:val="009674E6"/>
    <w:rsid w:val="0096754D"/>
    <w:rsid w:val="009675D7"/>
    <w:rsid w:val="009675EC"/>
    <w:rsid w:val="0096780A"/>
    <w:rsid w:val="0096789F"/>
    <w:rsid w:val="00967BCE"/>
    <w:rsid w:val="00967BDB"/>
    <w:rsid w:val="00967CF4"/>
    <w:rsid w:val="00967E38"/>
    <w:rsid w:val="00967E52"/>
    <w:rsid w:val="0096ECC4"/>
    <w:rsid w:val="0097029C"/>
    <w:rsid w:val="0097037F"/>
    <w:rsid w:val="00970475"/>
    <w:rsid w:val="00970574"/>
    <w:rsid w:val="009705BA"/>
    <w:rsid w:val="0097068E"/>
    <w:rsid w:val="00970935"/>
    <w:rsid w:val="00970961"/>
    <w:rsid w:val="00970965"/>
    <w:rsid w:val="00970AD9"/>
    <w:rsid w:val="00970B8C"/>
    <w:rsid w:val="00970BCF"/>
    <w:rsid w:val="00970CC1"/>
    <w:rsid w:val="00970E06"/>
    <w:rsid w:val="00970E21"/>
    <w:rsid w:val="00970F75"/>
    <w:rsid w:val="00971116"/>
    <w:rsid w:val="0097149A"/>
    <w:rsid w:val="009716E3"/>
    <w:rsid w:val="00971962"/>
    <w:rsid w:val="009719A8"/>
    <w:rsid w:val="00971A4F"/>
    <w:rsid w:val="00971B64"/>
    <w:rsid w:val="00971BA4"/>
    <w:rsid w:val="00971F82"/>
    <w:rsid w:val="00972072"/>
    <w:rsid w:val="009725D9"/>
    <w:rsid w:val="009725EF"/>
    <w:rsid w:val="0097287B"/>
    <w:rsid w:val="009729D7"/>
    <w:rsid w:val="00972B0A"/>
    <w:rsid w:val="00972CA7"/>
    <w:rsid w:val="00972CBE"/>
    <w:rsid w:val="00972D04"/>
    <w:rsid w:val="00972E7E"/>
    <w:rsid w:val="00972F0A"/>
    <w:rsid w:val="0097316F"/>
    <w:rsid w:val="009731B0"/>
    <w:rsid w:val="009732CA"/>
    <w:rsid w:val="0097388E"/>
    <w:rsid w:val="009738AF"/>
    <w:rsid w:val="009738F3"/>
    <w:rsid w:val="00973993"/>
    <w:rsid w:val="009739BA"/>
    <w:rsid w:val="00973BB7"/>
    <w:rsid w:val="00973BE7"/>
    <w:rsid w:val="00974142"/>
    <w:rsid w:val="00974231"/>
    <w:rsid w:val="009742E7"/>
    <w:rsid w:val="0097465D"/>
    <w:rsid w:val="0097476F"/>
    <w:rsid w:val="00974984"/>
    <w:rsid w:val="00974A2D"/>
    <w:rsid w:val="00974AAD"/>
    <w:rsid w:val="00974AED"/>
    <w:rsid w:val="00974B0F"/>
    <w:rsid w:val="00974BC2"/>
    <w:rsid w:val="00974C14"/>
    <w:rsid w:val="00974C68"/>
    <w:rsid w:val="00974D1A"/>
    <w:rsid w:val="00974D25"/>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645"/>
    <w:rsid w:val="00975771"/>
    <w:rsid w:val="0097580C"/>
    <w:rsid w:val="0097588B"/>
    <w:rsid w:val="00975936"/>
    <w:rsid w:val="009759D6"/>
    <w:rsid w:val="009759F6"/>
    <w:rsid w:val="00975A54"/>
    <w:rsid w:val="00975BB4"/>
    <w:rsid w:val="00975BE9"/>
    <w:rsid w:val="00975C52"/>
    <w:rsid w:val="00975DA1"/>
    <w:rsid w:val="00975E47"/>
    <w:rsid w:val="00975F05"/>
    <w:rsid w:val="0097606A"/>
    <w:rsid w:val="00976101"/>
    <w:rsid w:val="00976158"/>
    <w:rsid w:val="009761F4"/>
    <w:rsid w:val="0097622B"/>
    <w:rsid w:val="00976278"/>
    <w:rsid w:val="009762A2"/>
    <w:rsid w:val="009762A7"/>
    <w:rsid w:val="009763BF"/>
    <w:rsid w:val="00976452"/>
    <w:rsid w:val="00976618"/>
    <w:rsid w:val="0097679B"/>
    <w:rsid w:val="00976841"/>
    <w:rsid w:val="00976857"/>
    <w:rsid w:val="00976921"/>
    <w:rsid w:val="00976D86"/>
    <w:rsid w:val="00976E5C"/>
    <w:rsid w:val="00976F4B"/>
    <w:rsid w:val="00977217"/>
    <w:rsid w:val="00977364"/>
    <w:rsid w:val="00977493"/>
    <w:rsid w:val="009776A2"/>
    <w:rsid w:val="00977746"/>
    <w:rsid w:val="00977890"/>
    <w:rsid w:val="00977896"/>
    <w:rsid w:val="00977A0F"/>
    <w:rsid w:val="00977AC7"/>
    <w:rsid w:val="00977B00"/>
    <w:rsid w:val="00977D19"/>
    <w:rsid w:val="00977E1B"/>
    <w:rsid w:val="00977E33"/>
    <w:rsid w:val="00977E39"/>
    <w:rsid w:val="00977F84"/>
    <w:rsid w:val="0098005E"/>
    <w:rsid w:val="009803D4"/>
    <w:rsid w:val="009803D8"/>
    <w:rsid w:val="00980492"/>
    <w:rsid w:val="00980708"/>
    <w:rsid w:val="009808E1"/>
    <w:rsid w:val="009808E4"/>
    <w:rsid w:val="00980988"/>
    <w:rsid w:val="00980E19"/>
    <w:rsid w:val="0098122B"/>
    <w:rsid w:val="009814AD"/>
    <w:rsid w:val="00981719"/>
    <w:rsid w:val="00981A56"/>
    <w:rsid w:val="00981BD1"/>
    <w:rsid w:val="00981DA8"/>
    <w:rsid w:val="009820B8"/>
    <w:rsid w:val="009821BD"/>
    <w:rsid w:val="009822FD"/>
    <w:rsid w:val="00982327"/>
    <w:rsid w:val="00982772"/>
    <w:rsid w:val="00982866"/>
    <w:rsid w:val="00982890"/>
    <w:rsid w:val="00982940"/>
    <w:rsid w:val="00982961"/>
    <w:rsid w:val="009829B0"/>
    <w:rsid w:val="00982A2D"/>
    <w:rsid w:val="00982A5B"/>
    <w:rsid w:val="00982BCE"/>
    <w:rsid w:val="00982DCD"/>
    <w:rsid w:val="00982F8A"/>
    <w:rsid w:val="009830D6"/>
    <w:rsid w:val="009832D7"/>
    <w:rsid w:val="0098340F"/>
    <w:rsid w:val="009834C9"/>
    <w:rsid w:val="00983695"/>
    <w:rsid w:val="00983770"/>
    <w:rsid w:val="0098379D"/>
    <w:rsid w:val="00983875"/>
    <w:rsid w:val="0098397C"/>
    <w:rsid w:val="009839A9"/>
    <w:rsid w:val="00983D4F"/>
    <w:rsid w:val="009840A6"/>
    <w:rsid w:val="0098419C"/>
    <w:rsid w:val="009842A4"/>
    <w:rsid w:val="0098457A"/>
    <w:rsid w:val="0098488F"/>
    <w:rsid w:val="00984929"/>
    <w:rsid w:val="00984A0D"/>
    <w:rsid w:val="00984B9F"/>
    <w:rsid w:val="00984D27"/>
    <w:rsid w:val="00984EAE"/>
    <w:rsid w:val="00985093"/>
    <w:rsid w:val="0098513B"/>
    <w:rsid w:val="009853FE"/>
    <w:rsid w:val="00985450"/>
    <w:rsid w:val="009856B5"/>
    <w:rsid w:val="009856BF"/>
    <w:rsid w:val="009856F9"/>
    <w:rsid w:val="00985705"/>
    <w:rsid w:val="009859B3"/>
    <w:rsid w:val="00985C19"/>
    <w:rsid w:val="00985C90"/>
    <w:rsid w:val="00985CE6"/>
    <w:rsid w:val="00985D77"/>
    <w:rsid w:val="00985FB5"/>
    <w:rsid w:val="00985FCD"/>
    <w:rsid w:val="0098601C"/>
    <w:rsid w:val="0098634E"/>
    <w:rsid w:val="00986435"/>
    <w:rsid w:val="00986454"/>
    <w:rsid w:val="0098672E"/>
    <w:rsid w:val="00986768"/>
    <w:rsid w:val="00986B80"/>
    <w:rsid w:val="00986BAA"/>
    <w:rsid w:val="00986C1B"/>
    <w:rsid w:val="00986CB8"/>
    <w:rsid w:val="00986E63"/>
    <w:rsid w:val="00986F95"/>
    <w:rsid w:val="00986FBE"/>
    <w:rsid w:val="00987009"/>
    <w:rsid w:val="00987123"/>
    <w:rsid w:val="00987147"/>
    <w:rsid w:val="009873E1"/>
    <w:rsid w:val="00987A12"/>
    <w:rsid w:val="00987AA0"/>
    <w:rsid w:val="00987E19"/>
    <w:rsid w:val="00987E2A"/>
    <w:rsid w:val="00987E49"/>
    <w:rsid w:val="00987E79"/>
    <w:rsid w:val="00987F14"/>
    <w:rsid w:val="00987FCD"/>
    <w:rsid w:val="0099028B"/>
    <w:rsid w:val="009902FC"/>
    <w:rsid w:val="0099033C"/>
    <w:rsid w:val="00990528"/>
    <w:rsid w:val="0099053D"/>
    <w:rsid w:val="00990576"/>
    <w:rsid w:val="009909C7"/>
    <w:rsid w:val="00990C15"/>
    <w:rsid w:val="00990D77"/>
    <w:rsid w:val="00990F79"/>
    <w:rsid w:val="00990F91"/>
    <w:rsid w:val="00990F99"/>
    <w:rsid w:val="009910A7"/>
    <w:rsid w:val="00991281"/>
    <w:rsid w:val="00991844"/>
    <w:rsid w:val="009919F2"/>
    <w:rsid w:val="00991CC4"/>
    <w:rsid w:val="00991DD7"/>
    <w:rsid w:val="00991DE8"/>
    <w:rsid w:val="00991F3A"/>
    <w:rsid w:val="00991F8C"/>
    <w:rsid w:val="00991F9C"/>
    <w:rsid w:val="00992082"/>
    <w:rsid w:val="00992096"/>
    <w:rsid w:val="009920B7"/>
    <w:rsid w:val="009924EB"/>
    <w:rsid w:val="0099267F"/>
    <w:rsid w:val="00992897"/>
    <w:rsid w:val="009928C9"/>
    <w:rsid w:val="0099293C"/>
    <w:rsid w:val="00992A5D"/>
    <w:rsid w:val="00992AAC"/>
    <w:rsid w:val="00992AB1"/>
    <w:rsid w:val="00992C1F"/>
    <w:rsid w:val="00992C54"/>
    <w:rsid w:val="00992CAB"/>
    <w:rsid w:val="00992CE5"/>
    <w:rsid w:val="00992FEA"/>
    <w:rsid w:val="00993038"/>
    <w:rsid w:val="0099304A"/>
    <w:rsid w:val="00993100"/>
    <w:rsid w:val="009932C2"/>
    <w:rsid w:val="0099330E"/>
    <w:rsid w:val="0099343D"/>
    <w:rsid w:val="009935D2"/>
    <w:rsid w:val="0099368B"/>
    <w:rsid w:val="00993C44"/>
    <w:rsid w:val="00993CEA"/>
    <w:rsid w:val="00993E0B"/>
    <w:rsid w:val="00993E77"/>
    <w:rsid w:val="00993E7E"/>
    <w:rsid w:val="00993F2F"/>
    <w:rsid w:val="00993F4A"/>
    <w:rsid w:val="00993F6D"/>
    <w:rsid w:val="00993FE6"/>
    <w:rsid w:val="00994019"/>
    <w:rsid w:val="009941C3"/>
    <w:rsid w:val="00994570"/>
    <w:rsid w:val="00994638"/>
    <w:rsid w:val="009946B8"/>
    <w:rsid w:val="0099474B"/>
    <w:rsid w:val="0099486F"/>
    <w:rsid w:val="00994893"/>
    <w:rsid w:val="0099492C"/>
    <w:rsid w:val="00994A3A"/>
    <w:rsid w:val="00994FF6"/>
    <w:rsid w:val="00995080"/>
    <w:rsid w:val="009951C8"/>
    <w:rsid w:val="009951FE"/>
    <w:rsid w:val="00995232"/>
    <w:rsid w:val="00995305"/>
    <w:rsid w:val="00995388"/>
    <w:rsid w:val="009958AC"/>
    <w:rsid w:val="009958FF"/>
    <w:rsid w:val="00995947"/>
    <w:rsid w:val="00995B2A"/>
    <w:rsid w:val="00995B7D"/>
    <w:rsid w:val="00995B96"/>
    <w:rsid w:val="00995C01"/>
    <w:rsid w:val="00995CE7"/>
    <w:rsid w:val="00996093"/>
    <w:rsid w:val="00996324"/>
    <w:rsid w:val="00996390"/>
    <w:rsid w:val="00996415"/>
    <w:rsid w:val="00996603"/>
    <w:rsid w:val="00996791"/>
    <w:rsid w:val="00996C77"/>
    <w:rsid w:val="00996CF3"/>
    <w:rsid w:val="00997043"/>
    <w:rsid w:val="00997217"/>
    <w:rsid w:val="0099740D"/>
    <w:rsid w:val="00997457"/>
    <w:rsid w:val="00997644"/>
    <w:rsid w:val="009978E4"/>
    <w:rsid w:val="009979E8"/>
    <w:rsid w:val="00997A3C"/>
    <w:rsid w:val="00997D47"/>
    <w:rsid w:val="00997F12"/>
    <w:rsid w:val="00997F72"/>
    <w:rsid w:val="00997FF0"/>
    <w:rsid w:val="009A00F0"/>
    <w:rsid w:val="009A0144"/>
    <w:rsid w:val="009A01B5"/>
    <w:rsid w:val="009A027A"/>
    <w:rsid w:val="009A0436"/>
    <w:rsid w:val="009A04AB"/>
    <w:rsid w:val="009A0689"/>
    <w:rsid w:val="009A07C4"/>
    <w:rsid w:val="009A07ED"/>
    <w:rsid w:val="009A08F4"/>
    <w:rsid w:val="009A09B8"/>
    <w:rsid w:val="009A0AC2"/>
    <w:rsid w:val="009A0B25"/>
    <w:rsid w:val="009A0D2C"/>
    <w:rsid w:val="009A0DC9"/>
    <w:rsid w:val="009A0E40"/>
    <w:rsid w:val="009A0E45"/>
    <w:rsid w:val="009A0E5D"/>
    <w:rsid w:val="009A1083"/>
    <w:rsid w:val="009A115F"/>
    <w:rsid w:val="009A11B3"/>
    <w:rsid w:val="009A11E7"/>
    <w:rsid w:val="009A1220"/>
    <w:rsid w:val="009A13BA"/>
    <w:rsid w:val="009A166A"/>
    <w:rsid w:val="009A189F"/>
    <w:rsid w:val="009A1A87"/>
    <w:rsid w:val="009A1AA6"/>
    <w:rsid w:val="009A1CBB"/>
    <w:rsid w:val="009A1E37"/>
    <w:rsid w:val="009A1EBB"/>
    <w:rsid w:val="009A2013"/>
    <w:rsid w:val="009A207B"/>
    <w:rsid w:val="009A2456"/>
    <w:rsid w:val="009A24BB"/>
    <w:rsid w:val="009A2596"/>
    <w:rsid w:val="009A2766"/>
    <w:rsid w:val="009A27BC"/>
    <w:rsid w:val="009A2803"/>
    <w:rsid w:val="009A2CBC"/>
    <w:rsid w:val="009A2D5C"/>
    <w:rsid w:val="009A2D6B"/>
    <w:rsid w:val="009A2E00"/>
    <w:rsid w:val="009A2ECB"/>
    <w:rsid w:val="009A2ED8"/>
    <w:rsid w:val="009A2F3B"/>
    <w:rsid w:val="009A2FA5"/>
    <w:rsid w:val="009A3133"/>
    <w:rsid w:val="009A3208"/>
    <w:rsid w:val="009A33C7"/>
    <w:rsid w:val="009A3505"/>
    <w:rsid w:val="009A3557"/>
    <w:rsid w:val="009A36E1"/>
    <w:rsid w:val="009A37AF"/>
    <w:rsid w:val="009A37F0"/>
    <w:rsid w:val="009A391A"/>
    <w:rsid w:val="009A3B0D"/>
    <w:rsid w:val="009A3BCA"/>
    <w:rsid w:val="009A3BE7"/>
    <w:rsid w:val="009A3C0A"/>
    <w:rsid w:val="009A3DA6"/>
    <w:rsid w:val="009A3DB8"/>
    <w:rsid w:val="009A3EEB"/>
    <w:rsid w:val="009A4009"/>
    <w:rsid w:val="009A44BD"/>
    <w:rsid w:val="009A4551"/>
    <w:rsid w:val="009A45EC"/>
    <w:rsid w:val="009A4636"/>
    <w:rsid w:val="009A4701"/>
    <w:rsid w:val="009A4731"/>
    <w:rsid w:val="009A474A"/>
    <w:rsid w:val="009A4802"/>
    <w:rsid w:val="009A4824"/>
    <w:rsid w:val="009A483A"/>
    <w:rsid w:val="009A493A"/>
    <w:rsid w:val="009A4961"/>
    <w:rsid w:val="009A4A94"/>
    <w:rsid w:val="009A4AB0"/>
    <w:rsid w:val="009A4CD1"/>
    <w:rsid w:val="009A508E"/>
    <w:rsid w:val="009A5314"/>
    <w:rsid w:val="009A5360"/>
    <w:rsid w:val="009A54C8"/>
    <w:rsid w:val="009A54DD"/>
    <w:rsid w:val="009A5600"/>
    <w:rsid w:val="009A5751"/>
    <w:rsid w:val="009A57D1"/>
    <w:rsid w:val="009A58B7"/>
    <w:rsid w:val="009A5994"/>
    <w:rsid w:val="009A59D8"/>
    <w:rsid w:val="009A5A16"/>
    <w:rsid w:val="009A5AE1"/>
    <w:rsid w:val="009A5CAD"/>
    <w:rsid w:val="009A5EC2"/>
    <w:rsid w:val="009A624D"/>
    <w:rsid w:val="009A6263"/>
    <w:rsid w:val="009A6266"/>
    <w:rsid w:val="009A629E"/>
    <w:rsid w:val="009A63E6"/>
    <w:rsid w:val="009A6591"/>
    <w:rsid w:val="009A65AE"/>
    <w:rsid w:val="009A66FC"/>
    <w:rsid w:val="009A6713"/>
    <w:rsid w:val="009A67DE"/>
    <w:rsid w:val="009A6819"/>
    <w:rsid w:val="009A69A1"/>
    <w:rsid w:val="009A69B5"/>
    <w:rsid w:val="009A6C24"/>
    <w:rsid w:val="009A6C28"/>
    <w:rsid w:val="009A6CDB"/>
    <w:rsid w:val="009A6EBC"/>
    <w:rsid w:val="009A6EDB"/>
    <w:rsid w:val="009A6EE3"/>
    <w:rsid w:val="009A6FBE"/>
    <w:rsid w:val="009A724F"/>
    <w:rsid w:val="009A73C7"/>
    <w:rsid w:val="009A7425"/>
    <w:rsid w:val="009A7523"/>
    <w:rsid w:val="009A7846"/>
    <w:rsid w:val="009A78D6"/>
    <w:rsid w:val="009A7B0B"/>
    <w:rsid w:val="009A7B0C"/>
    <w:rsid w:val="009A7D00"/>
    <w:rsid w:val="009A7D84"/>
    <w:rsid w:val="009A7E60"/>
    <w:rsid w:val="009A7EDD"/>
    <w:rsid w:val="009A7F2C"/>
    <w:rsid w:val="009B00B1"/>
    <w:rsid w:val="009B01B6"/>
    <w:rsid w:val="009B0A77"/>
    <w:rsid w:val="009B0CD7"/>
    <w:rsid w:val="009B0DC4"/>
    <w:rsid w:val="009B1026"/>
    <w:rsid w:val="009B1114"/>
    <w:rsid w:val="009B15C5"/>
    <w:rsid w:val="009B160E"/>
    <w:rsid w:val="009B167B"/>
    <w:rsid w:val="009B1744"/>
    <w:rsid w:val="009B179D"/>
    <w:rsid w:val="009B191A"/>
    <w:rsid w:val="009B194A"/>
    <w:rsid w:val="009B19B6"/>
    <w:rsid w:val="009B1B4C"/>
    <w:rsid w:val="009B1B8F"/>
    <w:rsid w:val="009B1CB3"/>
    <w:rsid w:val="009B1CD3"/>
    <w:rsid w:val="009B1D46"/>
    <w:rsid w:val="009B1D68"/>
    <w:rsid w:val="009B1D86"/>
    <w:rsid w:val="009B1E56"/>
    <w:rsid w:val="009B1EB1"/>
    <w:rsid w:val="009B2096"/>
    <w:rsid w:val="009B2128"/>
    <w:rsid w:val="009B221B"/>
    <w:rsid w:val="009B225A"/>
    <w:rsid w:val="009B22A3"/>
    <w:rsid w:val="009B2322"/>
    <w:rsid w:val="009B239E"/>
    <w:rsid w:val="009B23B6"/>
    <w:rsid w:val="009B23DF"/>
    <w:rsid w:val="009B2540"/>
    <w:rsid w:val="009B2593"/>
    <w:rsid w:val="009B25B0"/>
    <w:rsid w:val="009B27B8"/>
    <w:rsid w:val="009B28D8"/>
    <w:rsid w:val="009B28DE"/>
    <w:rsid w:val="009B29E4"/>
    <w:rsid w:val="009B2A0F"/>
    <w:rsid w:val="009B2A43"/>
    <w:rsid w:val="009B2AA3"/>
    <w:rsid w:val="009B2B5F"/>
    <w:rsid w:val="009B2C8A"/>
    <w:rsid w:val="009B2CC5"/>
    <w:rsid w:val="009B2FB4"/>
    <w:rsid w:val="009B3130"/>
    <w:rsid w:val="009B3308"/>
    <w:rsid w:val="009B3565"/>
    <w:rsid w:val="009B364D"/>
    <w:rsid w:val="009B3A65"/>
    <w:rsid w:val="009B3C6B"/>
    <w:rsid w:val="009B3D8A"/>
    <w:rsid w:val="009B3D94"/>
    <w:rsid w:val="009B3DF2"/>
    <w:rsid w:val="009B422A"/>
    <w:rsid w:val="009B427B"/>
    <w:rsid w:val="009B4296"/>
    <w:rsid w:val="009B429F"/>
    <w:rsid w:val="009B43F3"/>
    <w:rsid w:val="009B4445"/>
    <w:rsid w:val="009B44EC"/>
    <w:rsid w:val="009B45C4"/>
    <w:rsid w:val="009B47CD"/>
    <w:rsid w:val="009B486F"/>
    <w:rsid w:val="009B48B2"/>
    <w:rsid w:val="009B49CB"/>
    <w:rsid w:val="009B4A70"/>
    <w:rsid w:val="009B4B6B"/>
    <w:rsid w:val="009B4F0A"/>
    <w:rsid w:val="009B4F68"/>
    <w:rsid w:val="009B4FE4"/>
    <w:rsid w:val="009B4FF0"/>
    <w:rsid w:val="009B50EC"/>
    <w:rsid w:val="009B51C3"/>
    <w:rsid w:val="009B51E3"/>
    <w:rsid w:val="009B522B"/>
    <w:rsid w:val="009B5369"/>
    <w:rsid w:val="009B5446"/>
    <w:rsid w:val="009B562E"/>
    <w:rsid w:val="009B573F"/>
    <w:rsid w:val="009B575F"/>
    <w:rsid w:val="009B5804"/>
    <w:rsid w:val="009B588B"/>
    <w:rsid w:val="009B58CF"/>
    <w:rsid w:val="009B5988"/>
    <w:rsid w:val="009B59C0"/>
    <w:rsid w:val="009B5C83"/>
    <w:rsid w:val="009B5EFB"/>
    <w:rsid w:val="009B61A4"/>
    <w:rsid w:val="009B61AA"/>
    <w:rsid w:val="009B61E3"/>
    <w:rsid w:val="009B62BA"/>
    <w:rsid w:val="009B63BF"/>
    <w:rsid w:val="009B64C5"/>
    <w:rsid w:val="009B657D"/>
    <w:rsid w:val="009B679F"/>
    <w:rsid w:val="009B682A"/>
    <w:rsid w:val="009B6861"/>
    <w:rsid w:val="009B68BA"/>
    <w:rsid w:val="009B68E0"/>
    <w:rsid w:val="009B6908"/>
    <w:rsid w:val="009B6A18"/>
    <w:rsid w:val="009B6C56"/>
    <w:rsid w:val="009B7139"/>
    <w:rsid w:val="009B7145"/>
    <w:rsid w:val="009B72A3"/>
    <w:rsid w:val="009B73F5"/>
    <w:rsid w:val="009B7579"/>
    <w:rsid w:val="009B75EE"/>
    <w:rsid w:val="009B772D"/>
    <w:rsid w:val="009B7955"/>
    <w:rsid w:val="009B7C1E"/>
    <w:rsid w:val="009B7DF7"/>
    <w:rsid w:val="009B7DFB"/>
    <w:rsid w:val="009B7EEE"/>
    <w:rsid w:val="009B7FE8"/>
    <w:rsid w:val="009C01BF"/>
    <w:rsid w:val="009C01EE"/>
    <w:rsid w:val="009C02AE"/>
    <w:rsid w:val="009C02F7"/>
    <w:rsid w:val="009C0308"/>
    <w:rsid w:val="009C0551"/>
    <w:rsid w:val="009C0776"/>
    <w:rsid w:val="009C0852"/>
    <w:rsid w:val="009C0C4E"/>
    <w:rsid w:val="009C0C80"/>
    <w:rsid w:val="009C0CC7"/>
    <w:rsid w:val="009C0D2C"/>
    <w:rsid w:val="009C10B0"/>
    <w:rsid w:val="009C1123"/>
    <w:rsid w:val="009C119B"/>
    <w:rsid w:val="009C11CF"/>
    <w:rsid w:val="009C1216"/>
    <w:rsid w:val="009C130B"/>
    <w:rsid w:val="009C1321"/>
    <w:rsid w:val="009C14B2"/>
    <w:rsid w:val="009C1501"/>
    <w:rsid w:val="009C173C"/>
    <w:rsid w:val="009C1981"/>
    <w:rsid w:val="009C1A2E"/>
    <w:rsid w:val="009C1AF4"/>
    <w:rsid w:val="009C1C43"/>
    <w:rsid w:val="009C1DDD"/>
    <w:rsid w:val="009C1FE1"/>
    <w:rsid w:val="009C206A"/>
    <w:rsid w:val="009C20C1"/>
    <w:rsid w:val="009C20F0"/>
    <w:rsid w:val="009C20FB"/>
    <w:rsid w:val="009C2346"/>
    <w:rsid w:val="009C27E0"/>
    <w:rsid w:val="009C2A1D"/>
    <w:rsid w:val="009C2C37"/>
    <w:rsid w:val="009C2D9E"/>
    <w:rsid w:val="009C2E02"/>
    <w:rsid w:val="009C2E05"/>
    <w:rsid w:val="009C2E4E"/>
    <w:rsid w:val="009C2F72"/>
    <w:rsid w:val="009C3066"/>
    <w:rsid w:val="009C31CE"/>
    <w:rsid w:val="009C32DD"/>
    <w:rsid w:val="009C34BE"/>
    <w:rsid w:val="009C3649"/>
    <w:rsid w:val="009C37C4"/>
    <w:rsid w:val="009C3B7C"/>
    <w:rsid w:val="009C3CCD"/>
    <w:rsid w:val="009C3E8D"/>
    <w:rsid w:val="009C4041"/>
    <w:rsid w:val="009C46EC"/>
    <w:rsid w:val="009C4983"/>
    <w:rsid w:val="009C49B3"/>
    <w:rsid w:val="009C4C96"/>
    <w:rsid w:val="009C4DA4"/>
    <w:rsid w:val="009C4DFB"/>
    <w:rsid w:val="009C4F32"/>
    <w:rsid w:val="009C4FCA"/>
    <w:rsid w:val="009C502D"/>
    <w:rsid w:val="009C5101"/>
    <w:rsid w:val="009C5232"/>
    <w:rsid w:val="009C54C2"/>
    <w:rsid w:val="009C5757"/>
    <w:rsid w:val="009C589C"/>
    <w:rsid w:val="009C58D2"/>
    <w:rsid w:val="009C59C8"/>
    <w:rsid w:val="009C5D78"/>
    <w:rsid w:val="009C6069"/>
    <w:rsid w:val="009C619D"/>
    <w:rsid w:val="009C61AA"/>
    <w:rsid w:val="009C61E8"/>
    <w:rsid w:val="009C6221"/>
    <w:rsid w:val="009C628C"/>
    <w:rsid w:val="009C63A4"/>
    <w:rsid w:val="009C64AF"/>
    <w:rsid w:val="009C6571"/>
    <w:rsid w:val="009C65EB"/>
    <w:rsid w:val="009C665C"/>
    <w:rsid w:val="009C66FC"/>
    <w:rsid w:val="009C684D"/>
    <w:rsid w:val="009C6A0D"/>
    <w:rsid w:val="009C6BEA"/>
    <w:rsid w:val="009C6C88"/>
    <w:rsid w:val="009C6D08"/>
    <w:rsid w:val="009C6D77"/>
    <w:rsid w:val="009C6F88"/>
    <w:rsid w:val="009C71B6"/>
    <w:rsid w:val="009C72B3"/>
    <w:rsid w:val="009C7437"/>
    <w:rsid w:val="009C74FF"/>
    <w:rsid w:val="009C75DF"/>
    <w:rsid w:val="009C75F4"/>
    <w:rsid w:val="009C7666"/>
    <w:rsid w:val="009C786D"/>
    <w:rsid w:val="009C78E8"/>
    <w:rsid w:val="009C7A05"/>
    <w:rsid w:val="009C7B34"/>
    <w:rsid w:val="009C7BD3"/>
    <w:rsid w:val="009C7D75"/>
    <w:rsid w:val="009C7E3E"/>
    <w:rsid w:val="009D00D8"/>
    <w:rsid w:val="009D00E3"/>
    <w:rsid w:val="009D01AD"/>
    <w:rsid w:val="009D01BE"/>
    <w:rsid w:val="009D028E"/>
    <w:rsid w:val="009D053F"/>
    <w:rsid w:val="009D0574"/>
    <w:rsid w:val="009D0692"/>
    <w:rsid w:val="009D07CB"/>
    <w:rsid w:val="009D0A2C"/>
    <w:rsid w:val="009D0A91"/>
    <w:rsid w:val="009D0C3B"/>
    <w:rsid w:val="009D0E15"/>
    <w:rsid w:val="009D0EDF"/>
    <w:rsid w:val="009D0F64"/>
    <w:rsid w:val="009D1194"/>
    <w:rsid w:val="009D11EC"/>
    <w:rsid w:val="009D1471"/>
    <w:rsid w:val="009D14A5"/>
    <w:rsid w:val="009D14C1"/>
    <w:rsid w:val="009D1816"/>
    <w:rsid w:val="009D1877"/>
    <w:rsid w:val="009D18BB"/>
    <w:rsid w:val="009D1A5D"/>
    <w:rsid w:val="009D1BFB"/>
    <w:rsid w:val="009D1ED1"/>
    <w:rsid w:val="009D1FCD"/>
    <w:rsid w:val="009D20D7"/>
    <w:rsid w:val="009D21B4"/>
    <w:rsid w:val="009D2420"/>
    <w:rsid w:val="009D243E"/>
    <w:rsid w:val="009D24EE"/>
    <w:rsid w:val="009D25D9"/>
    <w:rsid w:val="009D2633"/>
    <w:rsid w:val="009D2653"/>
    <w:rsid w:val="009D2751"/>
    <w:rsid w:val="009D28B8"/>
    <w:rsid w:val="009D2958"/>
    <w:rsid w:val="009D2B89"/>
    <w:rsid w:val="009D2BD0"/>
    <w:rsid w:val="009D2BE7"/>
    <w:rsid w:val="009D2C52"/>
    <w:rsid w:val="009D2C96"/>
    <w:rsid w:val="009D2CBE"/>
    <w:rsid w:val="009D2D41"/>
    <w:rsid w:val="009D2D5B"/>
    <w:rsid w:val="009D311F"/>
    <w:rsid w:val="009D315F"/>
    <w:rsid w:val="009D36F4"/>
    <w:rsid w:val="009D36FF"/>
    <w:rsid w:val="009D3749"/>
    <w:rsid w:val="009D39C4"/>
    <w:rsid w:val="009D3AC0"/>
    <w:rsid w:val="009D3E7C"/>
    <w:rsid w:val="009D4161"/>
    <w:rsid w:val="009D41BD"/>
    <w:rsid w:val="009D423B"/>
    <w:rsid w:val="009D43A8"/>
    <w:rsid w:val="009D4421"/>
    <w:rsid w:val="009D44BD"/>
    <w:rsid w:val="009D474C"/>
    <w:rsid w:val="009D4B3C"/>
    <w:rsid w:val="009D4ED9"/>
    <w:rsid w:val="009D4EE7"/>
    <w:rsid w:val="009D50D2"/>
    <w:rsid w:val="009D5158"/>
    <w:rsid w:val="009D5399"/>
    <w:rsid w:val="009D543F"/>
    <w:rsid w:val="009D5516"/>
    <w:rsid w:val="009D5584"/>
    <w:rsid w:val="009D56BC"/>
    <w:rsid w:val="009D56FB"/>
    <w:rsid w:val="009D59D3"/>
    <w:rsid w:val="009D5A07"/>
    <w:rsid w:val="009D5BBA"/>
    <w:rsid w:val="009D5CBD"/>
    <w:rsid w:val="009D5DD4"/>
    <w:rsid w:val="009D5DEE"/>
    <w:rsid w:val="009D5FCC"/>
    <w:rsid w:val="009D604F"/>
    <w:rsid w:val="009D615D"/>
    <w:rsid w:val="009D61F4"/>
    <w:rsid w:val="009D622B"/>
    <w:rsid w:val="009D6386"/>
    <w:rsid w:val="009D6460"/>
    <w:rsid w:val="009D649B"/>
    <w:rsid w:val="009D64F8"/>
    <w:rsid w:val="009D6527"/>
    <w:rsid w:val="009D6787"/>
    <w:rsid w:val="009D6887"/>
    <w:rsid w:val="009D6C5C"/>
    <w:rsid w:val="009D6CDC"/>
    <w:rsid w:val="009D6E79"/>
    <w:rsid w:val="009D6F34"/>
    <w:rsid w:val="009D7075"/>
    <w:rsid w:val="009D70B9"/>
    <w:rsid w:val="009D7141"/>
    <w:rsid w:val="009D745B"/>
    <w:rsid w:val="009D75B3"/>
    <w:rsid w:val="009D7615"/>
    <w:rsid w:val="009D76A6"/>
    <w:rsid w:val="009D7740"/>
    <w:rsid w:val="009D7869"/>
    <w:rsid w:val="009D7898"/>
    <w:rsid w:val="009D7B4A"/>
    <w:rsid w:val="009D7C46"/>
    <w:rsid w:val="009E035F"/>
    <w:rsid w:val="009E03DD"/>
    <w:rsid w:val="009E0512"/>
    <w:rsid w:val="009E05B1"/>
    <w:rsid w:val="009E0862"/>
    <w:rsid w:val="009E0B81"/>
    <w:rsid w:val="009E0B88"/>
    <w:rsid w:val="009E0C54"/>
    <w:rsid w:val="009E0EC3"/>
    <w:rsid w:val="009E134F"/>
    <w:rsid w:val="009E1480"/>
    <w:rsid w:val="009E14F1"/>
    <w:rsid w:val="009E15AD"/>
    <w:rsid w:val="009E15CF"/>
    <w:rsid w:val="009E15FF"/>
    <w:rsid w:val="009E17E9"/>
    <w:rsid w:val="009E1896"/>
    <w:rsid w:val="009E1996"/>
    <w:rsid w:val="009E1AE7"/>
    <w:rsid w:val="009E2039"/>
    <w:rsid w:val="009E20AA"/>
    <w:rsid w:val="009E2117"/>
    <w:rsid w:val="009E2152"/>
    <w:rsid w:val="009E2159"/>
    <w:rsid w:val="009E243B"/>
    <w:rsid w:val="009E24B8"/>
    <w:rsid w:val="009E2743"/>
    <w:rsid w:val="009E28E7"/>
    <w:rsid w:val="009E294A"/>
    <w:rsid w:val="009E2AD4"/>
    <w:rsid w:val="009E2CCA"/>
    <w:rsid w:val="009E2E49"/>
    <w:rsid w:val="009E2F25"/>
    <w:rsid w:val="009E30F0"/>
    <w:rsid w:val="009E3157"/>
    <w:rsid w:val="009E3201"/>
    <w:rsid w:val="009E3284"/>
    <w:rsid w:val="009E3394"/>
    <w:rsid w:val="009E3398"/>
    <w:rsid w:val="009E366C"/>
    <w:rsid w:val="009E38C4"/>
    <w:rsid w:val="009E3972"/>
    <w:rsid w:val="009E39E0"/>
    <w:rsid w:val="009E3AE7"/>
    <w:rsid w:val="009E3B08"/>
    <w:rsid w:val="009E3E36"/>
    <w:rsid w:val="009E3EB7"/>
    <w:rsid w:val="009E40E3"/>
    <w:rsid w:val="009E4310"/>
    <w:rsid w:val="009E441D"/>
    <w:rsid w:val="009E455E"/>
    <w:rsid w:val="009E4679"/>
    <w:rsid w:val="009E4794"/>
    <w:rsid w:val="009E47F7"/>
    <w:rsid w:val="009E49FF"/>
    <w:rsid w:val="009E4C44"/>
    <w:rsid w:val="009E4C4B"/>
    <w:rsid w:val="009E4C6D"/>
    <w:rsid w:val="009E4D5D"/>
    <w:rsid w:val="009E4D66"/>
    <w:rsid w:val="009E4DB7"/>
    <w:rsid w:val="009E4ED5"/>
    <w:rsid w:val="009E4F3E"/>
    <w:rsid w:val="009E4F92"/>
    <w:rsid w:val="009E50F9"/>
    <w:rsid w:val="009E51EE"/>
    <w:rsid w:val="009E5237"/>
    <w:rsid w:val="009E524C"/>
    <w:rsid w:val="009E5565"/>
    <w:rsid w:val="009E5576"/>
    <w:rsid w:val="009E5901"/>
    <w:rsid w:val="009E5B74"/>
    <w:rsid w:val="009E5C30"/>
    <w:rsid w:val="009E5C31"/>
    <w:rsid w:val="009E5CFF"/>
    <w:rsid w:val="009E5D12"/>
    <w:rsid w:val="009E5F1B"/>
    <w:rsid w:val="009E5FDE"/>
    <w:rsid w:val="009E6208"/>
    <w:rsid w:val="009E6301"/>
    <w:rsid w:val="009E6336"/>
    <w:rsid w:val="009E6445"/>
    <w:rsid w:val="009E66C0"/>
    <w:rsid w:val="009E671F"/>
    <w:rsid w:val="009E6978"/>
    <w:rsid w:val="009E6983"/>
    <w:rsid w:val="009E6B3B"/>
    <w:rsid w:val="009E6F87"/>
    <w:rsid w:val="009E74E0"/>
    <w:rsid w:val="009E7552"/>
    <w:rsid w:val="009E761C"/>
    <w:rsid w:val="009E7B32"/>
    <w:rsid w:val="009E7CA0"/>
    <w:rsid w:val="009E7D61"/>
    <w:rsid w:val="009E7F9E"/>
    <w:rsid w:val="009F00C7"/>
    <w:rsid w:val="009F00D1"/>
    <w:rsid w:val="009F0248"/>
    <w:rsid w:val="009F02F0"/>
    <w:rsid w:val="009F0416"/>
    <w:rsid w:val="009F04F6"/>
    <w:rsid w:val="009F0574"/>
    <w:rsid w:val="009F0649"/>
    <w:rsid w:val="009F0654"/>
    <w:rsid w:val="009F0681"/>
    <w:rsid w:val="009F0913"/>
    <w:rsid w:val="009F0ABD"/>
    <w:rsid w:val="009F0C22"/>
    <w:rsid w:val="009F0F0A"/>
    <w:rsid w:val="009F0F23"/>
    <w:rsid w:val="009F0F33"/>
    <w:rsid w:val="009F10D0"/>
    <w:rsid w:val="009F164F"/>
    <w:rsid w:val="009F1705"/>
    <w:rsid w:val="009F1B74"/>
    <w:rsid w:val="009F1B7D"/>
    <w:rsid w:val="009F1BDA"/>
    <w:rsid w:val="009F1C9C"/>
    <w:rsid w:val="009F1DAE"/>
    <w:rsid w:val="009F1E66"/>
    <w:rsid w:val="009F1FE4"/>
    <w:rsid w:val="009F2076"/>
    <w:rsid w:val="009F2143"/>
    <w:rsid w:val="009F219E"/>
    <w:rsid w:val="009F23EE"/>
    <w:rsid w:val="009F24F7"/>
    <w:rsid w:val="009F2501"/>
    <w:rsid w:val="009F263B"/>
    <w:rsid w:val="009F2775"/>
    <w:rsid w:val="009F277F"/>
    <w:rsid w:val="009F2843"/>
    <w:rsid w:val="009F2A8A"/>
    <w:rsid w:val="009F2B05"/>
    <w:rsid w:val="009F2B5C"/>
    <w:rsid w:val="009F2CB3"/>
    <w:rsid w:val="009F2D49"/>
    <w:rsid w:val="009F2D55"/>
    <w:rsid w:val="009F2E8B"/>
    <w:rsid w:val="009F309F"/>
    <w:rsid w:val="009F33B1"/>
    <w:rsid w:val="009F3453"/>
    <w:rsid w:val="009F35CA"/>
    <w:rsid w:val="009F36F5"/>
    <w:rsid w:val="009F3720"/>
    <w:rsid w:val="009F38E7"/>
    <w:rsid w:val="009F3A01"/>
    <w:rsid w:val="009F3C24"/>
    <w:rsid w:val="009F3E7E"/>
    <w:rsid w:val="009F3FED"/>
    <w:rsid w:val="009F4072"/>
    <w:rsid w:val="009F4263"/>
    <w:rsid w:val="009F42AE"/>
    <w:rsid w:val="009F438A"/>
    <w:rsid w:val="009F43E2"/>
    <w:rsid w:val="009F4401"/>
    <w:rsid w:val="009F4490"/>
    <w:rsid w:val="009F44B7"/>
    <w:rsid w:val="009F450B"/>
    <w:rsid w:val="009F47AE"/>
    <w:rsid w:val="009F47C5"/>
    <w:rsid w:val="009F47F9"/>
    <w:rsid w:val="009F4800"/>
    <w:rsid w:val="009F481C"/>
    <w:rsid w:val="009F4A15"/>
    <w:rsid w:val="009F4A6C"/>
    <w:rsid w:val="009F4A92"/>
    <w:rsid w:val="009F4DFB"/>
    <w:rsid w:val="009F5167"/>
    <w:rsid w:val="009F5396"/>
    <w:rsid w:val="009F5694"/>
    <w:rsid w:val="009F57A9"/>
    <w:rsid w:val="009F5926"/>
    <w:rsid w:val="009F5982"/>
    <w:rsid w:val="009F5ABB"/>
    <w:rsid w:val="009F5AC0"/>
    <w:rsid w:val="009F5DBB"/>
    <w:rsid w:val="009F5FD8"/>
    <w:rsid w:val="009F60BE"/>
    <w:rsid w:val="009F60D8"/>
    <w:rsid w:val="009F647E"/>
    <w:rsid w:val="009F6483"/>
    <w:rsid w:val="009F64A5"/>
    <w:rsid w:val="009F64D8"/>
    <w:rsid w:val="009F66C1"/>
    <w:rsid w:val="009F67B0"/>
    <w:rsid w:val="009F6B20"/>
    <w:rsid w:val="009F6CE7"/>
    <w:rsid w:val="009F6E01"/>
    <w:rsid w:val="009F6E80"/>
    <w:rsid w:val="009F6FAE"/>
    <w:rsid w:val="009F71F2"/>
    <w:rsid w:val="009F72BE"/>
    <w:rsid w:val="009F72D8"/>
    <w:rsid w:val="009F763D"/>
    <w:rsid w:val="009F7849"/>
    <w:rsid w:val="009F7D29"/>
    <w:rsid w:val="009F7D7B"/>
    <w:rsid w:val="009F7DFB"/>
    <w:rsid w:val="009F7EF4"/>
    <w:rsid w:val="00A0000C"/>
    <w:rsid w:val="00A001E7"/>
    <w:rsid w:val="00A00531"/>
    <w:rsid w:val="00A0070E"/>
    <w:rsid w:val="00A00ACC"/>
    <w:rsid w:val="00A00BC0"/>
    <w:rsid w:val="00A00C4E"/>
    <w:rsid w:val="00A00EE8"/>
    <w:rsid w:val="00A011EE"/>
    <w:rsid w:val="00A01288"/>
    <w:rsid w:val="00A01349"/>
    <w:rsid w:val="00A01357"/>
    <w:rsid w:val="00A0137A"/>
    <w:rsid w:val="00A014BA"/>
    <w:rsid w:val="00A014C2"/>
    <w:rsid w:val="00A016E7"/>
    <w:rsid w:val="00A017A2"/>
    <w:rsid w:val="00A017D7"/>
    <w:rsid w:val="00A01A12"/>
    <w:rsid w:val="00A01A74"/>
    <w:rsid w:val="00A01B04"/>
    <w:rsid w:val="00A01B83"/>
    <w:rsid w:val="00A01C95"/>
    <w:rsid w:val="00A01F09"/>
    <w:rsid w:val="00A0225E"/>
    <w:rsid w:val="00A022D0"/>
    <w:rsid w:val="00A023A1"/>
    <w:rsid w:val="00A0249C"/>
    <w:rsid w:val="00A024A6"/>
    <w:rsid w:val="00A02550"/>
    <w:rsid w:val="00A026E9"/>
    <w:rsid w:val="00A02729"/>
    <w:rsid w:val="00A0278E"/>
    <w:rsid w:val="00A02890"/>
    <w:rsid w:val="00A028B4"/>
    <w:rsid w:val="00A028D0"/>
    <w:rsid w:val="00A02926"/>
    <w:rsid w:val="00A02A6D"/>
    <w:rsid w:val="00A02AE8"/>
    <w:rsid w:val="00A02B3E"/>
    <w:rsid w:val="00A02D63"/>
    <w:rsid w:val="00A02E1B"/>
    <w:rsid w:val="00A02E3F"/>
    <w:rsid w:val="00A02EA8"/>
    <w:rsid w:val="00A03004"/>
    <w:rsid w:val="00A03093"/>
    <w:rsid w:val="00A0309A"/>
    <w:rsid w:val="00A03105"/>
    <w:rsid w:val="00A03221"/>
    <w:rsid w:val="00A03435"/>
    <w:rsid w:val="00A035A9"/>
    <w:rsid w:val="00A03828"/>
    <w:rsid w:val="00A038E2"/>
    <w:rsid w:val="00A039FD"/>
    <w:rsid w:val="00A03BB4"/>
    <w:rsid w:val="00A041D2"/>
    <w:rsid w:val="00A044DC"/>
    <w:rsid w:val="00A0461F"/>
    <w:rsid w:val="00A046C7"/>
    <w:rsid w:val="00A046E6"/>
    <w:rsid w:val="00A0477E"/>
    <w:rsid w:val="00A049A3"/>
    <w:rsid w:val="00A04D47"/>
    <w:rsid w:val="00A04EA9"/>
    <w:rsid w:val="00A05250"/>
    <w:rsid w:val="00A05301"/>
    <w:rsid w:val="00A053BD"/>
    <w:rsid w:val="00A05421"/>
    <w:rsid w:val="00A05715"/>
    <w:rsid w:val="00A05788"/>
    <w:rsid w:val="00A0596A"/>
    <w:rsid w:val="00A05AFB"/>
    <w:rsid w:val="00A05B29"/>
    <w:rsid w:val="00A05D32"/>
    <w:rsid w:val="00A05E57"/>
    <w:rsid w:val="00A06344"/>
    <w:rsid w:val="00A063AC"/>
    <w:rsid w:val="00A067B7"/>
    <w:rsid w:val="00A068E7"/>
    <w:rsid w:val="00A06933"/>
    <w:rsid w:val="00A06BF1"/>
    <w:rsid w:val="00A06C58"/>
    <w:rsid w:val="00A06D44"/>
    <w:rsid w:val="00A070B6"/>
    <w:rsid w:val="00A07197"/>
    <w:rsid w:val="00A072D4"/>
    <w:rsid w:val="00A0741B"/>
    <w:rsid w:val="00A0747A"/>
    <w:rsid w:val="00A0748A"/>
    <w:rsid w:val="00A0751C"/>
    <w:rsid w:val="00A0785D"/>
    <w:rsid w:val="00A07995"/>
    <w:rsid w:val="00A07C60"/>
    <w:rsid w:val="00A07C86"/>
    <w:rsid w:val="00A07E9A"/>
    <w:rsid w:val="00A07EB1"/>
    <w:rsid w:val="00A07F40"/>
    <w:rsid w:val="00A0811D"/>
    <w:rsid w:val="00A10011"/>
    <w:rsid w:val="00A100E2"/>
    <w:rsid w:val="00A10107"/>
    <w:rsid w:val="00A101DC"/>
    <w:rsid w:val="00A10278"/>
    <w:rsid w:val="00A102FD"/>
    <w:rsid w:val="00A10310"/>
    <w:rsid w:val="00A10582"/>
    <w:rsid w:val="00A106E0"/>
    <w:rsid w:val="00A10749"/>
    <w:rsid w:val="00A10992"/>
    <w:rsid w:val="00A10BBE"/>
    <w:rsid w:val="00A10D1B"/>
    <w:rsid w:val="00A10F25"/>
    <w:rsid w:val="00A10F71"/>
    <w:rsid w:val="00A110FD"/>
    <w:rsid w:val="00A11167"/>
    <w:rsid w:val="00A1123D"/>
    <w:rsid w:val="00A1139B"/>
    <w:rsid w:val="00A113E3"/>
    <w:rsid w:val="00A114B9"/>
    <w:rsid w:val="00A115C5"/>
    <w:rsid w:val="00A11944"/>
    <w:rsid w:val="00A1196F"/>
    <w:rsid w:val="00A11A76"/>
    <w:rsid w:val="00A11BC2"/>
    <w:rsid w:val="00A11C92"/>
    <w:rsid w:val="00A11E41"/>
    <w:rsid w:val="00A11E48"/>
    <w:rsid w:val="00A11E68"/>
    <w:rsid w:val="00A12124"/>
    <w:rsid w:val="00A1223D"/>
    <w:rsid w:val="00A1232C"/>
    <w:rsid w:val="00A1265E"/>
    <w:rsid w:val="00A127D7"/>
    <w:rsid w:val="00A12848"/>
    <w:rsid w:val="00A12C1E"/>
    <w:rsid w:val="00A12E03"/>
    <w:rsid w:val="00A12F51"/>
    <w:rsid w:val="00A130F1"/>
    <w:rsid w:val="00A131B9"/>
    <w:rsid w:val="00A134D1"/>
    <w:rsid w:val="00A134E5"/>
    <w:rsid w:val="00A1355E"/>
    <w:rsid w:val="00A13566"/>
    <w:rsid w:val="00A137B2"/>
    <w:rsid w:val="00A137B4"/>
    <w:rsid w:val="00A13BAF"/>
    <w:rsid w:val="00A13DDE"/>
    <w:rsid w:val="00A13EAE"/>
    <w:rsid w:val="00A13FB0"/>
    <w:rsid w:val="00A14135"/>
    <w:rsid w:val="00A14280"/>
    <w:rsid w:val="00A143AF"/>
    <w:rsid w:val="00A14458"/>
    <w:rsid w:val="00A147C3"/>
    <w:rsid w:val="00A14985"/>
    <w:rsid w:val="00A14B65"/>
    <w:rsid w:val="00A14B8A"/>
    <w:rsid w:val="00A14BD9"/>
    <w:rsid w:val="00A14BFE"/>
    <w:rsid w:val="00A14C0F"/>
    <w:rsid w:val="00A1511C"/>
    <w:rsid w:val="00A15480"/>
    <w:rsid w:val="00A1553B"/>
    <w:rsid w:val="00A155EC"/>
    <w:rsid w:val="00A15A23"/>
    <w:rsid w:val="00A15B62"/>
    <w:rsid w:val="00A15B64"/>
    <w:rsid w:val="00A15BFD"/>
    <w:rsid w:val="00A15CAC"/>
    <w:rsid w:val="00A15CEE"/>
    <w:rsid w:val="00A15E75"/>
    <w:rsid w:val="00A15F21"/>
    <w:rsid w:val="00A15F48"/>
    <w:rsid w:val="00A15FC8"/>
    <w:rsid w:val="00A15FF4"/>
    <w:rsid w:val="00A16028"/>
    <w:rsid w:val="00A160FB"/>
    <w:rsid w:val="00A16263"/>
    <w:rsid w:val="00A16275"/>
    <w:rsid w:val="00A162C6"/>
    <w:rsid w:val="00A16415"/>
    <w:rsid w:val="00A16562"/>
    <w:rsid w:val="00A1668C"/>
    <w:rsid w:val="00A166CA"/>
    <w:rsid w:val="00A168E0"/>
    <w:rsid w:val="00A16921"/>
    <w:rsid w:val="00A1695C"/>
    <w:rsid w:val="00A16AAE"/>
    <w:rsid w:val="00A16B81"/>
    <w:rsid w:val="00A16D7E"/>
    <w:rsid w:val="00A16E7E"/>
    <w:rsid w:val="00A16F88"/>
    <w:rsid w:val="00A1709E"/>
    <w:rsid w:val="00A1737A"/>
    <w:rsid w:val="00A17695"/>
    <w:rsid w:val="00A1779E"/>
    <w:rsid w:val="00A178F3"/>
    <w:rsid w:val="00A17AC2"/>
    <w:rsid w:val="00A17B86"/>
    <w:rsid w:val="00A17B8A"/>
    <w:rsid w:val="00A17BCF"/>
    <w:rsid w:val="00A17C4E"/>
    <w:rsid w:val="00A17D99"/>
    <w:rsid w:val="00A17DEA"/>
    <w:rsid w:val="00A2007D"/>
    <w:rsid w:val="00A201E1"/>
    <w:rsid w:val="00A202F4"/>
    <w:rsid w:val="00A2037E"/>
    <w:rsid w:val="00A205EB"/>
    <w:rsid w:val="00A2082D"/>
    <w:rsid w:val="00A20885"/>
    <w:rsid w:val="00A2098B"/>
    <w:rsid w:val="00A20D0A"/>
    <w:rsid w:val="00A20DF0"/>
    <w:rsid w:val="00A20DF1"/>
    <w:rsid w:val="00A20F9A"/>
    <w:rsid w:val="00A20FCF"/>
    <w:rsid w:val="00A21149"/>
    <w:rsid w:val="00A2128A"/>
    <w:rsid w:val="00A212DF"/>
    <w:rsid w:val="00A213BC"/>
    <w:rsid w:val="00A216F3"/>
    <w:rsid w:val="00A21B44"/>
    <w:rsid w:val="00A21C14"/>
    <w:rsid w:val="00A21D3F"/>
    <w:rsid w:val="00A21DCD"/>
    <w:rsid w:val="00A21E30"/>
    <w:rsid w:val="00A22019"/>
    <w:rsid w:val="00A2207B"/>
    <w:rsid w:val="00A22154"/>
    <w:rsid w:val="00A2237D"/>
    <w:rsid w:val="00A2258E"/>
    <w:rsid w:val="00A22642"/>
    <w:rsid w:val="00A2277C"/>
    <w:rsid w:val="00A22AB0"/>
    <w:rsid w:val="00A22D02"/>
    <w:rsid w:val="00A22F1F"/>
    <w:rsid w:val="00A23569"/>
    <w:rsid w:val="00A2378C"/>
    <w:rsid w:val="00A238C1"/>
    <w:rsid w:val="00A239EB"/>
    <w:rsid w:val="00A23AD1"/>
    <w:rsid w:val="00A23B45"/>
    <w:rsid w:val="00A23BD9"/>
    <w:rsid w:val="00A23CDB"/>
    <w:rsid w:val="00A23CF8"/>
    <w:rsid w:val="00A23F56"/>
    <w:rsid w:val="00A2412F"/>
    <w:rsid w:val="00A24243"/>
    <w:rsid w:val="00A2453D"/>
    <w:rsid w:val="00A24584"/>
    <w:rsid w:val="00A24652"/>
    <w:rsid w:val="00A246D4"/>
    <w:rsid w:val="00A2496C"/>
    <w:rsid w:val="00A24B2B"/>
    <w:rsid w:val="00A24D16"/>
    <w:rsid w:val="00A24D7B"/>
    <w:rsid w:val="00A24E2D"/>
    <w:rsid w:val="00A24F20"/>
    <w:rsid w:val="00A24F49"/>
    <w:rsid w:val="00A25025"/>
    <w:rsid w:val="00A25074"/>
    <w:rsid w:val="00A251A6"/>
    <w:rsid w:val="00A251FF"/>
    <w:rsid w:val="00A25408"/>
    <w:rsid w:val="00A25751"/>
    <w:rsid w:val="00A259C3"/>
    <w:rsid w:val="00A25A15"/>
    <w:rsid w:val="00A25B22"/>
    <w:rsid w:val="00A25CA3"/>
    <w:rsid w:val="00A25CF9"/>
    <w:rsid w:val="00A25F4B"/>
    <w:rsid w:val="00A25FBF"/>
    <w:rsid w:val="00A25FE4"/>
    <w:rsid w:val="00A261A9"/>
    <w:rsid w:val="00A26218"/>
    <w:rsid w:val="00A26236"/>
    <w:rsid w:val="00A264CF"/>
    <w:rsid w:val="00A26572"/>
    <w:rsid w:val="00A2659F"/>
    <w:rsid w:val="00A26669"/>
    <w:rsid w:val="00A267AF"/>
    <w:rsid w:val="00A267F0"/>
    <w:rsid w:val="00A268C7"/>
    <w:rsid w:val="00A269AF"/>
    <w:rsid w:val="00A269BB"/>
    <w:rsid w:val="00A26B9D"/>
    <w:rsid w:val="00A26D4F"/>
    <w:rsid w:val="00A26D92"/>
    <w:rsid w:val="00A26D95"/>
    <w:rsid w:val="00A26E40"/>
    <w:rsid w:val="00A26E4B"/>
    <w:rsid w:val="00A26F5B"/>
    <w:rsid w:val="00A26FFC"/>
    <w:rsid w:val="00A270BC"/>
    <w:rsid w:val="00A2724A"/>
    <w:rsid w:val="00A2732A"/>
    <w:rsid w:val="00A274DE"/>
    <w:rsid w:val="00A27583"/>
    <w:rsid w:val="00A27814"/>
    <w:rsid w:val="00A278B1"/>
    <w:rsid w:val="00A279F2"/>
    <w:rsid w:val="00A27B09"/>
    <w:rsid w:val="00A27B4D"/>
    <w:rsid w:val="00A27BC6"/>
    <w:rsid w:val="00A27D4B"/>
    <w:rsid w:val="00A27F00"/>
    <w:rsid w:val="00A27FFA"/>
    <w:rsid w:val="00A30255"/>
    <w:rsid w:val="00A3049F"/>
    <w:rsid w:val="00A30608"/>
    <w:rsid w:val="00A3076D"/>
    <w:rsid w:val="00A308E0"/>
    <w:rsid w:val="00A3094E"/>
    <w:rsid w:val="00A30C14"/>
    <w:rsid w:val="00A30C61"/>
    <w:rsid w:val="00A31014"/>
    <w:rsid w:val="00A31096"/>
    <w:rsid w:val="00A31246"/>
    <w:rsid w:val="00A312B8"/>
    <w:rsid w:val="00A31504"/>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38"/>
    <w:rsid w:val="00A31BD2"/>
    <w:rsid w:val="00A31CBB"/>
    <w:rsid w:val="00A31CE3"/>
    <w:rsid w:val="00A31F2C"/>
    <w:rsid w:val="00A32274"/>
    <w:rsid w:val="00A32290"/>
    <w:rsid w:val="00A32321"/>
    <w:rsid w:val="00A3252D"/>
    <w:rsid w:val="00A326C0"/>
    <w:rsid w:val="00A327C9"/>
    <w:rsid w:val="00A328C8"/>
    <w:rsid w:val="00A32955"/>
    <w:rsid w:val="00A32956"/>
    <w:rsid w:val="00A32AD4"/>
    <w:rsid w:val="00A32AED"/>
    <w:rsid w:val="00A32C7E"/>
    <w:rsid w:val="00A32D8B"/>
    <w:rsid w:val="00A32DA6"/>
    <w:rsid w:val="00A32DF3"/>
    <w:rsid w:val="00A32E03"/>
    <w:rsid w:val="00A32FD6"/>
    <w:rsid w:val="00A3318D"/>
    <w:rsid w:val="00A332D7"/>
    <w:rsid w:val="00A332ED"/>
    <w:rsid w:val="00A33523"/>
    <w:rsid w:val="00A33525"/>
    <w:rsid w:val="00A336FB"/>
    <w:rsid w:val="00A3375F"/>
    <w:rsid w:val="00A338C4"/>
    <w:rsid w:val="00A33970"/>
    <w:rsid w:val="00A339A2"/>
    <w:rsid w:val="00A33A4E"/>
    <w:rsid w:val="00A33D7F"/>
    <w:rsid w:val="00A33D8F"/>
    <w:rsid w:val="00A34189"/>
    <w:rsid w:val="00A341BD"/>
    <w:rsid w:val="00A342F8"/>
    <w:rsid w:val="00A344C8"/>
    <w:rsid w:val="00A3452C"/>
    <w:rsid w:val="00A345AA"/>
    <w:rsid w:val="00A34613"/>
    <w:rsid w:val="00A347C3"/>
    <w:rsid w:val="00A3483F"/>
    <w:rsid w:val="00A348BD"/>
    <w:rsid w:val="00A349BC"/>
    <w:rsid w:val="00A34B03"/>
    <w:rsid w:val="00A34B37"/>
    <w:rsid w:val="00A34C13"/>
    <w:rsid w:val="00A34C4E"/>
    <w:rsid w:val="00A34CB1"/>
    <w:rsid w:val="00A34CF5"/>
    <w:rsid w:val="00A34E63"/>
    <w:rsid w:val="00A35065"/>
    <w:rsid w:val="00A35178"/>
    <w:rsid w:val="00A35231"/>
    <w:rsid w:val="00A35232"/>
    <w:rsid w:val="00A35270"/>
    <w:rsid w:val="00A352B3"/>
    <w:rsid w:val="00A352BB"/>
    <w:rsid w:val="00A35466"/>
    <w:rsid w:val="00A3549A"/>
    <w:rsid w:val="00A354C9"/>
    <w:rsid w:val="00A35512"/>
    <w:rsid w:val="00A35548"/>
    <w:rsid w:val="00A35664"/>
    <w:rsid w:val="00A35768"/>
    <w:rsid w:val="00A35845"/>
    <w:rsid w:val="00A35920"/>
    <w:rsid w:val="00A35BE8"/>
    <w:rsid w:val="00A35D4F"/>
    <w:rsid w:val="00A35DAC"/>
    <w:rsid w:val="00A35DF4"/>
    <w:rsid w:val="00A35FC3"/>
    <w:rsid w:val="00A360FE"/>
    <w:rsid w:val="00A361C0"/>
    <w:rsid w:val="00A362CC"/>
    <w:rsid w:val="00A36389"/>
    <w:rsid w:val="00A363F1"/>
    <w:rsid w:val="00A3649F"/>
    <w:rsid w:val="00A3651C"/>
    <w:rsid w:val="00A3674F"/>
    <w:rsid w:val="00A3685B"/>
    <w:rsid w:val="00A3692E"/>
    <w:rsid w:val="00A36941"/>
    <w:rsid w:val="00A36EAA"/>
    <w:rsid w:val="00A36FC3"/>
    <w:rsid w:val="00A3714E"/>
    <w:rsid w:val="00A37234"/>
    <w:rsid w:val="00A37257"/>
    <w:rsid w:val="00A3742A"/>
    <w:rsid w:val="00A378C6"/>
    <w:rsid w:val="00A379C9"/>
    <w:rsid w:val="00A379EA"/>
    <w:rsid w:val="00A37BA8"/>
    <w:rsid w:val="00A37C98"/>
    <w:rsid w:val="00A37CAF"/>
    <w:rsid w:val="00A37D14"/>
    <w:rsid w:val="00A37DA8"/>
    <w:rsid w:val="00A37E3C"/>
    <w:rsid w:val="00A37E98"/>
    <w:rsid w:val="00A37FD2"/>
    <w:rsid w:val="00A40206"/>
    <w:rsid w:val="00A40316"/>
    <w:rsid w:val="00A40348"/>
    <w:rsid w:val="00A40668"/>
    <w:rsid w:val="00A406AD"/>
    <w:rsid w:val="00A40754"/>
    <w:rsid w:val="00A407DD"/>
    <w:rsid w:val="00A40845"/>
    <w:rsid w:val="00A408AB"/>
    <w:rsid w:val="00A408E8"/>
    <w:rsid w:val="00A4099C"/>
    <w:rsid w:val="00A40A76"/>
    <w:rsid w:val="00A40BA5"/>
    <w:rsid w:val="00A40CCD"/>
    <w:rsid w:val="00A40E4E"/>
    <w:rsid w:val="00A40E86"/>
    <w:rsid w:val="00A41327"/>
    <w:rsid w:val="00A4139C"/>
    <w:rsid w:val="00A414CA"/>
    <w:rsid w:val="00A41525"/>
    <w:rsid w:val="00A415C1"/>
    <w:rsid w:val="00A4164A"/>
    <w:rsid w:val="00A41A3B"/>
    <w:rsid w:val="00A41A66"/>
    <w:rsid w:val="00A41AE2"/>
    <w:rsid w:val="00A41B5E"/>
    <w:rsid w:val="00A41C26"/>
    <w:rsid w:val="00A41DFD"/>
    <w:rsid w:val="00A41E57"/>
    <w:rsid w:val="00A41EEF"/>
    <w:rsid w:val="00A42048"/>
    <w:rsid w:val="00A4206A"/>
    <w:rsid w:val="00A42221"/>
    <w:rsid w:val="00A42252"/>
    <w:rsid w:val="00A422EE"/>
    <w:rsid w:val="00A42517"/>
    <w:rsid w:val="00A427AD"/>
    <w:rsid w:val="00A42B63"/>
    <w:rsid w:val="00A42D83"/>
    <w:rsid w:val="00A42EC5"/>
    <w:rsid w:val="00A430BA"/>
    <w:rsid w:val="00A43220"/>
    <w:rsid w:val="00A432C5"/>
    <w:rsid w:val="00A43300"/>
    <w:rsid w:val="00A43413"/>
    <w:rsid w:val="00A43421"/>
    <w:rsid w:val="00A434A1"/>
    <w:rsid w:val="00A434CC"/>
    <w:rsid w:val="00A43525"/>
    <w:rsid w:val="00A437A8"/>
    <w:rsid w:val="00A4389E"/>
    <w:rsid w:val="00A43BD8"/>
    <w:rsid w:val="00A43CAE"/>
    <w:rsid w:val="00A43DCE"/>
    <w:rsid w:val="00A4437C"/>
    <w:rsid w:val="00A444A8"/>
    <w:rsid w:val="00A444DA"/>
    <w:rsid w:val="00A445DF"/>
    <w:rsid w:val="00A44824"/>
    <w:rsid w:val="00A44954"/>
    <w:rsid w:val="00A44A08"/>
    <w:rsid w:val="00A44A2F"/>
    <w:rsid w:val="00A44F72"/>
    <w:rsid w:val="00A44FF8"/>
    <w:rsid w:val="00A4500D"/>
    <w:rsid w:val="00A450AA"/>
    <w:rsid w:val="00A45147"/>
    <w:rsid w:val="00A4520C"/>
    <w:rsid w:val="00A45378"/>
    <w:rsid w:val="00A4541A"/>
    <w:rsid w:val="00A4561D"/>
    <w:rsid w:val="00A45814"/>
    <w:rsid w:val="00A4586C"/>
    <w:rsid w:val="00A458EC"/>
    <w:rsid w:val="00A45A4A"/>
    <w:rsid w:val="00A45B4A"/>
    <w:rsid w:val="00A45B4F"/>
    <w:rsid w:val="00A45F43"/>
    <w:rsid w:val="00A460B3"/>
    <w:rsid w:val="00A46438"/>
    <w:rsid w:val="00A464BA"/>
    <w:rsid w:val="00A46504"/>
    <w:rsid w:val="00A467FC"/>
    <w:rsid w:val="00A46860"/>
    <w:rsid w:val="00A469A5"/>
    <w:rsid w:val="00A46AE3"/>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6A7"/>
    <w:rsid w:val="00A47719"/>
    <w:rsid w:val="00A478EC"/>
    <w:rsid w:val="00A479C7"/>
    <w:rsid w:val="00A47A04"/>
    <w:rsid w:val="00A47B98"/>
    <w:rsid w:val="00A47C03"/>
    <w:rsid w:val="00A47C7E"/>
    <w:rsid w:val="00A47D86"/>
    <w:rsid w:val="00A47EFB"/>
    <w:rsid w:val="00A47F3F"/>
    <w:rsid w:val="00A5007C"/>
    <w:rsid w:val="00A500B9"/>
    <w:rsid w:val="00A50337"/>
    <w:rsid w:val="00A5053A"/>
    <w:rsid w:val="00A5077C"/>
    <w:rsid w:val="00A507A4"/>
    <w:rsid w:val="00A507EA"/>
    <w:rsid w:val="00A5090A"/>
    <w:rsid w:val="00A50927"/>
    <w:rsid w:val="00A5095E"/>
    <w:rsid w:val="00A509AB"/>
    <w:rsid w:val="00A509BD"/>
    <w:rsid w:val="00A509F2"/>
    <w:rsid w:val="00A50C6D"/>
    <w:rsid w:val="00A50C9F"/>
    <w:rsid w:val="00A50CC7"/>
    <w:rsid w:val="00A50D7A"/>
    <w:rsid w:val="00A50F7F"/>
    <w:rsid w:val="00A51035"/>
    <w:rsid w:val="00A510BD"/>
    <w:rsid w:val="00A51136"/>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21C8"/>
    <w:rsid w:val="00A521CA"/>
    <w:rsid w:val="00A52259"/>
    <w:rsid w:val="00A52336"/>
    <w:rsid w:val="00A523E9"/>
    <w:rsid w:val="00A5243B"/>
    <w:rsid w:val="00A5250E"/>
    <w:rsid w:val="00A5257D"/>
    <w:rsid w:val="00A5266C"/>
    <w:rsid w:val="00A52815"/>
    <w:rsid w:val="00A5293A"/>
    <w:rsid w:val="00A529E2"/>
    <w:rsid w:val="00A52A1C"/>
    <w:rsid w:val="00A52C06"/>
    <w:rsid w:val="00A52D37"/>
    <w:rsid w:val="00A52E57"/>
    <w:rsid w:val="00A53049"/>
    <w:rsid w:val="00A5315E"/>
    <w:rsid w:val="00A531DF"/>
    <w:rsid w:val="00A5324D"/>
    <w:rsid w:val="00A53332"/>
    <w:rsid w:val="00A53425"/>
    <w:rsid w:val="00A53532"/>
    <w:rsid w:val="00A5356F"/>
    <w:rsid w:val="00A53794"/>
    <w:rsid w:val="00A537A4"/>
    <w:rsid w:val="00A537FB"/>
    <w:rsid w:val="00A5390D"/>
    <w:rsid w:val="00A539D7"/>
    <w:rsid w:val="00A53AB0"/>
    <w:rsid w:val="00A53ABE"/>
    <w:rsid w:val="00A53C3E"/>
    <w:rsid w:val="00A53E65"/>
    <w:rsid w:val="00A53F23"/>
    <w:rsid w:val="00A54253"/>
    <w:rsid w:val="00A54277"/>
    <w:rsid w:val="00A54352"/>
    <w:rsid w:val="00A54576"/>
    <w:rsid w:val="00A546B5"/>
    <w:rsid w:val="00A54705"/>
    <w:rsid w:val="00A54866"/>
    <w:rsid w:val="00A54A27"/>
    <w:rsid w:val="00A54A6D"/>
    <w:rsid w:val="00A54AA9"/>
    <w:rsid w:val="00A54BE0"/>
    <w:rsid w:val="00A54C86"/>
    <w:rsid w:val="00A55012"/>
    <w:rsid w:val="00A55167"/>
    <w:rsid w:val="00A55239"/>
    <w:rsid w:val="00A55381"/>
    <w:rsid w:val="00A554FA"/>
    <w:rsid w:val="00A555BE"/>
    <w:rsid w:val="00A55626"/>
    <w:rsid w:val="00A55647"/>
    <w:rsid w:val="00A5574C"/>
    <w:rsid w:val="00A5593D"/>
    <w:rsid w:val="00A55946"/>
    <w:rsid w:val="00A55B12"/>
    <w:rsid w:val="00A55CB3"/>
    <w:rsid w:val="00A55E50"/>
    <w:rsid w:val="00A55F03"/>
    <w:rsid w:val="00A55FB9"/>
    <w:rsid w:val="00A560B4"/>
    <w:rsid w:val="00A56118"/>
    <w:rsid w:val="00A5621D"/>
    <w:rsid w:val="00A56258"/>
    <w:rsid w:val="00A56462"/>
    <w:rsid w:val="00A5647B"/>
    <w:rsid w:val="00A5649F"/>
    <w:rsid w:val="00A5653D"/>
    <w:rsid w:val="00A56655"/>
    <w:rsid w:val="00A567E3"/>
    <w:rsid w:val="00A56812"/>
    <w:rsid w:val="00A56C91"/>
    <w:rsid w:val="00A56F84"/>
    <w:rsid w:val="00A5706E"/>
    <w:rsid w:val="00A570E5"/>
    <w:rsid w:val="00A572E6"/>
    <w:rsid w:val="00A573BE"/>
    <w:rsid w:val="00A573E0"/>
    <w:rsid w:val="00A5748D"/>
    <w:rsid w:val="00A5763C"/>
    <w:rsid w:val="00A57698"/>
    <w:rsid w:val="00A576B2"/>
    <w:rsid w:val="00A57A81"/>
    <w:rsid w:val="00A57A82"/>
    <w:rsid w:val="00A57BF4"/>
    <w:rsid w:val="00A57C08"/>
    <w:rsid w:val="00A57C60"/>
    <w:rsid w:val="00A57C8E"/>
    <w:rsid w:val="00A57FA3"/>
    <w:rsid w:val="00A60072"/>
    <w:rsid w:val="00A6009B"/>
    <w:rsid w:val="00A60136"/>
    <w:rsid w:val="00A602B6"/>
    <w:rsid w:val="00A602BE"/>
    <w:rsid w:val="00A60343"/>
    <w:rsid w:val="00A606BC"/>
    <w:rsid w:val="00A608A8"/>
    <w:rsid w:val="00A608B7"/>
    <w:rsid w:val="00A608DC"/>
    <w:rsid w:val="00A6091F"/>
    <w:rsid w:val="00A60931"/>
    <w:rsid w:val="00A60CEB"/>
    <w:rsid w:val="00A60D45"/>
    <w:rsid w:val="00A60E72"/>
    <w:rsid w:val="00A60F94"/>
    <w:rsid w:val="00A6141B"/>
    <w:rsid w:val="00A61467"/>
    <w:rsid w:val="00A619F3"/>
    <w:rsid w:val="00A61BA6"/>
    <w:rsid w:val="00A61F43"/>
    <w:rsid w:val="00A61F71"/>
    <w:rsid w:val="00A61F75"/>
    <w:rsid w:val="00A61F83"/>
    <w:rsid w:val="00A61FD9"/>
    <w:rsid w:val="00A61FE7"/>
    <w:rsid w:val="00A62542"/>
    <w:rsid w:val="00A625E3"/>
    <w:rsid w:val="00A62605"/>
    <w:rsid w:val="00A62653"/>
    <w:rsid w:val="00A6299B"/>
    <w:rsid w:val="00A62B60"/>
    <w:rsid w:val="00A62BDB"/>
    <w:rsid w:val="00A62CA1"/>
    <w:rsid w:val="00A62E47"/>
    <w:rsid w:val="00A630D8"/>
    <w:rsid w:val="00A6317A"/>
    <w:rsid w:val="00A6334F"/>
    <w:rsid w:val="00A63736"/>
    <w:rsid w:val="00A63759"/>
    <w:rsid w:val="00A6382D"/>
    <w:rsid w:val="00A638EC"/>
    <w:rsid w:val="00A63AC9"/>
    <w:rsid w:val="00A63B5F"/>
    <w:rsid w:val="00A63EBF"/>
    <w:rsid w:val="00A63EC3"/>
    <w:rsid w:val="00A63FE3"/>
    <w:rsid w:val="00A6418A"/>
    <w:rsid w:val="00A641B7"/>
    <w:rsid w:val="00A64233"/>
    <w:rsid w:val="00A64250"/>
    <w:rsid w:val="00A64334"/>
    <w:rsid w:val="00A6433B"/>
    <w:rsid w:val="00A645BA"/>
    <w:rsid w:val="00A645D0"/>
    <w:rsid w:val="00A64659"/>
    <w:rsid w:val="00A646CF"/>
    <w:rsid w:val="00A6471D"/>
    <w:rsid w:val="00A6497A"/>
    <w:rsid w:val="00A64A0E"/>
    <w:rsid w:val="00A64BBA"/>
    <w:rsid w:val="00A64C4C"/>
    <w:rsid w:val="00A64C5E"/>
    <w:rsid w:val="00A64D08"/>
    <w:rsid w:val="00A6502F"/>
    <w:rsid w:val="00A65125"/>
    <w:rsid w:val="00A65195"/>
    <w:rsid w:val="00A65199"/>
    <w:rsid w:val="00A652B4"/>
    <w:rsid w:val="00A65314"/>
    <w:rsid w:val="00A65374"/>
    <w:rsid w:val="00A6559D"/>
    <w:rsid w:val="00A655B5"/>
    <w:rsid w:val="00A65667"/>
    <w:rsid w:val="00A65684"/>
    <w:rsid w:val="00A65B7A"/>
    <w:rsid w:val="00A65C09"/>
    <w:rsid w:val="00A65D23"/>
    <w:rsid w:val="00A65D3B"/>
    <w:rsid w:val="00A66166"/>
    <w:rsid w:val="00A661A0"/>
    <w:rsid w:val="00A66383"/>
    <w:rsid w:val="00A663FB"/>
    <w:rsid w:val="00A665FC"/>
    <w:rsid w:val="00A66873"/>
    <w:rsid w:val="00A6696F"/>
    <w:rsid w:val="00A669AB"/>
    <w:rsid w:val="00A66BE5"/>
    <w:rsid w:val="00A66D97"/>
    <w:rsid w:val="00A66E5D"/>
    <w:rsid w:val="00A66FD6"/>
    <w:rsid w:val="00A67067"/>
    <w:rsid w:val="00A670CA"/>
    <w:rsid w:val="00A670E4"/>
    <w:rsid w:val="00A67629"/>
    <w:rsid w:val="00A677D4"/>
    <w:rsid w:val="00A677E2"/>
    <w:rsid w:val="00A67804"/>
    <w:rsid w:val="00A6784E"/>
    <w:rsid w:val="00A678E8"/>
    <w:rsid w:val="00A678ED"/>
    <w:rsid w:val="00A679DC"/>
    <w:rsid w:val="00A67C81"/>
    <w:rsid w:val="00A67C8D"/>
    <w:rsid w:val="00A67D32"/>
    <w:rsid w:val="00A70190"/>
    <w:rsid w:val="00A70606"/>
    <w:rsid w:val="00A706EF"/>
    <w:rsid w:val="00A7098C"/>
    <w:rsid w:val="00A70A39"/>
    <w:rsid w:val="00A70B8D"/>
    <w:rsid w:val="00A70BD5"/>
    <w:rsid w:val="00A70CFC"/>
    <w:rsid w:val="00A70D11"/>
    <w:rsid w:val="00A70D86"/>
    <w:rsid w:val="00A70ECF"/>
    <w:rsid w:val="00A70F41"/>
    <w:rsid w:val="00A70F8F"/>
    <w:rsid w:val="00A712BD"/>
    <w:rsid w:val="00A7147F"/>
    <w:rsid w:val="00A719B8"/>
    <w:rsid w:val="00A71B4A"/>
    <w:rsid w:val="00A71C64"/>
    <w:rsid w:val="00A71D1A"/>
    <w:rsid w:val="00A71D64"/>
    <w:rsid w:val="00A71D9B"/>
    <w:rsid w:val="00A71EC3"/>
    <w:rsid w:val="00A72269"/>
    <w:rsid w:val="00A7253D"/>
    <w:rsid w:val="00A7256A"/>
    <w:rsid w:val="00A72588"/>
    <w:rsid w:val="00A72667"/>
    <w:rsid w:val="00A726C6"/>
    <w:rsid w:val="00A727C2"/>
    <w:rsid w:val="00A728D3"/>
    <w:rsid w:val="00A7291F"/>
    <w:rsid w:val="00A72AE0"/>
    <w:rsid w:val="00A72C55"/>
    <w:rsid w:val="00A72C5E"/>
    <w:rsid w:val="00A72EA8"/>
    <w:rsid w:val="00A72F51"/>
    <w:rsid w:val="00A73004"/>
    <w:rsid w:val="00A73555"/>
    <w:rsid w:val="00A73684"/>
    <w:rsid w:val="00A736D7"/>
    <w:rsid w:val="00A736F9"/>
    <w:rsid w:val="00A738FF"/>
    <w:rsid w:val="00A73BFA"/>
    <w:rsid w:val="00A74138"/>
    <w:rsid w:val="00A74472"/>
    <w:rsid w:val="00A745FF"/>
    <w:rsid w:val="00A747D3"/>
    <w:rsid w:val="00A748AE"/>
    <w:rsid w:val="00A748FC"/>
    <w:rsid w:val="00A74C59"/>
    <w:rsid w:val="00A74DD1"/>
    <w:rsid w:val="00A74EA7"/>
    <w:rsid w:val="00A74F66"/>
    <w:rsid w:val="00A74FBE"/>
    <w:rsid w:val="00A75286"/>
    <w:rsid w:val="00A7536C"/>
    <w:rsid w:val="00A75425"/>
    <w:rsid w:val="00A754A7"/>
    <w:rsid w:val="00A75689"/>
    <w:rsid w:val="00A7589A"/>
    <w:rsid w:val="00A758B5"/>
    <w:rsid w:val="00A75917"/>
    <w:rsid w:val="00A759D9"/>
    <w:rsid w:val="00A75A89"/>
    <w:rsid w:val="00A75B17"/>
    <w:rsid w:val="00A75BA7"/>
    <w:rsid w:val="00A75D30"/>
    <w:rsid w:val="00A75E34"/>
    <w:rsid w:val="00A75F08"/>
    <w:rsid w:val="00A75F98"/>
    <w:rsid w:val="00A76044"/>
    <w:rsid w:val="00A760CB"/>
    <w:rsid w:val="00A7615B"/>
    <w:rsid w:val="00A76176"/>
    <w:rsid w:val="00A769A2"/>
    <w:rsid w:val="00A76A60"/>
    <w:rsid w:val="00A76AA0"/>
    <w:rsid w:val="00A76B50"/>
    <w:rsid w:val="00A76BE8"/>
    <w:rsid w:val="00A76BFD"/>
    <w:rsid w:val="00A76D30"/>
    <w:rsid w:val="00A76E1F"/>
    <w:rsid w:val="00A76E82"/>
    <w:rsid w:val="00A76EEC"/>
    <w:rsid w:val="00A76F6E"/>
    <w:rsid w:val="00A770B5"/>
    <w:rsid w:val="00A7710B"/>
    <w:rsid w:val="00A771BC"/>
    <w:rsid w:val="00A77234"/>
    <w:rsid w:val="00A773D9"/>
    <w:rsid w:val="00A774C0"/>
    <w:rsid w:val="00A77933"/>
    <w:rsid w:val="00A77935"/>
    <w:rsid w:val="00A77A54"/>
    <w:rsid w:val="00A77C8C"/>
    <w:rsid w:val="00A77CB2"/>
    <w:rsid w:val="00A77EDA"/>
    <w:rsid w:val="00A77FB1"/>
    <w:rsid w:val="00A80000"/>
    <w:rsid w:val="00A8009D"/>
    <w:rsid w:val="00A8026C"/>
    <w:rsid w:val="00A80312"/>
    <w:rsid w:val="00A8044E"/>
    <w:rsid w:val="00A8062E"/>
    <w:rsid w:val="00A80913"/>
    <w:rsid w:val="00A80ABC"/>
    <w:rsid w:val="00A80C6F"/>
    <w:rsid w:val="00A80D4D"/>
    <w:rsid w:val="00A81014"/>
    <w:rsid w:val="00A81100"/>
    <w:rsid w:val="00A8112C"/>
    <w:rsid w:val="00A811FA"/>
    <w:rsid w:val="00A812B3"/>
    <w:rsid w:val="00A814B5"/>
    <w:rsid w:val="00A814F1"/>
    <w:rsid w:val="00A81744"/>
    <w:rsid w:val="00A817D5"/>
    <w:rsid w:val="00A818E0"/>
    <w:rsid w:val="00A81B80"/>
    <w:rsid w:val="00A81D5E"/>
    <w:rsid w:val="00A8204E"/>
    <w:rsid w:val="00A82066"/>
    <w:rsid w:val="00A8221D"/>
    <w:rsid w:val="00A8232E"/>
    <w:rsid w:val="00A823EC"/>
    <w:rsid w:val="00A828FD"/>
    <w:rsid w:val="00A82AAD"/>
    <w:rsid w:val="00A82D87"/>
    <w:rsid w:val="00A830FF"/>
    <w:rsid w:val="00A83158"/>
    <w:rsid w:val="00A83221"/>
    <w:rsid w:val="00A83289"/>
    <w:rsid w:val="00A8342A"/>
    <w:rsid w:val="00A83596"/>
    <w:rsid w:val="00A83603"/>
    <w:rsid w:val="00A83857"/>
    <w:rsid w:val="00A83AA1"/>
    <w:rsid w:val="00A83B01"/>
    <w:rsid w:val="00A83CA4"/>
    <w:rsid w:val="00A83CC3"/>
    <w:rsid w:val="00A83CE9"/>
    <w:rsid w:val="00A83E51"/>
    <w:rsid w:val="00A83EF2"/>
    <w:rsid w:val="00A83F0B"/>
    <w:rsid w:val="00A84239"/>
    <w:rsid w:val="00A84315"/>
    <w:rsid w:val="00A84392"/>
    <w:rsid w:val="00A84461"/>
    <w:rsid w:val="00A845BE"/>
    <w:rsid w:val="00A84600"/>
    <w:rsid w:val="00A84650"/>
    <w:rsid w:val="00A847A6"/>
    <w:rsid w:val="00A84A44"/>
    <w:rsid w:val="00A84A87"/>
    <w:rsid w:val="00A84B72"/>
    <w:rsid w:val="00A84BDF"/>
    <w:rsid w:val="00A84D4B"/>
    <w:rsid w:val="00A84DF1"/>
    <w:rsid w:val="00A84EEC"/>
    <w:rsid w:val="00A84F2E"/>
    <w:rsid w:val="00A84F55"/>
    <w:rsid w:val="00A850F7"/>
    <w:rsid w:val="00A8525D"/>
    <w:rsid w:val="00A852E7"/>
    <w:rsid w:val="00A85452"/>
    <w:rsid w:val="00A854C9"/>
    <w:rsid w:val="00A855FC"/>
    <w:rsid w:val="00A8571B"/>
    <w:rsid w:val="00A857CF"/>
    <w:rsid w:val="00A85905"/>
    <w:rsid w:val="00A85A0C"/>
    <w:rsid w:val="00A85A20"/>
    <w:rsid w:val="00A85BB3"/>
    <w:rsid w:val="00A85C41"/>
    <w:rsid w:val="00A85CA2"/>
    <w:rsid w:val="00A85DF8"/>
    <w:rsid w:val="00A85FBD"/>
    <w:rsid w:val="00A86620"/>
    <w:rsid w:val="00A8673F"/>
    <w:rsid w:val="00A8689A"/>
    <w:rsid w:val="00A8691B"/>
    <w:rsid w:val="00A86996"/>
    <w:rsid w:val="00A86ABB"/>
    <w:rsid w:val="00A86C3D"/>
    <w:rsid w:val="00A86C76"/>
    <w:rsid w:val="00A86EB8"/>
    <w:rsid w:val="00A8718E"/>
    <w:rsid w:val="00A8727B"/>
    <w:rsid w:val="00A8727F"/>
    <w:rsid w:val="00A87285"/>
    <w:rsid w:val="00A872F5"/>
    <w:rsid w:val="00A873DD"/>
    <w:rsid w:val="00A8740C"/>
    <w:rsid w:val="00A874F7"/>
    <w:rsid w:val="00A87564"/>
    <w:rsid w:val="00A875CB"/>
    <w:rsid w:val="00A87B31"/>
    <w:rsid w:val="00A87C40"/>
    <w:rsid w:val="00A87D7B"/>
    <w:rsid w:val="00A87DD9"/>
    <w:rsid w:val="00A87DE1"/>
    <w:rsid w:val="00A87E24"/>
    <w:rsid w:val="00A9007A"/>
    <w:rsid w:val="00A9025E"/>
    <w:rsid w:val="00A90265"/>
    <w:rsid w:val="00A90338"/>
    <w:rsid w:val="00A90356"/>
    <w:rsid w:val="00A90413"/>
    <w:rsid w:val="00A904B4"/>
    <w:rsid w:val="00A90642"/>
    <w:rsid w:val="00A90675"/>
    <w:rsid w:val="00A90683"/>
    <w:rsid w:val="00A90693"/>
    <w:rsid w:val="00A90720"/>
    <w:rsid w:val="00A907DA"/>
    <w:rsid w:val="00A908B9"/>
    <w:rsid w:val="00A90909"/>
    <w:rsid w:val="00A90959"/>
    <w:rsid w:val="00A909E8"/>
    <w:rsid w:val="00A90A08"/>
    <w:rsid w:val="00A90A52"/>
    <w:rsid w:val="00A90AC6"/>
    <w:rsid w:val="00A90AEE"/>
    <w:rsid w:val="00A90B3D"/>
    <w:rsid w:val="00A90BBB"/>
    <w:rsid w:val="00A90DCE"/>
    <w:rsid w:val="00A90E1E"/>
    <w:rsid w:val="00A91029"/>
    <w:rsid w:val="00A9123E"/>
    <w:rsid w:val="00A914AE"/>
    <w:rsid w:val="00A9150E"/>
    <w:rsid w:val="00A915AD"/>
    <w:rsid w:val="00A915C8"/>
    <w:rsid w:val="00A91C28"/>
    <w:rsid w:val="00A91C93"/>
    <w:rsid w:val="00A91CB3"/>
    <w:rsid w:val="00A91D42"/>
    <w:rsid w:val="00A91DE2"/>
    <w:rsid w:val="00A9209D"/>
    <w:rsid w:val="00A920DF"/>
    <w:rsid w:val="00A92371"/>
    <w:rsid w:val="00A923C6"/>
    <w:rsid w:val="00A92409"/>
    <w:rsid w:val="00A92548"/>
    <w:rsid w:val="00A925C6"/>
    <w:rsid w:val="00A925FD"/>
    <w:rsid w:val="00A927B0"/>
    <w:rsid w:val="00A92B00"/>
    <w:rsid w:val="00A92EFF"/>
    <w:rsid w:val="00A92F04"/>
    <w:rsid w:val="00A93021"/>
    <w:rsid w:val="00A93096"/>
    <w:rsid w:val="00A93303"/>
    <w:rsid w:val="00A9340E"/>
    <w:rsid w:val="00A935C9"/>
    <w:rsid w:val="00A93913"/>
    <w:rsid w:val="00A93AE0"/>
    <w:rsid w:val="00A93AF8"/>
    <w:rsid w:val="00A93B64"/>
    <w:rsid w:val="00A93B88"/>
    <w:rsid w:val="00A93D7A"/>
    <w:rsid w:val="00A9401C"/>
    <w:rsid w:val="00A94143"/>
    <w:rsid w:val="00A94169"/>
    <w:rsid w:val="00A942E4"/>
    <w:rsid w:val="00A94441"/>
    <w:rsid w:val="00A9450C"/>
    <w:rsid w:val="00A9457F"/>
    <w:rsid w:val="00A945D9"/>
    <w:rsid w:val="00A94616"/>
    <w:rsid w:val="00A948BA"/>
    <w:rsid w:val="00A948F9"/>
    <w:rsid w:val="00A94B3A"/>
    <w:rsid w:val="00A9516D"/>
    <w:rsid w:val="00A956B0"/>
    <w:rsid w:val="00A95719"/>
    <w:rsid w:val="00A95869"/>
    <w:rsid w:val="00A95879"/>
    <w:rsid w:val="00A958DF"/>
    <w:rsid w:val="00A959AD"/>
    <w:rsid w:val="00A95ABA"/>
    <w:rsid w:val="00A95AD2"/>
    <w:rsid w:val="00A95C31"/>
    <w:rsid w:val="00A95F39"/>
    <w:rsid w:val="00A96097"/>
    <w:rsid w:val="00A9633B"/>
    <w:rsid w:val="00A9644F"/>
    <w:rsid w:val="00A96491"/>
    <w:rsid w:val="00A964AA"/>
    <w:rsid w:val="00A966C6"/>
    <w:rsid w:val="00A96779"/>
    <w:rsid w:val="00A967C8"/>
    <w:rsid w:val="00A96802"/>
    <w:rsid w:val="00A96A3F"/>
    <w:rsid w:val="00A96A77"/>
    <w:rsid w:val="00A96BFA"/>
    <w:rsid w:val="00A96D92"/>
    <w:rsid w:val="00A971D9"/>
    <w:rsid w:val="00A974FD"/>
    <w:rsid w:val="00A9770E"/>
    <w:rsid w:val="00A97877"/>
    <w:rsid w:val="00A978F7"/>
    <w:rsid w:val="00A97DE9"/>
    <w:rsid w:val="00A97FC7"/>
    <w:rsid w:val="00A97FD0"/>
    <w:rsid w:val="00AA007F"/>
    <w:rsid w:val="00AA009E"/>
    <w:rsid w:val="00AA00CC"/>
    <w:rsid w:val="00AA00FA"/>
    <w:rsid w:val="00AA01A4"/>
    <w:rsid w:val="00AA033A"/>
    <w:rsid w:val="00AA04DB"/>
    <w:rsid w:val="00AA0515"/>
    <w:rsid w:val="00AA079D"/>
    <w:rsid w:val="00AA0A11"/>
    <w:rsid w:val="00AA0C13"/>
    <w:rsid w:val="00AA0CE9"/>
    <w:rsid w:val="00AA0D32"/>
    <w:rsid w:val="00AA0F29"/>
    <w:rsid w:val="00AA1001"/>
    <w:rsid w:val="00AA10BB"/>
    <w:rsid w:val="00AA1263"/>
    <w:rsid w:val="00AA1398"/>
    <w:rsid w:val="00AA13CC"/>
    <w:rsid w:val="00AA145D"/>
    <w:rsid w:val="00AA1499"/>
    <w:rsid w:val="00AA14F1"/>
    <w:rsid w:val="00AA1679"/>
    <w:rsid w:val="00AA194D"/>
    <w:rsid w:val="00AA1C1A"/>
    <w:rsid w:val="00AA1C5A"/>
    <w:rsid w:val="00AA1CC5"/>
    <w:rsid w:val="00AA1ED6"/>
    <w:rsid w:val="00AA1EE8"/>
    <w:rsid w:val="00AA203E"/>
    <w:rsid w:val="00AA213B"/>
    <w:rsid w:val="00AA2148"/>
    <w:rsid w:val="00AA226E"/>
    <w:rsid w:val="00AA23DE"/>
    <w:rsid w:val="00AA2441"/>
    <w:rsid w:val="00AA24BE"/>
    <w:rsid w:val="00AA257C"/>
    <w:rsid w:val="00AA25BC"/>
    <w:rsid w:val="00AA2A00"/>
    <w:rsid w:val="00AA2BCB"/>
    <w:rsid w:val="00AA2C79"/>
    <w:rsid w:val="00AA2EB3"/>
    <w:rsid w:val="00AA2F18"/>
    <w:rsid w:val="00AA303E"/>
    <w:rsid w:val="00AA31DB"/>
    <w:rsid w:val="00AA322D"/>
    <w:rsid w:val="00AA335D"/>
    <w:rsid w:val="00AA33AE"/>
    <w:rsid w:val="00AA364D"/>
    <w:rsid w:val="00AA36F3"/>
    <w:rsid w:val="00AA3A06"/>
    <w:rsid w:val="00AA3AD8"/>
    <w:rsid w:val="00AA3C75"/>
    <w:rsid w:val="00AA3DDD"/>
    <w:rsid w:val="00AA3F6D"/>
    <w:rsid w:val="00AA4023"/>
    <w:rsid w:val="00AA403A"/>
    <w:rsid w:val="00AA4603"/>
    <w:rsid w:val="00AA461F"/>
    <w:rsid w:val="00AA467B"/>
    <w:rsid w:val="00AA46AE"/>
    <w:rsid w:val="00AA498A"/>
    <w:rsid w:val="00AA4A20"/>
    <w:rsid w:val="00AA4A87"/>
    <w:rsid w:val="00AA4C9B"/>
    <w:rsid w:val="00AA4CEE"/>
    <w:rsid w:val="00AA4DE5"/>
    <w:rsid w:val="00AA4DEA"/>
    <w:rsid w:val="00AA4E46"/>
    <w:rsid w:val="00AA5005"/>
    <w:rsid w:val="00AA5439"/>
    <w:rsid w:val="00AA5483"/>
    <w:rsid w:val="00AA5497"/>
    <w:rsid w:val="00AA55B6"/>
    <w:rsid w:val="00AA55B7"/>
    <w:rsid w:val="00AA5662"/>
    <w:rsid w:val="00AA5AB9"/>
    <w:rsid w:val="00AA5ABC"/>
    <w:rsid w:val="00AA5AD9"/>
    <w:rsid w:val="00AA5B45"/>
    <w:rsid w:val="00AA5BDD"/>
    <w:rsid w:val="00AA5CD9"/>
    <w:rsid w:val="00AA5F29"/>
    <w:rsid w:val="00AA5FFF"/>
    <w:rsid w:val="00AA61AE"/>
    <w:rsid w:val="00AA636C"/>
    <w:rsid w:val="00AA6475"/>
    <w:rsid w:val="00AA64A2"/>
    <w:rsid w:val="00AA64A7"/>
    <w:rsid w:val="00AA67CE"/>
    <w:rsid w:val="00AA6974"/>
    <w:rsid w:val="00AA6D51"/>
    <w:rsid w:val="00AA6F7A"/>
    <w:rsid w:val="00AA6FAE"/>
    <w:rsid w:val="00AA6FBD"/>
    <w:rsid w:val="00AA6FD8"/>
    <w:rsid w:val="00AA6FF1"/>
    <w:rsid w:val="00AA7110"/>
    <w:rsid w:val="00AA72B3"/>
    <w:rsid w:val="00AA7502"/>
    <w:rsid w:val="00AA755B"/>
    <w:rsid w:val="00AA760F"/>
    <w:rsid w:val="00AA7670"/>
    <w:rsid w:val="00AA797B"/>
    <w:rsid w:val="00AA79FF"/>
    <w:rsid w:val="00AA7A99"/>
    <w:rsid w:val="00AA7BB2"/>
    <w:rsid w:val="00AA7E2F"/>
    <w:rsid w:val="00AA7F52"/>
    <w:rsid w:val="00AA7F99"/>
    <w:rsid w:val="00AB00CC"/>
    <w:rsid w:val="00AB00CE"/>
    <w:rsid w:val="00AB0146"/>
    <w:rsid w:val="00AB0527"/>
    <w:rsid w:val="00AB0555"/>
    <w:rsid w:val="00AB060B"/>
    <w:rsid w:val="00AB0728"/>
    <w:rsid w:val="00AB0731"/>
    <w:rsid w:val="00AB0A40"/>
    <w:rsid w:val="00AB0BB1"/>
    <w:rsid w:val="00AB0FBF"/>
    <w:rsid w:val="00AB0FD2"/>
    <w:rsid w:val="00AB1319"/>
    <w:rsid w:val="00AB142A"/>
    <w:rsid w:val="00AB14F6"/>
    <w:rsid w:val="00AB151F"/>
    <w:rsid w:val="00AB1525"/>
    <w:rsid w:val="00AB156D"/>
    <w:rsid w:val="00AB15FA"/>
    <w:rsid w:val="00AB1935"/>
    <w:rsid w:val="00AB19C7"/>
    <w:rsid w:val="00AB1AB2"/>
    <w:rsid w:val="00AB1BF8"/>
    <w:rsid w:val="00AB1C4A"/>
    <w:rsid w:val="00AB1C86"/>
    <w:rsid w:val="00AB1CFA"/>
    <w:rsid w:val="00AB1D59"/>
    <w:rsid w:val="00AB1E08"/>
    <w:rsid w:val="00AB205D"/>
    <w:rsid w:val="00AB2199"/>
    <w:rsid w:val="00AB21AD"/>
    <w:rsid w:val="00AB21C7"/>
    <w:rsid w:val="00AB2223"/>
    <w:rsid w:val="00AB2232"/>
    <w:rsid w:val="00AB226C"/>
    <w:rsid w:val="00AB22A1"/>
    <w:rsid w:val="00AB23CA"/>
    <w:rsid w:val="00AB23CF"/>
    <w:rsid w:val="00AB2406"/>
    <w:rsid w:val="00AB257E"/>
    <w:rsid w:val="00AB2597"/>
    <w:rsid w:val="00AB2689"/>
    <w:rsid w:val="00AB290B"/>
    <w:rsid w:val="00AB2D24"/>
    <w:rsid w:val="00AB2F75"/>
    <w:rsid w:val="00AB3119"/>
    <w:rsid w:val="00AB321F"/>
    <w:rsid w:val="00AB3A17"/>
    <w:rsid w:val="00AB3A8B"/>
    <w:rsid w:val="00AB3B15"/>
    <w:rsid w:val="00AB3B8D"/>
    <w:rsid w:val="00AB3BF3"/>
    <w:rsid w:val="00AB3F24"/>
    <w:rsid w:val="00AB3F80"/>
    <w:rsid w:val="00AB4099"/>
    <w:rsid w:val="00AB411D"/>
    <w:rsid w:val="00AB44E6"/>
    <w:rsid w:val="00AB4517"/>
    <w:rsid w:val="00AB4547"/>
    <w:rsid w:val="00AB472B"/>
    <w:rsid w:val="00AB4767"/>
    <w:rsid w:val="00AB476B"/>
    <w:rsid w:val="00AB47BE"/>
    <w:rsid w:val="00AB490B"/>
    <w:rsid w:val="00AB4991"/>
    <w:rsid w:val="00AB499F"/>
    <w:rsid w:val="00AB4A69"/>
    <w:rsid w:val="00AB4D11"/>
    <w:rsid w:val="00AB4E84"/>
    <w:rsid w:val="00AB4EF6"/>
    <w:rsid w:val="00AB5069"/>
    <w:rsid w:val="00AB51C2"/>
    <w:rsid w:val="00AB52E3"/>
    <w:rsid w:val="00AB553E"/>
    <w:rsid w:val="00AB55C9"/>
    <w:rsid w:val="00AB582F"/>
    <w:rsid w:val="00AB59B5"/>
    <w:rsid w:val="00AB59E0"/>
    <w:rsid w:val="00AB5C11"/>
    <w:rsid w:val="00AB5C56"/>
    <w:rsid w:val="00AB5CF6"/>
    <w:rsid w:val="00AB5F09"/>
    <w:rsid w:val="00AB638F"/>
    <w:rsid w:val="00AB6601"/>
    <w:rsid w:val="00AB66B9"/>
    <w:rsid w:val="00AB679F"/>
    <w:rsid w:val="00AB686F"/>
    <w:rsid w:val="00AB687E"/>
    <w:rsid w:val="00AB69B5"/>
    <w:rsid w:val="00AB6A41"/>
    <w:rsid w:val="00AB6ADE"/>
    <w:rsid w:val="00AB6C66"/>
    <w:rsid w:val="00AB6CAD"/>
    <w:rsid w:val="00AB6CF0"/>
    <w:rsid w:val="00AB6D37"/>
    <w:rsid w:val="00AB6D44"/>
    <w:rsid w:val="00AB6E41"/>
    <w:rsid w:val="00AB6EE0"/>
    <w:rsid w:val="00AB7055"/>
    <w:rsid w:val="00AB7104"/>
    <w:rsid w:val="00AB76D5"/>
    <w:rsid w:val="00AB778D"/>
    <w:rsid w:val="00AB77D6"/>
    <w:rsid w:val="00AB79F2"/>
    <w:rsid w:val="00AB7A94"/>
    <w:rsid w:val="00AB7B2C"/>
    <w:rsid w:val="00AB7B96"/>
    <w:rsid w:val="00AB7C29"/>
    <w:rsid w:val="00AB7D1C"/>
    <w:rsid w:val="00AB7DDF"/>
    <w:rsid w:val="00AB7ECE"/>
    <w:rsid w:val="00AB7EFD"/>
    <w:rsid w:val="00AC003A"/>
    <w:rsid w:val="00AC0209"/>
    <w:rsid w:val="00AC0280"/>
    <w:rsid w:val="00AC0340"/>
    <w:rsid w:val="00AC0404"/>
    <w:rsid w:val="00AC043E"/>
    <w:rsid w:val="00AC04B2"/>
    <w:rsid w:val="00AC0947"/>
    <w:rsid w:val="00AC0A6E"/>
    <w:rsid w:val="00AC0C25"/>
    <w:rsid w:val="00AC0C28"/>
    <w:rsid w:val="00AC0C7C"/>
    <w:rsid w:val="00AC0D13"/>
    <w:rsid w:val="00AC0D72"/>
    <w:rsid w:val="00AC0E02"/>
    <w:rsid w:val="00AC0E54"/>
    <w:rsid w:val="00AC0EB9"/>
    <w:rsid w:val="00AC0F3E"/>
    <w:rsid w:val="00AC1353"/>
    <w:rsid w:val="00AC1499"/>
    <w:rsid w:val="00AC19BE"/>
    <w:rsid w:val="00AC1A95"/>
    <w:rsid w:val="00AC1D5E"/>
    <w:rsid w:val="00AC1DFF"/>
    <w:rsid w:val="00AC214D"/>
    <w:rsid w:val="00AC2156"/>
    <w:rsid w:val="00AC21E8"/>
    <w:rsid w:val="00AC224D"/>
    <w:rsid w:val="00AC23A3"/>
    <w:rsid w:val="00AC25A0"/>
    <w:rsid w:val="00AC264A"/>
    <w:rsid w:val="00AC2733"/>
    <w:rsid w:val="00AC278A"/>
    <w:rsid w:val="00AC2878"/>
    <w:rsid w:val="00AC290A"/>
    <w:rsid w:val="00AC2A67"/>
    <w:rsid w:val="00AC2C15"/>
    <w:rsid w:val="00AC2CF9"/>
    <w:rsid w:val="00AC2E89"/>
    <w:rsid w:val="00AC2FEE"/>
    <w:rsid w:val="00AC3136"/>
    <w:rsid w:val="00AC3158"/>
    <w:rsid w:val="00AC3492"/>
    <w:rsid w:val="00AC35AB"/>
    <w:rsid w:val="00AC3674"/>
    <w:rsid w:val="00AC374A"/>
    <w:rsid w:val="00AC374C"/>
    <w:rsid w:val="00AC3894"/>
    <w:rsid w:val="00AC3AC4"/>
    <w:rsid w:val="00AC3AE7"/>
    <w:rsid w:val="00AC3B1E"/>
    <w:rsid w:val="00AC3C44"/>
    <w:rsid w:val="00AC3D0D"/>
    <w:rsid w:val="00AC3ECC"/>
    <w:rsid w:val="00AC4052"/>
    <w:rsid w:val="00AC41C8"/>
    <w:rsid w:val="00AC421D"/>
    <w:rsid w:val="00AC43F1"/>
    <w:rsid w:val="00AC44BC"/>
    <w:rsid w:val="00AC45D9"/>
    <w:rsid w:val="00AC4705"/>
    <w:rsid w:val="00AC4830"/>
    <w:rsid w:val="00AC49C4"/>
    <w:rsid w:val="00AC4A81"/>
    <w:rsid w:val="00AC4B97"/>
    <w:rsid w:val="00AC4C55"/>
    <w:rsid w:val="00AC4CBC"/>
    <w:rsid w:val="00AC4D5F"/>
    <w:rsid w:val="00AC4DCF"/>
    <w:rsid w:val="00AC4E52"/>
    <w:rsid w:val="00AC4FE7"/>
    <w:rsid w:val="00AC4FF5"/>
    <w:rsid w:val="00AC5385"/>
    <w:rsid w:val="00AC5397"/>
    <w:rsid w:val="00AC54A0"/>
    <w:rsid w:val="00AC565D"/>
    <w:rsid w:val="00AC57CE"/>
    <w:rsid w:val="00AC57F9"/>
    <w:rsid w:val="00AC59B1"/>
    <w:rsid w:val="00AC5BD8"/>
    <w:rsid w:val="00AC5DCA"/>
    <w:rsid w:val="00AC5E49"/>
    <w:rsid w:val="00AC5E4F"/>
    <w:rsid w:val="00AC607C"/>
    <w:rsid w:val="00AC64E9"/>
    <w:rsid w:val="00AC6501"/>
    <w:rsid w:val="00AC652D"/>
    <w:rsid w:val="00AC6854"/>
    <w:rsid w:val="00AC6A73"/>
    <w:rsid w:val="00AC6B48"/>
    <w:rsid w:val="00AC6B5A"/>
    <w:rsid w:val="00AC6D6B"/>
    <w:rsid w:val="00AC6EAF"/>
    <w:rsid w:val="00AC710D"/>
    <w:rsid w:val="00AC7169"/>
    <w:rsid w:val="00AC717A"/>
    <w:rsid w:val="00AC736C"/>
    <w:rsid w:val="00AC74D4"/>
    <w:rsid w:val="00AC7696"/>
    <w:rsid w:val="00AC7797"/>
    <w:rsid w:val="00AC779E"/>
    <w:rsid w:val="00AC79C5"/>
    <w:rsid w:val="00AC7A50"/>
    <w:rsid w:val="00AC7B59"/>
    <w:rsid w:val="00AC7BB7"/>
    <w:rsid w:val="00AC7D08"/>
    <w:rsid w:val="00AC7D3B"/>
    <w:rsid w:val="00AC7E77"/>
    <w:rsid w:val="00AC7F46"/>
    <w:rsid w:val="00AC7FAB"/>
    <w:rsid w:val="00AD0084"/>
    <w:rsid w:val="00AD0188"/>
    <w:rsid w:val="00AD020A"/>
    <w:rsid w:val="00AD026F"/>
    <w:rsid w:val="00AD02CE"/>
    <w:rsid w:val="00AD0425"/>
    <w:rsid w:val="00AD0541"/>
    <w:rsid w:val="00AD054F"/>
    <w:rsid w:val="00AD0596"/>
    <w:rsid w:val="00AD0AA8"/>
    <w:rsid w:val="00AD0C6A"/>
    <w:rsid w:val="00AD0CDE"/>
    <w:rsid w:val="00AD0DBD"/>
    <w:rsid w:val="00AD0DF1"/>
    <w:rsid w:val="00AD0EED"/>
    <w:rsid w:val="00AD0EF0"/>
    <w:rsid w:val="00AD0F8A"/>
    <w:rsid w:val="00AD0FDC"/>
    <w:rsid w:val="00AD1224"/>
    <w:rsid w:val="00AD12C6"/>
    <w:rsid w:val="00AD1300"/>
    <w:rsid w:val="00AD1412"/>
    <w:rsid w:val="00AD1464"/>
    <w:rsid w:val="00AD14DD"/>
    <w:rsid w:val="00AD1517"/>
    <w:rsid w:val="00AD156F"/>
    <w:rsid w:val="00AD16F1"/>
    <w:rsid w:val="00AD19A1"/>
    <w:rsid w:val="00AD1C5C"/>
    <w:rsid w:val="00AD1CED"/>
    <w:rsid w:val="00AD1E6C"/>
    <w:rsid w:val="00AD1F32"/>
    <w:rsid w:val="00AD202F"/>
    <w:rsid w:val="00AD22F2"/>
    <w:rsid w:val="00AD2323"/>
    <w:rsid w:val="00AD241F"/>
    <w:rsid w:val="00AD25D5"/>
    <w:rsid w:val="00AD25E3"/>
    <w:rsid w:val="00AD260E"/>
    <w:rsid w:val="00AD27CF"/>
    <w:rsid w:val="00AD2B48"/>
    <w:rsid w:val="00AD2C4B"/>
    <w:rsid w:val="00AD2C76"/>
    <w:rsid w:val="00AD2CAE"/>
    <w:rsid w:val="00AD2F80"/>
    <w:rsid w:val="00AD301B"/>
    <w:rsid w:val="00AD30A6"/>
    <w:rsid w:val="00AD30F0"/>
    <w:rsid w:val="00AD31B5"/>
    <w:rsid w:val="00AD3248"/>
    <w:rsid w:val="00AD3264"/>
    <w:rsid w:val="00AD3539"/>
    <w:rsid w:val="00AD3742"/>
    <w:rsid w:val="00AD3762"/>
    <w:rsid w:val="00AD37A6"/>
    <w:rsid w:val="00AD3988"/>
    <w:rsid w:val="00AD39E9"/>
    <w:rsid w:val="00AD3B95"/>
    <w:rsid w:val="00AD3C03"/>
    <w:rsid w:val="00AD3D38"/>
    <w:rsid w:val="00AD3D50"/>
    <w:rsid w:val="00AD3F68"/>
    <w:rsid w:val="00AD401A"/>
    <w:rsid w:val="00AD4082"/>
    <w:rsid w:val="00AD4141"/>
    <w:rsid w:val="00AD4180"/>
    <w:rsid w:val="00AD41CA"/>
    <w:rsid w:val="00AD4329"/>
    <w:rsid w:val="00AD4345"/>
    <w:rsid w:val="00AD4485"/>
    <w:rsid w:val="00AD4629"/>
    <w:rsid w:val="00AD475F"/>
    <w:rsid w:val="00AD48ED"/>
    <w:rsid w:val="00AD4916"/>
    <w:rsid w:val="00AD49E9"/>
    <w:rsid w:val="00AD4A82"/>
    <w:rsid w:val="00AD4B78"/>
    <w:rsid w:val="00AD4C15"/>
    <w:rsid w:val="00AD4DA5"/>
    <w:rsid w:val="00AD4E30"/>
    <w:rsid w:val="00AD5046"/>
    <w:rsid w:val="00AD5174"/>
    <w:rsid w:val="00AD5180"/>
    <w:rsid w:val="00AD52F9"/>
    <w:rsid w:val="00AD5317"/>
    <w:rsid w:val="00AD5382"/>
    <w:rsid w:val="00AD55C2"/>
    <w:rsid w:val="00AD5816"/>
    <w:rsid w:val="00AD59B2"/>
    <w:rsid w:val="00AD5BE0"/>
    <w:rsid w:val="00AD5C4B"/>
    <w:rsid w:val="00AD5DA1"/>
    <w:rsid w:val="00AD5F2B"/>
    <w:rsid w:val="00AD6083"/>
    <w:rsid w:val="00AD614B"/>
    <w:rsid w:val="00AD6500"/>
    <w:rsid w:val="00AD6548"/>
    <w:rsid w:val="00AD65D7"/>
    <w:rsid w:val="00AD6BA6"/>
    <w:rsid w:val="00AD6C73"/>
    <w:rsid w:val="00AD6CAF"/>
    <w:rsid w:val="00AD6E7A"/>
    <w:rsid w:val="00AD6FD6"/>
    <w:rsid w:val="00AD712E"/>
    <w:rsid w:val="00AD7313"/>
    <w:rsid w:val="00AD73B0"/>
    <w:rsid w:val="00AD7492"/>
    <w:rsid w:val="00AD74DD"/>
    <w:rsid w:val="00AD758F"/>
    <w:rsid w:val="00AD76DC"/>
    <w:rsid w:val="00AD7A1A"/>
    <w:rsid w:val="00AD7CD5"/>
    <w:rsid w:val="00AD7D8E"/>
    <w:rsid w:val="00AD7F66"/>
    <w:rsid w:val="00AE000E"/>
    <w:rsid w:val="00AE00FF"/>
    <w:rsid w:val="00AE01FC"/>
    <w:rsid w:val="00AE0216"/>
    <w:rsid w:val="00AE0375"/>
    <w:rsid w:val="00AE037A"/>
    <w:rsid w:val="00AE03CA"/>
    <w:rsid w:val="00AE0550"/>
    <w:rsid w:val="00AE05F5"/>
    <w:rsid w:val="00AE0625"/>
    <w:rsid w:val="00AE092F"/>
    <w:rsid w:val="00AE0BA1"/>
    <w:rsid w:val="00AE0CD5"/>
    <w:rsid w:val="00AE0DCD"/>
    <w:rsid w:val="00AE0DE6"/>
    <w:rsid w:val="00AE0E73"/>
    <w:rsid w:val="00AE0E78"/>
    <w:rsid w:val="00AE0E81"/>
    <w:rsid w:val="00AE10AB"/>
    <w:rsid w:val="00AE11E9"/>
    <w:rsid w:val="00AE134D"/>
    <w:rsid w:val="00AE140D"/>
    <w:rsid w:val="00AE1525"/>
    <w:rsid w:val="00AE1556"/>
    <w:rsid w:val="00AE16C5"/>
    <w:rsid w:val="00AE1770"/>
    <w:rsid w:val="00AE1A89"/>
    <w:rsid w:val="00AE1D04"/>
    <w:rsid w:val="00AE1D43"/>
    <w:rsid w:val="00AE1D45"/>
    <w:rsid w:val="00AE1DBB"/>
    <w:rsid w:val="00AE1F01"/>
    <w:rsid w:val="00AE204F"/>
    <w:rsid w:val="00AE2093"/>
    <w:rsid w:val="00AE20CF"/>
    <w:rsid w:val="00AE21E2"/>
    <w:rsid w:val="00AE2208"/>
    <w:rsid w:val="00AE2308"/>
    <w:rsid w:val="00AE26B8"/>
    <w:rsid w:val="00AE2725"/>
    <w:rsid w:val="00AE289A"/>
    <w:rsid w:val="00AE28D5"/>
    <w:rsid w:val="00AE291A"/>
    <w:rsid w:val="00AE2ADF"/>
    <w:rsid w:val="00AE2BAD"/>
    <w:rsid w:val="00AE2C6B"/>
    <w:rsid w:val="00AE2C92"/>
    <w:rsid w:val="00AE2CDA"/>
    <w:rsid w:val="00AE2EF2"/>
    <w:rsid w:val="00AE2FBA"/>
    <w:rsid w:val="00AE301D"/>
    <w:rsid w:val="00AE3060"/>
    <w:rsid w:val="00AE3252"/>
    <w:rsid w:val="00AE3284"/>
    <w:rsid w:val="00AE3361"/>
    <w:rsid w:val="00AE349C"/>
    <w:rsid w:val="00AE35B6"/>
    <w:rsid w:val="00AE3719"/>
    <w:rsid w:val="00AE374C"/>
    <w:rsid w:val="00AE37BA"/>
    <w:rsid w:val="00AE399F"/>
    <w:rsid w:val="00AE3B83"/>
    <w:rsid w:val="00AE3CC1"/>
    <w:rsid w:val="00AE3D15"/>
    <w:rsid w:val="00AE44D6"/>
    <w:rsid w:val="00AE4576"/>
    <w:rsid w:val="00AE45FB"/>
    <w:rsid w:val="00AE4608"/>
    <w:rsid w:val="00AE4640"/>
    <w:rsid w:val="00AE47AA"/>
    <w:rsid w:val="00AE47F1"/>
    <w:rsid w:val="00AE484F"/>
    <w:rsid w:val="00AE4C3A"/>
    <w:rsid w:val="00AE4D28"/>
    <w:rsid w:val="00AE4F5D"/>
    <w:rsid w:val="00AE5047"/>
    <w:rsid w:val="00AE51D3"/>
    <w:rsid w:val="00AE5312"/>
    <w:rsid w:val="00AE56AF"/>
    <w:rsid w:val="00AE5A0F"/>
    <w:rsid w:val="00AE5A5C"/>
    <w:rsid w:val="00AE5AA6"/>
    <w:rsid w:val="00AE5AAB"/>
    <w:rsid w:val="00AE5ABD"/>
    <w:rsid w:val="00AE5C67"/>
    <w:rsid w:val="00AE5C7E"/>
    <w:rsid w:val="00AE5D73"/>
    <w:rsid w:val="00AE5DFA"/>
    <w:rsid w:val="00AE5E07"/>
    <w:rsid w:val="00AE5FAB"/>
    <w:rsid w:val="00AE63AC"/>
    <w:rsid w:val="00AE63B5"/>
    <w:rsid w:val="00AE64BE"/>
    <w:rsid w:val="00AE65E3"/>
    <w:rsid w:val="00AE661F"/>
    <w:rsid w:val="00AE67AB"/>
    <w:rsid w:val="00AE694C"/>
    <w:rsid w:val="00AE6987"/>
    <w:rsid w:val="00AE6A2E"/>
    <w:rsid w:val="00AE6C15"/>
    <w:rsid w:val="00AE6C59"/>
    <w:rsid w:val="00AE7241"/>
    <w:rsid w:val="00AE7296"/>
    <w:rsid w:val="00AE74BA"/>
    <w:rsid w:val="00AE74F6"/>
    <w:rsid w:val="00AE7535"/>
    <w:rsid w:val="00AE7876"/>
    <w:rsid w:val="00AE7B90"/>
    <w:rsid w:val="00AE7C8E"/>
    <w:rsid w:val="00AE7DDE"/>
    <w:rsid w:val="00AF00CE"/>
    <w:rsid w:val="00AF02E7"/>
    <w:rsid w:val="00AF02F5"/>
    <w:rsid w:val="00AF0480"/>
    <w:rsid w:val="00AF050B"/>
    <w:rsid w:val="00AF07BE"/>
    <w:rsid w:val="00AF0841"/>
    <w:rsid w:val="00AF08E8"/>
    <w:rsid w:val="00AF091C"/>
    <w:rsid w:val="00AF0A85"/>
    <w:rsid w:val="00AF0AE5"/>
    <w:rsid w:val="00AF0C9A"/>
    <w:rsid w:val="00AF0CE2"/>
    <w:rsid w:val="00AF110C"/>
    <w:rsid w:val="00AF119F"/>
    <w:rsid w:val="00AF1235"/>
    <w:rsid w:val="00AF1249"/>
    <w:rsid w:val="00AF14C0"/>
    <w:rsid w:val="00AF1555"/>
    <w:rsid w:val="00AF1592"/>
    <w:rsid w:val="00AF15AC"/>
    <w:rsid w:val="00AF16D1"/>
    <w:rsid w:val="00AF173A"/>
    <w:rsid w:val="00AF174A"/>
    <w:rsid w:val="00AF1901"/>
    <w:rsid w:val="00AF191C"/>
    <w:rsid w:val="00AF1929"/>
    <w:rsid w:val="00AF1A9D"/>
    <w:rsid w:val="00AF1AC0"/>
    <w:rsid w:val="00AF1AE7"/>
    <w:rsid w:val="00AF1B31"/>
    <w:rsid w:val="00AF1E23"/>
    <w:rsid w:val="00AF1EA5"/>
    <w:rsid w:val="00AF1FF4"/>
    <w:rsid w:val="00AF20C5"/>
    <w:rsid w:val="00AF20F6"/>
    <w:rsid w:val="00AF21A7"/>
    <w:rsid w:val="00AF22C2"/>
    <w:rsid w:val="00AF2322"/>
    <w:rsid w:val="00AF2406"/>
    <w:rsid w:val="00AF26B5"/>
    <w:rsid w:val="00AF2857"/>
    <w:rsid w:val="00AF2D96"/>
    <w:rsid w:val="00AF2E0E"/>
    <w:rsid w:val="00AF2E60"/>
    <w:rsid w:val="00AF2E8A"/>
    <w:rsid w:val="00AF31E1"/>
    <w:rsid w:val="00AF3260"/>
    <w:rsid w:val="00AF32AB"/>
    <w:rsid w:val="00AF3317"/>
    <w:rsid w:val="00AF3334"/>
    <w:rsid w:val="00AF3394"/>
    <w:rsid w:val="00AF363B"/>
    <w:rsid w:val="00AF3652"/>
    <w:rsid w:val="00AF36DB"/>
    <w:rsid w:val="00AF375D"/>
    <w:rsid w:val="00AF37D2"/>
    <w:rsid w:val="00AF3888"/>
    <w:rsid w:val="00AF390F"/>
    <w:rsid w:val="00AF3A4C"/>
    <w:rsid w:val="00AF3B55"/>
    <w:rsid w:val="00AF3D9D"/>
    <w:rsid w:val="00AF3E3A"/>
    <w:rsid w:val="00AF410F"/>
    <w:rsid w:val="00AF412A"/>
    <w:rsid w:val="00AF4165"/>
    <w:rsid w:val="00AF419B"/>
    <w:rsid w:val="00AF41B0"/>
    <w:rsid w:val="00AF425C"/>
    <w:rsid w:val="00AF43CF"/>
    <w:rsid w:val="00AF443C"/>
    <w:rsid w:val="00AF4667"/>
    <w:rsid w:val="00AF4802"/>
    <w:rsid w:val="00AF480A"/>
    <w:rsid w:val="00AF488E"/>
    <w:rsid w:val="00AF4B21"/>
    <w:rsid w:val="00AF4B56"/>
    <w:rsid w:val="00AF4CE3"/>
    <w:rsid w:val="00AF4E23"/>
    <w:rsid w:val="00AF4F00"/>
    <w:rsid w:val="00AF4FB4"/>
    <w:rsid w:val="00AF503D"/>
    <w:rsid w:val="00AF5108"/>
    <w:rsid w:val="00AF515D"/>
    <w:rsid w:val="00AF52F5"/>
    <w:rsid w:val="00AF543A"/>
    <w:rsid w:val="00AF5455"/>
    <w:rsid w:val="00AF59B6"/>
    <w:rsid w:val="00AF59DF"/>
    <w:rsid w:val="00AF59F2"/>
    <w:rsid w:val="00AF5CC6"/>
    <w:rsid w:val="00AF5D78"/>
    <w:rsid w:val="00AF5F06"/>
    <w:rsid w:val="00AF602D"/>
    <w:rsid w:val="00AF60D6"/>
    <w:rsid w:val="00AF62A3"/>
    <w:rsid w:val="00AF6436"/>
    <w:rsid w:val="00AF6673"/>
    <w:rsid w:val="00AF67FE"/>
    <w:rsid w:val="00AF695D"/>
    <w:rsid w:val="00AF6C37"/>
    <w:rsid w:val="00AF6CCA"/>
    <w:rsid w:val="00AF6D30"/>
    <w:rsid w:val="00AF733D"/>
    <w:rsid w:val="00AF75A3"/>
    <w:rsid w:val="00AF762B"/>
    <w:rsid w:val="00AF7695"/>
    <w:rsid w:val="00AF78FA"/>
    <w:rsid w:val="00AF78FE"/>
    <w:rsid w:val="00AF7A70"/>
    <w:rsid w:val="00AF7AEF"/>
    <w:rsid w:val="00AF7BCA"/>
    <w:rsid w:val="00B0004B"/>
    <w:rsid w:val="00B00151"/>
    <w:rsid w:val="00B00407"/>
    <w:rsid w:val="00B0050D"/>
    <w:rsid w:val="00B00642"/>
    <w:rsid w:val="00B00870"/>
    <w:rsid w:val="00B008A3"/>
    <w:rsid w:val="00B008E7"/>
    <w:rsid w:val="00B00DB5"/>
    <w:rsid w:val="00B00E99"/>
    <w:rsid w:val="00B011C5"/>
    <w:rsid w:val="00B01215"/>
    <w:rsid w:val="00B0130D"/>
    <w:rsid w:val="00B0135D"/>
    <w:rsid w:val="00B0152B"/>
    <w:rsid w:val="00B0160B"/>
    <w:rsid w:val="00B01671"/>
    <w:rsid w:val="00B019DE"/>
    <w:rsid w:val="00B01AB2"/>
    <w:rsid w:val="00B01BE4"/>
    <w:rsid w:val="00B01C83"/>
    <w:rsid w:val="00B01CBA"/>
    <w:rsid w:val="00B01E51"/>
    <w:rsid w:val="00B01FE2"/>
    <w:rsid w:val="00B02180"/>
    <w:rsid w:val="00B02523"/>
    <w:rsid w:val="00B02546"/>
    <w:rsid w:val="00B027C2"/>
    <w:rsid w:val="00B02816"/>
    <w:rsid w:val="00B028C6"/>
    <w:rsid w:val="00B02A16"/>
    <w:rsid w:val="00B02A36"/>
    <w:rsid w:val="00B02A73"/>
    <w:rsid w:val="00B02F09"/>
    <w:rsid w:val="00B03134"/>
    <w:rsid w:val="00B033B3"/>
    <w:rsid w:val="00B035C4"/>
    <w:rsid w:val="00B036CE"/>
    <w:rsid w:val="00B03893"/>
    <w:rsid w:val="00B03B70"/>
    <w:rsid w:val="00B03C0D"/>
    <w:rsid w:val="00B03FB6"/>
    <w:rsid w:val="00B040B7"/>
    <w:rsid w:val="00B04140"/>
    <w:rsid w:val="00B0425A"/>
    <w:rsid w:val="00B04490"/>
    <w:rsid w:val="00B0469E"/>
    <w:rsid w:val="00B0470E"/>
    <w:rsid w:val="00B04817"/>
    <w:rsid w:val="00B049FA"/>
    <w:rsid w:val="00B04DBE"/>
    <w:rsid w:val="00B04DD1"/>
    <w:rsid w:val="00B0512B"/>
    <w:rsid w:val="00B0515D"/>
    <w:rsid w:val="00B051A6"/>
    <w:rsid w:val="00B05663"/>
    <w:rsid w:val="00B0572C"/>
    <w:rsid w:val="00B058D4"/>
    <w:rsid w:val="00B0597B"/>
    <w:rsid w:val="00B059F8"/>
    <w:rsid w:val="00B05BAC"/>
    <w:rsid w:val="00B05D00"/>
    <w:rsid w:val="00B060D3"/>
    <w:rsid w:val="00B06165"/>
    <w:rsid w:val="00B062E3"/>
    <w:rsid w:val="00B0635F"/>
    <w:rsid w:val="00B063B5"/>
    <w:rsid w:val="00B065BD"/>
    <w:rsid w:val="00B067C8"/>
    <w:rsid w:val="00B06BB1"/>
    <w:rsid w:val="00B06D3C"/>
    <w:rsid w:val="00B06FBB"/>
    <w:rsid w:val="00B07070"/>
    <w:rsid w:val="00B07289"/>
    <w:rsid w:val="00B07295"/>
    <w:rsid w:val="00B072E0"/>
    <w:rsid w:val="00B073FC"/>
    <w:rsid w:val="00B0753B"/>
    <w:rsid w:val="00B0769E"/>
    <w:rsid w:val="00B077C5"/>
    <w:rsid w:val="00B07B7F"/>
    <w:rsid w:val="00B07C12"/>
    <w:rsid w:val="00B07EFE"/>
    <w:rsid w:val="00B07F4F"/>
    <w:rsid w:val="00B10216"/>
    <w:rsid w:val="00B1033B"/>
    <w:rsid w:val="00B10398"/>
    <w:rsid w:val="00B103AD"/>
    <w:rsid w:val="00B103DD"/>
    <w:rsid w:val="00B1050B"/>
    <w:rsid w:val="00B105F9"/>
    <w:rsid w:val="00B10648"/>
    <w:rsid w:val="00B10660"/>
    <w:rsid w:val="00B106AB"/>
    <w:rsid w:val="00B107AE"/>
    <w:rsid w:val="00B10B55"/>
    <w:rsid w:val="00B10DA8"/>
    <w:rsid w:val="00B10DDE"/>
    <w:rsid w:val="00B1116D"/>
    <w:rsid w:val="00B11190"/>
    <w:rsid w:val="00B111BA"/>
    <w:rsid w:val="00B112AB"/>
    <w:rsid w:val="00B112BB"/>
    <w:rsid w:val="00B1131E"/>
    <w:rsid w:val="00B113CE"/>
    <w:rsid w:val="00B11540"/>
    <w:rsid w:val="00B11613"/>
    <w:rsid w:val="00B117A6"/>
    <w:rsid w:val="00B117F3"/>
    <w:rsid w:val="00B11995"/>
    <w:rsid w:val="00B11ADE"/>
    <w:rsid w:val="00B11ED0"/>
    <w:rsid w:val="00B11FA5"/>
    <w:rsid w:val="00B11FC0"/>
    <w:rsid w:val="00B1209C"/>
    <w:rsid w:val="00B1212F"/>
    <w:rsid w:val="00B12298"/>
    <w:rsid w:val="00B12377"/>
    <w:rsid w:val="00B12400"/>
    <w:rsid w:val="00B124C7"/>
    <w:rsid w:val="00B125A3"/>
    <w:rsid w:val="00B1274A"/>
    <w:rsid w:val="00B12D56"/>
    <w:rsid w:val="00B12E56"/>
    <w:rsid w:val="00B12F28"/>
    <w:rsid w:val="00B12F5C"/>
    <w:rsid w:val="00B1312F"/>
    <w:rsid w:val="00B13304"/>
    <w:rsid w:val="00B133CA"/>
    <w:rsid w:val="00B1364A"/>
    <w:rsid w:val="00B1384B"/>
    <w:rsid w:val="00B13862"/>
    <w:rsid w:val="00B13890"/>
    <w:rsid w:val="00B13A1C"/>
    <w:rsid w:val="00B13DB5"/>
    <w:rsid w:val="00B13F73"/>
    <w:rsid w:val="00B13F9C"/>
    <w:rsid w:val="00B140D2"/>
    <w:rsid w:val="00B14170"/>
    <w:rsid w:val="00B141C4"/>
    <w:rsid w:val="00B141C8"/>
    <w:rsid w:val="00B141F2"/>
    <w:rsid w:val="00B14298"/>
    <w:rsid w:val="00B1429B"/>
    <w:rsid w:val="00B1447F"/>
    <w:rsid w:val="00B1455F"/>
    <w:rsid w:val="00B14824"/>
    <w:rsid w:val="00B14858"/>
    <w:rsid w:val="00B1498D"/>
    <w:rsid w:val="00B14A95"/>
    <w:rsid w:val="00B15213"/>
    <w:rsid w:val="00B152AC"/>
    <w:rsid w:val="00B15502"/>
    <w:rsid w:val="00B156D6"/>
    <w:rsid w:val="00B1576A"/>
    <w:rsid w:val="00B157F6"/>
    <w:rsid w:val="00B15885"/>
    <w:rsid w:val="00B15A81"/>
    <w:rsid w:val="00B15A8B"/>
    <w:rsid w:val="00B15B63"/>
    <w:rsid w:val="00B15C9F"/>
    <w:rsid w:val="00B15F93"/>
    <w:rsid w:val="00B1634B"/>
    <w:rsid w:val="00B1639C"/>
    <w:rsid w:val="00B16450"/>
    <w:rsid w:val="00B16780"/>
    <w:rsid w:val="00B168C7"/>
    <w:rsid w:val="00B168CE"/>
    <w:rsid w:val="00B169E2"/>
    <w:rsid w:val="00B16FB4"/>
    <w:rsid w:val="00B1721B"/>
    <w:rsid w:val="00B1738A"/>
    <w:rsid w:val="00B173B2"/>
    <w:rsid w:val="00B173E1"/>
    <w:rsid w:val="00B17602"/>
    <w:rsid w:val="00B1760B"/>
    <w:rsid w:val="00B1766F"/>
    <w:rsid w:val="00B176A0"/>
    <w:rsid w:val="00B1795C"/>
    <w:rsid w:val="00B179E6"/>
    <w:rsid w:val="00B17B82"/>
    <w:rsid w:val="00B17C97"/>
    <w:rsid w:val="00B17C99"/>
    <w:rsid w:val="00B17C9C"/>
    <w:rsid w:val="00B17CBC"/>
    <w:rsid w:val="00B17D44"/>
    <w:rsid w:val="00B17E03"/>
    <w:rsid w:val="00B17FC7"/>
    <w:rsid w:val="00B200FF"/>
    <w:rsid w:val="00B20311"/>
    <w:rsid w:val="00B2049A"/>
    <w:rsid w:val="00B20896"/>
    <w:rsid w:val="00B20AC0"/>
    <w:rsid w:val="00B20D1D"/>
    <w:rsid w:val="00B20D29"/>
    <w:rsid w:val="00B20F9F"/>
    <w:rsid w:val="00B212D8"/>
    <w:rsid w:val="00B2137C"/>
    <w:rsid w:val="00B214C5"/>
    <w:rsid w:val="00B214CA"/>
    <w:rsid w:val="00B21567"/>
    <w:rsid w:val="00B215F1"/>
    <w:rsid w:val="00B216B1"/>
    <w:rsid w:val="00B21766"/>
    <w:rsid w:val="00B21787"/>
    <w:rsid w:val="00B21793"/>
    <w:rsid w:val="00B21827"/>
    <w:rsid w:val="00B2183D"/>
    <w:rsid w:val="00B21A84"/>
    <w:rsid w:val="00B21AD3"/>
    <w:rsid w:val="00B21C34"/>
    <w:rsid w:val="00B21D78"/>
    <w:rsid w:val="00B21ED5"/>
    <w:rsid w:val="00B21F10"/>
    <w:rsid w:val="00B21FB6"/>
    <w:rsid w:val="00B22136"/>
    <w:rsid w:val="00B22622"/>
    <w:rsid w:val="00B2283D"/>
    <w:rsid w:val="00B22889"/>
    <w:rsid w:val="00B22913"/>
    <w:rsid w:val="00B22986"/>
    <w:rsid w:val="00B2299C"/>
    <w:rsid w:val="00B22B49"/>
    <w:rsid w:val="00B22D45"/>
    <w:rsid w:val="00B22D4D"/>
    <w:rsid w:val="00B22DE3"/>
    <w:rsid w:val="00B22F49"/>
    <w:rsid w:val="00B23007"/>
    <w:rsid w:val="00B23420"/>
    <w:rsid w:val="00B23497"/>
    <w:rsid w:val="00B23822"/>
    <w:rsid w:val="00B23BDA"/>
    <w:rsid w:val="00B23BED"/>
    <w:rsid w:val="00B23D46"/>
    <w:rsid w:val="00B23DCB"/>
    <w:rsid w:val="00B23E84"/>
    <w:rsid w:val="00B23F3D"/>
    <w:rsid w:val="00B23F6E"/>
    <w:rsid w:val="00B23F8B"/>
    <w:rsid w:val="00B241A9"/>
    <w:rsid w:val="00B241F7"/>
    <w:rsid w:val="00B24242"/>
    <w:rsid w:val="00B243A3"/>
    <w:rsid w:val="00B243C2"/>
    <w:rsid w:val="00B24543"/>
    <w:rsid w:val="00B2457F"/>
    <w:rsid w:val="00B245C2"/>
    <w:rsid w:val="00B2464D"/>
    <w:rsid w:val="00B2487E"/>
    <w:rsid w:val="00B24AEC"/>
    <w:rsid w:val="00B24B1E"/>
    <w:rsid w:val="00B24BD2"/>
    <w:rsid w:val="00B24DF1"/>
    <w:rsid w:val="00B24EA7"/>
    <w:rsid w:val="00B24F2F"/>
    <w:rsid w:val="00B24F4B"/>
    <w:rsid w:val="00B24FB3"/>
    <w:rsid w:val="00B24FEB"/>
    <w:rsid w:val="00B25055"/>
    <w:rsid w:val="00B2517E"/>
    <w:rsid w:val="00B25262"/>
    <w:rsid w:val="00B25269"/>
    <w:rsid w:val="00B253B8"/>
    <w:rsid w:val="00B253CD"/>
    <w:rsid w:val="00B25880"/>
    <w:rsid w:val="00B258A8"/>
    <w:rsid w:val="00B25944"/>
    <w:rsid w:val="00B2595A"/>
    <w:rsid w:val="00B25A21"/>
    <w:rsid w:val="00B25BF4"/>
    <w:rsid w:val="00B25C3F"/>
    <w:rsid w:val="00B25F1C"/>
    <w:rsid w:val="00B25F60"/>
    <w:rsid w:val="00B25FE8"/>
    <w:rsid w:val="00B260B3"/>
    <w:rsid w:val="00B2619B"/>
    <w:rsid w:val="00B26236"/>
    <w:rsid w:val="00B26702"/>
    <w:rsid w:val="00B26893"/>
    <w:rsid w:val="00B268F6"/>
    <w:rsid w:val="00B269AB"/>
    <w:rsid w:val="00B26DA6"/>
    <w:rsid w:val="00B26E93"/>
    <w:rsid w:val="00B26F27"/>
    <w:rsid w:val="00B27030"/>
    <w:rsid w:val="00B270E2"/>
    <w:rsid w:val="00B27215"/>
    <w:rsid w:val="00B272DE"/>
    <w:rsid w:val="00B27301"/>
    <w:rsid w:val="00B27313"/>
    <w:rsid w:val="00B27368"/>
    <w:rsid w:val="00B273EF"/>
    <w:rsid w:val="00B2754E"/>
    <w:rsid w:val="00B279D7"/>
    <w:rsid w:val="00B27B19"/>
    <w:rsid w:val="00B27C14"/>
    <w:rsid w:val="00B27E00"/>
    <w:rsid w:val="00B27F72"/>
    <w:rsid w:val="00B301A2"/>
    <w:rsid w:val="00B301E5"/>
    <w:rsid w:val="00B3023F"/>
    <w:rsid w:val="00B304D0"/>
    <w:rsid w:val="00B304D3"/>
    <w:rsid w:val="00B3059B"/>
    <w:rsid w:val="00B305C3"/>
    <w:rsid w:val="00B305C7"/>
    <w:rsid w:val="00B30863"/>
    <w:rsid w:val="00B30953"/>
    <w:rsid w:val="00B3096D"/>
    <w:rsid w:val="00B30C0D"/>
    <w:rsid w:val="00B30DF3"/>
    <w:rsid w:val="00B30F2D"/>
    <w:rsid w:val="00B30F2F"/>
    <w:rsid w:val="00B31035"/>
    <w:rsid w:val="00B31115"/>
    <w:rsid w:val="00B31491"/>
    <w:rsid w:val="00B31595"/>
    <w:rsid w:val="00B315C8"/>
    <w:rsid w:val="00B317E7"/>
    <w:rsid w:val="00B3197E"/>
    <w:rsid w:val="00B31F24"/>
    <w:rsid w:val="00B322F2"/>
    <w:rsid w:val="00B32355"/>
    <w:rsid w:val="00B32469"/>
    <w:rsid w:val="00B324B9"/>
    <w:rsid w:val="00B324C3"/>
    <w:rsid w:val="00B32731"/>
    <w:rsid w:val="00B32778"/>
    <w:rsid w:val="00B327BC"/>
    <w:rsid w:val="00B3280B"/>
    <w:rsid w:val="00B32945"/>
    <w:rsid w:val="00B32A96"/>
    <w:rsid w:val="00B32DDF"/>
    <w:rsid w:val="00B32DE4"/>
    <w:rsid w:val="00B32FC1"/>
    <w:rsid w:val="00B33069"/>
    <w:rsid w:val="00B330A1"/>
    <w:rsid w:val="00B33148"/>
    <w:rsid w:val="00B33302"/>
    <w:rsid w:val="00B33332"/>
    <w:rsid w:val="00B334CB"/>
    <w:rsid w:val="00B3355B"/>
    <w:rsid w:val="00B335F5"/>
    <w:rsid w:val="00B3383E"/>
    <w:rsid w:val="00B3387D"/>
    <w:rsid w:val="00B3388C"/>
    <w:rsid w:val="00B339AA"/>
    <w:rsid w:val="00B339FC"/>
    <w:rsid w:val="00B33A95"/>
    <w:rsid w:val="00B33BEC"/>
    <w:rsid w:val="00B33CF6"/>
    <w:rsid w:val="00B33DC3"/>
    <w:rsid w:val="00B33DD1"/>
    <w:rsid w:val="00B33F31"/>
    <w:rsid w:val="00B3407F"/>
    <w:rsid w:val="00B3430F"/>
    <w:rsid w:val="00B3437E"/>
    <w:rsid w:val="00B343BA"/>
    <w:rsid w:val="00B3444B"/>
    <w:rsid w:val="00B34471"/>
    <w:rsid w:val="00B3463B"/>
    <w:rsid w:val="00B3473C"/>
    <w:rsid w:val="00B347FA"/>
    <w:rsid w:val="00B34A49"/>
    <w:rsid w:val="00B34B70"/>
    <w:rsid w:val="00B34BD0"/>
    <w:rsid w:val="00B34D2F"/>
    <w:rsid w:val="00B34D4B"/>
    <w:rsid w:val="00B34E2A"/>
    <w:rsid w:val="00B35018"/>
    <w:rsid w:val="00B350A8"/>
    <w:rsid w:val="00B35160"/>
    <w:rsid w:val="00B351C4"/>
    <w:rsid w:val="00B352E8"/>
    <w:rsid w:val="00B35377"/>
    <w:rsid w:val="00B3542D"/>
    <w:rsid w:val="00B3579B"/>
    <w:rsid w:val="00B358F0"/>
    <w:rsid w:val="00B35931"/>
    <w:rsid w:val="00B35B18"/>
    <w:rsid w:val="00B35B79"/>
    <w:rsid w:val="00B35CC3"/>
    <w:rsid w:val="00B35EC2"/>
    <w:rsid w:val="00B36061"/>
    <w:rsid w:val="00B36388"/>
    <w:rsid w:val="00B36447"/>
    <w:rsid w:val="00B36475"/>
    <w:rsid w:val="00B3659A"/>
    <w:rsid w:val="00B365D4"/>
    <w:rsid w:val="00B366E4"/>
    <w:rsid w:val="00B367F9"/>
    <w:rsid w:val="00B369AC"/>
    <w:rsid w:val="00B369D9"/>
    <w:rsid w:val="00B36B06"/>
    <w:rsid w:val="00B36C8C"/>
    <w:rsid w:val="00B36E23"/>
    <w:rsid w:val="00B36F0E"/>
    <w:rsid w:val="00B36F21"/>
    <w:rsid w:val="00B3702C"/>
    <w:rsid w:val="00B370CF"/>
    <w:rsid w:val="00B37108"/>
    <w:rsid w:val="00B37152"/>
    <w:rsid w:val="00B37423"/>
    <w:rsid w:val="00B37478"/>
    <w:rsid w:val="00B37597"/>
    <w:rsid w:val="00B377C1"/>
    <w:rsid w:val="00B37A87"/>
    <w:rsid w:val="00B37AA6"/>
    <w:rsid w:val="00B37C98"/>
    <w:rsid w:val="00B37DEC"/>
    <w:rsid w:val="00B37F4D"/>
    <w:rsid w:val="00B37F72"/>
    <w:rsid w:val="00B4004E"/>
    <w:rsid w:val="00B40077"/>
    <w:rsid w:val="00B400E4"/>
    <w:rsid w:val="00B40112"/>
    <w:rsid w:val="00B40127"/>
    <w:rsid w:val="00B403BC"/>
    <w:rsid w:val="00B40410"/>
    <w:rsid w:val="00B40478"/>
    <w:rsid w:val="00B40731"/>
    <w:rsid w:val="00B407A0"/>
    <w:rsid w:val="00B4088B"/>
    <w:rsid w:val="00B4095D"/>
    <w:rsid w:val="00B409D9"/>
    <w:rsid w:val="00B409F4"/>
    <w:rsid w:val="00B40D8E"/>
    <w:rsid w:val="00B40E03"/>
    <w:rsid w:val="00B4103C"/>
    <w:rsid w:val="00B410F0"/>
    <w:rsid w:val="00B413B0"/>
    <w:rsid w:val="00B413B7"/>
    <w:rsid w:val="00B417E1"/>
    <w:rsid w:val="00B4180C"/>
    <w:rsid w:val="00B418BE"/>
    <w:rsid w:val="00B41991"/>
    <w:rsid w:val="00B41A58"/>
    <w:rsid w:val="00B41AD6"/>
    <w:rsid w:val="00B41C8F"/>
    <w:rsid w:val="00B41D03"/>
    <w:rsid w:val="00B41D34"/>
    <w:rsid w:val="00B421A8"/>
    <w:rsid w:val="00B42282"/>
    <w:rsid w:val="00B4252F"/>
    <w:rsid w:val="00B42884"/>
    <w:rsid w:val="00B428E0"/>
    <w:rsid w:val="00B429E7"/>
    <w:rsid w:val="00B42A01"/>
    <w:rsid w:val="00B42AF4"/>
    <w:rsid w:val="00B42C2B"/>
    <w:rsid w:val="00B42C2C"/>
    <w:rsid w:val="00B42DE9"/>
    <w:rsid w:val="00B42FD8"/>
    <w:rsid w:val="00B42FDA"/>
    <w:rsid w:val="00B4315D"/>
    <w:rsid w:val="00B431EC"/>
    <w:rsid w:val="00B432D0"/>
    <w:rsid w:val="00B4338B"/>
    <w:rsid w:val="00B434CB"/>
    <w:rsid w:val="00B43914"/>
    <w:rsid w:val="00B4397D"/>
    <w:rsid w:val="00B439E7"/>
    <w:rsid w:val="00B43C16"/>
    <w:rsid w:val="00B43CF3"/>
    <w:rsid w:val="00B43CFC"/>
    <w:rsid w:val="00B43DAE"/>
    <w:rsid w:val="00B43DD0"/>
    <w:rsid w:val="00B43E1C"/>
    <w:rsid w:val="00B43E46"/>
    <w:rsid w:val="00B43FA7"/>
    <w:rsid w:val="00B44244"/>
    <w:rsid w:val="00B445ED"/>
    <w:rsid w:val="00B44771"/>
    <w:rsid w:val="00B44A20"/>
    <w:rsid w:val="00B44A6D"/>
    <w:rsid w:val="00B44AF9"/>
    <w:rsid w:val="00B44BA7"/>
    <w:rsid w:val="00B44C7C"/>
    <w:rsid w:val="00B44CAD"/>
    <w:rsid w:val="00B44CC8"/>
    <w:rsid w:val="00B44CD3"/>
    <w:rsid w:val="00B44EE4"/>
    <w:rsid w:val="00B44F24"/>
    <w:rsid w:val="00B4508F"/>
    <w:rsid w:val="00B45348"/>
    <w:rsid w:val="00B45450"/>
    <w:rsid w:val="00B4562B"/>
    <w:rsid w:val="00B456BC"/>
    <w:rsid w:val="00B459D6"/>
    <w:rsid w:val="00B45A5A"/>
    <w:rsid w:val="00B45C77"/>
    <w:rsid w:val="00B45CE4"/>
    <w:rsid w:val="00B45CF4"/>
    <w:rsid w:val="00B45F74"/>
    <w:rsid w:val="00B4605E"/>
    <w:rsid w:val="00B4609E"/>
    <w:rsid w:val="00B464BF"/>
    <w:rsid w:val="00B467C2"/>
    <w:rsid w:val="00B46952"/>
    <w:rsid w:val="00B46979"/>
    <w:rsid w:val="00B469F5"/>
    <w:rsid w:val="00B46A03"/>
    <w:rsid w:val="00B46AAB"/>
    <w:rsid w:val="00B46B48"/>
    <w:rsid w:val="00B46C83"/>
    <w:rsid w:val="00B46CDC"/>
    <w:rsid w:val="00B46F8D"/>
    <w:rsid w:val="00B46F96"/>
    <w:rsid w:val="00B4747C"/>
    <w:rsid w:val="00B476A1"/>
    <w:rsid w:val="00B478F2"/>
    <w:rsid w:val="00B47957"/>
    <w:rsid w:val="00B47995"/>
    <w:rsid w:val="00B47A85"/>
    <w:rsid w:val="00B47C17"/>
    <w:rsid w:val="00B47DEB"/>
    <w:rsid w:val="00B47F21"/>
    <w:rsid w:val="00B47F6D"/>
    <w:rsid w:val="00B5032B"/>
    <w:rsid w:val="00B50408"/>
    <w:rsid w:val="00B507C7"/>
    <w:rsid w:val="00B507CC"/>
    <w:rsid w:val="00B50A34"/>
    <w:rsid w:val="00B50BA9"/>
    <w:rsid w:val="00B50C05"/>
    <w:rsid w:val="00B50CDE"/>
    <w:rsid w:val="00B50E33"/>
    <w:rsid w:val="00B510CA"/>
    <w:rsid w:val="00B511B5"/>
    <w:rsid w:val="00B511D9"/>
    <w:rsid w:val="00B5131E"/>
    <w:rsid w:val="00B5138F"/>
    <w:rsid w:val="00B514DA"/>
    <w:rsid w:val="00B5155D"/>
    <w:rsid w:val="00B516E0"/>
    <w:rsid w:val="00B5180E"/>
    <w:rsid w:val="00B519F8"/>
    <w:rsid w:val="00B51AFF"/>
    <w:rsid w:val="00B51B9D"/>
    <w:rsid w:val="00B51C95"/>
    <w:rsid w:val="00B51D2C"/>
    <w:rsid w:val="00B51DBF"/>
    <w:rsid w:val="00B51F65"/>
    <w:rsid w:val="00B5202D"/>
    <w:rsid w:val="00B52067"/>
    <w:rsid w:val="00B522CF"/>
    <w:rsid w:val="00B522D6"/>
    <w:rsid w:val="00B52376"/>
    <w:rsid w:val="00B523F0"/>
    <w:rsid w:val="00B52482"/>
    <w:rsid w:val="00B52686"/>
    <w:rsid w:val="00B527F0"/>
    <w:rsid w:val="00B52845"/>
    <w:rsid w:val="00B528CA"/>
    <w:rsid w:val="00B529A9"/>
    <w:rsid w:val="00B529C5"/>
    <w:rsid w:val="00B52A13"/>
    <w:rsid w:val="00B52AB7"/>
    <w:rsid w:val="00B52B64"/>
    <w:rsid w:val="00B52BBE"/>
    <w:rsid w:val="00B52BF3"/>
    <w:rsid w:val="00B52D53"/>
    <w:rsid w:val="00B52D64"/>
    <w:rsid w:val="00B52E6B"/>
    <w:rsid w:val="00B53390"/>
    <w:rsid w:val="00B53544"/>
    <w:rsid w:val="00B53AA1"/>
    <w:rsid w:val="00B53ACE"/>
    <w:rsid w:val="00B53AFF"/>
    <w:rsid w:val="00B53C26"/>
    <w:rsid w:val="00B53D1B"/>
    <w:rsid w:val="00B53D9E"/>
    <w:rsid w:val="00B53DC5"/>
    <w:rsid w:val="00B5421E"/>
    <w:rsid w:val="00B5424F"/>
    <w:rsid w:val="00B542C9"/>
    <w:rsid w:val="00B54496"/>
    <w:rsid w:val="00B544E7"/>
    <w:rsid w:val="00B54513"/>
    <w:rsid w:val="00B546BA"/>
    <w:rsid w:val="00B546E5"/>
    <w:rsid w:val="00B5479F"/>
    <w:rsid w:val="00B549E5"/>
    <w:rsid w:val="00B54A24"/>
    <w:rsid w:val="00B54A4F"/>
    <w:rsid w:val="00B54B9F"/>
    <w:rsid w:val="00B54BC2"/>
    <w:rsid w:val="00B54CD6"/>
    <w:rsid w:val="00B54F1E"/>
    <w:rsid w:val="00B54F2C"/>
    <w:rsid w:val="00B55071"/>
    <w:rsid w:val="00B5519A"/>
    <w:rsid w:val="00B5521A"/>
    <w:rsid w:val="00B55452"/>
    <w:rsid w:val="00B555D2"/>
    <w:rsid w:val="00B55640"/>
    <w:rsid w:val="00B55893"/>
    <w:rsid w:val="00B55895"/>
    <w:rsid w:val="00B558EF"/>
    <w:rsid w:val="00B55938"/>
    <w:rsid w:val="00B55B57"/>
    <w:rsid w:val="00B55BE5"/>
    <w:rsid w:val="00B55C3C"/>
    <w:rsid w:val="00B55E5C"/>
    <w:rsid w:val="00B55E6C"/>
    <w:rsid w:val="00B56018"/>
    <w:rsid w:val="00B560F8"/>
    <w:rsid w:val="00B56245"/>
    <w:rsid w:val="00B5632A"/>
    <w:rsid w:val="00B5645A"/>
    <w:rsid w:val="00B565DC"/>
    <w:rsid w:val="00B565DE"/>
    <w:rsid w:val="00B567A7"/>
    <w:rsid w:val="00B567F2"/>
    <w:rsid w:val="00B5694E"/>
    <w:rsid w:val="00B569F6"/>
    <w:rsid w:val="00B56C3E"/>
    <w:rsid w:val="00B56C8C"/>
    <w:rsid w:val="00B56D34"/>
    <w:rsid w:val="00B56D5C"/>
    <w:rsid w:val="00B56D8B"/>
    <w:rsid w:val="00B56DDF"/>
    <w:rsid w:val="00B56F74"/>
    <w:rsid w:val="00B5711E"/>
    <w:rsid w:val="00B57314"/>
    <w:rsid w:val="00B57328"/>
    <w:rsid w:val="00B57433"/>
    <w:rsid w:val="00B5750F"/>
    <w:rsid w:val="00B575B7"/>
    <w:rsid w:val="00B576DE"/>
    <w:rsid w:val="00B5772F"/>
    <w:rsid w:val="00B5783C"/>
    <w:rsid w:val="00B57841"/>
    <w:rsid w:val="00B57865"/>
    <w:rsid w:val="00B57884"/>
    <w:rsid w:val="00B578B9"/>
    <w:rsid w:val="00B57F87"/>
    <w:rsid w:val="00B57FD4"/>
    <w:rsid w:val="00B60077"/>
    <w:rsid w:val="00B600BD"/>
    <w:rsid w:val="00B60146"/>
    <w:rsid w:val="00B60262"/>
    <w:rsid w:val="00B603AC"/>
    <w:rsid w:val="00B60523"/>
    <w:rsid w:val="00B6086D"/>
    <w:rsid w:val="00B608AF"/>
    <w:rsid w:val="00B609A1"/>
    <w:rsid w:val="00B60A0D"/>
    <w:rsid w:val="00B60A14"/>
    <w:rsid w:val="00B60D58"/>
    <w:rsid w:val="00B60E10"/>
    <w:rsid w:val="00B60F62"/>
    <w:rsid w:val="00B61086"/>
    <w:rsid w:val="00B611F4"/>
    <w:rsid w:val="00B6163E"/>
    <w:rsid w:val="00B61708"/>
    <w:rsid w:val="00B61948"/>
    <w:rsid w:val="00B61AC8"/>
    <w:rsid w:val="00B61FB2"/>
    <w:rsid w:val="00B6205A"/>
    <w:rsid w:val="00B62153"/>
    <w:rsid w:val="00B62337"/>
    <w:rsid w:val="00B62493"/>
    <w:rsid w:val="00B626EC"/>
    <w:rsid w:val="00B627A9"/>
    <w:rsid w:val="00B62A29"/>
    <w:rsid w:val="00B62B16"/>
    <w:rsid w:val="00B6307D"/>
    <w:rsid w:val="00B6316C"/>
    <w:rsid w:val="00B632E5"/>
    <w:rsid w:val="00B633C6"/>
    <w:rsid w:val="00B63874"/>
    <w:rsid w:val="00B638D1"/>
    <w:rsid w:val="00B6393F"/>
    <w:rsid w:val="00B63B14"/>
    <w:rsid w:val="00B63B48"/>
    <w:rsid w:val="00B63D2C"/>
    <w:rsid w:val="00B64174"/>
    <w:rsid w:val="00B64296"/>
    <w:rsid w:val="00B6438B"/>
    <w:rsid w:val="00B6464F"/>
    <w:rsid w:val="00B64974"/>
    <w:rsid w:val="00B64A2C"/>
    <w:rsid w:val="00B64A42"/>
    <w:rsid w:val="00B64B6D"/>
    <w:rsid w:val="00B64C73"/>
    <w:rsid w:val="00B64CBF"/>
    <w:rsid w:val="00B64DBD"/>
    <w:rsid w:val="00B64DE9"/>
    <w:rsid w:val="00B64E26"/>
    <w:rsid w:val="00B65258"/>
    <w:rsid w:val="00B652C5"/>
    <w:rsid w:val="00B652D3"/>
    <w:rsid w:val="00B65492"/>
    <w:rsid w:val="00B65599"/>
    <w:rsid w:val="00B656B7"/>
    <w:rsid w:val="00B65941"/>
    <w:rsid w:val="00B659CE"/>
    <w:rsid w:val="00B65A56"/>
    <w:rsid w:val="00B65ABC"/>
    <w:rsid w:val="00B65ADD"/>
    <w:rsid w:val="00B65B13"/>
    <w:rsid w:val="00B65BAF"/>
    <w:rsid w:val="00B65DEE"/>
    <w:rsid w:val="00B65F3E"/>
    <w:rsid w:val="00B65FBD"/>
    <w:rsid w:val="00B6605D"/>
    <w:rsid w:val="00B66080"/>
    <w:rsid w:val="00B66117"/>
    <w:rsid w:val="00B663D2"/>
    <w:rsid w:val="00B6676A"/>
    <w:rsid w:val="00B66A12"/>
    <w:rsid w:val="00B66A38"/>
    <w:rsid w:val="00B66C5D"/>
    <w:rsid w:val="00B66C89"/>
    <w:rsid w:val="00B66E46"/>
    <w:rsid w:val="00B670DD"/>
    <w:rsid w:val="00B671FD"/>
    <w:rsid w:val="00B672C1"/>
    <w:rsid w:val="00B67561"/>
    <w:rsid w:val="00B67586"/>
    <w:rsid w:val="00B67CAE"/>
    <w:rsid w:val="00B67EC3"/>
    <w:rsid w:val="00B67EEF"/>
    <w:rsid w:val="00B67FD2"/>
    <w:rsid w:val="00B67FE9"/>
    <w:rsid w:val="00B7009B"/>
    <w:rsid w:val="00B700E7"/>
    <w:rsid w:val="00B702DB"/>
    <w:rsid w:val="00B70343"/>
    <w:rsid w:val="00B7038A"/>
    <w:rsid w:val="00B7042D"/>
    <w:rsid w:val="00B704EF"/>
    <w:rsid w:val="00B7058F"/>
    <w:rsid w:val="00B70888"/>
    <w:rsid w:val="00B709B6"/>
    <w:rsid w:val="00B70A33"/>
    <w:rsid w:val="00B70C85"/>
    <w:rsid w:val="00B70CBA"/>
    <w:rsid w:val="00B70DFC"/>
    <w:rsid w:val="00B7114B"/>
    <w:rsid w:val="00B71202"/>
    <w:rsid w:val="00B7150B"/>
    <w:rsid w:val="00B716B0"/>
    <w:rsid w:val="00B716C8"/>
    <w:rsid w:val="00B716E4"/>
    <w:rsid w:val="00B716F7"/>
    <w:rsid w:val="00B7195F"/>
    <w:rsid w:val="00B71971"/>
    <w:rsid w:val="00B719B2"/>
    <w:rsid w:val="00B71A33"/>
    <w:rsid w:val="00B71B2E"/>
    <w:rsid w:val="00B71B96"/>
    <w:rsid w:val="00B71B9E"/>
    <w:rsid w:val="00B71DDF"/>
    <w:rsid w:val="00B720EA"/>
    <w:rsid w:val="00B72193"/>
    <w:rsid w:val="00B72266"/>
    <w:rsid w:val="00B72415"/>
    <w:rsid w:val="00B724BF"/>
    <w:rsid w:val="00B724D9"/>
    <w:rsid w:val="00B72574"/>
    <w:rsid w:val="00B726F4"/>
    <w:rsid w:val="00B727A9"/>
    <w:rsid w:val="00B727BD"/>
    <w:rsid w:val="00B728BF"/>
    <w:rsid w:val="00B7294A"/>
    <w:rsid w:val="00B72976"/>
    <w:rsid w:val="00B729CF"/>
    <w:rsid w:val="00B72A27"/>
    <w:rsid w:val="00B72C0D"/>
    <w:rsid w:val="00B72C42"/>
    <w:rsid w:val="00B72C81"/>
    <w:rsid w:val="00B72CA5"/>
    <w:rsid w:val="00B72D49"/>
    <w:rsid w:val="00B72E7E"/>
    <w:rsid w:val="00B72F1D"/>
    <w:rsid w:val="00B72F23"/>
    <w:rsid w:val="00B72F3E"/>
    <w:rsid w:val="00B72F51"/>
    <w:rsid w:val="00B72FE3"/>
    <w:rsid w:val="00B73047"/>
    <w:rsid w:val="00B730F5"/>
    <w:rsid w:val="00B73267"/>
    <w:rsid w:val="00B7354C"/>
    <w:rsid w:val="00B73761"/>
    <w:rsid w:val="00B737CB"/>
    <w:rsid w:val="00B738A1"/>
    <w:rsid w:val="00B73A1E"/>
    <w:rsid w:val="00B73BC0"/>
    <w:rsid w:val="00B73C70"/>
    <w:rsid w:val="00B73CDC"/>
    <w:rsid w:val="00B73DFF"/>
    <w:rsid w:val="00B73E59"/>
    <w:rsid w:val="00B73E93"/>
    <w:rsid w:val="00B73F14"/>
    <w:rsid w:val="00B74194"/>
    <w:rsid w:val="00B741C2"/>
    <w:rsid w:val="00B745C8"/>
    <w:rsid w:val="00B74A1E"/>
    <w:rsid w:val="00B74B24"/>
    <w:rsid w:val="00B74BE3"/>
    <w:rsid w:val="00B74C7A"/>
    <w:rsid w:val="00B74CA5"/>
    <w:rsid w:val="00B74D71"/>
    <w:rsid w:val="00B74DC0"/>
    <w:rsid w:val="00B74EA4"/>
    <w:rsid w:val="00B74EE7"/>
    <w:rsid w:val="00B7500B"/>
    <w:rsid w:val="00B750A9"/>
    <w:rsid w:val="00B75119"/>
    <w:rsid w:val="00B7516D"/>
    <w:rsid w:val="00B752B4"/>
    <w:rsid w:val="00B7532F"/>
    <w:rsid w:val="00B75417"/>
    <w:rsid w:val="00B755A1"/>
    <w:rsid w:val="00B75708"/>
    <w:rsid w:val="00B7580B"/>
    <w:rsid w:val="00B75937"/>
    <w:rsid w:val="00B75947"/>
    <w:rsid w:val="00B75A76"/>
    <w:rsid w:val="00B75BB6"/>
    <w:rsid w:val="00B75BBA"/>
    <w:rsid w:val="00B75BC5"/>
    <w:rsid w:val="00B75DE4"/>
    <w:rsid w:val="00B75E3E"/>
    <w:rsid w:val="00B762F8"/>
    <w:rsid w:val="00B763E2"/>
    <w:rsid w:val="00B76457"/>
    <w:rsid w:val="00B765FC"/>
    <w:rsid w:val="00B767B7"/>
    <w:rsid w:val="00B767BE"/>
    <w:rsid w:val="00B76B67"/>
    <w:rsid w:val="00B76B96"/>
    <w:rsid w:val="00B76D1C"/>
    <w:rsid w:val="00B76DBC"/>
    <w:rsid w:val="00B76DDA"/>
    <w:rsid w:val="00B76EB7"/>
    <w:rsid w:val="00B76EF9"/>
    <w:rsid w:val="00B7704D"/>
    <w:rsid w:val="00B771AE"/>
    <w:rsid w:val="00B7732F"/>
    <w:rsid w:val="00B7750E"/>
    <w:rsid w:val="00B77673"/>
    <w:rsid w:val="00B77808"/>
    <w:rsid w:val="00B77BC8"/>
    <w:rsid w:val="00B77DAF"/>
    <w:rsid w:val="00B77EBF"/>
    <w:rsid w:val="00B77FE0"/>
    <w:rsid w:val="00B8022E"/>
    <w:rsid w:val="00B8047B"/>
    <w:rsid w:val="00B804C9"/>
    <w:rsid w:val="00B8063E"/>
    <w:rsid w:val="00B80868"/>
    <w:rsid w:val="00B808AB"/>
    <w:rsid w:val="00B80961"/>
    <w:rsid w:val="00B80F51"/>
    <w:rsid w:val="00B81031"/>
    <w:rsid w:val="00B81099"/>
    <w:rsid w:val="00B8133C"/>
    <w:rsid w:val="00B813E8"/>
    <w:rsid w:val="00B81598"/>
    <w:rsid w:val="00B81603"/>
    <w:rsid w:val="00B81851"/>
    <w:rsid w:val="00B818AB"/>
    <w:rsid w:val="00B81B23"/>
    <w:rsid w:val="00B81B71"/>
    <w:rsid w:val="00B81C82"/>
    <w:rsid w:val="00B81F72"/>
    <w:rsid w:val="00B81FC6"/>
    <w:rsid w:val="00B8217C"/>
    <w:rsid w:val="00B8259C"/>
    <w:rsid w:val="00B826E7"/>
    <w:rsid w:val="00B8273A"/>
    <w:rsid w:val="00B8278D"/>
    <w:rsid w:val="00B82835"/>
    <w:rsid w:val="00B82AC3"/>
    <w:rsid w:val="00B82AF4"/>
    <w:rsid w:val="00B82C1E"/>
    <w:rsid w:val="00B82DAA"/>
    <w:rsid w:val="00B82DED"/>
    <w:rsid w:val="00B82EC8"/>
    <w:rsid w:val="00B82F31"/>
    <w:rsid w:val="00B83120"/>
    <w:rsid w:val="00B8322D"/>
    <w:rsid w:val="00B83350"/>
    <w:rsid w:val="00B83378"/>
    <w:rsid w:val="00B833DF"/>
    <w:rsid w:val="00B834CA"/>
    <w:rsid w:val="00B834FC"/>
    <w:rsid w:val="00B835CF"/>
    <w:rsid w:val="00B836B4"/>
    <w:rsid w:val="00B83843"/>
    <w:rsid w:val="00B83858"/>
    <w:rsid w:val="00B83A6E"/>
    <w:rsid w:val="00B83A80"/>
    <w:rsid w:val="00B83AC9"/>
    <w:rsid w:val="00B83B27"/>
    <w:rsid w:val="00B83D78"/>
    <w:rsid w:val="00B83D85"/>
    <w:rsid w:val="00B83F4E"/>
    <w:rsid w:val="00B83F8C"/>
    <w:rsid w:val="00B83FA1"/>
    <w:rsid w:val="00B840A6"/>
    <w:rsid w:val="00B84200"/>
    <w:rsid w:val="00B8429F"/>
    <w:rsid w:val="00B8436C"/>
    <w:rsid w:val="00B84431"/>
    <w:rsid w:val="00B8447C"/>
    <w:rsid w:val="00B84488"/>
    <w:rsid w:val="00B8465D"/>
    <w:rsid w:val="00B84694"/>
    <w:rsid w:val="00B847D9"/>
    <w:rsid w:val="00B84DF0"/>
    <w:rsid w:val="00B84F1D"/>
    <w:rsid w:val="00B84F2E"/>
    <w:rsid w:val="00B84FF0"/>
    <w:rsid w:val="00B85170"/>
    <w:rsid w:val="00B85288"/>
    <w:rsid w:val="00B852A9"/>
    <w:rsid w:val="00B8530C"/>
    <w:rsid w:val="00B8556A"/>
    <w:rsid w:val="00B8563B"/>
    <w:rsid w:val="00B85680"/>
    <w:rsid w:val="00B856CD"/>
    <w:rsid w:val="00B8570C"/>
    <w:rsid w:val="00B85738"/>
    <w:rsid w:val="00B85771"/>
    <w:rsid w:val="00B857CD"/>
    <w:rsid w:val="00B858BF"/>
    <w:rsid w:val="00B858CF"/>
    <w:rsid w:val="00B858D4"/>
    <w:rsid w:val="00B85A07"/>
    <w:rsid w:val="00B85B09"/>
    <w:rsid w:val="00B85C82"/>
    <w:rsid w:val="00B85F9F"/>
    <w:rsid w:val="00B85FEA"/>
    <w:rsid w:val="00B86063"/>
    <w:rsid w:val="00B86195"/>
    <w:rsid w:val="00B86229"/>
    <w:rsid w:val="00B86432"/>
    <w:rsid w:val="00B86539"/>
    <w:rsid w:val="00B86668"/>
    <w:rsid w:val="00B8666C"/>
    <w:rsid w:val="00B86705"/>
    <w:rsid w:val="00B867C8"/>
    <w:rsid w:val="00B867DA"/>
    <w:rsid w:val="00B86911"/>
    <w:rsid w:val="00B86A32"/>
    <w:rsid w:val="00B86A58"/>
    <w:rsid w:val="00B86A90"/>
    <w:rsid w:val="00B86D26"/>
    <w:rsid w:val="00B86D7F"/>
    <w:rsid w:val="00B86DA9"/>
    <w:rsid w:val="00B86F6C"/>
    <w:rsid w:val="00B86F80"/>
    <w:rsid w:val="00B87206"/>
    <w:rsid w:val="00B87300"/>
    <w:rsid w:val="00B87423"/>
    <w:rsid w:val="00B875ED"/>
    <w:rsid w:val="00B876CF"/>
    <w:rsid w:val="00B8775F"/>
    <w:rsid w:val="00B878B0"/>
    <w:rsid w:val="00B87B1F"/>
    <w:rsid w:val="00B87F67"/>
    <w:rsid w:val="00B902D1"/>
    <w:rsid w:val="00B90786"/>
    <w:rsid w:val="00B90941"/>
    <w:rsid w:val="00B90B33"/>
    <w:rsid w:val="00B90B88"/>
    <w:rsid w:val="00B90C03"/>
    <w:rsid w:val="00B90C87"/>
    <w:rsid w:val="00B90E12"/>
    <w:rsid w:val="00B91000"/>
    <w:rsid w:val="00B910EB"/>
    <w:rsid w:val="00B9142A"/>
    <w:rsid w:val="00B914C6"/>
    <w:rsid w:val="00B9152C"/>
    <w:rsid w:val="00B916A6"/>
    <w:rsid w:val="00B917A3"/>
    <w:rsid w:val="00B91803"/>
    <w:rsid w:val="00B91A1F"/>
    <w:rsid w:val="00B91C06"/>
    <w:rsid w:val="00B91E07"/>
    <w:rsid w:val="00B91EF9"/>
    <w:rsid w:val="00B91F9D"/>
    <w:rsid w:val="00B92145"/>
    <w:rsid w:val="00B9267A"/>
    <w:rsid w:val="00B92761"/>
    <w:rsid w:val="00B92783"/>
    <w:rsid w:val="00B927C3"/>
    <w:rsid w:val="00B927E7"/>
    <w:rsid w:val="00B92874"/>
    <w:rsid w:val="00B929C7"/>
    <w:rsid w:val="00B92BBC"/>
    <w:rsid w:val="00B92BC1"/>
    <w:rsid w:val="00B92CBA"/>
    <w:rsid w:val="00B92D43"/>
    <w:rsid w:val="00B92DBF"/>
    <w:rsid w:val="00B9302F"/>
    <w:rsid w:val="00B9315C"/>
    <w:rsid w:val="00B9328C"/>
    <w:rsid w:val="00B932C0"/>
    <w:rsid w:val="00B9332E"/>
    <w:rsid w:val="00B93590"/>
    <w:rsid w:val="00B939BA"/>
    <w:rsid w:val="00B93B67"/>
    <w:rsid w:val="00B93D0C"/>
    <w:rsid w:val="00B93FDD"/>
    <w:rsid w:val="00B94081"/>
    <w:rsid w:val="00B9414A"/>
    <w:rsid w:val="00B94374"/>
    <w:rsid w:val="00B94627"/>
    <w:rsid w:val="00B94766"/>
    <w:rsid w:val="00B948F3"/>
    <w:rsid w:val="00B94A4A"/>
    <w:rsid w:val="00B94AFC"/>
    <w:rsid w:val="00B94BF7"/>
    <w:rsid w:val="00B94F82"/>
    <w:rsid w:val="00B95075"/>
    <w:rsid w:val="00B951ED"/>
    <w:rsid w:val="00B9532B"/>
    <w:rsid w:val="00B953CD"/>
    <w:rsid w:val="00B953EA"/>
    <w:rsid w:val="00B95557"/>
    <w:rsid w:val="00B955CA"/>
    <w:rsid w:val="00B957EC"/>
    <w:rsid w:val="00B95C8F"/>
    <w:rsid w:val="00B95D1D"/>
    <w:rsid w:val="00B95D64"/>
    <w:rsid w:val="00B95EA4"/>
    <w:rsid w:val="00B95F24"/>
    <w:rsid w:val="00B95F4C"/>
    <w:rsid w:val="00B96123"/>
    <w:rsid w:val="00B9619F"/>
    <w:rsid w:val="00B961A1"/>
    <w:rsid w:val="00B96308"/>
    <w:rsid w:val="00B96375"/>
    <w:rsid w:val="00B96465"/>
    <w:rsid w:val="00B96502"/>
    <w:rsid w:val="00B966DD"/>
    <w:rsid w:val="00B967ED"/>
    <w:rsid w:val="00B96998"/>
    <w:rsid w:val="00B96A89"/>
    <w:rsid w:val="00B96BCF"/>
    <w:rsid w:val="00B96DE6"/>
    <w:rsid w:val="00B96DEF"/>
    <w:rsid w:val="00B96FFD"/>
    <w:rsid w:val="00B970D4"/>
    <w:rsid w:val="00B9711D"/>
    <w:rsid w:val="00B97253"/>
    <w:rsid w:val="00B9771E"/>
    <w:rsid w:val="00B97930"/>
    <w:rsid w:val="00B97964"/>
    <w:rsid w:val="00B97A74"/>
    <w:rsid w:val="00B97B9B"/>
    <w:rsid w:val="00B97D07"/>
    <w:rsid w:val="00B97E2C"/>
    <w:rsid w:val="00B97F23"/>
    <w:rsid w:val="00B97F38"/>
    <w:rsid w:val="00BA00BA"/>
    <w:rsid w:val="00BA0167"/>
    <w:rsid w:val="00BA01C0"/>
    <w:rsid w:val="00BA0359"/>
    <w:rsid w:val="00BA0381"/>
    <w:rsid w:val="00BA0585"/>
    <w:rsid w:val="00BA05E5"/>
    <w:rsid w:val="00BA0618"/>
    <w:rsid w:val="00BA0953"/>
    <w:rsid w:val="00BA09E9"/>
    <w:rsid w:val="00BA0A34"/>
    <w:rsid w:val="00BA0A91"/>
    <w:rsid w:val="00BA0B38"/>
    <w:rsid w:val="00BA0BAB"/>
    <w:rsid w:val="00BA0CE2"/>
    <w:rsid w:val="00BA0CEB"/>
    <w:rsid w:val="00BA0D09"/>
    <w:rsid w:val="00BA0D78"/>
    <w:rsid w:val="00BA1042"/>
    <w:rsid w:val="00BA11CA"/>
    <w:rsid w:val="00BA129D"/>
    <w:rsid w:val="00BA134C"/>
    <w:rsid w:val="00BA134D"/>
    <w:rsid w:val="00BA13A0"/>
    <w:rsid w:val="00BA13C5"/>
    <w:rsid w:val="00BA1438"/>
    <w:rsid w:val="00BA14AF"/>
    <w:rsid w:val="00BA164A"/>
    <w:rsid w:val="00BA171C"/>
    <w:rsid w:val="00BA174D"/>
    <w:rsid w:val="00BA17E8"/>
    <w:rsid w:val="00BA194E"/>
    <w:rsid w:val="00BA1988"/>
    <w:rsid w:val="00BA1AB5"/>
    <w:rsid w:val="00BA1AED"/>
    <w:rsid w:val="00BA1B7C"/>
    <w:rsid w:val="00BA1BE1"/>
    <w:rsid w:val="00BA1BE9"/>
    <w:rsid w:val="00BA1CEC"/>
    <w:rsid w:val="00BA1D59"/>
    <w:rsid w:val="00BA1DB1"/>
    <w:rsid w:val="00BA1F18"/>
    <w:rsid w:val="00BA1F57"/>
    <w:rsid w:val="00BA1F74"/>
    <w:rsid w:val="00BA2090"/>
    <w:rsid w:val="00BA22D3"/>
    <w:rsid w:val="00BA26D2"/>
    <w:rsid w:val="00BA272F"/>
    <w:rsid w:val="00BA27DD"/>
    <w:rsid w:val="00BA2965"/>
    <w:rsid w:val="00BA2D02"/>
    <w:rsid w:val="00BA2DA9"/>
    <w:rsid w:val="00BA2E2C"/>
    <w:rsid w:val="00BA2E39"/>
    <w:rsid w:val="00BA2E44"/>
    <w:rsid w:val="00BA2F8F"/>
    <w:rsid w:val="00BA3080"/>
    <w:rsid w:val="00BA3102"/>
    <w:rsid w:val="00BA3649"/>
    <w:rsid w:val="00BA3809"/>
    <w:rsid w:val="00BA3874"/>
    <w:rsid w:val="00BA3BB9"/>
    <w:rsid w:val="00BA3C2A"/>
    <w:rsid w:val="00BA3D43"/>
    <w:rsid w:val="00BA4141"/>
    <w:rsid w:val="00BA41DE"/>
    <w:rsid w:val="00BA41F2"/>
    <w:rsid w:val="00BA4252"/>
    <w:rsid w:val="00BA4391"/>
    <w:rsid w:val="00BA4596"/>
    <w:rsid w:val="00BA466A"/>
    <w:rsid w:val="00BA46B2"/>
    <w:rsid w:val="00BA46E8"/>
    <w:rsid w:val="00BA47FD"/>
    <w:rsid w:val="00BA48C8"/>
    <w:rsid w:val="00BA49AB"/>
    <w:rsid w:val="00BA4C29"/>
    <w:rsid w:val="00BA4C96"/>
    <w:rsid w:val="00BA4E9A"/>
    <w:rsid w:val="00BA4ED7"/>
    <w:rsid w:val="00BA4F61"/>
    <w:rsid w:val="00BA4FEE"/>
    <w:rsid w:val="00BA5106"/>
    <w:rsid w:val="00BA51B8"/>
    <w:rsid w:val="00BA5595"/>
    <w:rsid w:val="00BA55CD"/>
    <w:rsid w:val="00BA55F7"/>
    <w:rsid w:val="00BA5627"/>
    <w:rsid w:val="00BA591A"/>
    <w:rsid w:val="00BA5C49"/>
    <w:rsid w:val="00BA5CE1"/>
    <w:rsid w:val="00BA5D14"/>
    <w:rsid w:val="00BA5D16"/>
    <w:rsid w:val="00BA5D43"/>
    <w:rsid w:val="00BA5DB0"/>
    <w:rsid w:val="00BA5ECE"/>
    <w:rsid w:val="00BA6170"/>
    <w:rsid w:val="00BA618F"/>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E08"/>
    <w:rsid w:val="00BA6E3A"/>
    <w:rsid w:val="00BA6E63"/>
    <w:rsid w:val="00BA7001"/>
    <w:rsid w:val="00BA7267"/>
    <w:rsid w:val="00BA739D"/>
    <w:rsid w:val="00BA73C6"/>
    <w:rsid w:val="00BA7842"/>
    <w:rsid w:val="00BA7844"/>
    <w:rsid w:val="00BA7950"/>
    <w:rsid w:val="00BA7CF7"/>
    <w:rsid w:val="00BA7E62"/>
    <w:rsid w:val="00BB0137"/>
    <w:rsid w:val="00BB0293"/>
    <w:rsid w:val="00BB0424"/>
    <w:rsid w:val="00BB051D"/>
    <w:rsid w:val="00BB05AD"/>
    <w:rsid w:val="00BB0884"/>
    <w:rsid w:val="00BB093C"/>
    <w:rsid w:val="00BB0984"/>
    <w:rsid w:val="00BB0B29"/>
    <w:rsid w:val="00BB0B89"/>
    <w:rsid w:val="00BB0BD9"/>
    <w:rsid w:val="00BB0C50"/>
    <w:rsid w:val="00BB0C51"/>
    <w:rsid w:val="00BB0D20"/>
    <w:rsid w:val="00BB0DDD"/>
    <w:rsid w:val="00BB1021"/>
    <w:rsid w:val="00BB135C"/>
    <w:rsid w:val="00BB145D"/>
    <w:rsid w:val="00BB147F"/>
    <w:rsid w:val="00BB15ED"/>
    <w:rsid w:val="00BB168F"/>
    <w:rsid w:val="00BB16DE"/>
    <w:rsid w:val="00BB187A"/>
    <w:rsid w:val="00BB1C96"/>
    <w:rsid w:val="00BB1CB4"/>
    <w:rsid w:val="00BB1DC4"/>
    <w:rsid w:val="00BB1F14"/>
    <w:rsid w:val="00BB1FF8"/>
    <w:rsid w:val="00BB2003"/>
    <w:rsid w:val="00BB210E"/>
    <w:rsid w:val="00BB21FB"/>
    <w:rsid w:val="00BB2411"/>
    <w:rsid w:val="00BB2601"/>
    <w:rsid w:val="00BB2632"/>
    <w:rsid w:val="00BB26A3"/>
    <w:rsid w:val="00BB27A5"/>
    <w:rsid w:val="00BB2812"/>
    <w:rsid w:val="00BB2A38"/>
    <w:rsid w:val="00BB2A97"/>
    <w:rsid w:val="00BB2D98"/>
    <w:rsid w:val="00BB2E4D"/>
    <w:rsid w:val="00BB3020"/>
    <w:rsid w:val="00BB302F"/>
    <w:rsid w:val="00BB3088"/>
    <w:rsid w:val="00BB3093"/>
    <w:rsid w:val="00BB30AF"/>
    <w:rsid w:val="00BB30B9"/>
    <w:rsid w:val="00BB30C0"/>
    <w:rsid w:val="00BB31AC"/>
    <w:rsid w:val="00BB32A4"/>
    <w:rsid w:val="00BB3305"/>
    <w:rsid w:val="00BB3418"/>
    <w:rsid w:val="00BB371B"/>
    <w:rsid w:val="00BB37B5"/>
    <w:rsid w:val="00BB3A3B"/>
    <w:rsid w:val="00BB3A66"/>
    <w:rsid w:val="00BB3B7D"/>
    <w:rsid w:val="00BB3BEC"/>
    <w:rsid w:val="00BB3CA1"/>
    <w:rsid w:val="00BB3E7A"/>
    <w:rsid w:val="00BB3F6C"/>
    <w:rsid w:val="00BB3F74"/>
    <w:rsid w:val="00BB407F"/>
    <w:rsid w:val="00BB42E8"/>
    <w:rsid w:val="00BB44B1"/>
    <w:rsid w:val="00BB454B"/>
    <w:rsid w:val="00BB46D2"/>
    <w:rsid w:val="00BB4857"/>
    <w:rsid w:val="00BB48DD"/>
    <w:rsid w:val="00BB48ED"/>
    <w:rsid w:val="00BB49DC"/>
    <w:rsid w:val="00BB4A4B"/>
    <w:rsid w:val="00BB4ABA"/>
    <w:rsid w:val="00BB4F1C"/>
    <w:rsid w:val="00BB5154"/>
    <w:rsid w:val="00BB51BE"/>
    <w:rsid w:val="00BB524A"/>
    <w:rsid w:val="00BB5256"/>
    <w:rsid w:val="00BB5331"/>
    <w:rsid w:val="00BB557F"/>
    <w:rsid w:val="00BB5593"/>
    <w:rsid w:val="00BB559D"/>
    <w:rsid w:val="00BB59F8"/>
    <w:rsid w:val="00BB5A0E"/>
    <w:rsid w:val="00BB5C4F"/>
    <w:rsid w:val="00BB5CAC"/>
    <w:rsid w:val="00BB5CAE"/>
    <w:rsid w:val="00BB5CB5"/>
    <w:rsid w:val="00BB5D20"/>
    <w:rsid w:val="00BB5E2E"/>
    <w:rsid w:val="00BB5F35"/>
    <w:rsid w:val="00BB5FD1"/>
    <w:rsid w:val="00BB614C"/>
    <w:rsid w:val="00BB639D"/>
    <w:rsid w:val="00BB63A0"/>
    <w:rsid w:val="00BB642E"/>
    <w:rsid w:val="00BB66EB"/>
    <w:rsid w:val="00BB695D"/>
    <w:rsid w:val="00BB6ABE"/>
    <w:rsid w:val="00BB6C54"/>
    <w:rsid w:val="00BB6C57"/>
    <w:rsid w:val="00BB6DD0"/>
    <w:rsid w:val="00BB6FDD"/>
    <w:rsid w:val="00BB7791"/>
    <w:rsid w:val="00BB7824"/>
    <w:rsid w:val="00BB7917"/>
    <w:rsid w:val="00BB7A47"/>
    <w:rsid w:val="00BB7B2D"/>
    <w:rsid w:val="00BB7B4E"/>
    <w:rsid w:val="00BB7C03"/>
    <w:rsid w:val="00BB7C98"/>
    <w:rsid w:val="00BB7D21"/>
    <w:rsid w:val="00BB7D74"/>
    <w:rsid w:val="00BB7DC7"/>
    <w:rsid w:val="00BB7E96"/>
    <w:rsid w:val="00BC0275"/>
    <w:rsid w:val="00BC0549"/>
    <w:rsid w:val="00BC06C4"/>
    <w:rsid w:val="00BC06F6"/>
    <w:rsid w:val="00BC0773"/>
    <w:rsid w:val="00BC09C6"/>
    <w:rsid w:val="00BC0A31"/>
    <w:rsid w:val="00BC0C6A"/>
    <w:rsid w:val="00BC0CAC"/>
    <w:rsid w:val="00BC0DF2"/>
    <w:rsid w:val="00BC0F87"/>
    <w:rsid w:val="00BC10BE"/>
    <w:rsid w:val="00BC11AD"/>
    <w:rsid w:val="00BC12B1"/>
    <w:rsid w:val="00BC15FC"/>
    <w:rsid w:val="00BC18DA"/>
    <w:rsid w:val="00BC1906"/>
    <w:rsid w:val="00BC1986"/>
    <w:rsid w:val="00BC1B82"/>
    <w:rsid w:val="00BC1BEE"/>
    <w:rsid w:val="00BC1C2E"/>
    <w:rsid w:val="00BC1D42"/>
    <w:rsid w:val="00BC1E2A"/>
    <w:rsid w:val="00BC2244"/>
    <w:rsid w:val="00BC225E"/>
    <w:rsid w:val="00BC22C1"/>
    <w:rsid w:val="00BC2528"/>
    <w:rsid w:val="00BC27AC"/>
    <w:rsid w:val="00BC2801"/>
    <w:rsid w:val="00BC28C3"/>
    <w:rsid w:val="00BC28E0"/>
    <w:rsid w:val="00BC2C5A"/>
    <w:rsid w:val="00BC2D4E"/>
    <w:rsid w:val="00BC2DA9"/>
    <w:rsid w:val="00BC2E2C"/>
    <w:rsid w:val="00BC2FC3"/>
    <w:rsid w:val="00BC32DF"/>
    <w:rsid w:val="00BC33D1"/>
    <w:rsid w:val="00BC33EE"/>
    <w:rsid w:val="00BC352B"/>
    <w:rsid w:val="00BC353B"/>
    <w:rsid w:val="00BC3843"/>
    <w:rsid w:val="00BC39F8"/>
    <w:rsid w:val="00BC3A0D"/>
    <w:rsid w:val="00BC3A3A"/>
    <w:rsid w:val="00BC3E16"/>
    <w:rsid w:val="00BC3E59"/>
    <w:rsid w:val="00BC3EC7"/>
    <w:rsid w:val="00BC3EF3"/>
    <w:rsid w:val="00BC4088"/>
    <w:rsid w:val="00BC440F"/>
    <w:rsid w:val="00BC46C0"/>
    <w:rsid w:val="00BC46C1"/>
    <w:rsid w:val="00BC4956"/>
    <w:rsid w:val="00BC4A10"/>
    <w:rsid w:val="00BC4AD8"/>
    <w:rsid w:val="00BC4C2A"/>
    <w:rsid w:val="00BC4C46"/>
    <w:rsid w:val="00BC4D7D"/>
    <w:rsid w:val="00BC4DEC"/>
    <w:rsid w:val="00BC4E1F"/>
    <w:rsid w:val="00BC4EC4"/>
    <w:rsid w:val="00BC4ECE"/>
    <w:rsid w:val="00BC4ED2"/>
    <w:rsid w:val="00BC5151"/>
    <w:rsid w:val="00BC5247"/>
    <w:rsid w:val="00BC527C"/>
    <w:rsid w:val="00BC52B6"/>
    <w:rsid w:val="00BC5482"/>
    <w:rsid w:val="00BC54FD"/>
    <w:rsid w:val="00BC569A"/>
    <w:rsid w:val="00BC5841"/>
    <w:rsid w:val="00BC585A"/>
    <w:rsid w:val="00BC5861"/>
    <w:rsid w:val="00BC59BD"/>
    <w:rsid w:val="00BC5CD4"/>
    <w:rsid w:val="00BC5EA0"/>
    <w:rsid w:val="00BC6053"/>
    <w:rsid w:val="00BC6605"/>
    <w:rsid w:val="00BC6686"/>
    <w:rsid w:val="00BC6AAC"/>
    <w:rsid w:val="00BC6D1A"/>
    <w:rsid w:val="00BC6EBB"/>
    <w:rsid w:val="00BC71BA"/>
    <w:rsid w:val="00BC73A4"/>
    <w:rsid w:val="00BC73B8"/>
    <w:rsid w:val="00BC74EA"/>
    <w:rsid w:val="00BC75EC"/>
    <w:rsid w:val="00BC7718"/>
    <w:rsid w:val="00BC7BE1"/>
    <w:rsid w:val="00BC7D4B"/>
    <w:rsid w:val="00BC7D58"/>
    <w:rsid w:val="00BC7E8B"/>
    <w:rsid w:val="00BC7FDB"/>
    <w:rsid w:val="00BD00DD"/>
    <w:rsid w:val="00BD0192"/>
    <w:rsid w:val="00BD01A6"/>
    <w:rsid w:val="00BD022E"/>
    <w:rsid w:val="00BD028B"/>
    <w:rsid w:val="00BD04BD"/>
    <w:rsid w:val="00BD04C2"/>
    <w:rsid w:val="00BD06E9"/>
    <w:rsid w:val="00BD07C2"/>
    <w:rsid w:val="00BD08E4"/>
    <w:rsid w:val="00BD0917"/>
    <w:rsid w:val="00BD09A8"/>
    <w:rsid w:val="00BD0BF6"/>
    <w:rsid w:val="00BD0BFE"/>
    <w:rsid w:val="00BD0EDD"/>
    <w:rsid w:val="00BD10EB"/>
    <w:rsid w:val="00BD118E"/>
    <w:rsid w:val="00BD11D1"/>
    <w:rsid w:val="00BD12FA"/>
    <w:rsid w:val="00BD133E"/>
    <w:rsid w:val="00BD13AB"/>
    <w:rsid w:val="00BD146A"/>
    <w:rsid w:val="00BD146B"/>
    <w:rsid w:val="00BD17C1"/>
    <w:rsid w:val="00BD1851"/>
    <w:rsid w:val="00BD1887"/>
    <w:rsid w:val="00BD18DC"/>
    <w:rsid w:val="00BD1914"/>
    <w:rsid w:val="00BD19C8"/>
    <w:rsid w:val="00BD1D40"/>
    <w:rsid w:val="00BD1E27"/>
    <w:rsid w:val="00BD1F84"/>
    <w:rsid w:val="00BD20DD"/>
    <w:rsid w:val="00BD2379"/>
    <w:rsid w:val="00BD2619"/>
    <w:rsid w:val="00BD265A"/>
    <w:rsid w:val="00BD28E8"/>
    <w:rsid w:val="00BD29D7"/>
    <w:rsid w:val="00BD2A8F"/>
    <w:rsid w:val="00BD2DBB"/>
    <w:rsid w:val="00BD2FB9"/>
    <w:rsid w:val="00BD3088"/>
    <w:rsid w:val="00BD30F7"/>
    <w:rsid w:val="00BD33C2"/>
    <w:rsid w:val="00BD3531"/>
    <w:rsid w:val="00BD356C"/>
    <w:rsid w:val="00BD3DF8"/>
    <w:rsid w:val="00BD448D"/>
    <w:rsid w:val="00BD4530"/>
    <w:rsid w:val="00BD4566"/>
    <w:rsid w:val="00BD45C8"/>
    <w:rsid w:val="00BD4635"/>
    <w:rsid w:val="00BD4685"/>
    <w:rsid w:val="00BD47FF"/>
    <w:rsid w:val="00BD48C2"/>
    <w:rsid w:val="00BD4967"/>
    <w:rsid w:val="00BD4DD0"/>
    <w:rsid w:val="00BD4DEA"/>
    <w:rsid w:val="00BD4E35"/>
    <w:rsid w:val="00BD4E71"/>
    <w:rsid w:val="00BD4F3B"/>
    <w:rsid w:val="00BD4F52"/>
    <w:rsid w:val="00BD4F56"/>
    <w:rsid w:val="00BD5015"/>
    <w:rsid w:val="00BD508E"/>
    <w:rsid w:val="00BD51A7"/>
    <w:rsid w:val="00BD5509"/>
    <w:rsid w:val="00BD55C8"/>
    <w:rsid w:val="00BD55F7"/>
    <w:rsid w:val="00BD562A"/>
    <w:rsid w:val="00BD5734"/>
    <w:rsid w:val="00BD57BF"/>
    <w:rsid w:val="00BD57EC"/>
    <w:rsid w:val="00BD58C9"/>
    <w:rsid w:val="00BD59F4"/>
    <w:rsid w:val="00BD5B28"/>
    <w:rsid w:val="00BD5B29"/>
    <w:rsid w:val="00BD5B8C"/>
    <w:rsid w:val="00BD5F8A"/>
    <w:rsid w:val="00BD5FA4"/>
    <w:rsid w:val="00BD60BE"/>
    <w:rsid w:val="00BD60DA"/>
    <w:rsid w:val="00BD60E5"/>
    <w:rsid w:val="00BD611E"/>
    <w:rsid w:val="00BD61AB"/>
    <w:rsid w:val="00BD62CC"/>
    <w:rsid w:val="00BD63A2"/>
    <w:rsid w:val="00BD6483"/>
    <w:rsid w:val="00BD6649"/>
    <w:rsid w:val="00BD6773"/>
    <w:rsid w:val="00BD6CED"/>
    <w:rsid w:val="00BD6DFE"/>
    <w:rsid w:val="00BD704E"/>
    <w:rsid w:val="00BD709E"/>
    <w:rsid w:val="00BD7122"/>
    <w:rsid w:val="00BD71F5"/>
    <w:rsid w:val="00BD7227"/>
    <w:rsid w:val="00BD7241"/>
    <w:rsid w:val="00BD72D8"/>
    <w:rsid w:val="00BD737E"/>
    <w:rsid w:val="00BD73BC"/>
    <w:rsid w:val="00BD76D2"/>
    <w:rsid w:val="00BD7724"/>
    <w:rsid w:val="00BD7785"/>
    <w:rsid w:val="00BD77ED"/>
    <w:rsid w:val="00BD783F"/>
    <w:rsid w:val="00BD7842"/>
    <w:rsid w:val="00BD795A"/>
    <w:rsid w:val="00BD795E"/>
    <w:rsid w:val="00BD7970"/>
    <w:rsid w:val="00BD79BF"/>
    <w:rsid w:val="00BD7B49"/>
    <w:rsid w:val="00BD7C76"/>
    <w:rsid w:val="00BD7D8F"/>
    <w:rsid w:val="00BD7ED6"/>
    <w:rsid w:val="00BD7F45"/>
    <w:rsid w:val="00BE0002"/>
    <w:rsid w:val="00BE0155"/>
    <w:rsid w:val="00BE0172"/>
    <w:rsid w:val="00BE01DD"/>
    <w:rsid w:val="00BE0392"/>
    <w:rsid w:val="00BE05FD"/>
    <w:rsid w:val="00BE0834"/>
    <w:rsid w:val="00BE0851"/>
    <w:rsid w:val="00BE08E0"/>
    <w:rsid w:val="00BE08E1"/>
    <w:rsid w:val="00BE0904"/>
    <w:rsid w:val="00BE0C09"/>
    <w:rsid w:val="00BE0C49"/>
    <w:rsid w:val="00BE0D26"/>
    <w:rsid w:val="00BE0D69"/>
    <w:rsid w:val="00BE0D80"/>
    <w:rsid w:val="00BE0E07"/>
    <w:rsid w:val="00BE0F5A"/>
    <w:rsid w:val="00BE0F7D"/>
    <w:rsid w:val="00BE0F98"/>
    <w:rsid w:val="00BE0FEF"/>
    <w:rsid w:val="00BE106D"/>
    <w:rsid w:val="00BE10D9"/>
    <w:rsid w:val="00BE1114"/>
    <w:rsid w:val="00BE1183"/>
    <w:rsid w:val="00BE11BA"/>
    <w:rsid w:val="00BE1215"/>
    <w:rsid w:val="00BE126F"/>
    <w:rsid w:val="00BE1297"/>
    <w:rsid w:val="00BE13A4"/>
    <w:rsid w:val="00BE13BD"/>
    <w:rsid w:val="00BE147A"/>
    <w:rsid w:val="00BE1511"/>
    <w:rsid w:val="00BE155B"/>
    <w:rsid w:val="00BE15BE"/>
    <w:rsid w:val="00BE1705"/>
    <w:rsid w:val="00BE173A"/>
    <w:rsid w:val="00BE1779"/>
    <w:rsid w:val="00BE197A"/>
    <w:rsid w:val="00BE1ADB"/>
    <w:rsid w:val="00BE1C1B"/>
    <w:rsid w:val="00BE1EF0"/>
    <w:rsid w:val="00BE1F3F"/>
    <w:rsid w:val="00BE2168"/>
    <w:rsid w:val="00BE23CB"/>
    <w:rsid w:val="00BE26FF"/>
    <w:rsid w:val="00BE27B0"/>
    <w:rsid w:val="00BE2BD4"/>
    <w:rsid w:val="00BE2CA4"/>
    <w:rsid w:val="00BE2E14"/>
    <w:rsid w:val="00BE2FA5"/>
    <w:rsid w:val="00BE30DA"/>
    <w:rsid w:val="00BE30E7"/>
    <w:rsid w:val="00BE3173"/>
    <w:rsid w:val="00BE3304"/>
    <w:rsid w:val="00BE3416"/>
    <w:rsid w:val="00BE393F"/>
    <w:rsid w:val="00BE3963"/>
    <w:rsid w:val="00BE3A23"/>
    <w:rsid w:val="00BE3ABD"/>
    <w:rsid w:val="00BE3BAE"/>
    <w:rsid w:val="00BE3CC4"/>
    <w:rsid w:val="00BE3CE3"/>
    <w:rsid w:val="00BE3CE9"/>
    <w:rsid w:val="00BE3E24"/>
    <w:rsid w:val="00BE3EC5"/>
    <w:rsid w:val="00BE4350"/>
    <w:rsid w:val="00BE4762"/>
    <w:rsid w:val="00BE4830"/>
    <w:rsid w:val="00BE4999"/>
    <w:rsid w:val="00BE49C9"/>
    <w:rsid w:val="00BE4A67"/>
    <w:rsid w:val="00BE4D81"/>
    <w:rsid w:val="00BE4F88"/>
    <w:rsid w:val="00BE5018"/>
    <w:rsid w:val="00BE504E"/>
    <w:rsid w:val="00BE511A"/>
    <w:rsid w:val="00BE5145"/>
    <w:rsid w:val="00BE5562"/>
    <w:rsid w:val="00BE55A5"/>
    <w:rsid w:val="00BE596C"/>
    <w:rsid w:val="00BE59AC"/>
    <w:rsid w:val="00BE5BA4"/>
    <w:rsid w:val="00BE5BBB"/>
    <w:rsid w:val="00BE5C4E"/>
    <w:rsid w:val="00BE5CE8"/>
    <w:rsid w:val="00BE5E7B"/>
    <w:rsid w:val="00BE5E9D"/>
    <w:rsid w:val="00BE630C"/>
    <w:rsid w:val="00BE637C"/>
    <w:rsid w:val="00BE63C4"/>
    <w:rsid w:val="00BE63FA"/>
    <w:rsid w:val="00BE6419"/>
    <w:rsid w:val="00BE6721"/>
    <w:rsid w:val="00BE674A"/>
    <w:rsid w:val="00BE6991"/>
    <w:rsid w:val="00BE69A4"/>
    <w:rsid w:val="00BE69D6"/>
    <w:rsid w:val="00BE69D8"/>
    <w:rsid w:val="00BE6A3A"/>
    <w:rsid w:val="00BE6ABF"/>
    <w:rsid w:val="00BE6DBA"/>
    <w:rsid w:val="00BE6DD0"/>
    <w:rsid w:val="00BE6E7D"/>
    <w:rsid w:val="00BE6E93"/>
    <w:rsid w:val="00BE6EAE"/>
    <w:rsid w:val="00BE7055"/>
    <w:rsid w:val="00BE7364"/>
    <w:rsid w:val="00BE7483"/>
    <w:rsid w:val="00BE75A5"/>
    <w:rsid w:val="00BE778B"/>
    <w:rsid w:val="00BE78D3"/>
    <w:rsid w:val="00BE7B09"/>
    <w:rsid w:val="00BE7BF7"/>
    <w:rsid w:val="00BE7ED2"/>
    <w:rsid w:val="00BF0178"/>
    <w:rsid w:val="00BF0648"/>
    <w:rsid w:val="00BF0665"/>
    <w:rsid w:val="00BF073D"/>
    <w:rsid w:val="00BF0749"/>
    <w:rsid w:val="00BF0785"/>
    <w:rsid w:val="00BF0855"/>
    <w:rsid w:val="00BF0C33"/>
    <w:rsid w:val="00BF0D36"/>
    <w:rsid w:val="00BF0DAB"/>
    <w:rsid w:val="00BF0E03"/>
    <w:rsid w:val="00BF0E5B"/>
    <w:rsid w:val="00BF0EE5"/>
    <w:rsid w:val="00BF11C1"/>
    <w:rsid w:val="00BF1291"/>
    <w:rsid w:val="00BF137A"/>
    <w:rsid w:val="00BF143A"/>
    <w:rsid w:val="00BF16A7"/>
    <w:rsid w:val="00BF1744"/>
    <w:rsid w:val="00BF178B"/>
    <w:rsid w:val="00BF19B3"/>
    <w:rsid w:val="00BF19B8"/>
    <w:rsid w:val="00BF1AD0"/>
    <w:rsid w:val="00BF1AF0"/>
    <w:rsid w:val="00BF1B45"/>
    <w:rsid w:val="00BF1C08"/>
    <w:rsid w:val="00BF1E33"/>
    <w:rsid w:val="00BF1F40"/>
    <w:rsid w:val="00BF1F76"/>
    <w:rsid w:val="00BF2049"/>
    <w:rsid w:val="00BF2137"/>
    <w:rsid w:val="00BF215F"/>
    <w:rsid w:val="00BF22A8"/>
    <w:rsid w:val="00BF231F"/>
    <w:rsid w:val="00BF2475"/>
    <w:rsid w:val="00BF2483"/>
    <w:rsid w:val="00BF2554"/>
    <w:rsid w:val="00BF25E3"/>
    <w:rsid w:val="00BF2827"/>
    <w:rsid w:val="00BF2C8B"/>
    <w:rsid w:val="00BF2E98"/>
    <w:rsid w:val="00BF2F2B"/>
    <w:rsid w:val="00BF2F72"/>
    <w:rsid w:val="00BF2FC4"/>
    <w:rsid w:val="00BF2FE9"/>
    <w:rsid w:val="00BF3052"/>
    <w:rsid w:val="00BF311A"/>
    <w:rsid w:val="00BF35B7"/>
    <w:rsid w:val="00BF3700"/>
    <w:rsid w:val="00BF387B"/>
    <w:rsid w:val="00BF38E8"/>
    <w:rsid w:val="00BF3936"/>
    <w:rsid w:val="00BF396A"/>
    <w:rsid w:val="00BF3B0D"/>
    <w:rsid w:val="00BF3C82"/>
    <w:rsid w:val="00BF3E0D"/>
    <w:rsid w:val="00BF3E25"/>
    <w:rsid w:val="00BF3E5A"/>
    <w:rsid w:val="00BF3F9C"/>
    <w:rsid w:val="00BF3FE4"/>
    <w:rsid w:val="00BF4024"/>
    <w:rsid w:val="00BF43AE"/>
    <w:rsid w:val="00BF44FD"/>
    <w:rsid w:val="00BF4521"/>
    <w:rsid w:val="00BF4C5E"/>
    <w:rsid w:val="00BF4E68"/>
    <w:rsid w:val="00BF504F"/>
    <w:rsid w:val="00BF5061"/>
    <w:rsid w:val="00BF50A3"/>
    <w:rsid w:val="00BF516A"/>
    <w:rsid w:val="00BF518A"/>
    <w:rsid w:val="00BF52B1"/>
    <w:rsid w:val="00BF53D5"/>
    <w:rsid w:val="00BF560D"/>
    <w:rsid w:val="00BF5904"/>
    <w:rsid w:val="00BF5AE9"/>
    <w:rsid w:val="00BF5AF9"/>
    <w:rsid w:val="00BF5CCC"/>
    <w:rsid w:val="00BF62C2"/>
    <w:rsid w:val="00BF62EB"/>
    <w:rsid w:val="00BF658B"/>
    <w:rsid w:val="00BF698A"/>
    <w:rsid w:val="00BF6CCD"/>
    <w:rsid w:val="00BF6D52"/>
    <w:rsid w:val="00BF6E68"/>
    <w:rsid w:val="00BF6EA7"/>
    <w:rsid w:val="00BF723B"/>
    <w:rsid w:val="00BF7449"/>
    <w:rsid w:val="00BF757D"/>
    <w:rsid w:val="00BF75CB"/>
    <w:rsid w:val="00BF7696"/>
    <w:rsid w:val="00BF783B"/>
    <w:rsid w:val="00BF79BE"/>
    <w:rsid w:val="00BF7A6C"/>
    <w:rsid w:val="00BF7CEC"/>
    <w:rsid w:val="00BF7D5E"/>
    <w:rsid w:val="00BF7D81"/>
    <w:rsid w:val="00C000FD"/>
    <w:rsid w:val="00C0027C"/>
    <w:rsid w:val="00C00318"/>
    <w:rsid w:val="00C003A3"/>
    <w:rsid w:val="00C004B6"/>
    <w:rsid w:val="00C00763"/>
    <w:rsid w:val="00C0084E"/>
    <w:rsid w:val="00C00D6C"/>
    <w:rsid w:val="00C00D76"/>
    <w:rsid w:val="00C00ECF"/>
    <w:rsid w:val="00C01065"/>
    <w:rsid w:val="00C013C0"/>
    <w:rsid w:val="00C014BE"/>
    <w:rsid w:val="00C0155F"/>
    <w:rsid w:val="00C01563"/>
    <w:rsid w:val="00C0161A"/>
    <w:rsid w:val="00C0162F"/>
    <w:rsid w:val="00C016CF"/>
    <w:rsid w:val="00C01CA2"/>
    <w:rsid w:val="00C01D41"/>
    <w:rsid w:val="00C01DD8"/>
    <w:rsid w:val="00C01E91"/>
    <w:rsid w:val="00C01F71"/>
    <w:rsid w:val="00C01F8B"/>
    <w:rsid w:val="00C020F7"/>
    <w:rsid w:val="00C0216E"/>
    <w:rsid w:val="00C021EA"/>
    <w:rsid w:val="00C02338"/>
    <w:rsid w:val="00C02455"/>
    <w:rsid w:val="00C024C4"/>
    <w:rsid w:val="00C02500"/>
    <w:rsid w:val="00C0274F"/>
    <w:rsid w:val="00C0283A"/>
    <w:rsid w:val="00C02858"/>
    <w:rsid w:val="00C0285B"/>
    <w:rsid w:val="00C0294E"/>
    <w:rsid w:val="00C02FA9"/>
    <w:rsid w:val="00C030A4"/>
    <w:rsid w:val="00C031FD"/>
    <w:rsid w:val="00C033BF"/>
    <w:rsid w:val="00C0359C"/>
    <w:rsid w:val="00C036AC"/>
    <w:rsid w:val="00C03765"/>
    <w:rsid w:val="00C0386D"/>
    <w:rsid w:val="00C03880"/>
    <w:rsid w:val="00C038F8"/>
    <w:rsid w:val="00C0391B"/>
    <w:rsid w:val="00C03998"/>
    <w:rsid w:val="00C03A49"/>
    <w:rsid w:val="00C03C6E"/>
    <w:rsid w:val="00C03E5E"/>
    <w:rsid w:val="00C04281"/>
    <w:rsid w:val="00C043CE"/>
    <w:rsid w:val="00C04467"/>
    <w:rsid w:val="00C0448F"/>
    <w:rsid w:val="00C04714"/>
    <w:rsid w:val="00C04844"/>
    <w:rsid w:val="00C048B3"/>
    <w:rsid w:val="00C04922"/>
    <w:rsid w:val="00C04A5F"/>
    <w:rsid w:val="00C04C05"/>
    <w:rsid w:val="00C04C39"/>
    <w:rsid w:val="00C05A74"/>
    <w:rsid w:val="00C05BE3"/>
    <w:rsid w:val="00C05C0E"/>
    <w:rsid w:val="00C05C73"/>
    <w:rsid w:val="00C05D24"/>
    <w:rsid w:val="00C05DAD"/>
    <w:rsid w:val="00C05FE9"/>
    <w:rsid w:val="00C061FD"/>
    <w:rsid w:val="00C0626D"/>
    <w:rsid w:val="00C063C8"/>
    <w:rsid w:val="00C0650C"/>
    <w:rsid w:val="00C0651D"/>
    <w:rsid w:val="00C065AB"/>
    <w:rsid w:val="00C065D0"/>
    <w:rsid w:val="00C0667F"/>
    <w:rsid w:val="00C0692E"/>
    <w:rsid w:val="00C06977"/>
    <w:rsid w:val="00C0697C"/>
    <w:rsid w:val="00C06A82"/>
    <w:rsid w:val="00C06BEA"/>
    <w:rsid w:val="00C06C60"/>
    <w:rsid w:val="00C06D68"/>
    <w:rsid w:val="00C06EA0"/>
    <w:rsid w:val="00C07004"/>
    <w:rsid w:val="00C070F4"/>
    <w:rsid w:val="00C071A4"/>
    <w:rsid w:val="00C0744F"/>
    <w:rsid w:val="00C074D7"/>
    <w:rsid w:val="00C0758B"/>
    <w:rsid w:val="00C07601"/>
    <w:rsid w:val="00C0777E"/>
    <w:rsid w:val="00C07A00"/>
    <w:rsid w:val="00C07A79"/>
    <w:rsid w:val="00C07A9C"/>
    <w:rsid w:val="00C07BE7"/>
    <w:rsid w:val="00C07D70"/>
    <w:rsid w:val="00C07E07"/>
    <w:rsid w:val="00C07E50"/>
    <w:rsid w:val="00C07EA6"/>
    <w:rsid w:val="00C07F9C"/>
    <w:rsid w:val="00C10030"/>
    <w:rsid w:val="00C101F3"/>
    <w:rsid w:val="00C10384"/>
    <w:rsid w:val="00C103A1"/>
    <w:rsid w:val="00C10706"/>
    <w:rsid w:val="00C1074C"/>
    <w:rsid w:val="00C10823"/>
    <w:rsid w:val="00C10CBF"/>
    <w:rsid w:val="00C10D40"/>
    <w:rsid w:val="00C10DD3"/>
    <w:rsid w:val="00C10F7E"/>
    <w:rsid w:val="00C10FFF"/>
    <w:rsid w:val="00C1107D"/>
    <w:rsid w:val="00C110BB"/>
    <w:rsid w:val="00C112C3"/>
    <w:rsid w:val="00C11481"/>
    <w:rsid w:val="00C1148B"/>
    <w:rsid w:val="00C114DB"/>
    <w:rsid w:val="00C115AF"/>
    <w:rsid w:val="00C1165E"/>
    <w:rsid w:val="00C11726"/>
    <w:rsid w:val="00C11789"/>
    <w:rsid w:val="00C1187A"/>
    <w:rsid w:val="00C11A2D"/>
    <w:rsid w:val="00C11B44"/>
    <w:rsid w:val="00C11B75"/>
    <w:rsid w:val="00C11B85"/>
    <w:rsid w:val="00C11B95"/>
    <w:rsid w:val="00C11D6E"/>
    <w:rsid w:val="00C11DA7"/>
    <w:rsid w:val="00C11E92"/>
    <w:rsid w:val="00C1204E"/>
    <w:rsid w:val="00C120F0"/>
    <w:rsid w:val="00C12170"/>
    <w:rsid w:val="00C1220F"/>
    <w:rsid w:val="00C122E4"/>
    <w:rsid w:val="00C12390"/>
    <w:rsid w:val="00C123A6"/>
    <w:rsid w:val="00C124B2"/>
    <w:rsid w:val="00C12567"/>
    <w:rsid w:val="00C1284C"/>
    <w:rsid w:val="00C12874"/>
    <w:rsid w:val="00C128B5"/>
    <w:rsid w:val="00C12968"/>
    <w:rsid w:val="00C12979"/>
    <w:rsid w:val="00C12B37"/>
    <w:rsid w:val="00C12B97"/>
    <w:rsid w:val="00C12D23"/>
    <w:rsid w:val="00C12D43"/>
    <w:rsid w:val="00C12EB9"/>
    <w:rsid w:val="00C12EC7"/>
    <w:rsid w:val="00C12F01"/>
    <w:rsid w:val="00C12F50"/>
    <w:rsid w:val="00C13128"/>
    <w:rsid w:val="00C13490"/>
    <w:rsid w:val="00C13635"/>
    <w:rsid w:val="00C13757"/>
    <w:rsid w:val="00C137CB"/>
    <w:rsid w:val="00C13A9A"/>
    <w:rsid w:val="00C13BC5"/>
    <w:rsid w:val="00C13C03"/>
    <w:rsid w:val="00C13C94"/>
    <w:rsid w:val="00C13CCC"/>
    <w:rsid w:val="00C13EC1"/>
    <w:rsid w:val="00C142B2"/>
    <w:rsid w:val="00C142F9"/>
    <w:rsid w:val="00C143E3"/>
    <w:rsid w:val="00C1440D"/>
    <w:rsid w:val="00C14442"/>
    <w:rsid w:val="00C1446E"/>
    <w:rsid w:val="00C14517"/>
    <w:rsid w:val="00C145F8"/>
    <w:rsid w:val="00C1466C"/>
    <w:rsid w:val="00C1478D"/>
    <w:rsid w:val="00C1489A"/>
    <w:rsid w:val="00C14963"/>
    <w:rsid w:val="00C1498D"/>
    <w:rsid w:val="00C149EE"/>
    <w:rsid w:val="00C149F8"/>
    <w:rsid w:val="00C14B60"/>
    <w:rsid w:val="00C14D96"/>
    <w:rsid w:val="00C14F8D"/>
    <w:rsid w:val="00C15028"/>
    <w:rsid w:val="00C15071"/>
    <w:rsid w:val="00C150AF"/>
    <w:rsid w:val="00C15177"/>
    <w:rsid w:val="00C1517F"/>
    <w:rsid w:val="00C152F5"/>
    <w:rsid w:val="00C15309"/>
    <w:rsid w:val="00C15471"/>
    <w:rsid w:val="00C1548C"/>
    <w:rsid w:val="00C154AE"/>
    <w:rsid w:val="00C15569"/>
    <w:rsid w:val="00C15664"/>
    <w:rsid w:val="00C156A5"/>
    <w:rsid w:val="00C15744"/>
    <w:rsid w:val="00C158BB"/>
    <w:rsid w:val="00C15A7F"/>
    <w:rsid w:val="00C15A90"/>
    <w:rsid w:val="00C15E27"/>
    <w:rsid w:val="00C15F6C"/>
    <w:rsid w:val="00C15FDA"/>
    <w:rsid w:val="00C15FE2"/>
    <w:rsid w:val="00C16202"/>
    <w:rsid w:val="00C16268"/>
    <w:rsid w:val="00C1639A"/>
    <w:rsid w:val="00C163B3"/>
    <w:rsid w:val="00C16707"/>
    <w:rsid w:val="00C16863"/>
    <w:rsid w:val="00C16A84"/>
    <w:rsid w:val="00C16B89"/>
    <w:rsid w:val="00C16C22"/>
    <w:rsid w:val="00C16DE2"/>
    <w:rsid w:val="00C16EDC"/>
    <w:rsid w:val="00C17089"/>
    <w:rsid w:val="00C1746C"/>
    <w:rsid w:val="00C1752A"/>
    <w:rsid w:val="00C17714"/>
    <w:rsid w:val="00C1776A"/>
    <w:rsid w:val="00C1777E"/>
    <w:rsid w:val="00C177DF"/>
    <w:rsid w:val="00C1785D"/>
    <w:rsid w:val="00C179CC"/>
    <w:rsid w:val="00C17AEB"/>
    <w:rsid w:val="00C17D9A"/>
    <w:rsid w:val="00C20076"/>
    <w:rsid w:val="00C2013D"/>
    <w:rsid w:val="00C2021F"/>
    <w:rsid w:val="00C20290"/>
    <w:rsid w:val="00C203CC"/>
    <w:rsid w:val="00C20497"/>
    <w:rsid w:val="00C205FE"/>
    <w:rsid w:val="00C20734"/>
    <w:rsid w:val="00C20A00"/>
    <w:rsid w:val="00C20CC0"/>
    <w:rsid w:val="00C20CF9"/>
    <w:rsid w:val="00C20DBF"/>
    <w:rsid w:val="00C20DDB"/>
    <w:rsid w:val="00C210C5"/>
    <w:rsid w:val="00C211BC"/>
    <w:rsid w:val="00C212ED"/>
    <w:rsid w:val="00C213C7"/>
    <w:rsid w:val="00C21542"/>
    <w:rsid w:val="00C215B6"/>
    <w:rsid w:val="00C21607"/>
    <w:rsid w:val="00C21633"/>
    <w:rsid w:val="00C2189B"/>
    <w:rsid w:val="00C21A0B"/>
    <w:rsid w:val="00C21D3C"/>
    <w:rsid w:val="00C21E41"/>
    <w:rsid w:val="00C222CF"/>
    <w:rsid w:val="00C224E2"/>
    <w:rsid w:val="00C224F1"/>
    <w:rsid w:val="00C22549"/>
    <w:rsid w:val="00C226B8"/>
    <w:rsid w:val="00C2272A"/>
    <w:rsid w:val="00C22AB0"/>
    <w:rsid w:val="00C22B1C"/>
    <w:rsid w:val="00C22B87"/>
    <w:rsid w:val="00C22C4C"/>
    <w:rsid w:val="00C22E8A"/>
    <w:rsid w:val="00C2308E"/>
    <w:rsid w:val="00C230CE"/>
    <w:rsid w:val="00C230F4"/>
    <w:rsid w:val="00C231CC"/>
    <w:rsid w:val="00C23282"/>
    <w:rsid w:val="00C232C2"/>
    <w:rsid w:val="00C23342"/>
    <w:rsid w:val="00C23382"/>
    <w:rsid w:val="00C23547"/>
    <w:rsid w:val="00C236CE"/>
    <w:rsid w:val="00C23984"/>
    <w:rsid w:val="00C2398A"/>
    <w:rsid w:val="00C239CD"/>
    <w:rsid w:val="00C23ACD"/>
    <w:rsid w:val="00C23B49"/>
    <w:rsid w:val="00C23BB2"/>
    <w:rsid w:val="00C23CCD"/>
    <w:rsid w:val="00C23D24"/>
    <w:rsid w:val="00C23DDF"/>
    <w:rsid w:val="00C23EBF"/>
    <w:rsid w:val="00C23FEB"/>
    <w:rsid w:val="00C24103"/>
    <w:rsid w:val="00C2419B"/>
    <w:rsid w:val="00C24509"/>
    <w:rsid w:val="00C245A0"/>
    <w:rsid w:val="00C245A2"/>
    <w:rsid w:val="00C2468C"/>
    <w:rsid w:val="00C246CF"/>
    <w:rsid w:val="00C248D7"/>
    <w:rsid w:val="00C24A1E"/>
    <w:rsid w:val="00C24B91"/>
    <w:rsid w:val="00C24C50"/>
    <w:rsid w:val="00C24D8E"/>
    <w:rsid w:val="00C24EBA"/>
    <w:rsid w:val="00C25015"/>
    <w:rsid w:val="00C25033"/>
    <w:rsid w:val="00C2534E"/>
    <w:rsid w:val="00C25367"/>
    <w:rsid w:val="00C25634"/>
    <w:rsid w:val="00C25670"/>
    <w:rsid w:val="00C257A1"/>
    <w:rsid w:val="00C25840"/>
    <w:rsid w:val="00C25B25"/>
    <w:rsid w:val="00C25F45"/>
    <w:rsid w:val="00C260BC"/>
    <w:rsid w:val="00C261C8"/>
    <w:rsid w:val="00C261F5"/>
    <w:rsid w:val="00C262AD"/>
    <w:rsid w:val="00C2650F"/>
    <w:rsid w:val="00C265AB"/>
    <w:rsid w:val="00C26687"/>
    <w:rsid w:val="00C26699"/>
    <w:rsid w:val="00C266B0"/>
    <w:rsid w:val="00C266F2"/>
    <w:rsid w:val="00C26AB8"/>
    <w:rsid w:val="00C26B2B"/>
    <w:rsid w:val="00C26BDF"/>
    <w:rsid w:val="00C26C5C"/>
    <w:rsid w:val="00C26E41"/>
    <w:rsid w:val="00C26E51"/>
    <w:rsid w:val="00C2702F"/>
    <w:rsid w:val="00C2727F"/>
    <w:rsid w:val="00C27296"/>
    <w:rsid w:val="00C27322"/>
    <w:rsid w:val="00C2737C"/>
    <w:rsid w:val="00C273D7"/>
    <w:rsid w:val="00C27490"/>
    <w:rsid w:val="00C2756E"/>
    <w:rsid w:val="00C275EB"/>
    <w:rsid w:val="00C278E2"/>
    <w:rsid w:val="00C27A41"/>
    <w:rsid w:val="00C27CDC"/>
    <w:rsid w:val="00C27F82"/>
    <w:rsid w:val="00C3011B"/>
    <w:rsid w:val="00C3021F"/>
    <w:rsid w:val="00C30344"/>
    <w:rsid w:val="00C304D7"/>
    <w:rsid w:val="00C304DF"/>
    <w:rsid w:val="00C304ED"/>
    <w:rsid w:val="00C30512"/>
    <w:rsid w:val="00C30635"/>
    <w:rsid w:val="00C30660"/>
    <w:rsid w:val="00C30684"/>
    <w:rsid w:val="00C30716"/>
    <w:rsid w:val="00C308CB"/>
    <w:rsid w:val="00C30912"/>
    <w:rsid w:val="00C30963"/>
    <w:rsid w:val="00C30B21"/>
    <w:rsid w:val="00C30CBD"/>
    <w:rsid w:val="00C30CC7"/>
    <w:rsid w:val="00C30E4C"/>
    <w:rsid w:val="00C310D8"/>
    <w:rsid w:val="00C31152"/>
    <w:rsid w:val="00C311C3"/>
    <w:rsid w:val="00C31267"/>
    <w:rsid w:val="00C31665"/>
    <w:rsid w:val="00C31690"/>
    <w:rsid w:val="00C3187B"/>
    <w:rsid w:val="00C31981"/>
    <w:rsid w:val="00C31A9F"/>
    <w:rsid w:val="00C31AEF"/>
    <w:rsid w:val="00C31B18"/>
    <w:rsid w:val="00C31ECA"/>
    <w:rsid w:val="00C31F21"/>
    <w:rsid w:val="00C3204F"/>
    <w:rsid w:val="00C32200"/>
    <w:rsid w:val="00C3226C"/>
    <w:rsid w:val="00C322DF"/>
    <w:rsid w:val="00C326CD"/>
    <w:rsid w:val="00C32810"/>
    <w:rsid w:val="00C328C7"/>
    <w:rsid w:val="00C32981"/>
    <w:rsid w:val="00C329A3"/>
    <w:rsid w:val="00C329C4"/>
    <w:rsid w:val="00C329F3"/>
    <w:rsid w:val="00C32A32"/>
    <w:rsid w:val="00C32BCA"/>
    <w:rsid w:val="00C32BDB"/>
    <w:rsid w:val="00C32C7A"/>
    <w:rsid w:val="00C32CD5"/>
    <w:rsid w:val="00C32DCB"/>
    <w:rsid w:val="00C32E05"/>
    <w:rsid w:val="00C32E3C"/>
    <w:rsid w:val="00C330A9"/>
    <w:rsid w:val="00C3317F"/>
    <w:rsid w:val="00C335FE"/>
    <w:rsid w:val="00C3360F"/>
    <w:rsid w:val="00C33850"/>
    <w:rsid w:val="00C3387B"/>
    <w:rsid w:val="00C338C2"/>
    <w:rsid w:val="00C339B8"/>
    <w:rsid w:val="00C33C96"/>
    <w:rsid w:val="00C33E1E"/>
    <w:rsid w:val="00C33EE6"/>
    <w:rsid w:val="00C33F89"/>
    <w:rsid w:val="00C34037"/>
    <w:rsid w:val="00C341D3"/>
    <w:rsid w:val="00C3424B"/>
    <w:rsid w:val="00C3446D"/>
    <w:rsid w:val="00C344AE"/>
    <w:rsid w:val="00C34946"/>
    <w:rsid w:val="00C34C31"/>
    <w:rsid w:val="00C34D6E"/>
    <w:rsid w:val="00C35127"/>
    <w:rsid w:val="00C3518C"/>
    <w:rsid w:val="00C354D7"/>
    <w:rsid w:val="00C35536"/>
    <w:rsid w:val="00C35557"/>
    <w:rsid w:val="00C3560F"/>
    <w:rsid w:val="00C356BC"/>
    <w:rsid w:val="00C3586C"/>
    <w:rsid w:val="00C359A4"/>
    <w:rsid w:val="00C35D7E"/>
    <w:rsid w:val="00C3601F"/>
    <w:rsid w:val="00C36087"/>
    <w:rsid w:val="00C36155"/>
    <w:rsid w:val="00C362F6"/>
    <w:rsid w:val="00C363A7"/>
    <w:rsid w:val="00C3678E"/>
    <w:rsid w:val="00C36887"/>
    <w:rsid w:val="00C369AE"/>
    <w:rsid w:val="00C36BB3"/>
    <w:rsid w:val="00C37027"/>
    <w:rsid w:val="00C3704D"/>
    <w:rsid w:val="00C37055"/>
    <w:rsid w:val="00C37094"/>
    <w:rsid w:val="00C37129"/>
    <w:rsid w:val="00C375BB"/>
    <w:rsid w:val="00C3765C"/>
    <w:rsid w:val="00C37728"/>
    <w:rsid w:val="00C3780C"/>
    <w:rsid w:val="00C37820"/>
    <w:rsid w:val="00C37B86"/>
    <w:rsid w:val="00C37FA3"/>
    <w:rsid w:val="00C400DA"/>
    <w:rsid w:val="00C40186"/>
    <w:rsid w:val="00C40213"/>
    <w:rsid w:val="00C4048D"/>
    <w:rsid w:val="00C405D8"/>
    <w:rsid w:val="00C40717"/>
    <w:rsid w:val="00C40795"/>
    <w:rsid w:val="00C407E2"/>
    <w:rsid w:val="00C40B0C"/>
    <w:rsid w:val="00C40B91"/>
    <w:rsid w:val="00C40CDC"/>
    <w:rsid w:val="00C40E5C"/>
    <w:rsid w:val="00C40F01"/>
    <w:rsid w:val="00C40F24"/>
    <w:rsid w:val="00C40FAF"/>
    <w:rsid w:val="00C40FF9"/>
    <w:rsid w:val="00C41033"/>
    <w:rsid w:val="00C4105E"/>
    <w:rsid w:val="00C410C4"/>
    <w:rsid w:val="00C412A8"/>
    <w:rsid w:val="00C412D8"/>
    <w:rsid w:val="00C41554"/>
    <w:rsid w:val="00C41640"/>
    <w:rsid w:val="00C4166C"/>
    <w:rsid w:val="00C418D0"/>
    <w:rsid w:val="00C419ED"/>
    <w:rsid w:val="00C41A6D"/>
    <w:rsid w:val="00C41A78"/>
    <w:rsid w:val="00C41C54"/>
    <w:rsid w:val="00C41E7C"/>
    <w:rsid w:val="00C41F4F"/>
    <w:rsid w:val="00C422B2"/>
    <w:rsid w:val="00C422FA"/>
    <w:rsid w:val="00C425EB"/>
    <w:rsid w:val="00C42602"/>
    <w:rsid w:val="00C427DE"/>
    <w:rsid w:val="00C427FB"/>
    <w:rsid w:val="00C427FC"/>
    <w:rsid w:val="00C42A59"/>
    <w:rsid w:val="00C42C8E"/>
    <w:rsid w:val="00C42EA4"/>
    <w:rsid w:val="00C43182"/>
    <w:rsid w:val="00C4333C"/>
    <w:rsid w:val="00C433FF"/>
    <w:rsid w:val="00C437D9"/>
    <w:rsid w:val="00C43B04"/>
    <w:rsid w:val="00C43C8A"/>
    <w:rsid w:val="00C43EC1"/>
    <w:rsid w:val="00C43F19"/>
    <w:rsid w:val="00C43FE9"/>
    <w:rsid w:val="00C44093"/>
    <w:rsid w:val="00C441A3"/>
    <w:rsid w:val="00C441E1"/>
    <w:rsid w:val="00C4423A"/>
    <w:rsid w:val="00C4456D"/>
    <w:rsid w:val="00C44799"/>
    <w:rsid w:val="00C44962"/>
    <w:rsid w:val="00C44A54"/>
    <w:rsid w:val="00C44C3E"/>
    <w:rsid w:val="00C44D66"/>
    <w:rsid w:val="00C450A8"/>
    <w:rsid w:val="00C45221"/>
    <w:rsid w:val="00C45225"/>
    <w:rsid w:val="00C45339"/>
    <w:rsid w:val="00C453B0"/>
    <w:rsid w:val="00C453E1"/>
    <w:rsid w:val="00C4554C"/>
    <w:rsid w:val="00C455C8"/>
    <w:rsid w:val="00C456FE"/>
    <w:rsid w:val="00C4571C"/>
    <w:rsid w:val="00C4586E"/>
    <w:rsid w:val="00C45A43"/>
    <w:rsid w:val="00C46274"/>
    <w:rsid w:val="00C46279"/>
    <w:rsid w:val="00C46288"/>
    <w:rsid w:val="00C46559"/>
    <w:rsid w:val="00C465E4"/>
    <w:rsid w:val="00C46651"/>
    <w:rsid w:val="00C467EE"/>
    <w:rsid w:val="00C46EBC"/>
    <w:rsid w:val="00C47008"/>
    <w:rsid w:val="00C4702F"/>
    <w:rsid w:val="00C470A9"/>
    <w:rsid w:val="00C472BE"/>
    <w:rsid w:val="00C4759F"/>
    <w:rsid w:val="00C47755"/>
    <w:rsid w:val="00C47828"/>
    <w:rsid w:val="00C47869"/>
    <w:rsid w:val="00C47915"/>
    <w:rsid w:val="00C47AB3"/>
    <w:rsid w:val="00C47C46"/>
    <w:rsid w:val="00C47C66"/>
    <w:rsid w:val="00C47E8C"/>
    <w:rsid w:val="00C5000D"/>
    <w:rsid w:val="00C50507"/>
    <w:rsid w:val="00C50723"/>
    <w:rsid w:val="00C50A4F"/>
    <w:rsid w:val="00C50AC5"/>
    <w:rsid w:val="00C50B58"/>
    <w:rsid w:val="00C50BE3"/>
    <w:rsid w:val="00C50C44"/>
    <w:rsid w:val="00C50D5B"/>
    <w:rsid w:val="00C50D7C"/>
    <w:rsid w:val="00C51044"/>
    <w:rsid w:val="00C515D1"/>
    <w:rsid w:val="00C51658"/>
    <w:rsid w:val="00C516E4"/>
    <w:rsid w:val="00C51762"/>
    <w:rsid w:val="00C518C9"/>
    <w:rsid w:val="00C5195B"/>
    <w:rsid w:val="00C51A37"/>
    <w:rsid w:val="00C51C66"/>
    <w:rsid w:val="00C51D3A"/>
    <w:rsid w:val="00C51D6D"/>
    <w:rsid w:val="00C51DDD"/>
    <w:rsid w:val="00C51E2D"/>
    <w:rsid w:val="00C5212D"/>
    <w:rsid w:val="00C523E1"/>
    <w:rsid w:val="00C52795"/>
    <w:rsid w:val="00C52821"/>
    <w:rsid w:val="00C528D8"/>
    <w:rsid w:val="00C529F1"/>
    <w:rsid w:val="00C52B48"/>
    <w:rsid w:val="00C52C90"/>
    <w:rsid w:val="00C52DF4"/>
    <w:rsid w:val="00C52E10"/>
    <w:rsid w:val="00C53099"/>
    <w:rsid w:val="00C532F6"/>
    <w:rsid w:val="00C532FC"/>
    <w:rsid w:val="00C5334F"/>
    <w:rsid w:val="00C5353E"/>
    <w:rsid w:val="00C53580"/>
    <w:rsid w:val="00C53789"/>
    <w:rsid w:val="00C53A1B"/>
    <w:rsid w:val="00C53A26"/>
    <w:rsid w:val="00C53AFB"/>
    <w:rsid w:val="00C53B10"/>
    <w:rsid w:val="00C53D0A"/>
    <w:rsid w:val="00C53D43"/>
    <w:rsid w:val="00C53D95"/>
    <w:rsid w:val="00C53E35"/>
    <w:rsid w:val="00C53EAD"/>
    <w:rsid w:val="00C53ECD"/>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DCA"/>
    <w:rsid w:val="00C54F89"/>
    <w:rsid w:val="00C54FA3"/>
    <w:rsid w:val="00C55147"/>
    <w:rsid w:val="00C55A29"/>
    <w:rsid w:val="00C55E47"/>
    <w:rsid w:val="00C55F14"/>
    <w:rsid w:val="00C55FAF"/>
    <w:rsid w:val="00C56156"/>
    <w:rsid w:val="00C563D3"/>
    <w:rsid w:val="00C565E2"/>
    <w:rsid w:val="00C567BA"/>
    <w:rsid w:val="00C56C56"/>
    <w:rsid w:val="00C56E4E"/>
    <w:rsid w:val="00C56EBE"/>
    <w:rsid w:val="00C56EEB"/>
    <w:rsid w:val="00C56F92"/>
    <w:rsid w:val="00C57082"/>
    <w:rsid w:val="00C5709C"/>
    <w:rsid w:val="00C57105"/>
    <w:rsid w:val="00C571CB"/>
    <w:rsid w:val="00C57351"/>
    <w:rsid w:val="00C5739F"/>
    <w:rsid w:val="00C574BF"/>
    <w:rsid w:val="00C574D2"/>
    <w:rsid w:val="00C57573"/>
    <w:rsid w:val="00C576E3"/>
    <w:rsid w:val="00C57709"/>
    <w:rsid w:val="00C57AC6"/>
    <w:rsid w:val="00C57BE0"/>
    <w:rsid w:val="00C57CB4"/>
    <w:rsid w:val="00C57D12"/>
    <w:rsid w:val="00C57DE1"/>
    <w:rsid w:val="00C57EB6"/>
    <w:rsid w:val="00C57FCE"/>
    <w:rsid w:val="00C601D3"/>
    <w:rsid w:val="00C602CB"/>
    <w:rsid w:val="00C60449"/>
    <w:rsid w:val="00C60662"/>
    <w:rsid w:val="00C60667"/>
    <w:rsid w:val="00C6067B"/>
    <w:rsid w:val="00C606FA"/>
    <w:rsid w:val="00C60A99"/>
    <w:rsid w:val="00C60AD8"/>
    <w:rsid w:val="00C60C54"/>
    <w:rsid w:val="00C60D6D"/>
    <w:rsid w:val="00C60DD7"/>
    <w:rsid w:val="00C60E74"/>
    <w:rsid w:val="00C60EBB"/>
    <w:rsid w:val="00C60FAB"/>
    <w:rsid w:val="00C610B3"/>
    <w:rsid w:val="00C61117"/>
    <w:rsid w:val="00C611E9"/>
    <w:rsid w:val="00C611FC"/>
    <w:rsid w:val="00C6121F"/>
    <w:rsid w:val="00C613C2"/>
    <w:rsid w:val="00C6160D"/>
    <w:rsid w:val="00C61687"/>
    <w:rsid w:val="00C616E2"/>
    <w:rsid w:val="00C616F0"/>
    <w:rsid w:val="00C617DB"/>
    <w:rsid w:val="00C61B24"/>
    <w:rsid w:val="00C61B76"/>
    <w:rsid w:val="00C62048"/>
    <w:rsid w:val="00C620EE"/>
    <w:rsid w:val="00C6214E"/>
    <w:rsid w:val="00C6227D"/>
    <w:rsid w:val="00C62296"/>
    <w:rsid w:val="00C6232F"/>
    <w:rsid w:val="00C62499"/>
    <w:rsid w:val="00C62588"/>
    <w:rsid w:val="00C6266E"/>
    <w:rsid w:val="00C627B1"/>
    <w:rsid w:val="00C6294C"/>
    <w:rsid w:val="00C62951"/>
    <w:rsid w:val="00C62A25"/>
    <w:rsid w:val="00C62C5D"/>
    <w:rsid w:val="00C63210"/>
    <w:rsid w:val="00C63218"/>
    <w:rsid w:val="00C63379"/>
    <w:rsid w:val="00C633D3"/>
    <w:rsid w:val="00C63478"/>
    <w:rsid w:val="00C634C1"/>
    <w:rsid w:val="00C63567"/>
    <w:rsid w:val="00C6364A"/>
    <w:rsid w:val="00C63687"/>
    <w:rsid w:val="00C636DD"/>
    <w:rsid w:val="00C63765"/>
    <w:rsid w:val="00C63834"/>
    <w:rsid w:val="00C63980"/>
    <w:rsid w:val="00C63983"/>
    <w:rsid w:val="00C639F0"/>
    <w:rsid w:val="00C63B50"/>
    <w:rsid w:val="00C63D37"/>
    <w:rsid w:val="00C63EC4"/>
    <w:rsid w:val="00C6427C"/>
    <w:rsid w:val="00C64365"/>
    <w:rsid w:val="00C643C1"/>
    <w:rsid w:val="00C6442E"/>
    <w:rsid w:val="00C64470"/>
    <w:rsid w:val="00C64506"/>
    <w:rsid w:val="00C6455D"/>
    <w:rsid w:val="00C64608"/>
    <w:rsid w:val="00C64692"/>
    <w:rsid w:val="00C64703"/>
    <w:rsid w:val="00C6471A"/>
    <w:rsid w:val="00C647EB"/>
    <w:rsid w:val="00C64926"/>
    <w:rsid w:val="00C64986"/>
    <w:rsid w:val="00C64B23"/>
    <w:rsid w:val="00C64C06"/>
    <w:rsid w:val="00C64EB1"/>
    <w:rsid w:val="00C64EF9"/>
    <w:rsid w:val="00C64F46"/>
    <w:rsid w:val="00C64F91"/>
    <w:rsid w:val="00C65019"/>
    <w:rsid w:val="00C65181"/>
    <w:rsid w:val="00C651F7"/>
    <w:rsid w:val="00C652A6"/>
    <w:rsid w:val="00C652FF"/>
    <w:rsid w:val="00C65426"/>
    <w:rsid w:val="00C65450"/>
    <w:rsid w:val="00C6553C"/>
    <w:rsid w:val="00C655F6"/>
    <w:rsid w:val="00C657B4"/>
    <w:rsid w:val="00C65837"/>
    <w:rsid w:val="00C6599D"/>
    <w:rsid w:val="00C65C79"/>
    <w:rsid w:val="00C65C91"/>
    <w:rsid w:val="00C65CDF"/>
    <w:rsid w:val="00C65DC6"/>
    <w:rsid w:val="00C660AA"/>
    <w:rsid w:val="00C66253"/>
    <w:rsid w:val="00C662A8"/>
    <w:rsid w:val="00C66343"/>
    <w:rsid w:val="00C6636A"/>
    <w:rsid w:val="00C663F0"/>
    <w:rsid w:val="00C66419"/>
    <w:rsid w:val="00C6641C"/>
    <w:rsid w:val="00C6642E"/>
    <w:rsid w:val="00C665F8"/>
    <w:rsid w:val="00C66600"/>
    <w:rsid w:val="00C6663C"/>
    <w:rsid w:val="00C66716"/>
    <w:rsid w:val="00C667CB"/>
    <w:rsid w:val="00C66866"/>
    <w:rsid w:val="00C66A37"/>
    <w:rsid w:val="00C66CC7"/>
    <w:rsid w:val="00C66DA4"/>
    <w:rsid w:val="00C67293"/>
    <w:rsid w:val="00C67343"/>
    <w:rsid w:val="00C6745F"/>
    <w:rsid w:val="00C674FA"/>
    <w:rsid w:val="00C674FE"/>
    <w:rsid w:val="00C6756A"/>
    <w:rsid w:val="00C676A7"/>
    <w:rsid w:val="00C6798A"/>
    <w:rsid w:val="00C679EE"/>
    <w:rsid w:val="00C67AC5"/>
    <w:rsid w:val="00C67C14"/>
    <w:rsid w:val="00C67CAD"/>
    <w:rsid w:val="00C67D79"/>
    <w:rsid w:val="00C7006A"/>
    <w:rsid w:val="00C7011F"/>
    <w:rsid w:val="00C701C5"/>
    <w:rsid w:val="00C702C3"/>
    <w:rsid w:val="00C702EB"/>
    <w:rsid w:val="00C707AE"/>
    <w:rsid w:val="00C70A8D"/>
    <w:rsid w:val="00C70AEA"/>
    <w:rsid w:val="00C70B49"/>
    <w:rsid w:val="00C70B60"/>
    <w:rsid w:val="00C70C94"/>
    <w:rsid w:val="00C70CDA"/>
    <w:rsid w:val="00C70D9B"/>
    <w:rsid w:val="00C70E2A"/>
    <w:rsid w:val="00C70E9C"/>
    <w:rsid w:val="00C70FCF"/>
    <w:rsid w:val="00C7103D"/>
    <w:rsid w:val="00C71040"/>
    <w:rsid w:val="00C7113F"/>
    <w:rsid w:val="00C711B3"/>
    <w:rsid w:val="00C71235"/>
    <w:rsid w:val="00C715EC"/>
    <w:rsid w:val="00C71613"/>
    <w:rsid w:val="00C71679"/>
    <w:rsid w:val="00C717E7"/>
    <w:rsid w:val="00C71823"/>
    <w:rsid w:val="00C718D2"/>
    <w:rsid w:val="00C71A6C"/>
    <w:rsid w:val="00C71D18"/>
    <w:rsid w:val="00C71DA0"/>
    <w:rsid w:val="00C71DAF"/>
    <w:rsid w:val="00C71E9F"/>
    <w:rsid w:val="00C720F5"/>
    <w:rsid w:val="00C72205"/>
    <w:rsid w:val="00C7238C"/>
    <w:rsid w:val="00C72391"/>
    <w:rsid w:val="00C7265E"/>
    <w:rsid w:val="00C7295D"/>
    <w:rsid w:val="00C72A07"/>
    <w:rsid w:val="00C72A73"/>
    <w:rsid w:val="00C72C00"/>
    <w:rsid w:val="00C72D7A"/>
    <w:rsid w:val="00C72DB3"/>
    <w:rsid w:val="00C72F95"/>
    <w:rsid w:val="00C72FA2"/>
    <w:rsid w:val="00C72FF6"/>
    <w:rsid w:val="00C731A0"/>
    <w:rsid w:val="00C73237"/>
    <w:rsid w:val="00C73386"/>
    <w:rsid w:val="00C734C4"/>
    <w:rsid w:val="00C73516"/>
    <w:rsid w:val="00C73554"/>
    <w:rsid w:val="00C73607"/>
    <w:rsid w:val="00C736CC"/>
    <w:rsid w:val="00C7380D"/>
    <w:rsid w:val="00C7388F"/>
    <w:rsid w:val="00C73B8D"/>
    <w:rsid w:val="00C73C81"/>
    <w:rsid w:val="00C740C5"/>
    <w:rsid w:val="00C741CB"/>
    <w:rsid w:val="00C74276"/>
    <w:rsid w:val="00C74291"/>
    <w:rsid w:val="00C742FE"/>
    <w:rsid w:val="00C74583"/>
    <w:rsid w:val="00C74882"/>
    <w:rsid w:val="00C749EF"/>
    <w:rsid w:val="00C74A8F"/>
    <w:rsid w:val="00C74AED"/>
    <w:rsid w:val="00C74B33"/>
    <w:rsid w:val="00C74C00"/>
    <w:rsid w:val="00C74DF8"/>
    <w:rsid w:val="00C7518C"/>
    <w:rsid w:val="00C7518F"/>
    <w:rsid w:val="00C75215"/>
    <w:rsid w:val="00C752A4"/>
    <w:rsid w:val="00C7533C"/>
    <w:rsid w:val="00C753B8"/>
    <w:rsid w:val="00C75567"/>
    <w:rsid w:val="00C75660"/>
    <w:rsid w:val="00C756EC"/>
    <w:rsid w:val="00C7572E"/>
    <w:rsid w:val="00C75801"/>
    <w:rsid w:val="00C75D17"/>
    <w:rsid w:val="00C75D5C"/>
    <w:rsid w:val="00C75DF9"/>
    <w:rsid w:val="00C75E89"/>
    <w:rsid w:val="00C7609D"/>
    <w:rsid w:val="00C761CE"/>
    <w:rsid w:val="00C761EE"/>
    <w:rsid w:val="00C76223"/>
    <w:rsid w:val="00C764A3"/>
    <w:rsid w:val="00C766CD"/>
    <w:rsid w:val="00C7676A"/>
    <w:rsid w:val="00C76859"/>
    <w:rsid w:val="00C76ABA"/>
    <w:rsid w:val="00C76B7E"/>
    <w:rsid w:val="00C76B9C"/>
    <w:rsid w:val="00C76D50"/>
    <w:rsid w:val="00C76EA5"/>
    <w:rsid w:val="00C76F98"/>
    <w:rsid w:val="00C77228"/>
    <w:rsid w:val="00C77257"/>
    <w:rsid w:val="00C772BD"/>
    <w:rsid w:val="00C77403"/>
    <w:rsid w:val="00C7746D"/>
    <w:rsid w:val="00C77603"/>
    <w:rsid w:val="00C7775B"/>
    <w:rsid w:val="00C778B4"/>
    <w:rsid w:val="00C778E7"/>
    <w:rsid w:val="00C779A5"/>
    <w:rsid w:val="00C77C00"/>
    <w:rsid w:val="00C77C89"/>
    <w:rsid w:val="00C77D74"/>
    <w:rsid w:val="00C77E0B"/>
    <w:rsid w:val="00C77E6E"/>
    <w:rsid w:val="00C77E95"/>
    <w:rsid w:val="00C77EE4"/>
    <w:rsid w:val="00C77F2E"/>
    <w:rsid w:val="00C80174"/>
    <w:rsid w:val="00C8021C"/>
    <w:rsid w:val="00C80644"/>
    <w:rsid w:val="00C80942"/>
    <w:rsid w:val="00C8096F"/>
    <w:rsid w:val="00C809E4"/>
    <w:rsid w:val="00C80ABA"/>
    <w:rsid w:val="00C80C05"/>
    <w:rsid w:val="00C80DDE"/>
    <w:rsid w:val="00C80F08"/>
    <w:rsid w:val="00C80F35"/>
    <w:rsid w:val="00C81039"/>
    <w:rsid w:val="00C810DF"/>
    <w:rsid w:val="00C811CF"/>
    <w:rsid w:val="00C8127D"/>
    <w:rsid w:val="00C815DE"/>
    <w:rsid w:val="00C81735"/>
    <w:rsid w:val="00C817B3"/>
    <w:rsid w:val="00C817DB"/>
    <w:rsid w:val="00C81907"/>
    <w:rsid w:val="00C8193A"/>
    <w:rsid w:val="00C81A02"/>
    <w:rsid w:val="00C81B89"/>
    <w:rsid w:val="00C81C72"/>
    <w:rsid w:val="00C81D56"/>
    <w:rsid w:val="00C81EC0"/>
    <w:rsid w:val="00C82068"/>
    <w:rsid w:val="00C823A4"/>
    <w:rsid w:val="00C824F7"/>
    <w:rsid w:val="00C8252D"/>
    <w:rsid w:val="00C82533"/>
    <w:rsid w:val="00C82562"/>
    <w:rsid w:val="00C825F9"/>
    <w:rsid w:val="00C827FB"/>
    <w:rsid w:val="00C82899"/>
    <w:rsid w:val="00C82AD8"/>
    <w:rsid w:val="00C82AD9"/>
    <w:rsid w:val="00C82C1A"/>
    <w:rsid w:val="00C82E86"/>
    <w:rsid w:val="00C82EF6"/>
    <w:rsid w:val="00C830F8"/>
    <w:rsid w:val="00C83155"/>
    <w:rsid w:val="00C8319D"/>
    <w:rsid w:val="00C8325F"/>
    <w:rsid w:val="00C8347D"/>
    <w:rsid w:val="00C834D0"/>
    <w:rsid w:val="00C834D8"/>
    <w:rsid w:val="00C83555"/>
    <w:rsid w:val="00C83629"/>
    <w:rsid w:val="00C8376A"/>
    <w:rsid w:val="00C83825"/>
    <w:rsid w:val="00C83AC7"/>
    <w:rsid w:val="00C83DEB"/>
    <w:rsid w:val="00C83DF8"/>
    <w:rsid w:val="00C84000"/>
    <w:rsid w:val="00C8402F"/>
    <w:rsid w:val="00C8417F"/>
    <w:rsid w:val="00C84296"/>
    <w:rsid w:val="00C842D0"/>
    <w:rsid w:val="00C842FF"/>
    <w:rsid w:val="00C84329"/>
    <w:rsid w:val="00C844B6"/>
    <w:rsid w:val="00C845C3"/>
    <w:rsid w:val="00C8470A"/>
    <w:rsid w:val="00C8471C"/>
    <w:rsid w:val="00C84D49"/>
    <w:rsid w:val="00C84E3A"/>
    <w:rsid w:val="00C85145"/>
    <w:rsid w:val="00C85206"/>
    <w:rsid w:val="00C85248"/>
    <w:rsid w:val="00C85287"/>
    <w:rsid w:val="00C85725"/>
    <w:rsid w:val="00C85952"/>
    <w:rsid w:val="00C85982"/>
    <w:rsid w:val="00C859D4"/>
    <w:rsid w:val="00C85A3A"/>
    <w:rsid w:val="00C85B7A"/>
    <w:rsid w:val="00C85C38"/>
    <w:rsid w:val="00C85D4D"/>
    <w:rsid w:val="00C85DBA"/>
    <w:rsid w:val="00C85FA6"/>
    <w:rsid w:val="00C861B0"/>
    <w:rsid w:val="00C86394"/>
    <w:rsid w:val="00C86852"/>
    <w:rsid w:val="00C86BE5"/>
    <w:rsid w:val="00C86C6A"/>
    <w:rsid w:val="00C86CD6"/>
    <w:rsid w:val="00C86E01"/>
    <w:rsid w:val="00C86FC1"/>
    <w:rsid w:val="00C870A0"/>
    <w:rsid w:val="00C870BD"/>
    <w:rsid w:val="00C871D9"/>
    <w:rsid w:val="00C87350"/>
    <w:rsid w:val="00C874C6"/>
    <w:rsid w:val="00C876B4"/>
    <w:rsid w:val="00C87809"/>
    <w:rsid w:val="00C879A7"/>
    <w:rsid w:val="00C87A7F"/>
    <w:rsid w:val="00C87B1A"/>
    <w:rsid w:val="00C87BEF"/>
    <w:rsid w:val="00C87CAE"/>
    <w:rsid w:val="00C87E88"/>
    <w:rsid w:val="00C87F30"/>
    <w:rsid w:val="00C90030"/>
    <w:rsid w:val="00C901CA"/>
    <w:rsid w:val="00C902A6"/>
    <w:rsid w:val="00C90352"/>
    <w:rsid w:val="00C9040F"/>
    <w:rsid w:val="00C90489"/>
    <w:rsid w:val="00C904BD"/>
    <w:rsid w:val="00C90582"/>
    <w:rsid w:val="00C90889"/>
    <w:rsid w:val="00C90BD7"/>
    <w:rsid w:val="00C90C81"/>
    <w:rsid w:val="00C90DB3"/>
    <w:rsid w:val="00C90E5B"/>
    <w:rsid w:val="00C9108C"/>
    <w:rsid w:val="00C91095"/>
    <w:rsid w:val="00C9112D"/>
    <w:rsid w:val="00C91188"/>
    <w:rsid w:val="00C91199"/>
    <w:rsid w:val="00C913D5"/>
    <w:rsid w:val="00C914D0"/>
    <w:rsid w:val="00C914DD"/>
    <w:rsid w:val="00C9163B"/>
    <w:rsid w:val="00C91769"/>
    <w:rsid w:val="00C917BE"/>
    <w:rsid w:val="00C917ED"/>
    <w:rsid w:val="00C918F7"/>
    <w:rsid w:val="00C91942"/>
    <w:rsid w:val="00C91954"/>
    <w:rsid w:val="00C91A2F"/>
    <w:rsid w:val="00C91C03"/>
    <w:rsid w:val="00C91C04"/>
    <w:rsid w:val="00C91CFA"/>
    <w:rsid w:val="00C91DC6"/>
    <w:rsid w:val="00C91E35"/>
    <w:rsid w:val="00C92101"/>
    <w:rsid w:val="00C92594"/>
    <w:rsid w:val="00C92659"/>
    <w:rsid w:val="00C926D4"/>
    <w:rsid w:val="00C92733"/>
    <w:rsid w:val="00C928F7"/>
    <w:rsid w:val="00C92A09"/>
    <w:rsid w:val="00C92B9C"/>
    <w:rsid w:val="00C92BA2"/>
    <w:rsid w:val="00C92BDD"/>
    <w:rsid w:val="00C92C84"/>
    <w:rsid w:val="00C92D93"/>
    <w:rsid w:val="00C92E2A"/>
    <w:rsid w:val="00C930F2"/>
    <w:rsid w:val="00C93114"/>
    <w:rsid w:val="00C93375"/>
    <w:rsid w:val="00C93427"/>
    <w:rsid w:val="00C935D9"/>
    <w:rsid w:val="00C9362A"/>
    <w:rsid w:val="00C936CA"/>
    <w:rsid w:val="00C93746"/>
    <w:rsid w:val="00C93915"/>
    <w:rsid w:val="00C93D2C"/>
    <w:rsid w:val="00C93D2D"/>
    <w:rsid w:val="00C93F78"/>
    <w:rsid w:val="00C9419E"/>
    <w:rsid w:val="00C94208"/>
    <w:rsid w:val="00C94273"/>
    <w:rsid w:val="00C94298"/>
    <w:rsid w:val="00C94326"/>
    <w:rsid w:val="00C94435"/>
    <w:rsid w:val="00C94496"/>
    <w:rsid w:val="00C9449A"/>
    <w:rsid w:val="00C945FC"/>
    <w:rsid w:val="00C94607"/>
    <w:rsid w:val="00C94669"/>
    <w:rsid w:val="00C9471C"/>
    <w:rsid w:val="00C94798"/>
    <w:rsid w:val="00C9492F"/>
    <w:rsid w:val="00C94983"/>
    <w:rsid w:val="00C949AD"/>
    <w:rsid w:val="00C94B66"/>
    <w:rsid w:val="00C94C9F"/>
    <w:rsid w:val="00C94DF5"/>
    <w:rsid w:val="00C94F29"/>
    <w:rsid w:val="00C94FA9"/>
    <w:rsid w:val="00C95261"/>
    <w:rsid w:val="00C953E2"/>
    <w:rsid w:val="00C954C8"/>
    <w:rsid w:val="00C955F2"/>
    <w:rsid w:val="00C9563C"/>
    <w:rsid w:val="00C95719"/>
    <w:rsid w:val="00C95857"/>
    <w:rsid w:val="00C9599A"/>
    <w:rsid w:val="00C95B06"/>
    <w:rsid w:val="00C95E14"/>
    <w:rsid w:val="00C95E3D"/>
    <w:rsid w:val="00C95F3A"/>
    <w:rsid w:val="00C95FEE"/>
    <w:rsid w:val="00C95FF3"/>
    <w:rsid w:val="00C9641B"/>
    <w:rsid w:val="00C964FF"/>
    <w:rsid w:val="00C96541"/>
    <w:rsid w:val="00C96561"/>
    <w:rsid w:val="00C965B3"/>
    <w:rsid w:val="00C965E9"/>
    <w:rsid w:val="00C96858"/>
    <w:rsid w:val="00C968EF"/>
    <w:rsid w:val="00C96AB6"/>
    <w:rsid w:val="00C96ACF"/>
    <w:rsid w:val="00C96B1D"/>
    <w:rsid w:val="00C96C43"/>
    <w:rsid w:val="00C96DDE"/>
    <w:rsid w:val="00C96EB4"/>
    <w:rsid w:val="00C97138"/>
    <w:rsid w:val="00C972D6"/>
    <w:rsid w:val="00C9766B"/>
    <w:rsid w:val="00C9792F"/>
    <w:rsid w:val="00C97B61"/>
    <w:rsid w:val="00C97C3F"/>
    <w:rsid w:val="00C97CDC"/>
    <w:rsid w:val="00C97F1E"/>
    <w:rsid w:val="00C97FD1"/>
    <w:rsid w:val="00C97FD3"/>
    <w:rsid w:val="00CA01F6"/>
    <w:rsid w:val="00CA023E"/>
    <w:rsid w:val="00CA0267"/>
    <w:rsid w:val="00CA0324"/>
    <w:rsid w:val="00CA056C"/>
    <w:rsid w:val="00CA0584"/>
    <w:rsid w:val="00CA0591"/>
    <w:rsid w:val="00CA05A0"/>
    <w:rsid w:val="00CA05B8"/>
    <w:rsid w:val="00CA06AB"/>
    <w:rsid w:val="00CA075A"/>
    <w:rsid w:val="00CA0CDB"/>
    <w:rsid w:val="00CA109B"/>
    <w:rsid w:val="00CA1213"/>
    <w:rsid w:val="00CA1369"/>
    <w:rsid w:val="00CA1668"/>
    <w:rsid w:val="00CA179B"/>
    <w:rsid w:val="00CA187E"/>
    <w:rsid w:val="00CA1B0A"/>
    <w:rsid w:val="00CA1FAA"/>
    <w:rsid w:val="00CA1FF8"/>
    <w:rsid w:val="00CA2022"/>
    <w:rsid w:val="00CA20A6"/>
    <w:rsid w:val="00CA2139"/>
    <w:rsid w:val="00CA243B"/>
    <w:rsid w:val="00CA24B7"/>
    <w:rsid w:val="00CA259D"/>
    <w:rsid w:val="00CA25FA"/>
    <w:rsid w:val="00CA273E"/>
    <w:rsid w:val="00CA2BC2"/>
    <w:rsid w:val="00CA2BEF"/>
    <w:rsid w:val="00CA2C18"/>
    <w:rsid w:val="00CA2E8E"/>
    <w:rsid w:val="00CA2F91"/>
    <w:rsid w:val="00CA2FA3"/>
    <w:rsid w:val="00CA2FD6"/>
    <w:rsid w:val="00CA3078"/>
    <w:rsid w:val="00CA31CE"/>
    <w:rsid w:val="00CA32A2"/>
    <w:rsid w:val="00CA32E5"/>
    <w:rsid w:val="00CA339B"/>
    <w:rsid w:val="00CA3651"/>
    <w:rsid w:val="00CA36FC"/>
    <w:rsid w:val="00CA383E"/>
    <w:rsid w:val="00CA3950"/>
    <w:rsid w:val="00CA3AC2"/>
    <w:rsid w:val="00CA3AC7"/>
    <w:rsid w:val="00CA3C24"/>
    <w:rsid w:val="00CA3CEA"/>
    <w:rsid w:val="00CA3D09"/>
    <w:rsid w:val="00CA3DCB"/>
    <w:rsid w:val="00CA424D"/>
    <w:rsid w:val="00CA4321"/>
    <w:rsid w:val="00CA45C6"/>
    <w:rsid w:val="00CA48B2"/>
    <w:rsid w:val="00CA4A49"/>
    <w:rsid w:val="00CA4B45"/>
    <w:rsid w:val="00CA4B6C"/>
    <w:rsid w:val="00CA4B98"/>
    <w:rsid w:val="00CA4FC8"/>
    <w:rsid w:val="00CA507B"/>
    <w:rsid w:val="00CA513A"/>
    <w:rsid w:val="00CA5183"/>
    <w:rsid w:val="00CA51D0"/>
    <w:rsid w:val="00CA53D8"/>
    <w:rsid w:val="00CA55C1"/>
    <w:rsid w:val="00CA5644"/>
    <w:rsid w:val="00CA5964"/>
    <w:rsid w:val="00CA5A75"/>
    <w:rsid w:val="00CA5BD0"/>
    <w:rsid w:val="00CA5CA1"/>
    <w:rsid w:val="00CA5ED1"/>
    <w:rsid w:val="00CA5EF7"/>
    <w:rsid w:val="00CA5F08"/>
    <w:rsid w:val="00CA5F28"/>
    <w:rsid w:val="00CA5F42"/>
    <w:rsid w:val="00CA5F4B"/>
    <w:rsid w:val="00CA6009"/>
    <w:rsid w:val="00CA6036"/>
    <w:rsid w:val="00CA6041"/>
    <w:rsid w:val="00CA60C8"/>
    <w:rsid w:val="00CA62AA"/>
    <w:rsid w:val="00CA6381"/>
    <w:rsid w:val="00CA63F1"/>
    <w:rsid w:val="00CA6860"/>
    <w:rsid w:val="00CA6880"/>
    <w:rsid w:val="00CA69B8"/>
    <w:rsid w:val="00CA6A43"/>
    <w:rsid w:val="00CA6CD1"/>
    <w:rsid w:val="00CA6CF2"/>
    <w:rsid w:val="00CA6D2E"/>
    <w:rsid w:val="00CA6DA5"/>
    <w:rsid w:val="00CA6DBE"/>
    <w:rsid w:val="00CA6E5A"/>
    <w:rsid w:val="00CA733D"/>
    <w:rsid w:val="00CA760A"/>
    <w:rsid w:val="00CA7817"/>
    <w:rsid w:val="00CA7890"/>
    <w:rsid w:val="00CA7930"/>
    <w:rsid w:val="00CA7995"/>
    <w:rsid w:val="00CA79FF"/>
    <w:rsid w:val="00CA7A1D"/>
    <w:rsid w:val="00CA7A63"/>
    <w:rsid w:val="00CA7CFC"/>
    <w:rsid w:val="00CA7D05"/>
    <w:rsid w:val="00CA7D98"/>
    <w:rsid w:val="00CA7DCB"/>
    <w:rsid w:val="00CA7F02"/>
    <w:rsid w:val="00CA7F6A"/>
    <w:rsid w:val="00CA7F75"/>
    <w:rsid w:val="00CB0011"/>
    <w:rsid w:val="00CB0062"/>
    <w:rsid w:val="00CB0161"/>
    <w:rsid w:val="00CB02F6"/>
    <w:rsid w:val="00CB0345"/>
    <w:rsid w:val="00CB03DE"/>
    <w:rsid w:val="00CB0459"/>
    <w:rsid w:val="00CB04B7"/>
    <w:rsid w:val="00CB074B"/>
    <w:rsid w:val="00CB077A"/>
    <w:rsid w:val="00CB08A0"/>
    <w:rsid w:val="00CB0B8F"/>
    <w:rsid w:val="00CB0CA6"/>
    <w:rsid w:val="00CB0DBB"/>
    <w:rsid w:val="00CB0E7C"/>
    <w:rsid w:val="00CB0E96"/>
    <w:rsid w:val="00CB0F60"/>
    <w:rsid w:val="00CB0FA7"/>
    <w:rsid w:val="00CB10FB"/>
    <w:rsid w:val="00CB121B"/>
    <w:rsid w:val="00CB12D8"/>
    <w:rsid w:val="00CB153A"/>
    <w:rsid w:val="00CB169B"/>
    <w:rsid w:val="00CB16ED"/>
    <w:rsid w:val="00CB1787"/>
    <w:rsid w:val="00CB1E94"/>
    <w:rsid w:val="00CB1EC8"/>
    <w:rsid w:val="00CB1EDD"/>
    <w:rsid w:val="00CB1EEE"/>
    <w:rsid w:val="00CB20C4"/>
    <w:rsid w:val="00CB20FE"/>
    <w:rsid w:val="00CB218A"/>
    <w:rsid w:val="00CB230D"/>
    <w:rsid w:val="00CB2892"/>
    <w:rsid w:val="00CB2899"/>
    <w:rsid w:val="00CB2933"/>
    <w:rsid w:val="00CB29F1"/>
    <w:rsid w:val="00CB2B35"/>
    <w:rsid w:val="00CB2BA4"/>
    <w:rsid w:val="00CB2E40"/>
    <w:rsid w:val="00CB31AB"/>
    <w:rsid w:val="00CB3814"/>
    <w:rsid w:val="00CB38A9"/>
    <w:rsid w:val="00CB3936"/>
    <w:rsid w:val="00CB393C"/>
    <w:rsid w:val="00CB3942"/>
    <w:rsid w:val="00CB39A9"/>
    <w:rsid w:val="00CB3A50"/>
    <w:rsid w:val="00CB3CF5"/>
    <w:rsid w:val="00CB3D4A"/>
    <w:rsid w:val="00CB3D74"/>
    <w:rsid w:val="00CB4000"/>
    <w:rsid w:val="00CB400C"/>
    <w:rsid w:val="00CB4167"/>
    <w:rsid w:val="00CB42A8"/>
    <w:rsid w:val="00CB4472"/>
    <w:rsid w:val="00CB4474"/>
    <w:rsid w:val="00CB4497"/>
    <w:rsid w:val="00CB45DD"/>
    <w:rsid w:val="00CB47BB"/>
    <w:rsid w:val="00CB47CA"/>
    <w:rsid w:val="00CB48E0"/>
    <w:rsid w:val="00CB49CB"/>
    <w:rsid w:val="00CB4CE8"/>
    <w:rsid w:val="00CB4E95"/>
    <w:rsid w:val="00CB4ED9"/>
    <w:rsid w:val="00CB4EDD"/>
    <w:rsid w:val="00CB4F39"/>
    <w:rsid w:val="00CB4F5D"/>
    <w:rsid w:val="00CB5013"/>
    <w:rsid w:val="00CB5439"/>
    <w:rsid w:val="00CB55A3"/>
    <w:rsid w:val="00CB565A"/>
    <w:rsid w:val="00CB5879"/>
    <w:rsid w:val="00CB5A51"/>
    <w:rsid w:val="00CB5B68"/>
    <w:rsid w:val="00CB5C17"/>
    <w:rsid w:val="00CB5DC6"/>
    <w:rsid w:val="00CB6059"/>
    <w:rsid w:val="00CB6176"/>
    <w:rsid w:val="00CB6454"/>
    <w:rsid w:val="00CB653A"/>
    <w:rsid w:val="00CB6653"/>
    <w:rsid w:val="00CB66D5"/>
    <w:rsid w:val="00CB6755"/>
    <w:rsid w:val="00CB67C3"/>
    <w:rsid w:val="00CB698C"/>
    <w:rsid w:val="00CB6996"/>
    <w:rsid w:val="00CB6A06"/>
    <w:rsid w:val="00CB6C5F"/>
    <w:rsid w:val="00CB736A"/>
    <w:rsid w:val="00CB73B3"/>
    <w:rsid w:val="00CB7550"/>
    <w:rsid w:val="00CB7738"/>
    <w:rsid w:val="00CB776D"/>
    <w:rsid w:val="00CB77A3"/>
    <w:rsid w:val="00CB77E2"/>
    <w:rsid w:val="00CB7A1A"/>
    <w:rsid w:val="00CB7AEC"/>
    <w:rsid w:val="00CB7C39"/>
    <w:rsid w:val="00CB7FD0"/>
    <w:rsid w:val="00CC004B"/>
    <w:rsid w:val="00CC0083"/>
    <w:rsid w:val="00CC0396"/>
    <w:rsid w:val="00CC03B0"/>
    <w:rsid w:val="00CC041E"/>
    <w:rsid w:val="00CC04B7"/>
    <w:rsid w:val="00CC0618"/>
    <w:rsid w:val="00CC06FB"/>
    <w:rsid w:val="00CC08DD"/>
    <w:rsid w:val="00CC0A23"/>
    <w:rsid w:val="00CC0C12"/>
    <w:rsid w:val="00CC0CB6"/>
    <w:rsid w:val="00CC0DC4"/>
    <w:rsid w:val="00CC0DD8"/>
    <w:rsid w:val="00CC0DF1"/>
    <w:rsid w:val="00CC0FD5"/>
    <w:rsid w:val="00CC1041"/>
    <w:rsid w:val="00CC15AB"/>
    <w:rsid w:val="00CC165D"/>
    <w:rsid w:val="00CC16A7"/>
    <w:rsid w:val="00CC1928"/>
    <w:rsid w:val="00CC194A"/>
    <w:rsid w:val="00CC1BDA"/>
    <w:rsid w:val="00CC1C23"/>
    <w:rsid w:val="00CC1C2C"/>
    <w:rsid w:val="00CC1CCD"/>
    <w:rsid w:val="00CC1E0C"/>
    <w:rsid w:val="00CC1E62"/>
    <w:rsid w:val="00CC1E84"/>
    <w:rsid w:val="00CC1EAB"/>
    <w:rsid w:val="00CC2171"/>
    <w:rsid w:val="00CC2339"/>
    <w:rsid w:val="00CC234F"/>
    <w:rsid w:val="00CC2633"/>
    <w:rsid w:val="00CC27CC"/>
    <w:rsid w:val="00CC2823"/>
    <w:rsid w:val="00CC288D"/>
    <w:rsid w:val="00CC29CE"/>
    <w:rsid w:val="00CC2F7F"/>
    <w:rsid w:val="00CC3065"/>
    <w:rsid w:val="00CC314C"/>
    <w:rsid w:val="00CC32B5"/>
    <w:rsid w:val="00CC33C0"/>
    <w:rsid w:val="00CC3488"/>
    <w:rsid w:val="00CC382F"/>
    <w:rsid w:val="00CC3A6E"/>
    <w:rsid w:val="00CC3AAC"/>
    <w:rsid w:val="00CC3B65"/>
    <w:rsid w:val="00CC3BDC"/>
    <w:rsid w:val="00CC3C7B"/>
    <w:rsid w:val="00CC3C83"/>
    <w:rsid w:val="00CC3E27"/>
    <w:rsid w:val="00CC3FFF"/>
    <w:rsid w:val="00CC41AF"/>
    <w:rsid w:val="00CC41CE"/>
    <w:rsid w:val="00CC427F"/>
    <w:rsid w:val="00CC4291"/>
    <w:rsid w:val="00CC43E7"/>
    <w:rsid w:val="00CC4425"/>
    <w:rsid w:val="00CC4475"/>
    <w:rsid w:val="00CC44A6"/>
    <w:rsid w:val="00CC44D2"/>
    <w:rsid w:val="00CC467C"/>
    <w:rsid w:val="00CC468C"/>
    <w:rsid w:val="00CC47A5"/>
    <w:rsid w:val="00CC47E5"/>
    <w:rsid w:val="00CC4953"/>
    <w:rsid w:val="00CC4975"/>
    <w:rsid w:val="00CC4ACC"/>
    <w:rsid w:val="00CC4E1E"/>
    <w:rsid w:val="00CC4E21"/>
    <w:rsid w:val="00CC5394"/>
    <w:rsid w:val="00CC53F4"/>
    <w:rsid w:val="00CC54C2"/>
    <w:rsid w:val="00CC5591"/>
    <w:rsid w:val="00CC56B8"/>
    <w:rsid w:val="00CC570E"/>
    <w:rsid w:val="00CC5854"/>
    <w:rsid w:val="00CC586B"/>
    <w:rsid w:val="00CC58B7"/>
    <w:rsid w:val="00CC5D36"/>
    <w:rsid w:val="00CC63A7"/>
    <w:rsid w:val="00CC6900"/>
    <w:rsid w:val="00CC6B5B"/>
    <w:rsid w:val="00CC6B97"/>
    <w:rsid w:val="00CC6D3F"/>
    <w:rsid w:val="00CC6EC3"/>
    <w:rsid w:val="00CC70EB"/>
    <w:rsid w:val="00CC710E"/>
    <w:rsid w:val="00CC7185"/>
    <w:rsid w:val="00CC7248"/>
    <w:rsid w:val="00CC7271"/>
    <w:rsid w:val="00CC738F"/>
    <w:rsid w:val="00CC73AC"/>
    <w:rsid w:val="00CC73D3"/>
    <w:rsid w:val="00CC74A5"/>
    <w:rsid w:val="00CC757F"/>
    <w:rsid w:val="00CC767A"/>
    <w:rsid w:val="00CC76AB"/>
    <w:rsid w:val="00CC778F"/>
    <w:rsid w:val="00CC78A2"/>
    <w:rsid w:val="00CC7D3D"/>
    <w:rsid w:val="00CC7EC5"/>
    <w:rsid w:val="00CC7F06"/>
    <w:rsid w:val="00CD018A"/>
    <w:rsid w:val="00CD0197"/>
    <w:rsid w:val="00CD033C"/>
    <w:rsid w:val="00CD043A"/>
    <w:rsid w:val="00CD0468"/>
    <w:rsid w:val="00CD046A"/>
    <w:rsid w:val="00CD04BE"/>
    <w:rsid w:val="00CD04CF"/>
    <w:rsid w:val="00CD054D"/>
    <w:rsid w:val="00CD094B"/>
    <w:rsid w:val="00CD0C25"/>
    <w:rsid w:val="00CD0D6E"/>
    <w:rsid w:val="00CD10DA"/>
    <w:rsid w:val="00CD12D3"/>
    <w:rsid w:val="00CD1538"/>
    <w:rsid w:val="00CD16E3"/>
    <w:rsid w:val="00CD1808"/>
    <w:rsid w:val="00CD1A46"/>
    <w:rsid w:val="00CD1B30"/>
    <w:rsid w:val="00CD1C00"/>
    <w:rsid w:val="00CD1C0D"/>
    <w:rsid w:val="00CD1D5E"/>
    <w:rsid w:val="00CD2037"/>
    <w:rsid w:val="00CD21D7"/>
    <w:rsid w:val="00CD232F"/>
    <w:rsid w:val="00CD23DF"/>
    <w:rsid w:val="00CD2509"/>
    <w:rsid w:val="00CD26AC"/>
    <w:rsid w:val="00CD2B85"/>
    <w:rsid w:val="00CD2BF6"/>
    <w:rsid w:val="00CD2C94"/>
    <w:rsid w:val="00CD2D2A"/>
    <w:rsid w:val="00CD2E08"/>
    <w:rsid w:val="00CD2FAB"/>
    <w:rsid w:val="00CD301C"/>
    <w:rsid w:val="00CD30ED"/>
    <w:rsid w:val="00CD31AF"/>
    <w:rsid w:val="00CD3462"/>
    <w:rsid w:val="00CD3491"/>
    <w:rsid w:val="00CD37EA"/>
    <w:rsid w:val="00CD3893"/>
    <w:rsid w:val="00CD39AE"/>
    <w:rsid w:val="00CD3A82"/>
    <w:rsid w:val="00CD3D28"/>
    <w:rsid w:val="00CD3DFD"/>
    <w:rsid w:val="00CD3E0A"/>
    <w:rsid w:val="00CD3E99"/>
    <w:rsid w:val="00CD41D3"/>
    <w:rsid w:val="00CD4287"/>
    <w:rsid w:val="00CD485B"/>
    <w:rsid w:val="00CD492B"/>
    <w:rsid w:val="00CD4A14"/>
    <w:rsid w:val="00CD4AAE"/>
    <w:rsid w:val="00CD4C9C"/>
    <w:rsid w:val="00CD4CBA"/>
    <w:rsid w:val="00CD4DF8"/>
    <w:rsid w:val="00CD4F54"/>
    <w:rsid w:val="00CD51FB"/>
    <w:rsid w:val="00CD52D1"/>
    <w:rsid w:val="00CD5500"/>
    <w:rsid w:val="00CD550E"/>
    <w:rsid w:val="00CD565E"/>
    <w:rsid w:val="00CD56D0"/>
    <w:rsid w:val="00CD5739"/>
    <w:rsid w:val="00CD5898"/>
    <w:rsid w:val="00CD5932"/>
    <w:rsid w:val="00CD5958"/>
    <w:rsid w:val="00CD5A84"/>
    <w:rsid w:val="00CD5C2F"/>
    <w:rsid w:val="00CD5CB7"/>
    <w:rsid w:val="00CD5E9A"/>
    <w:rsid w:val="00CD63AE"/>
    <w:rsid w:val="00CD651E"/>
    <w:rsid w:val="00CD670A"/>
    <w:rsid w:val="00CD6B0B"/>
    <w:rsid w:val="00CD6B39"/>
    <w:rsid w:val="00CD6CE8"/>
    <w:rsid w:val="00CD6DE7"/>
    <w:rsid w:val="00CD6F55"/>
    <w:rsid w:val="00CD6FA2"/>
    <w:rsid w:val="00CD6FA8"/>
    <w:rsid w:val="00CD7105"/>
    <w:rsid w:val="00CD7116"/>
    <w:rsid w:val="00CD7139"/>
    <w:rsid w:val="00CD730F"/>
    <w:rsid w:val="00CD7408"/>
    <w:rsid w:val="00CD741B"/>
    <w:rsid w:val="00CD756B"/>
    <w:rsid w:val="00CD75DF"/>
    <w:rsid w:val="00CD76AC"/>
    <w:rsid w:val="00CD7815"/>
    <w:rsid w:val="00CD783F"/>
    <w:rsid w:val="00CD7848"/>
    <w:rsid w:val="00CD7975"/>
    <w:rsid w:val="00CD79B9"/>
    <w:rsid w:val="00CD79CC"/>
    <w:rsid w:val="00CD79DD"/>
    <w:rsid w:val="00CD79F9"/>
    <w:rsid w:val="00CD7A03"/>
    <w:rsid w:val="00CD7A21"/>
    <w:rsid w:val="00CD7B85"/>
    <w:rsid w:val="00CD7CB6"/>
    <w:rsid w:val="00CD7CF2"/>
    <w:rsid w:val="00CD7DD0"/>
    <w:rsid w:val="00CE00C0"/>
    <w:rsid w:val="00CE02EA"/>
    <w:rsid w:val="00CE036B"/>
    <w:rsid w:val="00CE0734"/>
    <w:rsid w:val="00CE07BB"/>
    <w:rsid w:val="00CE08C4"/>
    <w:rsid w:val="00CE0C40"/>
    <w:rsid w:val="00CE0D2C"/>
    <w:rsid w:val="00CE10E7"/>
    <w:rsid w:val="00CE12F1"/>
    <w:rsid w:val="00CE15C3"/>
    <w:rsid w:val="00CE162F"/>
    <w:rsid w:val="00CE17A5"/>
    <w:rsid w:val="00CE17A8"/>
    <w:rsid w:val="00CE1891"/>
    <w:rsid w:val="00CE18E4"/>
    <w:rsid w:val="00CE18E5"/>
    <w:rsid w:val="00CE1AC2"/>
    <w:rsid w:val="00CE1B38"/>
    <w:rsid w:val="00CE1B49"/>
    <w:rsid w:val="00CE1C39"/>
    <w:rsid w:val="00CE1C4C"/>
    <w:rsid w:val="00CE1CCC"/>
    <w:rsid w:val="00CE1D2A"/>
    <w:rsid w:val="00CE1FCF"/>
    <w:rsid w:val="00CE1FE4"/>
    <w:rsid w:val="00CE21D2"/>
    <w:rsid w:val="00CE2344"/>
    <w:rsid w:val="00CE2613"/>
    <w:rsid w:val="00CE2839"/>
    <w:rsid w:val="00CE28CE"/>
    <w:rsid w:val="00CE2A5E"/>
    <w:rsid w:val="00CE2A8D"/>
    <w:rsid w:val="00CE2D3E"/>
    <w:rsid w:val="00CE2FD7"/>
    <w:rsid w:val="00CE3205"/>
    <w:rsid w:val="00CE3244"/>
    <w:rsid w:val="00CE32BD"/>
    <w:rsid w:val="00CE3597"/>
    <w:rsid w:val="00CE36EF"/>
    <w:rsid w:val="00CE3899"/>
    <w:rsid w:val="00CE38FB"/>
    <w:rsid w:val="00CE39BC"/>
    <w:rsid w:val="00CE3AE9"/>
    <w:rsid w:val="00CE3B15"/>
    <w:rsid w:val="00CE3DC6"/>
    <w:rsid w:val="00CE3EBD"/>
    <w:rsid w:val="00CE403E"/>
    <w:rsid w:val="00CE4091"/>
    <w:rsid w:val="00CE40FC"/>
    <w:rsid w:val="00CE428A"/>
    <w:rsid w:val="00CE42DE"/>
    <w:rsid w:val="00CE4378"/>
    <w:rsid w:val="00CE4497"/>
    <w:rsid w:val="00CE44DD"/>
    <w:rsid w:val="00CE4647"/>
    <w:rsid w:val="00CE46AD"/>
    <w:rsid w:val="00CE476D"/>
    <w:rsid w:val="00CE47C5"/>
    <w:rsid w:val="00CE4B97"/>
    <w:rsid w:val="00CE4BF7"/>
    <w:rsid w:val="00CE4D0D"/>
    <w:rsid w:val="00CE4D58"/>
    <w:rsid w:val="00CE4F8F"/>
    <w:rsid w:val="00CE5045"/>
    <w:rsid w:val="00CE50FD"/>
    <w:rsid w:val="00CE5A4B"/>
    <w:rsid w:val="00CE5B2B"/>
    <w:rsid w:val="00CE5BCA"/>
    <w:rsid w:val="00CE5E17"/>
    <w:rsid w:val="00CE60F8"/>
    <w:rsid w:val="00CE6116"/>
    <w:rsid w:val="00CE613B"/>
    <w:rsid w:val="00CE62B0"/>
    <w:rsid w:val="00CE62DF"/>
    <w:rsid w:val="00CE657C"/>
    <w:rsid w:val="00CE65D9"/>
    <w:rsid w:val="00CE6630"/>
    <w:rsid w:val="00CE6669"/>
    <w:rsid w:val="00CE66E5"/>
    <w:rsid w:val="00CE6CE9"/>
    <w:rsid w:val="00CE6DBB"/>
    <w:rsid w:val="00CE6E79"/>
    <w:rsid w:val="00CE6F69"/>
    <w:rsid w:val="00CE74D0"/>
    <w:rsid w:val="00CE752F"/>
    <w:rsid w:val="00CE7589"/>
    <w:rsid w:val="00CE778E"/>
    <w:rsid w:val="00CE77E3"/>
    <w:rsid w:val="00CE799D"/>
    <w:rsid w:val="00CE7C0D"/>
    <w:rsid w:val="00CE7F93"/>
    <w:rsid w:val="00CF004C"/>
    <w:rsid w:val="00CF00E3"/>
    <w:rsid w:val="00CF0243"/>
    <w:rsid w:val="00CF0536"/>
    <w:rsid w:val="00CF05B8"/>
    <w:rsid w:val="00CF05C8"/>
    <w:rsid w:val="00CF0636"/>
    <w:rsid w:val="00CF069D"/>
    <w:rsid w:val="00CF0746"/>
    <w:rsid w:val="00CF08B5"/>
    <w:rsid w:val="00CF092C"/>
    <w:rsid w:val="00CF0937"/>
    <w:rsid w:val="00CF0A1F"/>
    <w:rsid w:val="00CF0C6C"/>
    <w:rsid w:val="00CF0CA1"/>
    <w:rsid w:val="00CF0CD8"/>
    <w:rsid w:val="00CF0FDA"/>
    <w:rsid w:val="00CF111B"/>
    <w:rsid w:val="00CF14E0"/>
    <w:rsid w:val="00CF1753"/>
    <w:rsid w:val="00CF18A7"/>
    <w:rsid w:val="00CF1A43"/>
    <w:rsid w:val="00CF1DFF"/>
    <w:rsid w:val="00CF1F06"/>
    <w:rsid w:val="00CF21E0"/>
    <w:rsid w:val="00CF2315"/>
    <w:rsid w:val="00CF2384"/>
    <w:rsid w:val="00CF24E0"/>
    <w:rsid w:val="00CF2553"/>
    <w:rsid w:val="00CF2712"/>
    <w:rsid w:val="00CF282D"/>
    <w:rsid w:val="00CF2833"/>
    <w:rsid w:val="00CF2AA5"/>
    <w:rsid w:val="00CF2E7F"/>
    <w:rsid w:val="00CF303C"/>
    <w:rsid w:val="00CF3192"/>
    <w:rsid w:val="00CF31F8"/>
    <w:rsid w:val="00CF333C"/>
    <w:rsid w:val="00CF33F7"/>
    <w:rsid w:val="00CF3428"/>
    <w:rsid w:val="00CF34DC"/>
    <w:rsid w:val="00CF358F"/>
    <w:rsid w:val="00CF3600"/>
    <w:rsid w:val="00CF3710"/>
    <w:rsid w:val="00CF379A"/>
    <w:rsid w:val="00CF3CF2"/>
    <w:rsid w:val="00CF3FC4"/>
    <w:rsid w:val="00CF3FEF"/>
    <w:rsid w:val="00CF4062"/>
    <w:rsid w:val="00CF4338"/>
    <w:rsid w:val="00CF4341"/>
    <w:rsid w:val="00CF43A3"/>
    <w:rsid w:val="00CF44C1"/>
    <w:rsid w:val="00CF4668"/>
    <w:rsid w:val="00CF4735"/>
    <w:rsid w:val="00CF4838"/>
    <w:rsid w:val="00CF490F"/>
    <w:rsid w:val="00CF4946"/>
    <w:rsid w:val="00CF4BDA"/>
    <w:rsid w:val="00CF4D1C"/>
    <w:rsid w:val="00CF4FD5"/>
    <w:rsid w:val="00CF5034"/>
    <w:rsid w:val="00CF508D"/>
    <w:rsid w:val="00CF50DC"/>
    <w:rsid w:val="00CF51BB"/>
    <w:rsid w:val="00CF5220"/>
    <w:rsid w:val="00CF54E5"/>
    <w:rsid w:val="00CF5524"/>
    <w:rsid w:val="00CF555E"/>
    <w:rsid w:val="00CF572E"/>
    <w:rsid w:val="00CF594B"/>
    <w:rsid w:val="00CF5D8F"/>
    <w:rsid w:val="00CF5DF8"/>
    <w:rsid w:val="00CF5E32"/>
    <w:rsid w:val="00CF5E6E"/>
    <w:rsid w:val="00CF5EE7"/>
    <w:rsid w:val="00CF60CB"/>
    <w:rsid w:val="00CF60E0"/>
    <w:rsid w:val="00CF6263"/>
    <w:rsid w:val="00CF6301"/>
    <w:rsid w:val="00CF6421"/>
    <w:rsid w:val="00CF65AB"/>
    <w:rsid w:val="00CF68F5"/>
    <w:rsid w:val="00CF6982"/>
    <w:rsid w:val="00CF6A9D"/>
    <w:rsid w:val="00CF6C0A"/>
    <w:rsid w:val="00CF6C10"/>
    <w:rsid w:val="00CF6D0D"/>
    <w:rsid w:val="00CF6FEA"/>
    <w:rsid w:val="00CF7042"/>
    <w:rsid w:val="00CF7047"/>
    <w:rsid w:val="00CF73EB"/>
    <w:rsid w:val="00CF7594"/>
    <w:rsid w:val="00CF767B"/>
    <w:rsid w:val="00CF76EE"/>
    <w:rsid w:val="00CF7736"/>
    <w:rsid w:val="00CF77A0"/>
    <w:rsid w:val="00CF7889"/>
    <w:rsid w:val="00CF78B7"/>
    <w:rsid w:val="00CF792D"/>
    <w:rsid w:val="00CF7A04"/>
    <w:rsid w:val="00CF7A98"/>
    <w:rsid w:val="00CF7D71"/>
    <w:rsid w:val="00CF7F33"/>
    <w:rsid w:val="00D00068"/>
    <w:rsid w:val="00D002A5"/>
    <w:rsid w:val="00D00368"/>
    <w:rsid w:val="00D0047E"/>
    <w:rsid w:val="00D004C2"/>
    <w:rsid w:val="00D004C4"/>
    <w:rsid w:val="00D0060A"/>
    <w:rsid w:val="00D00A78"/>
    <w:rsid w:val="00D00AAE"/>
    <w:rsid w:val="00D00E5B"/>
    <w:rsid w:val="00D011BB"/>
    <w:rsid w:val="00D012F4"/>
    <w:rsid w:val="00D014AB"/>
    <w:rsid w:val="00D01758"/>
    <w:rsid w:val="00D0195A"/>
    <w:rsid w:val="00D01B08"/>
    <w:rsid w:val="00D01CC9"/>
    <w:rsid w:val="00D01CD2"/>
    <w:rsid w:val="00D01EB0"/>
    <w:rsid w:val="00D01F6B"/>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A45"/>
    <w:rsid w:val="00D02B70"/>
    <w:rsid w:val="00D02BC8"/>
    <w:rsid w:val="00D02C55"/>
    <w:rsid w:val="00D02CA7"/>
    <w:rsid w:val="00D02CDC"/>
    <w:rsid w:val="00D02DB5"/>
    <w:rsid w:val="00D02DE6"/>
    <w:rsid w:val="00D02FB2"/>
    <w:rsid w:val="00D0314E"/>
    <w:rsid w:val="00D03346"/>
    <w:rsid w:val="00D034D7"/>
    <w:rsid w:val="00D0350E"/>
    <w:rsid w:val="00D03595"/>
    <w:rsid w:val="00D03652"/>
    <w:rsid w:val="00D036BB"/>
    <w:rsid w:val="00D03825"/>
    <w:rsid w:val="00D039A6"/>
    <w:rsid w:val="00D03AE7"/>
    <w:rsid w:val="00D03B7A"/>
    <w:rsid w:val="00D03C6E"/>
    <w:rsid w:val="00D03C86"/>
    <w:rsid w:val="00D03D23"/>
    <w:rsid w:val="00D03DCF"/>
    <w:rsid w:val="00D03EFD"/>
    <w:rsid w:val="00D03F7A"/>
    <w:rsid w:val="00D03FE0"/>
    <w:rsid w:val="00D03FE7"/>
    <w:rsid w:val="00D0418D"/>
    <w:rsid w:val="00D04455"/>
    <w:rsid w:val="00D044A1"/>
    <w:rsid w:val="00D045C5"/>
    <w:rsid w:val="00D046B3"/>
    <w:rsid w:val="00D046BF"/>
    <w:rsid w:val="00D04818"/>
    <w:rsid w:val="00D04938"/>
    <w:rsid w:val="00D04A0E"/>
    <w:rsid w:val="00D04BB8"/>
    <w:rsid w:val="00D04C14"/>
    <w:rsid w:val="00D04D0D"/>
    <w:rsid w:val="00D04E42"/>
    <w:rsid w:val="00D051D5"/>
    <w:rsid w:val="00D05301"/>
    <w:rsid w:val="00D05302"/>
    <w:rsid w:val="00D0551A"/>
    <w:rsid w:val="00D056C1"/>
    <w:rsid w:val="00D0584E"/>
    <w:rsid w:val="00D05A6D"/>
    <w:rsid w:val="00D05A90"/>
    <w:rsid w:val="00D05DF7"/>
    <w:rsid w:val="00D05EA3"/>
    <w:rsid w:val="00D06133"/>
    <w:rsid w:val="00D062F2"/>
    <w:rsid w:val="00D06379"/>
    <w:rsid w:val="00D06427"/>
    <w:rsid w:val="00D06462"/>
    <w:rsid w:val="00D0668B"/>
    <w:rsid w:val="00D0694B"/>
    <w:rsid w:val="00D06963"/>
    <w:rsid w:val="00D06A64"/>
    <w:rsid w:val="00D06CBF"/>
    <w:rsid w:val="00D06D0B"/>
    <w:rsid w:val="00D07167"/>
    <w:rsid w:val="00D073A0"/>
    <w:rsid w:val="00D073FF"/>
    <w:rsid w:val="00D074A8"/>
    <w:rsid w:val="00D07923"/>
    <w:rsid w:val="00D07B9B"/>
    <w:rsid w:val="00D07E61"/>
    <w:rsid w:val="00D07F84"/>
    <w:rsid w:val="00D07FC5"/>
    <w:rsid w:val="00D07FC6"/>
    <w:rsid w:val="00D1032B"/>
    <w:rsid w:val="00D1034E"/>
    <w:rsid w:val="00D106E4"/>
    <w:rsid w:val="00D10775"/>
    <w:rsid w:val="00D107D4"/>
    <w:rsid w:val="00D10A8C"/>
    <w:rsid w:val="00D10C8B"/>
    <w:rsid w:val="00D1113E"/>
    <w:rsid w:val="00D111E8"/>
    <w:rsid w:val="00D11294"/>
    <w:rsid w:val="00D1149A"/>
    <w:rsid w:val="00D11A9F"/>
    <w:rsid w:val="00D11B9A"/>
    <w:rsid w:val="00D11BFC"/>
    <w:rsid w:val="00D11DB8"/>
    <w:rsid w:val="00D11EB9"/>
    <w:rsid w:val="00D11ED2"/>
    <w:rsid w:val="00D1201F"/>
    <w:rsid w:val="00D12086"/>
    <w:rsid w:val="00D1220D"/>
    <w:rsid w:val="00D12245"/>
    <w:rsid w:val="00D12267"/>
    <w:rsid w:val="00D12386"/>
    <w:rsid w:val="00D123D8"/>
    <w:rsid w:val="00D12466"/>
    <w:rsid w:val="00D1249C"/>
    <w:rsid w:val="00D124AC"/>
    <w:rsid w:val="00D1253A"/>
    <w:rsid w:val="00D125DA"/>
    <w:rsid w:val="00D125F3"/>
    <w:rsid w:val="00D12755"/>
    <w:rsid w:val="00D128E5"/>
    <w:rsid w:val="00D129BB"/>
    <w:rsid w:val="00D129DC"/>
    <w:rsid w:val="00D12A96"/>
    <w:rsid w:val="00D12AD9"/>
    <w:rsid w:val="00D12BDE"/>
    <w:rsid w:val="00D13080"/>
    <w:rsid w:val="00D130B3"/>
    <w:rsid w:val="00D132F1"/>
    <w:rsid w:val="00D13379"/>
    <w:rsid w:val="00D1339F"/>
    <w:rsid w:val="00D133C6"/>
    <w:rsid w:val="00D133E5"/>
    <w:rsid w:val="00D13478"/>
    <w:rsid w:val="00D13511"/>
    <w:rsid w:val="00D135FF"/>
    <w:rsid w:val="00D136AB"/>
    <w:rsid w:val="00D13756"/>
    <w:rsid w:val="00D13822"/>
    <w:rsid w:val="00D13851"/>
    <w:rsid w:val="00D13AB2"/>
    <w:rsid w:val="00D13B95"/>
    <w:rsid w:val="00D13BF2"/>
    <w:rsid w:val="00D13C15"/>
    <w:rsid w:val="00D13C23"/>
    <w:rsid w:val="00D13EFF"/>
    <w:rsid w:val="00D13F02"/>
    <w:rsid w:val="00D13F1B"/>
    <w:rsid w:val="00D13FF8"/>
    <w:rsid w:val="00D1404A"/>
    <w:rsid w:val="00D140C8"/>
    <w:rsid w:val="00D14124"/>
    <w:rsid w:val="00D143B9"/>
    <w:rsid w:val="00D143D5"/>
    <w:rsid w:val="00D1446B"/>
    <w:rsid w:val="00D14554"/>
    <w:rsid w:val="00D145BB"/>
    <w:rsid w:val="00D1482B"/>
    <w:rsid w:val="00D14845"/>
    <w:rsid w:val="00D1489F"/>
    <w:rsid w:val="00D148E3"/>
    <w:rsid w:val="00D14A07"/>
    <w:rsid w:val="00D14D03"/>
    <w:rsid w:val="00D14ED7"/>
    <w:rsid w:val="00D14F64"/>
    <w:rsid w:val="00D150C4"/>
    <w:rsid w:val="00D151EB"/>
    <w:rsid w:val="00D151F3"/>
    <w:rsid w:val="00D15692"/>
    <w:rsid w:val="00D15742"/>
    <w:rsid w:val="00D157B7"/>
    <w:rsid w:val="00D15945"/>
    <w:rsid w:val="00D15AE2"/>
    <w:rsid w:val="00D15F3D"/>
    <w:rsid w:val="00D1607C"/>
    <w:rsid w:val="00D16163"/>
    <w:rsid w:val="00D161DD"/>
    <w:rsid w:val="00D1621F"/>
    <w:rsid w:val="00D1647A"/>
    <w:rsid w:val="00D16596"/>
    <w:rsid w:val="00D1671D"/>
    <w:rsid w:val="00D16821"/>
    <w:rsid w:val="00D16826"/>
    <w:rsid w:val="00D168C6"/>
    <w:rsid w:val="00D16983"/>
    <w:rsid w:val="00D16AAC"/>
    <w:rsid w:val="00D16B98"/>
    <w:rsid w:val="00D16C50"/>
    <w:rsid w:val="00D16C96"/>
    <w:rsid w:val="00D16CEE"/>
    <w:rsid w:val="00D16DA1"/>
    <w:rsid w:val="00D16DD4"/>
    <w:rsid w:val="00D16DE3"/>
    <w:rsid w:val="00D16E8F"/>
    <w:rsid w:val="00D17172"/>
    <w:rsid w:val="00D1729B"/>
    <w:rsid w:val="00D17496"/>
    <w:rsid w:val="00D174C9"/>
    <w:rsid w:val="00D17705"/>
    <w:rsid w:val="00D17888"/>
    <w:rsid w:val="00D17C05"/>
    <w:rsid w:val="00D17C16"/>
    <w:rsid w:val="00D17C6E"/>
    <w:rsid w:val="00D17D97"/>
    <w:rsid w:val="00D17F55"/>
    <w:rsid w:val="00D17F73"/>
    <w:rsid w:val="00D17FAD"/>
    <w:rsid w:val="00D2034B"/>
    <w:rsid w:val="00D2044D"/>
    <w:rsid w:val="00D20509"/>
    <w:rsid w:val="00D20610"/>
    <w:rsid w:val="00D20642"/>
    <w:rsid w:val="00D2073C"/>
    <w:rsid w:val="00D20887"/>
    <w:rsid w:val="00D20921"/>
    <w:rsid w:val="00D209D4"/>
    <w:rsid w:val="00D20ACF"/>
    <w:rsid w:val="00D20C4A"/>
    <w:rsid w:val="00D20CB5"/>
    <w:rsid w:val="00D20CF7"/>
    <w:rsid w:val="00D20D09"/>
    <w:rsid w:val="00D210A0"/>
    <w:rsid w:val="00D21105"/>
    <w:rsid w:val="00D21133"/>
    <w:rsid w:val="00D21450"/>
    <w:rsid w:val="00D21548"/>
    <w:rsid w:val="00D21911"/>
    <w:rsid w:val="00D21955"/>
    <w:rsid w:val="00D219F0"/>
    <w:rsid w:val="00D21A26"/>
    <w:rsid w:val="00D21A56"/>
    <w:rsid w:val="00D21B51"/>
    <w:rsid w:val="00D21C7A"/>
    <w:rsid w:val="00D21D52"/>
    <w:rsid w:val="00D22100"/>
    <w:rsid w:val="00D22431"/>
    <w:rsid w:val="00D2257D"/>
    <w:rsid w:val="00D225A0"/>
    <w:rsid w:val="00D2260A"/>
    <w:rsid w:val="00D2261A"/>
    <w:rsid w:val="00D226D4"/>
    <w:rsid w:val="00D226DD"/>
    <w:rsid w:val="00D22731"/>
    <w:rsid w:val="00D22D28"/>
    <w:rsid w:val="00D22D76"/>
    <w:rsid w:val="00D22DC6"/>
    <w:rsid w:val="00D22F5A"/>
    <w:rsid w:val="00D22F84"/>
    <w:rsid w:val="00D23468"/>
    <w:rsid w:val="00D23518"/>
    <w:rsid w:val="00D23706"/>
    <w:rsid w:val="00D2382C"/>
    <w:rsid w:val="00D23B53"/>
    <w:rsid w:val="00D23B5F"/>
    <w:rsid w:val="00D23C5B"/>
    <w:rsid w:val="00D23EB2"/>
    <w:rsid w:val="00D23EB8"/>
    <w:rsid w:val="00D2416D"/>
    <w:rsid w:val="00D241FE"/>
    <w:rsid w:val="00D242D7"/>
    <w:rsid w:val="00D242F5"/>
    <w:rsid w:val="00D2432D"/>
    <w:rsid w:val="00D24530"/>
    <w:rsid w:val="00D25114"/>
    <w:rsid w:val="00D25123"/>
    <w:rsid w:val="00D25356"/>
    <w:rsid w:val="00D253E2"/>
    <w:rsid w:val="00D2543B"/>
    <w:rsid w:val="00D256E4"/>
    <w:rsid w:val="00D2598A"/>
    <w:rsid w:val="00D25D27"/>
    <w:rsid w:val="00D25D5A"/>
    <w:rsid w:val="00D25EFD"/>
    <w:rsid w:val="00D25F37"/>
    <w:rsid w:val="00D25F3D"/>
    <w:rsid w:val="00D25FA6"/>
    <w:rsid w:val="00D25FD0"/>
    <w:rsid w:val="00D26137"/>
    <w:rsid w:val="00D26221"/>
    <w:rsid w:val="00D26398"/>
    <w:rsid w:val="00D263A1"/>
    <w:rsid w:val="00D263EB"/>
    <w:rsid w:val="00D26450"/>
    <w:rsid w:val="00D265DA"/>
    <w:rsid w:val="00D2691D"/>
    <w:rsid w:val="00D269A0"/>
    <w:rsid w:val="00D26A5E"/>
    <w:rsid w:val="00D26C41"/>
    <w:rsid w:val="00D26CC4"/>
    <w:rsid w:val="00D26D0F"/>
    <w:rsid w:val="00D26D2C"/>
    <w:rsid w:val="00D26E07"/>
    <w:rsid w:val="00D26F66"/>
    <w:rsid w:val="00D26F85"/>
    <w:rsid w:val="00D26F9B"/>
    <w:rsid w:val="00D2737A"/>
    <w:rsid w:val="00D27477"/>
    <w:rsid w:val="00D274F6"/>
    <w:rsid w:val="00D27B1F"/>
    <w:rsid w:val="00D27B9C"/>
    <w:rsid w:val="00D27C2B"/>
    <w:rsid w:val="00D27D40"/>
    <w:rsid w:val="00D27DB0"/>
    <w:rsid w:val="00D27E1C"/>
    <w:rsid w:val="00D2AFAC"/>
    <w:rsid w:val="00D3012D"/>
    <w:rsid w:val="00D30154"/>
    <w:rsid w:val="00D301EA"/>
    <w:rsid w:val="00D30356"/>
    <w:rsid w:val="00D303A9"/>
    <w:rsid w:val="00D3040A"/>
    <w:rsid w:val="00D30487"/>
    <w:rsid w:val="00D305A5"/>
    <w:rsid w:val="00D30610"/>
    <w:rsid w:val="00D307E1"/>
    <w:rsid w:val="00D30823"/>
    <w:rsid w:val="00D30A0B"/>
    <w:rsid w:val="00D30AA3"/>
    <w:rsid w:val="00D30B83"/>
    <w:rsid w:val="00D30B97"/>
    <w:rsid w:val="00D30EDF"/>
    <w:rsid w:val="00D3102B"/>
    <w:rsid w:val="00D31122"/>
    <w:rsid w:val="00D31195"/>
    <w:rsid w:val="00D3126B"/>
    <w:rsid w:val="00D3128D"/>
    <w:rsid w:val="00D31545"/>
    <w:rsid w:val="00D317B9"/>
    <w:rsid w:val="00D317EE"/>
    <w:rsid w:val="00D319D0"/>
    <w:rsid w:val="00D31D59"/>
    <w:rsid w:val="00D31DDA"/>
    <w:rsid w:val="00D31EB6"/>
    <w:rsid w:val="00D31EF7"/>
    <w:rsid w:val="00D31F4B"/>
    <w:rsid w:val="00D31F59"/>
    <w:rsid w:val="00D320ED"/>
    <w:rsid w:val="00D32143"/>
    <w:rsid w:val="00D32152"/>
    <w:rsid w:val="00D32195"/>
    <w:rsid w:val="00D321C8"/>
    <w:rsid w:val="00D3240F"/>
    <w:rsid w:val="00D325AB"/>
    <w:rsid w:val="00D325C7"/>
    <w:rsid w:val="00D326FE"/>
    <w:rsid w:val="00D328D0"/>
    <w:rsid w:val="00D32ABD"/>
    <w:rsid w:val="00D32B08"/>
    <w:rsid w:val="00D32B5F"/>
    <w:rsid w:val="00D32BBE"/>
    <w:rsid w:val="00D32C33"/>
    <w:rsid w:val="00D32D7F"/>
    <w:rsid w:val="00D32FC9"/>
    <w:rsid w:val="00D33037"/>
    <w:rsid w:val="00D33044"/>
    <w:rsid w:val="00D330AE"/>
    <w:rsid w:val="00D333A4"/>
    <w:rsid w:val="00D334E3"/>
    <w:rsid w:val="00D3355A"/>
    <w:rsid w:val="00D335A7"/>
    <w:rsid w:val="00D33606"/>
    <w:rsid w:val="00D336C9"/>
    <w:rsid w:val="00D3374E"/>
    <w:rsid w:val="00D33765"/>
    <w:rsid w:val="00D33942"/>
    <w:rsid w:val="00D33C22"/>
    <w:rsid w:val="00D33DA6"/>
    <w:rsid w:val="00D33F64"/>
    <w:rsid w:val="00D33FAC"/>
    <w:rsid w:val="00D3419C"/>
    <w:rsid w:val="00D341D5"/>
    <w:rsid w:val="00D34268"/>
    <w:rsid w:val="00D34565"/>
    <w:rsid w:val="00D3476F"/>
    <w:rsid w:val="00D34773"/>
    <w:rsid w:val="00D34793"/>
    <w:rsid w:val="00D34938"/>
    <w:rsid w:val="00D34C16"/>
    <w:rsid w:val="00D34C9A"/>
    <w:rsid w:val="00D34E86"/>
    <w:rsid w:val="00D35090"/>
    <w:rsid w:val="00D35126"/>
    <w:rsid w:val="00D35212"/>
    <w:rsid w:val="00D3531F"/>
    <w:rsid w:val="00D354CA"/>
    <w:rsid w:val="00D356CA"/>
    <w:rsid w:val="00D357E4"/>
    <w:rsid w:val="00D3587F"/>
    <w:rsid w:val="00D35AC3"/>
    <w:rsid w:val="00D35C20"/>
    <w:rsid w:val="00D35D12"/>
    <w:rsid w:val="00D35F58"/>
    <w:rsid w:val="00D35FE0"/>
    <w:rsid w:val="00D36113"/>
    <w:rsid w:val="00D36243"/>
    <w:rsid w:val="00D36271"/>
    <w:rsid w:val="00D36279"/>
    <w:rsid w:val="00D36665"/>
    <w:rsid w:val="00D36780"/>
    <w:rsid w:val="00D3678F"/>
    <w:rsid w:val="00D367C3"/>
    <w:rsid w:val="00D36BBC"/>
    <w:rsid w:val="00D36EE4"/>
    <w:rsid w:val="00D36F6D"/>
    <w:rsid w:val="00D36FE5"/>
    <w:rsid w:val="00D370FD"/>
    <w:rsid w:val="00D3718C"/>
    <w:rsid w:val="00D3722D"/>
    <w:rsid w:val="00D3727E"/>
    <w:rsid w:val="00D372CE"/>
    <w:rsid w:val="00D372D4"/>
    <w:rsid w:val="00D37523"/>
    <w:rsid w:val="00D37556"/>
    <w:rsid w:val="00D37749"/>
    <w:rsid w:val="00D3792F"/>
    <w:rsid w:val="00D3798B"/>
    <w:rsid w:val="00D379A6"/>
    <w:rsid w:val="00D37DA7"/>
    <w:rsid w:val="00D37F27"/>
    <w:rsid w:val="00D37F2C"/>
    <w:rsid w:val="00D37FE0"/>
    <w:rsid w:val="00D4002B"/>
    <w:rsid w:val="00D40123"/>
    <w:rsid w:val="00D406C9"/>
    <w:rsid w:val="00D4083A"/>
    <w:rsid w:val="00D4091E"/>
    <w:rsid w:val="00D40BCB"/>
    <w:rsid w:val="00D40C1F"/>
    <w:rsid w:val="00D40CEF"/>
    <w:rsid w:val="00D40CF5"/>
    <w:rsid w:val="00D40EA8"/>
    <w:rsid w:val="00D40F05"/>
    <w:rsid w:val="00D40F7D"/>
    <w:rsid w:val="00D40F7F"/>
    <w:rsid w:val="00D410AD"/>
    <w:rsid w:val="00D410BB"/>
    <w:rsid w:val="00D413BD"/>
    <w:rsid w:val="00D415A5"/>
    <w:rsid w:val="00D416F7"/>
    <w:rsid w:val="00D4177F"/>
    <w:rsid w:val="00D41A03"/>
    <w:rsid w:val="00D41A22"/>
    <w:rsid w:val="00D41A68"/>
    <w:rsid w:val="00D41B8A"/>
    <w:rsid w:val="00D41C38"/>
    <w:rsid w:val="00D41EB4"/>
    <w:rsid w:val="00D41F1E"/>
    <w:rsid w:val="00D421DD"/>
    <w:rsid w:val="00D42381"/>
    <w:rsid w:val="00D423A9"/>
    <w:rsid w:val="00D4249A"/>
    <w:rsid w:val="00D4252C"/>
    <w:rsid w:val="00D4258B"/>
    <w:rsid w:val="00D42727"/>
    <w:rsid w:val="00D427FD"/>
    <w:rsid w:val="00D4282C"/>
    <w:rsid w:val="00D429EF"/>
    <w:rsid w:val="00D42BED"/>
    <w:rsid w:val="00D42D29"/>
    <w:rsid w:val="00D42F6F"/>
    <w:rsid w:val="00D43074"/>
    <w:rsid w:val="00D4314C"/>
    <w:rsid w:val="00D432D8"/>
    <w:rsid w:val="00D43374"/>
    <w:rsid w:val="00D433F8"/>
    <w:rsid w:val="00D43456"/>
    <w:rsid w:val="00D43568"/>
    <w:rsid w:val="00D435D4"/>
    <w:rsid w:val="00D43796"/>
    <w:rsid w:val="00D43846"/>
    <w:rsid w:val="00D43A28"/>
    <w:rsid w:val="00D43C69"/>
    <w:rsid w:val="00D43D4A"/>
    <w:rsid w:val="00D43F90"/>
    <w:rsid w:val="00D4418E"/>
    <w:rsid w:val="00D441BA"/>
    <w:rsid w:val="00D4427C"/>
    <w:rsid w:val="00D44487"/>
    <w:rsid w:val="00D44539"/>
    <w:rsid w:val="00D44562"/>
    <w:rsid w:val="00D44684"/>
    <w:rsid w:val="00D446FB"/>
    <w:rsid w:val="00D44836"/>
    <w:rsid w:val="00D44849"/>
    <w:rsid w:val="00D448D7"/>
    <w:rsid w:val="00D44913"/>
    <w:rsid w:val="00D449B5"/>
    <w:rsid w:val="00D44AC6"/>
    <w:rsid w:val="00D44B0E"/>
    <w:rsid w:val="00D44CA1"/>
    <w:rsid w:val="00D44DB0"/>
    <w:rsid w:val="00D44E25"/>
    <w:rsid w:val="00D44E3B"/>
    <w:rsid w:val="00D44F03"/>
    <w:rsid w:val="00D44F73"/>
    <w:rsid w:val="00D44FAA"/>
    <w:rsid w:val="00D44FCC"/>
    <w:rsid w:val="00D45065"/>
    <w:rsid w:val="00D4512B"/>
    <w:rsid w:val="00D45311"/>
    <w:rsid w:val="00D453A7"/>
    <w:rsid w:val="00D4548B"/>
    <w:rsid w:val="00D45521"/>
    <w:rsid w:val="00D45575"/>
    <w:rsid w:val="00D45771"/>
    <w:rsid w:val="00D458DE"/>
    <w:rsid w:val="00D45AE5"/>
    <w:rsid w:val="00D45C17"/>
    <w:rsid w:val="00D460A0"/>
    <w:rsid w:val="00D46137"/>
    <w:rsid w:val="00D46223"/>
    <w:rsid w:val="00D46278"/>
    <w:rsid w:val="00D46333"/>
    <w:rsid w:val="00D46445"/>
    <w:rsid w:val="00D464F1"/>
    <w:rsid w:val="00D4661D"/>
    <w:rsid w:val="00D466FB"/>
    <w:rsid w:val="00D4682E"/>
    <w:rsid w:val="00D4698A"/>
    <w:rsid w:val="00D46B23"/>
    <w:rsid w:val="00D46C2F"/>
    <w:rsid w:val="00D46D27"/>
    <w:rsid w:val="00D46E01"/>
    <w:rsid w:val="00D46E92"/>
    <w:rsid w:val="00D46ECB"/>
    <w:rsid w:val="00D47170"/>
    <w:rsid w:val="00D4717A"/>
    <w:rsid w:val="00D47181"/>
    <w:rsid w:val="00D471F1"/>
    <w:rsid w:val="00D47294"/>
    <w:rsid w:val="00D47317"/>
    <w:rsid w:val="00D47583"/>
    <w:rsid w:val="00D477BE"/>
    <w:rsid w:val="00D477FE"/>
    <w:rsid w:val="00D479C3"/>
    <w:rsid w:val="00D47A02"/>
    <w:rsid w:val="00D47AA0"/>
    <w:rsid w:val="00D47B48"/>
    <w:rsid w:val="00D47B86"/>
    <w:rsid w:val="00D5002C"/>
    <w:rsid w:val="00D50186"/>
    <w:rsid w:val="00D502F8"/>
    <w:rsid w:val="00D5038B"/>
    <w:rsid w:val="00D50705"/>
    <w:rsid w:val="00D5080E"/>
    <w:rsid w:val="00D50AA0"/>
    <w:rsid w:val="00D50DF9"/>
    <w:rsid w:val="00D50ECF"/>
    <w:rsid w:val="00D50EDE"/>
    <w:rsid w:val="00D50F04"/>
    <w:rsid w:val="00D50F49"/>
    <w:rsid w:val="00D50FE1"/>
    <w:rsid w:val="00D510F8"/>
    <w:rsid w:val="00D51202"/>
    <w:rsid w:val="00D51275"/>
    <w:rsid w:val="00D51362"/>
    <w:rsid w:val="00D51548"/>
    <w:rsid w:val="00D5161E"/>
    <w:rsid w:val="00D51832"/>
    <w:rsid w:val="00D5183B"/>
    <w:rsid w:val="00D5188C"/>
    <w:rsid w:val="00D51929"/>
    <w:rsid w:val="00D5197B"/>
    <w:rsid w:val="00D51AD5"/>
    <w:rsid w:val="00D51B8D"/>
    <w:rsid w:val="00D51CE7"/>
    <w:rsid w:val="00D51CF4"/>
    <w:rsid w:val="00D51D1E"/>
    <w:rsid w:val="00D51FFE"/>
    <w:rsid w:val="00D522BC"/>
    <w:rsid w:val="00D52380"/>
    <w:rsid w:val="00D523C3"/>
    <w:rsid w:val="00D5256C"/>
    <w:rsid w:val="00D5262B"/>
    <w:rsid w:val="00D527E4"/>
    <w:rsid w:val="00D52B49"/>
    <w:rsid w:val="00D52D54"/>
    <w:rsid w:val="00D52DFA"/>
    <w:rsid w:val="00D52FD6"/>
    <w:rsid w:val="00D532EE"/>
    <w:rsid w:val="00D535AF"/>
    <w:rsid w:val="00D5365B"/>
    <w:rsid w:val="00D537C0"/>
    <w:rsid w:val="00D537D1"/>
    <w:rsid w:val="00D53B7A"/>
    <w:rsid w:val="00D53B7D"/>
    <w:rsid w:val="00D53BBE"/>
    <w:rsid w:val="00D53C6E"/>
    <w:rsid w:val="00D53FBD"/>
    <w:rsid w:val="00D54041"/>
    <w:rsid w:val="00D54495"/>
    <w:rsid w:val="00D544F4"/>
    <w:rsid w:val="00D54552"/>
    <w:rsid w:val="00D54664"/>
    <w:rsid w:val="00D54687"/>
    <w:rsid w:val="00D546EE"/>
    <w:rsid w:val="00D5471C"/>
    <w:rsid w:val="00D5477D"/>
    <w:rsid w:val="00D54858"/>
    <w:rsid w:val="00D54868"/>
    <w:rsid w:val="00D549BE"/>
    <w:rsid w:val="00D549DF"/>
    <w:rsid w:val="00D54C52"/>
    <w:rsid w:val="00D54DB5"/>
    <w:rsid w:val="00D54E0E"/>
    <w:rsid w:val="00D54F76"/>
    <w:rsid w:val="00D5528C"/>
    <w:rsid w:val="00D553A1"/>
    <w:rsid w:val="00D5560D"/>
    <w:rsid w:val="00D558A7"/>
    <w:rsid w:val="00D559CD"/>
    <w:rsid w:val="00D55A5A"/>
    <w:rsid w:val="00D55ABF"/>
    <w:rsid w:val="00D55B86"/>
    <w:rsid w:val="00D55E32"/>
    <w:rsid w:val="00D56063"/>
    <w:rsid w:val="00D56388"/>
    <w:rsid w:val="00D56400"/>
    <w:rsid w:val="00D5661D"/>
    <w:rsid w:val="00D5666F"/>
    <w:rsid w:val="00D566A5"/>
    <w:rsid w:val="00D566E1"/>
    <w:rsid w:val="00D566EC"/>
    <w:rsid w:val="00D56A68"/>
    <w:rsid w:val="00D56C4C"/>
    <w:rsid w:val="00D56DDF"/>
    <w:rsid w:val="00D56E06"/>
    <w:rsid w:val="00D56F4E"/>
    <w:rsid w:val="00D57010"/>
    <w:rsid w:val="00D5703A"/>
    <w:rsid w:val="00D57069"/>
    <w:rsid w:val="00D570C6"/>
    <w:rsid w:val="00D57176"/>
    <w:rsid w:val="00D5721F"/>
    <w:rsid w:val="00D573CD"/>
    <w:rsid w:val="00D5744C"/>
    <w:rsid w:val="00D5747D"/>
    <w:rsid w:val="00D57515"/>
    <w:rsid w:val="00D57578"/>
    <w:rsid w:val="00D5773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437"/>
    <w:rsid w:val="00D6046A"/>
    <w:rsid w:val="00D60550"/>
    <w:rsid w:val="00D60569"/>
    <w:rsid w:val="00D60572"/>
    <w:rsid w:val="00D6058D"/>
    <w:rsid w:val="00D607E6"/>
    <w:rsid w:val="00D60823"/>
    <w:rsid w:val="00D60896"/>
    <w:rsid w:val="00D60944"/>
    <w:rsid w:val="00D60AF5"/>
    <w:rsid w:val="00D60B8F"/>
    <w:rsid w:val="00D60D43"/>
    <w:rsid w:val="00D60D55"/>
    <w:rsid w:val="00D60DB5"/>
    <w:rsid w:val="00D60F4A"/>
    <w:rsid w:val="00D60FD8"/>
    <w:rsid w:val="00D612B4"/>
    <w:rsid w:val="00D61341"/>
    <w:rsid w:val="00D61373"/>
    <w:rsid w:val="00D6141A"/>
    <w:rsid w:val="00D61683"/>
    <w:rsid w:val="00D6176A"/>
    <w:rsid w:val="00D61788"/>
    <w:rsid w:val="00D61987"/>
    <w:rsid w:val="00D619AF"/>
    <w:rsid w:val="00D61A29"/>
    <w:rsid w:val="00D61A2A"/>
    <w:rsid w:val="00D61AE7"/>
    <w:rsid w:val="00D61B98"/>
    <w:rsid w:val="00D61BE0"/>
    <w:rsid w:val="00D61C32"/>
    <w:rsid w:val="00D61DDC"/>
    <w:rsid w:val="00D61DE9"/>
    <w:rsid w:val="00D6213F"/>
    <w:rsid w:val="00D62169"/>
    <w:rsid w:val="00D6220D"/>
    <w:rsid w:val="00D622B4"/>
    <w:rsid w:val="00D6230E"/>
    <w:rsid w:val="00D624B6"/>
    <w:rsid w:val="00D625F6"/>
    <w:rsid w:val="00D62708"/>
    <w:rsid w:val="00D627DC"/>
    <w:rsid w:val="00D62ABE"/>
    <w:rsid w:val="00D62AE8"/>
    <w:rsid w:val="00D62BF9"/>
    <w:rsid w:val="00D62DB1"/>
    <w:rsid w:val="00D62EC7"/>
    <w:rsid w:val="00D62F70"/>
    <w:rsid w:val="00D62FC1"/>
    <w:rsid w:val="00D62FFA"/>
    <w:rsid w:val="00D6304B"/>
    <w:rsid w:val="00D631F8"/>
    <w:rsid w:val="00D63358"/>
    <w:rsid w:val="00D634B3"/>
    <w:rsid w:val="00D636FC"/>
    <w:rsid w:val="00D637F5"/>
    <w:rsid w:val="00D63833"/>
    <w:rsid w:val="00D63905"/>
    <w:rsid w:val="00D63A2A"/>
    <w:rsid w:val="00D63B01"/>
    <w:rsid w:val="00D63D2D"/>
    <w:rsid w:val="00D63E6B"/>
    <w:rsid w:val="00D63EA7"/>
    <w:rsid w:val="00D64157"/>
    <w:rsid w:val="00D6424A"/>
    <w:rsid w:val="00D64406"/>
    <w:rsid w:val="00D64480"/>
    <w:rsid w:val="00D644D8"/>
    <w:rsid w:val="00D64528"/>
    <w:rsid w:val="00D64541"/>
    <w:rsid w:val="00D6471F"/>
    <w:rsid w:val="00D6480F"/>
    <w:rsid w:val="00D6498E"/>
    <w:rsid w:val="00D64DE2"/>
    <w:rsid w:val="00D64F1C"/>
    <w:rsid w:val="00D64F56"/>
    <w:rsid w:val="00D6510D"/>
    <w:rsid w:val="00D65201"/>
    <w:rsid w:val="00D6520B"/>
    <w:rsid w:val="00D652DE"/>
    <w:rsid w:val="00D652FB"/>
    <w:rsid w:val="00D653FC"/>
    <w:rsid w:val="00D65406"/>
    <w:rsid w:val="00D65584"/>
    <w:rsid w:val="00D65637"/>
    <w:rsid w:val="00D659A5"/>
    <w:rsid w:val="00D65D17"/>
    <w:rsid w:val="00D65D19"/>
    <w:rsid w:val="00D65F58"/>
    <w:rsid w:val="00D6615C"/>
    <w:rsid w:val="00D66265"/>
    <w:rsid w:val="00D66541"/>
    <w:rsid w:val="00D6656A"/>
    <w:rsid w:val="00D6662B"/>
    <w:rsid w:val="00D66A8A"/>
    <w:rsid w:val="00D66ABE"/>
    <w:rsid w:val="00D66D82"/>
    <w:rsid w:val="00D6707C"/>
    <w:rsid w:val="00D67356"/>
    <w:rsid w:val="00D6755C"/>
    <w:rsid w:val="00D67928"/>
    <w:rsid w:val="00D67A90"/>
    <w:rsid w:val="00D67AE1"/>
    <w:rsid w:val="00D67C3E"/>
    <w:rsid w:val="00D67CDE"/>
    <w:rsid w:val="00D67D3A"/>
    <w:rsid w:val="00D67D8C"/>
    <w:rsid w:val="00D67E5F"/>
    <w:rsid w:val="00D701FF"/>
    <w:rsid w:val="00D7025A"/>
    <w:rsid w:val="00D70329"/>
    <w:rsid w:val="00D70448"/>
    <w:rsid w:val="00D70479"/>
    <w:rsid w:val="00D704B7"/>
    <w:rsid w:val="00D704FB"/>
    <w:rsid w:val="00D70604"/>
    <w:rsid w:val="00D7085C"/>
    <w:rsid w:val="00D70B0E"/>
    <w:rsid w:val="00D70BBB"/>
    <w:rsid w:val="00D70E61"/>
    <w:rsid w:val="00D70EA2"/>
    <w:rsid w:val="00D70EF8"/>
    <w:rsid w:val="00D70FEC"/>
    <w:rsid w:val="00D70FF0"/>
    <w:rsid w:val="00D711E7"/>
    <w:rsid w:val="00D71240"/>
    <w:rsid w:val="00D71247"/>
    <w:rsid w:val="00D71278"/>
    <w:rsid w:val="00D714D0"/>
    <w:rsid w:val="00D71563"/>
    <w:rsid w:val="00D71586"/>
    <w:rsid w:val="00D715BB"/>
    <w:rsid w:val="00D717D8"/>
    <w:rsid w:val="00D71805"/>
    <w:rsid w:val="00D71821"/>
    <w:rsid w:val="00D7184D"/>
    <w:rsid w:val="00D718E0"/>
    <w:rsid w:val="00D71B76"/>
    <w:rsid w:val="00D71BA8"/>
    <w:rsid w:val="00D71D96"/>
    <w:rsid w:val="00D71DC8"/>
    <w:rsid w:val="00D71DDC"/>
    <w:rsid w:val="00D71EC2"/>
    <w:rsid w:val="00D720C8"/>
    <w:rsid w:val="00D72166"/>
    <w:rsid w:val="00D721E6"/>
    <w:rsid w:val="00D724E7"/>
    <w:rsid w:val="00D72542"/>
    <w:rsid w:val="00D72613"/>
    <w:rsid w:val="00D72722"/>
    <w:rsid w:val="00D729B8"/>
    <w:rsid w:val="00D72B99"/>
    <w:rsid w:val="00D72C21"/>
    <w:rsid w:val="00D72C63"/>
    <w:rsid w:val="00D732C4"/>
    <w:rsid w:val="00D73333"/>
    <w:rsid w:val="00D73338"/>
    <w:rsid w:val="00D733B4"/>
    <w:rsid w:val="00D73460"/>
    <w:rsid w:val="00D734C5"/>
    <w:rsid w:val="00D7361A"/>
    <w:rsid w:val="00D736DC"/>
    <w:rsid w:val="00D7399A"/>
    <w:rsid w:val="00D73B8E"/>
    <w:rsid w:val="00D73BF2"/>
    <w:rsid w:val="00D73D10"/>
    <w:rsid w:val="00D73DB1"/>
    <w:rsid w:val="00D73E97"/>
    <w:rsid w:val="00D74163"/>
    <w:rsid w:val="00D7422A"/>
    <w:rsid w:val="00D7424A"/>
    <w:rsid w:val="00D74373"/>
    <w:rsid w:val="00D743CF"/>
    <w:rsid w:val="00D7474F"/>
    <w:rsid w:val="00D748D5"/>
    <w:rsid w:val="00D74B89"/>
    <w:rsid w:val="00D74C24"/>
    <w:rsid w:val="00D74C66"/>
    <w:rsid w:val="00D74E29"/>
    <w:rsid w:val="00D74E62"/>
    <w:rsid w:val="00D75250"/>
    <w:rsid w:val="00D752DD"/>
    <w:rsid w:val="00D75394"/>
    <w:rsid w:val="00D753F9"/>
    <w:rsid w:val="00D75490"/>
    <w:rsid w:val="00D7552D"/>
    <w:rsid w:val="00D75598"/>
    <w:rsid w:val="00D75683"/>
    <w:rsid w:val="00D75692"/>
    <w:rsid w:val="00D758C5"/>
    <w:rsid w:val="00D75904"/>
    <w:rsid w:val="00D75AB7"/>
    <w:rsid w:val="00D75ADC"/>
    <w:rsid w:val="00D75DB4"/>
    <w:rsid w:val="00D75E3A"/>
    <w:rsid w:val="00D75EB9"/>
    <w:rsid w:val="00D75EF4"/>
    <w:rsid w:val="00D76131"/>
    <w:rsid w:val="00D7614D"/>
    <w:rsid w:val="00D7621A"/>
    <w:rsid w:val="00D7629C"/>
    <w:rsid w:val="00D76327"/>
    <w:rsid w:val="00D7637A"/>
    <w:rsid w:val="00D76432"/>
    <w:rsid w:val="00D76450"/>
    <w:rsid w:val="00D768F1"/>
    <w:rsid w:val="00D7693C"/>
    <w:rsid w:val="00D76B99"/>
    <w:rsid w:val="00D76CD6"/>
    <w:rsid w:val="00D76CD9"/>
    <w:rsid w:val="00D76D44"/>
    <w:rsid w:val="00D76F03"/>
    <w:rsid w:val="00D7714E"/>
    <w:rsid w:val="00D77155"/>
    <w:rsid w:val="00D7732B"/>
    <w:rsid w:val="00D77370"/>
    <w:rsid w:val="00D77712"/>
    <w:rsid w:val="00D7771F"/>
    <w:rsid w:val="00D777ED"/>
    <w:rsid w:val="00D7788B"/>
    <w:rsid w:val="00D7791A"/>
    <w:rsid w:val="00D77A20"/>
    <w:rsid w:val="00D77A8E"/>
    <w:rsid w:val="00D77AF5"/>
    <w:rsid w:val="00D77B32"/>
    <w:rsid w:val="00D77D2C"/>
    <w:rsid w:val="00D77DF6"/>
    <w:rsid w:val="00D77FDA"/>
    <w:rsid w:val="00D8010C"/>
    <w:rsid w:val="00D80157"/>
    <w:rsid w:val="00D8015A"/>
    <w:rsid w:val="00D80442"/>
    <w:rsid w:val="00D80457"/>
    <w:rsid w:val="00D80472"/>
    <w:rsid w:val="00D80498"/>
    <w:rsid w:val="00D805AC"/>
    <w:rsid w:val="00D80724"/>
    <w:rsid w:val="00D80781"/>
    <w:rsid w:val="00D807E3"/>
    <w:rsid w:val="00D809F5"/>
    <w:rsid w:val="00D80A80"/>
    <w:rsid w:val="00D80BB2"/>
    <w:rsid w:val="00D80C57"/>
    <w:rsid w:val="00D80DA6"/>
    <w:rsid w:val="00D80E39"/>
    <w:rsid w:val="00D80EFF"/>
    <w:rsid w:val="00D81223"/>
    <w:rsid w:val="00D81316"/>
    <w:rsid w:val="00D8137B"/>
    <w:rsid w:val="00D81392"/>
    <w:rsid w:val="00D815B7"/>
    <w:rsid w:val="00D817DB"/>
    <w:rsid w:val="00D8195E"/>
    <w:rsid w:val="00D81D02"/>
    <w:rsid w:val="00D81D69"/>
    <w:rsid w:val="00D81E7D"/>
    <w:rsid w:val="00D82248"/>
    <w:rsid w:val="00D8242F"/>
    <w:rsid w:val="00D8245E"/>
    <w:rsid w:val="00D824D3"/>
    <w:rsid w:val="00D82922"/>
    <w:rsid w:val="00D82B14"/>
    <w:rsid w:val="00D82B2C"/>
    <w:rsid w:val="00D82B9D"/>
    <w:rsid w:val="00D82C06"/>
    <w:rsid w:val="00D82D5C"/>
    <w:rsid w:val="00D830A8"/>
    <w:rsid w:val="00D83144"/>
    <w:rsid w:val="00D831FE"/>
    <w:rsid w:val="00D83208"/>
    <w:rsid w:val="00D83275"/>
    <w:rsid w:val="00D8342A"/>
    <w:rsid w:val="00D835C2"/>
    <w:rsid w:val="00D8360F"/>
    <w:rsid w:val="00D83852"/>
    <w:rsid w:val="00D8393C"/>
    <w:rsid w:val="00D83ABD"/>
    <w:rsid w:val="00D83C09"/>
    <w:rsid w:val="00D83CF2"/>
    <w:rsid w:val="00D83D72"/>
    <w:rsid w:val="00D842AF"/>
    <w:rsid w:val="00D8435C"/>
    <w:rsid w:val="00D843E4"/>
    <w:rsid w:val="00D84520"/>
    <w:rsid w:val="00D84536"/>
    <w:rsid w:val="00D847A7"/>
    <w:rsid w:val="00D8495C"/>
    <w:rsid w:val="00D84B26"/>
    <w:rsid w:val="00D84B4D"/>
    <w:rsid w:val="00D84BC9"/>
    <w:rsid w:val="00D84D4E"/>
    <w:rsid w:val="00D85095"/>
    <w:rsid w:val="00D851BC"/>
    <w:rsid w:val="00D85332"/>
    <w:rsid w:val="00D8533F"/>
    <w:rsid w:val="00D853C2"/>
    <w:rsid w:val="00D85446"/>
    <w:rsid w:val="00D856E2"/>
    <w:rsid w:val="00D857E3"/>
    <w:rsid w:val="00D85861"/>
    <w:rsid w:val="00D85911"/>
    <w:rsid w:val="00D85912"/>
    <w:rsid w:val="00D859A1"/>
    <w:rsid w:val="00D85A6E"/>
    <w:rsid w:val="00D85ACB"/>
    <w:rsid w:val="00D85AEB"/>
    <w:rsid w:val="00D85C0D"/>
    <w:rsid w:val="00D85C51"/>
    <w:rsid w:val="00D85D44"/>
    <w:rsid w:val="00D85E55"/>
    <w:rsid w:val="00D85FCD"/>
    <w:rsid w:val="00D8626A"/>
    <w:rsid w:val="00D863A8"/>
    <w:rsid w:val="00D865C3"/>
    <w:rsid w:val="00D865D2"/>
    <w:rsid w:val="00D866BC"/>
    <w:rsid w:val="00D866E4"/>
    <w:rsid w:val="00D8674E"/>
    <w:rsid w:val="00D867BB"/>
    <w:rsid w:val="00D8691B"/>
    <w:rsid w:val="00D86B39"/>
    <w:rsid w:val="00D86BD0"/>
    <w:rsid w:val="00D86BFC"/>
    <w:rsid w:val="00D86C65"/>
    <w:rsid w:val="00D86CB3"/>
    <w:rsid w:val="00D86E80"/>
    <w:rsid w:val="00D86E9F"/>
    <w:rsid w:val="00D86FAA"/>
    <w:rsid w:val="00D86FB8"/>
    <w:rsid w:val="00D8701B"/>
    <w:rsid w:val="00D8705B"/>
    <w:rsid w:val="00D8708D"/>
    <w:rsid w:val="00D87161"/>
    <w:rsid w:val="00D871EB"/>
    <w:rsid w:val="00D87233"/>
    <w:rsid w:val="00D8726A"/>
    <w:rsid w:val="00D87461"/>
    <w:rsid w:val="00D874E1"/>
    <w:rsid w:val="00D875A6"/>
    <w:rsid w:val="00D876DA"/>
    <w:rsid w:val="00D878EF"/>
    <w:rsid w:val="00D879E9"/>
    <w:rsid w:val="00D87A30"/>
    <w:rsid w:val="00D87C59"/>
    <w:rsid w:val="00D87DA3"/>
    <w:rsid w:val="00D87F2E"/>
    <w:rsid w:val="00D87F55"/>
    <w:rsid w:val="00D90043"/>
    <w:rsid w:val="00D90221"/>
    <w:rsid w:val="00D90246"/>
    <w:rsid w:val="00D9053E"/>
    <w:rsid w:val="00D90986"/>
    <w:rsid w:val="00D90A5E"/>
    <w:rsid w:val="00D90C79"/>
    <w:rsid w:val="00D90F61"/>
    <w:rsid w:val="00D90FC0"/>
    <w:rsid w:val="00D9107E"/>
    <w:rsid w:val="00D910DF"/>
    <w:rsid w:val="00D9129E"/>
    <w:rsid w:val="00D91473"/>
    <w:rsid w:val="00D91498"/>
    <w:rsid w:val="00D91510"/>
    <w:rsid w:val="00D91591"/>
    <w:rsid w:val="00D91596"/>
    <w:rsid w:val="00D915C9"/>
    <w:rsid w:val="00D915E4"/>
    <w:rsid w:val="00D91768"/>
    <w:rsid w:val="00D917E4"/>
    <w:rsid w:val="00D917F2"/>
    <w:rsid w:val="00D91964"/>
    <w:rsid w:val="00D91A27"/>
    <w:rsid w:val="00D91ACA"/>
    <w:rsid w:val="00D91C91"/>
    <w:rsid w:val="00D91DF8"/>
    <w:rsid w:val="00D91EC3"/>
    <w:rsid w:val="00D91F90"/>
    <w:rsid w:val="00D92174"/>
    <w:rsid w:val="00D9247C"/>
    <w:rsid w:val="00D926D3"/>
    <w:rsid w:val="00D929A8"/>
    <w:rsid w:val="00D92AA2"/>
    <w:rsid w:val="00D92E81"/>
    <w:rsid w:val="00D93097"/>
    <w:rsid w:val="00D9311D"/>
    <w:rsid w:val="00D93280"/>
    <w:rsid w:val="00D93368"/>
    <w:rsid w:val="00D93404"/>
    <w:rsid w:val="00D935D4"/>
    <w:rsid w:val="00D9374C"/>
    <w:rsid w:val="00D937FA"/>
    <w:rsid w:val="00D9381D"/>
    <w:rsid w:val="00D9383B"/>
    <w:rsid w:val="00D938E6"/>
    <w:rsid w:val="00D938F0"/>
    <w:rsid w:val="00D939FB"/>
    <w:rsid w:val="00D93AE3"/>
    <w:rsid w:val="00D94049"/>
    <w:rsid w:val="00D940A2"/>
    <w:rsid w:val="00D940F2"/>
    <w:rsid w:val="00D94372"/>
    <w:rsid w:val="00D943E9"/>
    <w:rsid w:val="00D944A3"/>
    <w:rsid w:val="00D9473E"/>
    <w:rsid w:val="00D9483B"/>
    <w:rsid w:val="00D94890"/>
    <w:rsid w:val="00D948E2"/>
    <w:rsid w:val="00D94AA0"/>
    <w:rsid w:val="00D94B63"/>
    <w:rsid w:val="00D94C03"/>
    <w:rsid w:val="00D94CAB"/>
    <w:rsid w:val="00D94D7C"/>
    <w:rsid w:val="00D94DCD"/>
    <w:rsid w:val="00D94F28"/>
    <w:rsid w:val="00D95066"/>
    <w:rsid w:val="00D951B2"/>
    <w:rsid w:val="00D951FF"/>
    <w:rsid w:val="00D95391"/>
    <w:rsid w:val="00D958D3"/>
    <w:rsid w:val="00D958E4"/>
    <w:rsid w:val="00D95CA4"/>
    <w:rsid w:val="00D95D09"/>
    <w:rsid w:val="00D95FBC"/>
    <w:rsid w:val="00D96234"/>
    <w:rsid w:val="00D9624F"/>
    <w:rsid w:val="00D966EA"/>
    <w:rsid w:val="00D96951"/>
    <w:rsid w:val="00D96B22"/>
    <w:rsid w:val="00D96C53"/>
    <w:rsid w:val="00D96CAE"/>
    <w:rsid w:val="00D96CC6"/>
    <w:rsid w:val="00D96D01"/>
    <w:rsid w:val="00D96D24"/>
    <w:rsid w:val="00D96EF1"/>
    <w:rsid w:val="00D96EFF"/>
    <w:rsid w:val="00D96F1E"/>
    <w:rsid w:val="00D970D8"/>
    <w:rsid w:val="00D97248"/>
    <w:rsid w:val="00D97251"/>
    <w:rsid w:val="00D972A9"/>
    <w:rsid w:val="00D972AB"/>
    <w:rsid w:val="00D97328"/>
    <w:rsid w:val="00D97361"/>
    <w:rsid w:val="00D975F3"/>
    <w:rsid w:val="00D976E2"/>
    <w:rsid w:val="00D978D8"/>
    <w:rsid w:val="00D97998"/>
    <w:rsid w:val="00D979F0"/>
    <w:rsid w:val="00D97AD0"/>
    <w:rsid w:val="00D97B2B"/>
    <w:rsid w:val="00D97C59"/>
    <w:rsid w:val="00D97CCF"/>
    <w:rsid w:val="00D97D70"/>
    <w:rsid w:val="00D97E1C"/>
    <w:rsid w:val="00D97F40"/>
    <w:rsid w:val="00D97F96"/>
    <w:rsid w:val="00DA0176"/>
    <w:rsid w:val="00DA0276"/>
    <w:rsid w:val="00DA0509"/>
    <w:rsid w:val="00DA0521"/>
    <w:rsid w:val="00DA0695"/>
    <w:rsid w:val="00DA079F"/>
    <w:rsid w:val="00DA0829"/>
    <w:rsid w:val="00DA0B38"/>
    <w:rsid w:val="00DA0B73"/>
    <w:rsid w:val="00DA0E5E"/>
    <w:rsid w:val="00DA0E6E"/>
    <w:rsid w:val="00DA0EE4"/>
    <w:rsid w:val="00DA0F4C"/>
    <w:rsid w:val="00DA1026"/>
    <w:rsid w:val="00DA13CB"/>
    <w:rsid w:val="00DA15F5"/>
    <w:rsid w:val="00DA1725"/>
    <w:rsid w:val="00DA181F"/>
    <w:rsid w:val="00DA1865"/>
    <w:rsid w:val="00DA19A2"/>
    <w:rsid w:val="00DA1A58"/>
    <w:rsid w:val="00DA1B2E"/>
    <w:rsid w:val="00DA1C6E"/>
    <w:rsid w:val="00DA1E08"/>
    <w:rsid w:val="00DA1EC3"/>
    <w:rsid w:val="00DA1F0F"/>
    <w:rsid w:val="00DA2024"/>
    <w:rsid w:val="00DA2090"/>
    <w:rsid w:val="00DA2111"/>
    <w:rsid w:val="00DA23DE"/>
    <w:rsid w:val="00DA2463"/>
    <w:rsid w:val="00DA250B"/>
    <w:rsid w:val="00DA2562"/>
    <w:rsid w:val="00DA2567"/>
    <w:rsid w:val="00DA2621"/>
    <w:rsid w:val="00DA267E"/>
    <w:rsid w:val="00DA2870"/>
    <w:rsid w:val="00DA2896"/>
    <w:rsid w:val="00DA291D"/>
    <w:rsid w:val="00DA296C"/>
    <w:rsid w:val="00DA298F"/>
    <w:rsid w:val="00DA2D9D"/>
    <w:rsid w:val="00DA2E05"/>
    <w:rsid w:val="00DA2F6E"/>
    <w:rsid w:val="00DA30F4"/>
    <w:rsid w:val="00DA31DA"/>
    <w:rsid w:val="00DA3345"/>
    <w:rsid w:val="00DA3942"/>
    <w:rsid w:val="00DA39D3"/>
    <w:rsid w:val="00DA3BEF"/>
    <w:rsid w:val="00DA3C5E"/>
    <w:rsid w:val="00DA3CF8"/>
    <w:rsid w:val="00DA3D21"/>
    <w:rsid w:val="00DA3E92"/>
    <w:rsid w:val="00DA3F64"/>
    <w:rsid w:val="00DA40D2"/>
    <w:rsid w:val="00DA424E"/>
    <w:rsid w:val="00DA4291"/>
    <w:rsid w:val="00DA42EC"/>
    <w:rsid w:val="00DA432C"/>
    <w:rsid w:val="00DA441B"/>
    <w:rsid w:val="00DA47AA"/>
    <w:rsid w:val="00DA47B5"/>
    <w:rsid w:val="00DA48B0"/>
    <w:rsid w:val="00DA48C9"/>
    <w:rsid w:val="00DA493E"/>
    <w:rsid w:val="00DA498D"/>
    <w:rsid w:val="00DA49CA"/>
    <w:rsid w:val="00DA4AFD"/>
    <w:rsid w:val="00DA4B1E"/>
    <w:rsid w:val="00DA4B99"/>
    <w:rsid w:val="00DA4E20"/>
    <w:rsid w:val="00DA4F39"/>
    <w:rsid w:val="00DA4F59"/>
    <w:rsid w:val="00DA5121"/>
    <w:rsid w:val="00DA5481"/>
    <w:rsid w:val="00DA562C"/>
    <w:rsid w:val="00DA569F"/>
    <w:rsid w:val="00DA58D0"/>
    <w:rsid w:val="00DA58FC"/>
    <w:rsid w:val="00DA59D3"/>
    <w:rsid w:val="00DA5AD3"/>
    <w:rsid w:val="00DA5AE8"/>
    <w:rsid w:val="00DA5C19"/>
    <w:rsid w:val="00DA5CEB"/>
    <w:rsid w:val="00DA5EA3"/>
    <w:rsid w:val="00DA5F97"/>
    <w:rsid w:val="00DA607A"/>
    <w:rsid w:val="00DA62A2"/>
    <w:rsid w:val="00DA630F"/>
    <w:rsid w:val="00DA6567"/>
    <w:rsid w:val="00DA6729"/>
    <w:rsid w:val="00DA68F7"/>
    <w:rsid w:val="00DA6A58"/>
    <w:rsid w:val="00DA6CF7"/>
    <w:rsid w:val="00DA6F24"/>
    <w:rsid w:val="00DA6F47"/>
    <w:rsid w:val="00DA6F7C"/>
    <w:rsid w:val="00DA7007"/>
    <w:rsid w:val="00DA70FD"/>
    <w:rsid w:val="00DA736D"/>
    <w:rsid w:val="00DA74E1"/>
    <w:rsid w:val="00DA74EC"/>
    <w:rsid w:val="00DA7770"/>
    <w:rsid w:val="00DA77AB"/>
    <w:rsid w:val="00DA77CC"/>
    <w:rsid w:val="00DA79FA"/>
    <w:rsid w:val="00DA7B98"/>
    <w:rsid w:val="00DA7C7C"/>
    <w:rsid w:val="00DA7D68"/>
    <w:rsid w:val="00DA7E2C"/>
    <w:rsid w:val="00DA7F22"/>
    <w:rsid w:val="00DA7F3C"/>
    <w:rsid w:val="00DA7FDE"/>
    <w:rsid w:val="00DB004B"/>
    <w:rsid w:val="00DB00D9"/>
    <w:rsid w:val="00DB01B2"/>
    <w:rsid w:val="00DB01C2"/>
    <w:rsid w:val="00DB0211"/>
    <w:rsid w:val="00DB032C"/>
    <w:rsid w:val="00DB03BB"/>
    <w:rsid w:val="00DB04AE"/>
    <w:rsid w:val="00DB06C1"/>
    <w:rsid w:val="00DB078C"/>
    <w:rsid w:val="00DB08DD"/>
    <w:rsid w:val="00DB0A11"/>
    <w:rsid w:val="00DB0AD5"/>
    <w:rsid w:val="00DB0BA6"/>
    <w:rsid w:val="00DB0BC3"/>
    <w:rsid w:val="00DB0D44"/>
    <w:rsid w:val="00DB0E81"/>
    <w:rsid w:val="00DB1060"/>
    <w:rsid w:val="00DB10A2"/>
    <w:rsid w:val="00DB11A8"/>
    <w:rsid w:val="00DB12D2"/>
    <w:rsid w:val="00DB132B"/>
    <w:rsid w:val="00DB1805"/>
    <w:rsid w:val="00DB1B18"/>
    <w:rsid w:val="00DB1B64"/>
    <w:rsid w:val="00DB1E31"/>
    <w:rsid w:val="00DB213E"/>
    <w:rsid w:val="00DB223C"/>
    <w:rsid w:val="00DB2276"/>
    <w:rsid w:val="00DB2570"/>
    <w:rsid w:val="00DB25C2"/>
    <w:rsid w:val="00DB27CB"/>
    <w:rsid w:val="00DB2910"/>
    <w:rsid w:val="00DB29A7"/>
    <w:rsid w:val="00DB2B36"/>
    <w:rsid w:val="00DB2C9E"/>
    <w:rsid w:val="00DB2CCE"/>
    <w:rsid w:val="00DB2DE3"/>
    <w:rsid w:val="00DB331D"/>
    <w:rsid w:val="00DB3322"/>
    <w:rsid w:val="00DB335E"/>
    <w:rsid w:val="00DB33B0"/>
    <w:rsid w:val="00DB342D"/>
    <w:rsid w:val="00DB3511"/>
    <w:rsid w:val="00DB3536"/>
    <w:rsid w:val="00DB3600"/>
    <w:rsid w:val="00DB3602"/>
    <w:rsid w:val="00DB3643"/>
    <w:rsid w:val="00DB36BE"/>
    <w:rsid w:val="00DB37BB"/>
    <w:rsid w:val="00DB389E"/>
    <w:rsid w:val="00DB3C48"/>
    <w:rsid w:val="00DB3E11"/>
    <w:rsid w:val="00DB3F2B"/>
    <w:rsid w:val="00DB4091"/>
    <w:rsid w:val="00DB42F0"/>
    <w:rsid w:val="00DB46AF"/>
    <w:rsid w:val="00DB4781"/>
    <w:rsid w:val="00DB4DAB"/>
    <w:rsid w:val="00DB4E05"/>
    <w:rsid w:val="00DB4F05"/>
    <w:rsid w:val="00DB5197"/>
    <w:rsid w:val="00DB52C2"/>
    <w:rsid w:val="00DB52D3"/>
    <w:rsid w:val="00DB541B"/>
    <w:rsid w:val="00DB5433"/>
    <w:rsid w:val="00DB57B4"/>
    <w:rsid w:val="00DB585F"/>
    <w:rsid w:val="00DB59C7"/>
    <w:rsid w:val="00DB5AB0"/>
    <w:rsid w:val="00DB5B51"/>
    <w:rsid w:val="00DB5DB5"/>
    <w:rsid w:val="00DB5E35"/>
    <w:rsid w:val="00DB5E80"/>
    <w:rsid w:val="00DB6047"/>
    <w:rsid w:val="00DB6122"/>
    <w:rsid w:val="00DB61E7"/>
    <w:rsid w:val="00DB62D6"/>
    <w:rsid w:val="00DB6304"/>
    <w:rsid w:val="00DB6427"/>
    <w:rsid w:val="00DB6536"/>
    <w:rsid w:val="00DB65B9"/>
    <w:rsid w:val="00DB681D"/>
    <w:rsid w:val="00DB69B7"/>
    <w:rsid w:val="00DB69C4"/>
    <w:rsid w:val="00DB6A50"/>
    <w:rsid w:val="00DB6A9B"/>
    <w:rsid w:val="00DB6B84"/>
    <w:rsid w:val="00DB6BBC"/>
    <w:rsid w:val="00DB6BDD"/>
    <w:rsid w:val="00DB6C6C"/>
    <w:rsid w:val="00DB6E06"/>
    <w:rsid w:val="00DB6EC7"/>
    <w:rsid w:val="00DB6EF4"/>
    <w:rsid w:val="00DB6F93"/>
    <w:rsid w:val="00DB70A5"/>
    <w:rsid w:val="00DB7403"/>
    <w:rsid w:val="00DB744F"/>
    <w:rsid w:val="00DB7676"/>
    <w:rsid w:val="00DB7787"/>
    <w:rsid w:val="00DB7A57"/>
    <w:rsid w:val="00DB7C32"/>
    <w:rsid w:val="00DB7D5D"/>
    <w:rsid w:val="00DB7D94"/>
    <w:rsid w:val="00DB7D98"/>
    <w:rsid w:val="00DC043E"/>
    <w:rsid w:val="00DC0480"/>
    <w:rsid w:val="00DC0640"/>
    <w:rsid w:val="00DC074C"/>
    <w:rsid w:val="00DC0767"/>
    <w:rsid w:val="00DC08ED"/>
    <w:rsid w:val="00DC099B"/>
    <w:rsid w:val="00DC0A4D"/>
    <w:rsid w:val="00DC0A75"/>
    <w:rsid w:val="00DC0BF8"/>
    <w:rsid w:val="00DC0D09"/>
    <w:rsid w:val="00DC0DC6"/>
    <w:rsid w:val="00DC0E1E"/>
    <w:rsid w:val="00DC0E3B"/>
    <w:rsid w:val="00DC0ED7"/>
    <w:rsid w:val="00DC0F1C"/>
    <w:rsid w:val="00DC0FF1"/>
    <w:rsid w:val="00DC1109"/>
    <w:rsid w:val="00DC118A"/>
    <w:rsid w:val="00DC11EA"/>
    <w:rsid w:val="00DC12B7"/>
    <w:rsid w:val="00DC15B4"/>
    <w:rsid w:val="00DC1895"/>
    <w:rsid w:val="00DC190F"/>
    <w:rsid w:val="00DC1A5B"/>
    <w:rsid w:val="00DC1B5F"/>
    <w:rsid w:val="00DC1DB5"/>
    <w:rsid w:val="00DC1E4A"/>
    <w:rsid w:val="00DC1EE4"/>
    <w:rsid w:val="00DC1F3E"/>
    <w:rsid w:val="00DC20B8"/>
    <w:rsid w:val="00DC2465"/>
    <w:rsid w:val="00DC249C"/>
    <w:rsid w:val="00DC26D5"/>
    <w:rsid w:val="00DC2922"/>
    <w:rsid w:val="00DC2A8C"/>
    <w:rsid w:val="00DC2B38"/>
    <w:rsid w:val="00DC2C5C"/>
    <w:rsid w:val="00DC2C97"/>
    <w:rsid w:val="00DC2D03"/>
    <w:rsid w:val="00DC2F2B"/>
    <w:rsid w:val="00DC2F9C"/>
    <w:rsid w:val="00DC3109"/>
    <w:rsid w:val="00DC333C"/>
    <w:rsid w:val="00DC34DE"/>
    <w:rsid w:val="00DC36EF"/>
    <w:rsid w:val="00DC37B1"/>
    <w:rsid w:val="00DC3B1E"/>
    <w:rsid w:val="00DC3D42"/>
    <w:rsid w:val="00DC3F79"/>
    <w:rsid w:val="00DC41F4"/>
    <w:rsid w:val="00DC4574"/>
    <w:rsid w:val="00DC46B9"/>
    <w:rsid w:val="00DC47C7"/>
    <w:rsid w:val="00DC4876"/>
    <w:rsid w:val="00DC48BA"/>
    <w:rsid w:val="00DC48CC"/>
    <w:rsid w:val="00DC48F4"/>
    <w:rsid w:val="00DC48F9"/>
    <w:rsid w:val="00DC498D"/>
    <w:rsid w:val="00DC49F1"/>
    <w:rsid w:val="00DC4B96"/>
    <w:rsid w:val="00DC4C51"/>
    <w:rsid w:val="00DC4DAE"/>
    <w:rsid w:val="00DC502F"/>
    <w:rsid w:val="00DC515B"/>
    <w:rsid w:val="00DC55EB"/>
    <w:rsid w:val="00DC5615"/>
    <w:rsid w:val="00DC561B"/>
    <w:rsid w:val="00DC5852"/>
    <w:rsid w:val="00DC5D9C"/>
    <w:rsid w:val="00DC5FB0"/>
    <w:rsid w:val="00DC60C3"/>
    <w:rsid w:val="00DC621E"/>
    <w:rsid w:val="00DC64ED"/>
    <w:rsid w:val="00DC6511"/>
    <w:rsid w:val="00DC65A5"/>
    <w:rsid w:val="00DC6642"/>
    <w:rsid w:val="00DC66DB"/>
    <w:rsid w:val="00DC6908"/>
    <w:rsid w:val="00DC6946"/>
    <w:rsid w:val="00DC6D00"/>
    <w:rsid w:val="00DC6E07"/>
    <w:rsid w:val="00DC6EBC"/>
    <w:rsid w:val="00DC6EFB"/>
    <w:rsid w:val="00DC6F31"/>
    <w:rsid w:val="00DC6FA9"/>
    <w:rsid w:val="00DC71D3"/>
    <w:rsid w:val="00DC7241"/>
    <w:rsid w:val="00DC72A5"/>
    <w:rsid w:val="00DC73E8"/>
    <w:rsid w:val="00DC73F9"/>
    <w:rsid w:val="00DC7452"/>
    <w:rsid w:val="00DC75C8"/>
    <w:rsid w:val="00DC76BC"/>
    <w:rsid w:val="00DC7788"/>
    <w:rsid w:val="00DC7931"/>
    <w:rsid w:val="00DC7C10"/>
    <w:rsid w:val="00DC7C40"/>
    <w:rsid w:val="00DC7D8A"/>
    <w:rsid w:val="00DC7E13"/>
    <w:rsid w:val="00DC7E82"/>
    <w:rsid w:val="00DC7E8A"/>
    <w:rsid w:val="00DC7EB7"/>
    <w:rsid w:val="00DC7EE1"/>
    <w:rsid w:val="00DD01ED"/>
    <w:rsid w:val="00DD032E"/>
    <w:rsid w:val="00DD0365"/>
    <w:rsid w:val="00DD03CF"/>
    <w:rsid w:val="00DD0731"/>
    <w:rsid w:val="00DD079D"/>
    <w:rsid w:val="00DD0AB5"/>
    <w:rsid w:val="00DD0B3F"/>
    <w:rsid w:val="00DD0B6F"/>
    <w:rsid w:val="00DD0B70"/>
    <w:rsid w:val="00DD0BB6"/>
    <w:rsid w:val="00DD0E12"/>
    <w:rsid w:val="00DD0EA4"/>
    <w:rsid w:val="00DD0F46"/>
    <w:rsid w:val="00DD112D"/>
    <w:rsid w:val="00DD123A"/>
    <w:rsid w:val="00DD128B"/>
    <w:rsid w:val="00DD1516"/>
    <w:rsid w:val="00DD163B"/>
    <w:rsid w:val="00DD163D"/>
    <w:rsid w:val="00DD17FC"/>
    <w:rsid w:val="00DD1804"/>
    <w:rsid w:val="00DD1949"/>
    <w:rsid w:val="00DD1B29"/>
    <w:rsid w:val="00DD1B40"/>
    <w:rsid w:val="00DD1CA3"/>
    <w:rsid w:val="00DD1DA2"/>
    <w:rsid w:val="00DD1DD5"/>
    <w:rsid w:val="00DD1E38"/>
    <w:rsid w:val="00DD1EE3"/>
    <w:rsid w:val="00DD1F48"/>
    <w:rsid w:val="00DD20EA"/>
    <w:rsid w:val="00DD2238"/>
    <w:rsid w:val="00DD229D"/>
    <w:rsid w:val="00DD22CE"/>
    <w:rsid w:val="00DD264A"/>
    <w:rsid w:val="00DD26FA"/>
    <w:rsid w:val="00DD2814"/>
    <w:rsid w:val="00DD2885"/>
    <w:rsid w:val="00DD296F"/>
    <w:rsid w:val="00DD2A55"/>
    <w:rsid w:val="00DD2CA8"/>
    <w:rsid w:val="00DD2D9C"/>
    <w:rsid w:val="00DD2DEF"/>
    <w:rsid w:val="00DD3058"/>
    <w:rsid w:val="00DD30B5"/>
    <w:rsid w:val="00DD3287"/>
    <w:rsid w:val="00DD32D5"/>
    <w:rsid w:val="00DD3370"/>
    <w:rsid w:val="00DD337B"/>
    <w:rsid w:val="00DD3431"/>
    <w:rsid w:val="00DD346E"/>
    <w:rsid w:val="00DD34DB"/>
    <w:rsid w:val="00DD3537"/>
    <w:rsid w:val="00DD35AC"/>
    <w:rsid w:val="00DD3644"/>
    <w:rsid w:val="00DD370E"/>
    <w:rsid w:val="00DD3982"/>
    <w:rsid w:val="00DD39D2"/>
    <w:rsid w:val="00DD3C8F"/>
    <w:rsid w:val="00DD4008"/>
    <w:rsid w:val="00DD4146"/>
    <w:rsid w:val="00DD415A"/>
    <w:rsid w:val="00DD41F4"/>
    <w:rsid w:val="00DD4241"/>
    <w:rsid w:val="00DD42F3"/>
    <w:rsid w:val="00DD4329"/>
    <w:rsid w:val="00DD43B3"/>
    <w:rsid w:val="00DD4473"/>
    <w:rsid w:val="00DD4714"/>
    <w:rsid w:val="00DD47F3"/>
    <w:rsid w:val="00DD4B0E"/>
    <w:rsid w:val="00DD50BE"/>
    <w:rsid w:val="00DD5215"/>
    <w:rsid w:val="00DD529A"/>
    <w:rsid w:val="00DD538D"/>
    <w:rsid w:val="00DD5667"/>
    <w:rsid w:val="00DD57AB"/>
    <w:rsid w:val="00DD599E"/>
    <w:rsid w:val="00DD5B65"/>
    <w:rsid w:val="00DD5C73"/>
    <w:rsid w:val="00DD5DC6"/>
    <w:rsid w:val="00DD5FF6"/>
    <w:rsid w:val="00DD611B"/>
    <w:rsid w:val="00DD6380"/>
    <w:rsid w:val="00DD66BF"/>
    <w:rsid w:val="00DD686B"/>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326"/>
    <w:rsid w:val="00DD73EA"/>
    <w:rsid w:val="00DD7465"/>
    <w:rsid w:val="00DD7785"/>
    <w:rsid w:val="00DD77B3"/>
    <w:rsid w:val="00DD78AF"/>
    <w:rsid w:val="00DD7A44"/>
    <w:rsid w:val="00DD7C36"/>
    <w:rsid w:val="00DE00D2"/>
    <w:rsid w:val="00DE025D"/>
    <w:rsid w:val="00DE060D"/>
    <w:rsid w:val="00DE074E"/>
    <w:rsid w:val="00DE079F"/>
    <w:rsid w:val="00DE08CC"/>
    <w:rsid w:val="00DE0AFC"/>
    <w:rsid w:val="00DE0DA7"/>
    <w:rsid w:val="00DE0E5C"/>
    <w:rsid w:val="00DE0E8E"/>
    <w:rsid w:val="00DE10AA"/>
    <w:rsid w:val="00DE110F"/>
    <w:rsid w:val="00DE118D"/>
    <w:rsid w:val="00DE1615"/>
    <w:rsid w:val="00DE1822"/>
    <w:rsid w:val="00DE183A"/>
    <w:rsid w:val="00DE196D"/>
    <w:rsid w:val="00DE1985"/>
    <w:rsid w:val="00DE19A6"/>
    <w:rsid w:val="00DE1B3B"/>
    <w:rsid w:val="00DE1C1A"/>
    <w:rsid w:val="00DE1F10"/>
    <w:rsid w:val="00DE20BE"/>
    <w:rsid w:val="00DE216A"/>
    <w:rsid w:val="00DE21BE"/>
    <w:rsid w:val="00DE249E"/>
    <w:rsid w:val="00DE2539"/>
    <w:rsid w:val="00DE2597"/>
    <w:rsid w:val="00DE2773"/>
    <w:rsid w:val="00DE2845"/>
    <w:rsid w:val="00DE2A4C"/>
    <w:rsid w:val="00DE2AC9"/>
    <w:rsid w:val="00DE2B16"/>
    <w:rsid w:val="00DE2B93"/>
    <w:rsid w:val="00DE2CEF"/>
    <w:rsid w:val="00DE2EB4"/>
    <w:rsid w:val="00DE2F03"/>
    <w:rsid w:val="00DE2F47"/>
    <w:rsid w:val="00DE3052"/>
    <w:rsid w:val="00DE3076"/>
    <w:rsid w:val="00DE30B6"/>
    <w:rsid w:val="00DE30E4"/>
    <w:rsid w:val="00DE31B5"/>
    <w:rsid w:val="00DE3237"/>
    <w:rsid w:val="00DE3402"/>
    <w:rsid w:val="00DE34C0"/>
    <w:rsid w:val="00DE365A"/>
    <w:rsid w:val="00DE38F6"/>
    <w:rsid w:val="00DE39AD"/>
    <w:rsid w:val="00DE3AD2"/>
    <w:rsid w:val="00DE3AEA"/>
    <w:rsid w:val="00DE3B96"/>
    <w:rsid w:val="00DE3BEA"/>
    <w:rsid w:val="00DE3E64"/>
    <w:rsid w:val="00DE3FA7"/>
    <w:rsid w:val="00DE4040"/>
    <w:rsid w:val="00DE41CC"/>
    <w:rsid w:val="00DE4218"/>
    <w:rsid w:val="00DE43E1"/>
    <w:rsid w:val="00DE43E7"/>
    <w:rsid w:val="00DE44C2"/>
    <w:rsid w:val="00DE4547"/>
    <w:rsid w:val="00DE4642"/>
    <w:rsid w:val="00DE481B"/>
    <w:rsid w:val="00DE4976"/>
    <w:rsid w:val="00DE4CC5"/>
    <w:rsid w:val="00DE4E59"/>
    <w:rsid w:val="00DE4FD9"/>
    <w:rsid w:val="00DE50F7"/>
    <w:rsid w:val="00DE535B"/>
    <w:rsid w:val="00DE53D0"/>
    <w:rsid w:val="00DE542D"/>
    <w:rsid w:val="00DE545F"/>
    <w:rsid w:val="00DE5552"/>
    <w:rsid w:val="00DE57C7"/>
    <w:rsid w:val="00DE5823"/>
    <w:rsid w:val="00DE58C7"/>
    <w:rsid w:val="00DE58E6"/>
    <w:rsid w:val="00DE5AF5"/>
    <w:rsid w:val="00DE5E21"/>
    <w:rsid w:val="00DE616D"/>
    <w:rsid w:val="00DE6241"/>
    <w:rsid w:val="00DE6360"/>
    <w:rsid w:val="00DE637D"/>
    <w:rsid w:val="00DE637E"/>
    <w:rsid w:val="00DE643A"/>
    <w:rsid w:val="00DE64E9"/>
    <w:rsid w:val="00DE6513"/>
    <w:rsid w:val="00DE65DA"/>
    <w:rsid w:val="00DE677F"/>
    <w:rsid w:val="00DE6A24"/>
    <w:rsid w:val="00DE6AD2"/>
    <w:rsid w:val="00DE6AF2"/>
    <w:rsid w:val="00DE6BA1"/>
    <w:rsid w:val="00DE6BEE"/>
    <w:rsid w:val="00DE6D57"/>
    <w:rsid w:val="00DE6DA7"/>
    <w:rsid w:val="00DE6EFE"/>
    <w:rsid w:val="00DE6F07"/>
    <w:rsid w:val="00DE70BD"/>
    <w:rsid w:val="00DE71B9"/>
    <w:rsid w:val="00DE71C9"/>
    <w:rsid w:val="00DE71EF"/>
    <w:rsid w:val="00DE7431"/>
    <w:rsid w:val="00DE744C"/>
    <w:rsid w:val="00DE74C6"/>
    <w:rsid w:val="00DE74EA"/>
    <w:rsid w:val="00DE7522"/>
    <w:rsid w:val="00DE7705"/>
    <w:rsid w:val="00DE7A94"/>
    <w:rsid w:val="00DE7BF3"/>
    <w:rsid w:val="00DE7C07"/>
    <w:rsid w:val="00DE7C95"/>
    <w:rsid w:val="00DE7CF9"/>
    <w:rsid w:val="00DE7DA2"/>
    <w:rsid w:val="00DE7DA7"/>
    <w:rsid w:val="00DE7F16"/>
    <w:rsid w:val="00DF00E3"/>
    <w:rsid w:val="00DF0100"/>
    <w:rsid w:val="00DF0156"/>
    <w:rsid w:val="00DF0301"/>
    <w:rsid w:val="00DF0787"/>
    <w:rsid w:val="00DF087B"/>
    <w:rsid w:val="00DF0D3C"/>
    <w:rsid w:val="00DF0E19"/>
    <w:rsid w:val="00DF0EBC"/>
    <w:rsid w:val="00DF10C8"/>
    <w:rsid w:val="00DF1236"/>
    <w:rsid w:val="00DF1336"/>
    <w:rsid w:val="00DF141D"/>
    <w:rsid w:val="00DF141E"/>
    <w:rsid w:val="00DF1504"/>
    <w:rsid w:val="00DF1663"/>
    <w:rsid w:val="00DF178E"/>
    <w:rsid w:val="00DF17DD"/>
    <w:rsid w:val="00DF1805"/>
    <w:rsid w:val="00DF1819"/>
    <w:rsid w:val="00DF1B61"/>
    <w:rsid w:val="00DF1C7B"/>
    <w:rsid w:val="00DF1C96"/>
    <w:rsid w:val="00DF1CBF"/>
    <w:rsid w:val="00DF1CFC"/>
    <w:rsid w:val="00DF1D99"/>
    <w:rsid w:val="00DF1F33"/>
    <w:rsid w:val="00DF1F4E"/>
    <w:rsid w:val="00DF2036"/>
    <w:rsid w:val="00DF21DB"/>
    <w:rsid w:val="00DF2321"/>
    <w:rsid w:val="00DF2331"/>
    <w:rsid w:val="00DF2398"/>
    <w:rsid w:val="00DF242B"/>
    <w:rsid w:val="00DF2654"/>
    <w:rsid w:val="00DF28DC"/>
    <w:rsid w:val="00DF2954"/>
    <w:rsid w:val="00DF29B2"/>
    <w:rsid w:val="00DF2A33"/>
    <w:rsid w:val="00DF2C1E"/>
    <w:rsid w:val="00DF2CC6"/>
    <w:rsid w:val="00DF2F06"/>
    <w:rsid w:val="00DF309B"/>
    <w:rsid w:val="00DF33FF"/>
    <w:rsid w:val="00DF3600"/>
    <w:rsid w:val="00DF373C"/>
    <w:rsid w:val="00DF3858"/>
    <w:rsid w:val="00DF38A2"/>
    <w:rsid w:val="00DF3A26"/>
    <w:rsid w:val="00DF3AA4"/>
    <w:rsid w:val="00DF3BFF"/>
    <w:rsid w:val="00DF3CDA"/>
    <w:rsid w:val="00DF3CF9"/>
    <w:rsid w:val="00DF3F18"/>
    <w:rsid w:val="00DF3F62"/>
    <w:rsid w:val="00DF41EC"/>
    <w:rsid w:val="00DF4300"/>
    <w:rsid w:val="00DF436D"/>
    <w:rsid w:val="00DF43FE"/>
    <w:rsid w:val="00DF45C2"/>
    <w:rsid w:val="00DF4707"/>
    <w:rsid w:val="00DF47D0"/>
    <w:rsid w:val="00DF491F"/>
    <w:rsid w:val="00DF4955"/>
    <w:rsid w:val="00DF4A2A"/>
    <w:rsid w:val="00DF4A56"/>
    <w:rsid w:val="00DF4B12"/>
    <w:rsid w:val="00DF4CC0"/>
    <w:rsid w:val="00DF507D"/>
    <w:rsid w:val="00DF5122"/>
    <w:rsid w:val="00DF552A"/>
    <w:rsid w:val="00DF5573"/>
    <w:rsid w:val="00DF55ED"/>
    <w:rsid w:val="00DF55EE"/>
    <w:rsid w:val="00DF5717"/>
    <w:rsid w:val="00DF5884"/>
    <w:rsid w:val="00DF58C1"/>
    <w:rsid w:val="00DF5A31"/>
    <w:rsid w:val="00DF5B23"/>
    <w:rsid w:val="00DF5C06"/>
    <w:rsid w:val="00DF5D64"/>
    <w:rsid w:val="00DF5D70"/>
    <w:rsid w:val="00DF5E77"/>
    <w:rsid w:val="00DF5ECD"/>
    <w:rsid w:val="00DF6002"/>
    <w:rsid w:val="00DF6161"/>
    <w:rsid w:val="00DF6416"/>
    <w:rsid w:val="00DF6574"/>
    <w:rsid w:val="00DF67B3"/>
    <w:rsid w:val="00DF691B"/>
    <w:rsid w:val="00DF6966"/>
    <w:rsid w:val="00DF69AA"/>
    <w:rsid w:val="00DF69AD"/>
    <w:rsid w:val="00DF6AFA"/>
    <w:rsid w:val="00DF6C35"/>
    <w:rsid w:val="00DF6D25"/>
    <w:rsid w:val="00DF6DF8"/>
    <w:rsid w:val="00DF6E45"/>
    <w:rsid w:val="00DF6EE6"/>
    <w:rsid w:val="00DF6F4B"/>
    <w:rsid w:val="00DF6F4E"/>
    <w:rsid w:val="00DF7405"/>
    <w:rsid w:val="00DF7553"/>
    <w:rsid w:val="00DF7943"/>
    <w:rsid w:val="00DF7A37"/>
    <w:rsid w:val="00DF7C5E"/>
    <w:rsid w:val="00DF7D9A"/>
    <w:rsid w:val="00E0008B"/>
    <w:rsid w:val="00E001EF"/>
    <w:rsid w:val="00E002A4"/>
    <w:rsid w:val="00E0030D"/>
    <w:rsid w:val="00E00420"/>
    <w:rsid w:val="00E0042C"/>
    <w:rsid w:val="00E00458"/>
    <w:rsid w:val="00E007F4"/>
    <w:rsid w:val="00E008F7"/>
    <w:rsid w:val="00E008FA"/>
    <w:rsid w:val="00E00911"/>
    <w:rsid w:val="00E00BC2"/>
    <w:rsid w:val="00E00BC7"/>
    <w:rsid w:val="00E00C57"/>
    <w:rsid w:val="00E00E59"/>
    <w:rsid w:val="00E012CD"/>
    <w:rsid w:val="00E01551"/>
    <w:rsid w:val="00E016AB"/>
    <w:rsid w:val="00E017C4"/>
    <w:rsid w:val="00E017C9"/>
    <w:rsid w:val="00E018AC"/>
    <w:rsid w:val="00E01972"/>
    <w:rsid w:val="00E01B43"/>
    <w:rsid w:val="00E01D18"/>
    <w:rsid w:val="00E01D23"/>
    <w:rsid w:val="00E01D33"/>
    <w:rsid w:val="00E01D42"/>
    <w:rsid w:val="00E01E81"/>
    <w:rsid w:val="00E01E86"/>
    <w:rsid w:val="00E01EF3"/>
    <w:rsid w:val="00E01F27"/>
    <w:rsid w:val="00E022DD"/>
    <w:rsid w:val="00E02332"/>
    <w:rsid w:val="00E02395"/>
    <w:rsid w:val="00E024EB"/>
    <w:rsid w:val="00E024F3"/>
    <w:rsid w:val="00E0255C"/>
    <w:rsid w:val="00E026BC"/>
    <w:rsid w:val="00E02865"/>
    <w:rsid w:val="00E02E1C"/>
    <w:rsid w:val="00E02E20"/>
    <w:rsid w:val="00E02E5A"/>
    <w:rsid w:val="00E02EBD"/>
    <w:rsid w:val="00E02F84"/>
    <w:rsid w:val="00E0315F"/>
    <w:rsid w:val="00E03171"/>
    <w:rsid w:val="00E0346D"/>
    <w:rsid w:val="00E03706"/>
    <w:rsid w:val="00E037E7"/>
    <w:rsid w:val="00E03831"/>
    <w:rsid w:val="00E0383E"/>
    <w:rsid w:val="00E038EF"/>
    <w:rsid w:val="00E0395A"/>
    <w:rsid w:val="00E039D7"/>
    <w:rsid w:val="00E03B0D"/>
    <w:rsid w:val="00E03B10"/>
    <w:rsid w:val="00E03BE7"/>
    <w:rsid w:val="00E03BFC"/>
    <w:rsid w:val="00E03C6E"/>
    <w:rsid w:val="00E03F71"/>
    <w:rsid w:val="00E042ED"/>
    <w:rsid w:val="00E0446F"/>
    <w:rsid w:val="00E044AB"/>
    <w:rsid w:val="00E04643"/>
    <w:rsid w:val="00E04969"/>
    <w:rsid w:val="00E049A8"/>
    <w:rsid w:val="00E04DB1"/>
    <w:rsid w:val="00E05001"/>
    <w:rsid w:val="00E05439"/>
    <w:rsid w:val="00E05470"/>
    <w:rsid w:val="00E0549B"/>
    <w:rsid w:val="00E055D2"/>
    <w:rsid w:val="00E05610"/>
    <w:rsid w:val="00E056D9"/>
    <w:rsid w:val="00E057B6"/>
    <w:rsid w:val="00E0582F"/>
    <w:rsid w:val="00E059D2"/>
    <w:rsid w:val="00E05B4D"/>
    <w:rsid w:val="00E05DB9"/>
    <w:rsid w:val="00E05EDD"/>
    <w:rsid w:val="00E05F6A"/>
    <w:rsid w:val="00E0600E"/>
    <w:rsid w:val="00E06165"/>
    <w:rsid w:val="00E06168"/>
    <w:rsid w:val="00E06269"/>
    <w:rsid w:val="00E0636B"/>
    <w:rsid w:val="00E0640D"/>
    <w:rsid w:val="00E064A1"/>
    <w:rsid w:val="00E06665"/>
    <w:rsid w:val="00E066CB"/>
    <w:rsid w:val="00E06840"/>
    <w:rsid w:val="00E06BC6"/>
    <w:rsid w:val="00E06C8A"/>
    <w:rsid w:val="00E06E16"/>
    <w:rsid w:val="00E06E19"/>
    <w:rsid w:val="00E07051"/>
    <w:rsid w:val="00E072F9"/>
    <w:rsid w:val="00E0731B"/>
    <w:rsid w:val="00E0732D"/>
    <w:rsid w:val="00E073F4"/>
    <w:rsid w:val="00E07687"/>
    <w:rsid w:val="00E0784A"/>
    <w:rsid w:val="00E078D3"/>
    <w:rsid w:val="00E079A5"/>
    <w:rsid w:val="00E07AD6"/>
    <w:rsid w:val="00E07B94"/>
    <w:rsid w:val="00E07BB0"/>
    <w:rsid w:val="00E100B9"/>
    <w:rsid w:val="00E107DB"/>
    <w:rsid w:val="00E10910"/>
    <w:rsid w:val="00E10BDA"/>
    <w:rsid w:val="00E10C61"/>
    <w:rsid w:val="00E10CA0"/>
    <w:rsid w:val="00E10CB0"/>
    <w:rsid w:val="00E10CEE"/>
    <w:rsid w:val="00E10E40"/>
    <w:rsid w:val="00E10F19"/>
    <w:rsid w:val="00E10F30"/>
    <w:rsid w:val="00E10F83"/>
    <w:rsid w:val="00E11006"/>
    <w:rsid w:val="00E1103D"/>
    <w:rsid w:val="00E112CA"/>
    <w:rsid w:val="00E11375"/>
    <w:rsid w:val="00E113AE"/>
    <w:rsid w:val="00E113C6"/>
    <w:rsid w:val="00E11409"/>
    <w:rsid w:val="00E1152C"/>
    <w:rsid w:val="00E11552"/>
    <w:rsid w:val="00E11585"/>
    <w:rsid w:val="00E116C6"/>
    <w:rsid w:val="00E117CF"/>
    <w:rsid w:val="00E119CA"/>
    <w:rsid w:val="00E11BC4"/>
    <w:rsid w:val="00E11BC7"/>
    <w:rsid w:val="00E11BE1"/>
    <w:rsid w:val="00E11CDF"/>
    <w:rsid w:val="00E11D9E"/>
    <w:rsid w:val="00E11FF7"/>
    <w:rsid w:val="00E1205E"/>
    <w:rsid w:val="00E12091"/>
    <w:rsid w:val="00E12167"/>
    <w:rsid w:val="00E12169"/>
    <w:rsid w:val="00E12191"/>
    <w:rsid w:val="00E1246C"/>
    <w:rsid w:val="00E12472"/>
    <w:rsid w:val="00E124D6"/>
    <w:rsid w:val="00E1293C"/>
    <w:rsid w:val="00E12CDF"/>
    <w:rsid w:val="00E12DB7"/>
    <w:rsid w:val="00E12E78"/>
    <w:rsid w:val="00E12FFF"/>
    <w:rsid w:val="00E130FF"/>
    <w:rsid w:val="00E131E8"/>
    <w:rsid w:val="00E133EB"/>
    <w:rsid w:val="00E1348D"/>
    <w:rsid w:val="00E13547"/>
    <w:rsid w:val="00E138AB"/>
    <w:rsid w:val="00E1393C"/>
    <w:rsid w:val="00E13BD9"/>
    <w:rsid w:val="00E13C00"/>
    <w:rsid w:val="00E13C0F"/>
    <w:rsid w:val="00E13C68"/>
    <w:rsid w:val="00E13E22"/>
    <w:rsid w:val="00E13F3F"/>
    <w:rsid w:val="00E1405F"/>
    <w:rsid w:val="00E14098"/>
    <w:rsid w:val="00E140FF"/>
    <w:rsid w:val="00E14139"/>
    <w:rsid w:val="00E143D5"/>
    <w:rsid w:val="00E14513"/>
    <w:rsid w:val="00E1454B"/>
    <w:rsid w:val="00E14627"/>
    <w:rsid w:val="00E14951"/>
    <w:rsid w:val="00E14B31"/>
    <w:rsid w:val="00E14BEA"/>
    <w:rsid w:val="00E14CBF"/>
    <w:rsid w:val="00E14D39"/>
    <w:rsid w:val="00E14F35"/>
    <w:rsid w:val="00E152AF"/>
    <w:rsid w:val="00E152EC"/>
    <w:rsid w:val="00E155F9"/>
    <w:rsid w:val="00E157BE"/>
    <w:rsid w:val="00E1588B"/>
    <w:rsid w:val="00E159CC"/>
    <w:rsid w:val="00E15ACF"/>
    <w:rsid w:val="00E15B2E"/>
    <w:rsid w:val="00E15D6D"/>
    <w:rsid w:val="00E15E5F"/>
    <w:rsid w:val="00E15E67"/>
    <w:rsid w:val="00E1605E"/>
    <w:rsid w:val="00E1623F"/>
    <w:rsid w:val="00E162D3"/>
    <w:rsid w:val="00E1631B"/>
    <w:rsid w:val="00E163DA"/>
    <w:rsid w:val="00E164C8"/>
    <w:rsid w:val="00E16652"/>
    <w:rsid w:val="00E1669D"/>
    <w:rsid w:val="00E167DD"/>
    <w:rsid w:val="00E16826"/>
    <w:rsid w:val="00E168ED"/>
    <w:rsid w:val="00E16B2E"/>
    <w:rsid w:val="00E16BE1"/>
    <w:rsid w:val="00E16CA9"/>
    <w:rsid w:val="00E16D79"/>
    <w:rsid w:val="00E16DAE"/>
    <w:rsid w:val="00E17040"/>
    <w:rsid w:val="00E1708D"/>
    <w:rsid w:val="00E170F8"/>
    <w:rsid w:val="00E1713F"/>
    <w:rsid w:val="00E1718F"/>
    <w:rsid w:val="00E1744D"/>
    <w:rsid w:val="00E17541"/>
    <w:rsid w:val="00E17806"/>
    <w:rsid w:val="00E17868"/>
    <w:rsid w:val="00E17BDB"/>
    <w:rsid w:val="00E17D0C"/>
    <w:rsid w:val="00E17D63"/>
    <w:rsid w:val="00E17F5E"/>
    <w:rsid w:val="00E17FDB"/>
    <w:rsid w:val="00E200E8"/>
    <w:rsid w:val="00E200F6"/>
    <w:rsid w:val="00E2013C"/>
    <w:rsid w:val="00E20280"/>
    <w:rsid w:val="00E202E1"/>
    <w:rsid w:val="00E203BD"/>
    <w:rsid w:val="00E20492"/>
    <w:rsid w:val="00E204A5"/>
    <w:rsid w:val="00E204F3"/>
    <w:rsid w:val="00E2055C"/>
    <w:rsid w:val="00E2066C"/>
    <w:rsid w:val="00E20686"/>
    <w:rsid w:val="00E206D7"/>
    <w:rsid w:val="00E20760"/>
    <w:rsid w:val="00E207EF"/>
    <w:rsid w:val="00E20A12"/>
    <w:rsid w:val="00E20A39"/>
    <w:rsid w:val="00E20AC6"/>
    <w:rsid w:val="00E20AFF"/>
    <w:rsid w:val="00E20B64"/>
    <w:rsid w:val="00E20DE3"/>
    <w:rsid w:val="00E20FA0"/>
    <w:rsid w:val="00E20FCC"/>
    <w:rsid w:val="00E21086"/>
    <w:rsid w:val="00E210A9"/>
    <w:rsid w:val="00E21109"/>
    <w:rsid w:val="00E21207"/>
    <w:rsid w:val="00E21675"/>
    <w:rsid w:val="00E217F3"/>
    <w:rsid w:val="00E2182F"/>
    <w:rsid w:val="00E218B9"/>
    <w:rsid w:val="00E218DC"/>
    <w:rsid w:val="00E21C5F"/>
    <w:rsid w:val="00E21C6A"/>
    <w:rsid w:val="00E21D4E"/>
    <w:rsid w:val="00E21D6C"/>
    <w:rsid w:val="00E21F6F"/>
    <w:rsid w:val="00E21FBB"/>
    <w:rsid w:val="00E2215C"/>
    <w:rsid w:val="00E22354"/>
    <w:rsid w:val="00E22417"/>
    <w:rsid w:val="00E224EF"/>
    <w:rsid w:val="00E226D4"/>
    <w:rsid w:val="00E2277D"/>
    <w:rsid w:val="00E2285B"/>
    <w:rsid w:val="00E228DA"/>
    <w:rsid w:val="00E22ADF"/>
    <w:rsid w:val="00E22B26"/>
    <w:rsid w:val="00E22C24"/>
    <w:rsid w:val="00E22CD0"/>
    <w:rsid w:val="00E22D6A"/>
    <w:rsid w:val="00E23061"/>
    <w:rsid w:val="00E23084"/>
    <w:rsid w:val="00E23197"/>
    <w:rsid w:val="00E231AA"/>
    <w:rsid w:val="00E231C9"/>
    <w:rsid w:val="00E231D7"/>
    <w:rsid w:val="00E2324B"/>
    <w:rsid w:val="00E2329D"/>
    <w:rsid w:val="00E232F5"/>
    <w:rsid w:val="00E2361D"/>
    <w:rsid w:val="00E23645"/>
    <w:rsid w:val="00E23674"/>
    <w:rsid w:val="00E23733"/>
    <w:rsid w:val="00E23742"/>
    <w:rsid w:val="00E2376E"/>
    <w:rsid w:val="00E237D4"/>
    <w:rsid w:val="00E23802"/>
    <w:rsid w:val="00E23847"/>
    <w:rsid w:val="00E238C1"/>
    <w:rsid w:val="00E2391C"/>
    <w:rsid w:val="00E23B20"/>
    <w:rsid w:val="00E23BB2"/>
    <w:rsid w:val="00E23C1D"/>
    <w:rsid w:val="00E23E17"/>
    <w:rsid w:val="00E23F2D"/>
    <w:rsid w:val="00E23F36"/>
    <w:rsid w:val="00E240F0"/>
    <w:rsid w:val="00E241B1"/>
    <w:rsid w:val="00E24290"/>
    <w:rsid w:val="00E243A6"/>
    <w:rsid w:val="00E244CC"/>
    <w:rsid w:val="00E244CF"/>
    <w:rsid w:val="00E24817"/>
    <w:rsid w:val="00E24819"/>
    <w:rsid w:val="00E249CB"/>
    <w:rsid w:val="00E249E4"/>
    <w:rsid w:val="00E24D92"/>
    <w:rsid w:val="00E24E06"/>
    <w:rsid w:val="00E24E83"/>
    <w:rsid w:val="00E24F35"/>
    <w:rsid w:val="00E24F4D"/>
    <w:rsid w:val="00E24F6A"/>
    <w:rsid w:val="00E24F90"/>
    <w:rsid w:val="00E24FF3"/>
    <w:rsid w:val="00E25056"/>
    <w:rsid w:val="00E25102"/>
    <w:rsid w:val="00E25391"/>
    <w:rsid w:val="00E25545"/>
    <w:rsid w:val="00E2565C"/>
    <w:rsid w:val="00E25682"/>
    <w:rsid w:val="00E25754"/>
    <w:rsid w:val="00E25847"/>
    <w:rsid w:val="00E2589C"/>
    <w:rsid w:val="00E258D1"/>
    <w:rsid w:val="00E258FA"/>
    <w:rsid w:val="00E25A24"/>
    <w:rsid w:val="00E25B33"/>
    <w:rsid w:val="00E25BF3"/>
    <w:rsid w:val="00E25DF0"/>
    <w:rsid w:val="00E25FF8"/>
    <w:rsid w:val="00E26162"/>
    <w:rsid w:val="00E2627A"/>
    <w:rsid w:val="00E263FA"/>
    <w:rsid w:val="00E2660F"/>
    <w:rsid w:val="00E26618"/>
    <w:rsid w:val="00E267F4"/>
    <w:rsid w:val="00E26A4A"/>
    <w:rsid w:val="00E26A8C"/>
    <w:rsid w:val="00E26C0D"/>
    <w:rsid w:val="00E26F3D"/>
    <w:rsid w:val="00E26F50"/>
    <w:rsid w:val="00E270C8"/>
    <w:rsid w:val="00E271BE"/>
    <w:rsid w:val="00E27284"/>
    <w:rsid w:val="00E272F5"/>
    <w:rsid w:val="00E27801"/>
    <w:rsid w:val="00E279DC"/>
    <w:rsid w:val="00E27A3E"/>
    <w:rsid w:val="00E27BA2"/>
    <w:rsid w:val="00E27D16"/>
    <w:rsid w:val="00E27D8D"/>
    <w:rsid w:val="00E27DD3"/>
    <w:rsid w:val="00E27EA2"/>
    <w:rsid w:val="00E27F17"/>
    <w:rsid w:val="00E27F3A"/>
    <w:rsid w:val="00E300AF"/>
    <w:rsid w:val="00E300CC"/>
    <w:rsid w:val="00E30277"/>
    <w:rsid w:val="00E304F5"/>
    <w:rsid w:val="00E3054C"/>
    <w:rsid w:val="00E30744"/>
    <w:rsid w:val="00E30782"/>
    <w:rsid w:val="00E307C7"/>
    <w:rsid w:val="00E30D20"/>
    <w:rsid w:val="00E30D5B"/>
    <w:rsid w:val="00E30E57"/>
    <w:rsid w:val="00E30EFD"/>
    <w:rsid w:val="00E30F8B"/>
    <w:rsid w:val="00E31135"/>
    <w:rsid w:val="00E31191"/>
    <w:rsid w:val="00E312D4"/>
    <w:rsid w:val="00E31514"/>
    <w:rsid w:val="00E3165C"/>
    <w:rsid w:val="00E31678"/>
    <w:rsid w:val="00E3175C"/>
    <w:rsid w:val="00E3176A"/>
    <w:rsid w:val="00E3179A"/>
    <w:rsid w:val="00E31A53"/>
    <w:rsid w:val="00E31A6B"/>
    <w:rsid w:val="00E31B68"/>
    <w:rsid w:val="00E31DC5"/>
    <w:rsid w:val="00E31DF3"/>
    <w:rsid w:val="00E31ECE"/>
    <w:rsid w:val="00E31F11"/>
    <w:rsid w:val="00E3200A"/>
    <w:rsid w:val="00E320AD"/>
    <w:rsid w:val="00E321B2"/>
    <w:rsid w:val="00E3221F"/>
    <w:rsid w:val="00E32346"/>
    <w:rsid w:val="00E32433"/>
    <w:rsid w:val="00E32461"/>
    <w:rsid w:val="00E32580"/>
    <w:rsid w:val="00E32773"/>
    <w:rsid w:val="00E327CA"/>
    <w:rsid w:val="00E32CED"/>
    <w:rsid w:val="00E32E3D"/>
    <w:rsid w:val="00E3308B"/>
    <w:rsid w:val="00E333B1"/>
    <w:rsid w:val="00E3341B"/>
    <w:rsid w:val="00E33426"/>
    <w:rsid w:val="00E33520"/>
    <w:rsid w:val="00E33606"/>
    <w:rsid w:val="00E339B7"/>
    <w:rsid w:val="00E339D8"/>
    <w:rsid w:val="00E339E2"/>
    <w:rsid w:val="00E33B41"/>
    <w:rsid w:val="00E33DCF"/>
    <w:rsid w:val="00E33DE7"/>
    <w:rsid w:val="00E33E30"/>
    <w:rsid w:val="00E33F77"/>
    <w:rsid w:val="00E34369"/>
    <w:rsid w:val="00E34468"/>
    <w:rsid w:val="00E3454D"/>
    <w:rsid w:val="00E346E2"/>
    <w:rsid w:val="00E349D9"/>
    <w:rsid w:val="00E349DD"/>
    <w:rsid w:val="00E34A31"/>
    <w:rsid w:val="00E34CA5"/>
    <w:rsid w:val="00E34E75"/>
    <w:rsid w:val="00E34F97"/>
    <w:rsid w:val="00E34FBA"/>
    <w:rsid w:val="00E35001"/>
    <w:rsid w:val="00E35115"/>
    <w:rsid w:val="00E35242"/>
    <w:rsid w:val="00E35289"/>
    <w:rsid w:val="00E353B5"/>
    <w:rsid w:val="00E35433"/>
    <w:rsid w:val="00E354D3"/>
    <w:rsid w:val="00E3551F"/>
    <w:rsid w:val="00E356FC"/>
    <w:rsid w:val="00E35850"/>
    <w:rsid w:val="00E358D7"/>
    <w:rsid w:val="00E35A7E"/>
    <w:rsid w:val="00E35AE8"/>
    <w:rsid w:val="00E35B03"/>
    <w:rsid w:val="00E35B16"/>
    <w:rsid w:val="00E35F03"/>
    <w:rsid w:val="00E36153"/>
    <w:rsid w:val="00E3622E"/>
    <w:rsid w:val="00E36265"/>
    <w:rsid w:val="00E36287"/>
    <w:rsid w:val="00E363B3"/>
    <w:rsid w:val="00E36591"/>
    <w:rsid w:val="00E36633"/>
    <w:rsid w:val="00E366C8"/>
    <w:rsid w:val="00E36836"/>
    <w:rsid w:val="00E368B0"/>
    <w:rsid w:val="00E36B1F"/>
    <w:rsid w:val="00E36F3F"/>
    <w:rsid w:val="00E36F64"/>
    <w:rsid w:val="00E3711A"/>
    <w:rsid w:val="00E372EC"/>
    <w:rsid w:val="00E37314"/>
    <w:rsid w:val="00E373A3"/>
    <w:rsid w:val="00E3744A"/>
    <w:rsid w:val="00E3749D"/>
    <w:rsid w:val="00E37660"/>
    <w:rsid w:val="00E37856"/>
    <w:rsid w:val="00E37A3C"/>
    <w:rsid w:val="00E37A59"/>
    <w:rsid w:val="00E37B8D"/>
    <w:rsid w:val="00E37BCE"/>
    <w:rsid w:val="00E37CE8"/>
    <w:rsid w:val="00E40247"/>
    <w:rsid w:val="00E40290"/>
    <w:rsid w:val="00E4052E"/>
    <w:rsid w:val="00E40813"/>
    <w:rsid w:val="00E40926"/>
    <w:rsid w:val="00E40ABC"/>
    <w:rsid w:val="00E40AE6"/>
    <w:rsid w:val="00E40AF8"/>
    <w:rsid w:val="00E40BFE"/>
    <w:rsid w:val="00E40C08"/>
    <w:rsid w:val="00E40C27"/>
    <w:rsid w:val="00E40C32"/>
    <w:rsid w:val="00E40E64"/>
    <w:rsid w:val="00E40F21"/>
    <w:rsid w:val="00E4117E"/>
    <w:rsid w:val="00E413A3"/>
    <w:rsid w:val="00E413CD"/>
    <w:rsid w:val="00E413F9"/>
    <w:rsid w:val="00E41444"/>
    <w:rsid w:val="00E414C0"/>
    <w:rsid w:val="00E4197F"/>
    <w:rsid w:val="00E419EE"/>
    <w:rsid w:val="00E41B49"/>
    <w:rsid w:val="00E41DFB"/>
    <w:rsid w:val="00E41E4F"/>
    <w:rsid w:val="00E41E78"/>
    <w:rsid w:val="00E4206B"/>
    <w:rsid w:val="00E420E5"/>
    <w:rsid w:val="00E42196"/>
    <w:rsid w:val="00E421F2"/>
    <w:rsid w:val="00E422C1"/>
    <w:rsid w:val="00E42335"/>
    <w:rsid w:val="00E4239B"/>
    <w:rsid w:val="00E424A6"/>
    <w:rsid w:val="00E424C4"/>
    <w:rsid w:val="00E425B1"/>
    <w:rsid w:val="00E42603"/>
    <w:rsid w:val="00E427F1"/>
    <w:rsid w:val="00E428C1"/>
    <w:rsid w:val="00E429B6"/>
    <w:rsid w:val="00E42AED"/>
    <w:rsid w:val="00E42BBE"/>
    <w:rsid w:val="00E42BF9"/>
    <w:rsid w:val="00E42C40"/>
    <w:rsid w:val="00E42C95"/>
    <w:rsid w:val="00E42D37"/>
    <w:rsid w:val="00E42E2D"/>
    <w:rsid w:val="00E432B9"/>
    <w:rsid w:val="00E435A2"/>
    <w:rsid w:val="00E4365D"/>
    <w:rsid w:val="00E43855"/>
    <w:rsid w:val="00E43879"/>
    <w:rsid w:val="00E43A99"/>
    <w:rsid w:val="00E43AF7"/>
    <w:rsid w:val="00E43B41"/>
    <w:rsid w:val="00E43B81"/>
    <w:rsid w:val="00E43C72"/>
    <w:rsid w:val="00E43D82"/>
    <w:rsid w:val="00E43DC7"/>
    <w:rsid w:val="00E43FD5"/>
    <w:rsid w:val="00E440D1"/>
    <w:rsid w:val="00E440FD"/>
    <w:rsid w:val="00E44344"/>
    <w:rsid w:val="00E443E0"/>
    <w:rsid w:val="00E44605"/>
    <w:rsid w:val="00E446E0"/>
    <w:rsid w:val="00E447B1"/>
    <w:rsid w:val="00E44B21"/>
    <w:rsid w:val="00E44CAC"/>
    <w:rsid w:val="00E44D20"/>
    <w:rsid w:val="00E44E1D"/>
    <w:rsid w:val="00E44E25"/>
    <w:rsid w:val="00E44FB0"/>
    <w:rsid w:val="00E45205"/>
    <w:rsid w:val="00E45454"/>
    <w:rsid w:val="00E4549D"/>
    <w:rsid w:val="00E455A0"/>
    <w:rsid w:val="00E4568A"/>
    <w:rsid w:val="00E456F3"/>
    <w:rsid w:val="00E4577F"/>
    <w:rsid w:val="00E459C0"/>
    <w:rsid w:val="00E45A72"/>
    <w:rsid w:val="00E45B48"/>
    <w:rsid w:val="00E45F46"/>
    <w:rsid w:val="00E4617B"/>
    <w:rsid w:val="00E4628B"/>
    <w:rsid w:val="00E462EE"/>
    <w:rsid w:val="00E46321"/>
    <w:rsid w:val="00E4650C"/>
    <w:rsid w:val="00E4653F"/>
    <w:rsid w:val="00E46561"/>
    <w:rsid w:val="00E4663C"/>
    <w:rsid w:val="00E466F6"/>
    <w:rsid w:val="00E4676A"/>
    <w:rsid w:val="00E46788"/>
    <w:rsid w:val="00E4680A"/>
    <w:rsid w:val="00E4695C"/>
    <w:rsid w:val="00E46A7B"/>
    <w:rsid w:val="00E46E46"/>
    <w:rsid w:val="00E46E65"/>
    <w:rsid w:val="00E46EB6"/>
    <w:rsid w:val="00E46FE9"/>
    <w:rsid w:val="00E47051"/>
    <w:rsid w:val="00E471E9"/>
    <w:rsid w:val="00E4733B"/>
    <w:rsid w:val="00E473A0"/>
    <w:rsid w:val="00E474E8"/>
    <w:rsid w:val="00E4755A"/>
    <w:rsid w:val="00E476F4"/>
    <w:rsid w:val="00E47B2E"/>
    <w:rsid w:val="00E47D06"/>
    <w:rsid w:val="00E47D41"/>
    <w:rsid w:val="00E47DA7"/>
    <w:rsid w:val="00E47E01"/>
    <w:rsid w:val="00E47EBE"/>
    <w:rsid w:val="00E503E2"/>
    <w:rsid w:val="00E50621"/>
    <w:rsid w:val="00E50748"/>
    <w:rsid w:val="00E50902"/>
    <w:rsid w:val="00E50B7C"/>
    <w:rsid w:val="00E50C99"/>
    <w:rsid w:val="00E50D14"/>
    <w:rsid w:val="00E511EC"/>
    <w:rsid w:val="00E513A0"/>
    <w:rsid w:val="00E51473"/>
    <w:rsid w:val="00E515F5"/>
    <w:rsid w:val="00E5175F"/>
    <w:rsid w:val="00E5184A"/>
    <w:rsid w:val="00E518DB"/>
    <w:rsid w:val="00E5197B"/>
    <w:rsid w:val="00E5199E"/>
    <w:rsid w:val="00E51B52"/>
    <w:rsid w:val="00E51B9B"/>
    <w:rsid w:val="00E51CE7"/>
    <w:rsid w:val="00E51EBB"/>
    <w:rsid w:val="00E51ED9"/>
    <w:rsid w:val="00E51F08"/>
    <w:rsid w:val="00E51F3F"/>
    <w:rsid w:val="00E5212C"/>
    <w:rsid w:val="00E5215B"/>
    <w:rsid w:val="00E521E8"/>
    <w:rsid w:val="00E521EE"/>
    <w:rsid w:val="00E5239F"/>
    <w:rsid w:val="00E52480"/>
    <w:rsid w:val="00E526FE"/>
    <w:rsid w:val="00E52773"/>
    <w:rsid w:val="00E527CD"/>
    <w:rsid w:val="00E52826"/>
    <w:rsid w:val="00E52B0E"/>
    <w:rsid w:val="00E52CA1"/>
    <w:rsid w:val="00E52CA4"/>
    <w:rsid w:val="00E5300E"/>
    <w:rsid w:val="00E536BD"/>
    <w:rsid w:val="00E53837"/>
    <w:rsid w:val="00E538B7"/>
    <w:rsid w:val="00E53BBF"/>
    <w:rsid w:val="00E53D11"/>
    <w:rsid w:val="00E53F09"/>
    <w:rsid w:val="00E53FA2"/>
    <w:rsid w:val="00E540FF"/>
    <w:rsid w:val="00E54163"/>
    <w:rsid w:val="00E5420D"/>
    <w:rsid w:val="00E54462"/>
    <w:rsid w:val="00E545A0"/>
    <w:rsid w:val="00E545D6"/>
    <w:rsid w:val="00E545FE"/>
    <w:rsid w:val="00E546E6"/>
    <w:rsid w:val="00E547CF"/>
    <w:rsid w:val="00E547F0"/>
    <w:rsid w:val="00E54838"/>
    <w:rsid w:val="00E5485E"/>
    <w:rsid w:val="00E54911"/>
    <w:rsid w:val="00E54B2E"/>
    <w:rsid w:val="00E54BCB"/>
    <w:rsid w:val="00E54C8E"/>
    <w:rsid w:val="00E54EC2"/>
    <w:rsid w:val="00E54F3F"/>
    <w:rsid w:val="00E54F87"/>
    <w:rsid w:val="00E55063"/>
    <w:rsid w:val="00E551B0"/>
    <w:rsid w:val="00E55219"/>
    <w:rsid w:val="00E5523A"/>
    <w:rsid w:val="00E55334"/>
    <w:rsid w:val="00E5534D"/>
    <w:rsid w:val="00E554C5"/>
    <w:rsid w:val="00E554D8"/>
    <w:rsid w:val="00E555C7"/>
    <w:rsid w:val="00E555DE"/>
    <w:rsid w:val="00E556AB"/>
    <w:rsid w:val="00E556D0"/>
    <w:rsid w:val="00E5573D"/>
    <w:rsid w:val="00E5585E"/>
    <w:rsid w:val="00E55860"/>
    <w:rsid w:val="00E55A11"/>
    <w:rsid w:val="00E55C1B"/>
    <w:rsid w:val="00E55CDE"/>
    <w:rsid w:val="00E55EB2"/>
    <w:rsid w:val="00E56126"/>
    <w:rsid w:val="00E5623B"/>
    <w:rsid w:val="00E5626A"/>
    <w:rsid w:val="00E5629D"/>
    <w:rsid w:val="00E563CF"/>
    <w:rsid w:val="00E563DD"/>
    <w:rsid w:val="00E56480"/>
    <w:rsid w:val="00E56511"/>
    <w:rsid w:val="00E565F1"/>
    <w:rsid w:val="00E5663B"/>
    <w:rsid w:val="00E56A66"/>
    <w:rsid w:val="00E56AF7"/>
    <w:rsid w:val="00E56B3C"/>
    <w:rsid w:val="00E56E21"/>
    <w:rsid w:val="00E56F5A"/>
    <w:rsid w:val="00E5728B"/>
    <w:rsid w:val="00E574A2"/>
    <w:rsid w:val="00E5767F"/>
    <w:rsid w:val="00E5785D"/>
    <w:rsid w:val="00E57951"/>
    <w:rsid w:val="00E579DD"/>
    <w:rsid w:val="00E57A05"/>
    <w:rsid w:val="00E57A34"/>
    <w:rsid w:val="00E57BB0"/>
    <w:rsid w:val="00E57C23"/>
    <w:rsid w:val="00E57C55"/>
    <w:rsid w:val="00E57DDE"/>
    <w:rsid w:val="00E57E5F"/>
    <w:rsid w:val="00E57E8A"/>
    <w:rsid w:val="00E60502"/>
    <w:rsid w:val="00E60512"/>
    <w:rsid w:val="00E60648"/>
    <w:rsid w:val="00E6098A"/>
    <w:rsid w:val="00E609A5"/>
    <w:rsid w:val="00E609CC"/>
    <w:rsid w:val="00E60AEB"/>
    <w:rsid w:val="00E60B42"/>
    <w:rsid w:val="00E60D92"/>
    <w:rsid w:val="00E60F20"/>
    <w:rsid w:val="00E60F2D"/>
    <w:rsid w:val="00E60F48"/>
    <w:rsid w:val="00E61055"/>
    <w:rsid w:val="00E61110"/>
    <w:rsid w:val="00E61155"/>
    <w:rsid w:val="00E61277"/>
    <w:rsid w:val="00E6127E"/>
    <w:rsid w:val="00E61287"/>
    <w:rsid w:val="00E61297"/>
    <w:rsid w:val="00E61543"/>
    <w:rsid w:val="00E61634"/>
    <w:rsid w:val="00E6174E"/>
    <w:rsid w:val="00E61881"/>
    <w:rsid w:val="00E6197B"/>
    <w:rsid w:val="00E61C4A"/>
    <w:rsid w:val="00E61F63"/>
    <w:rsid w:val="00E61FFD"/>
    <w:rsid w:val="00E621D2"/>
    <w:rsid w:val="00E621DE"/>
    <w:rsid w:val="00E62413"/>
    <w:rsid w:val="00E62576"/>
    <w:rsid w:val="00E625EC"/>
    <w:rsid w:val="00E62725"/>
    <w:rsid w:val="00E627AC"/>
    <w:rsid w:val="00E62ACC"/>
    <w:rsid w:val="00E62B2A"/>
    <w:rsid w:val="00E62D56"/>
    <w:rsid w:val="00E62E43"/>
    <w:rsid w:val="00E6308E"/>
    <w:rsid w:val="00E632D4"/>
    <w:rsid w:val="00E632E0"/>
    <w:rsid w:val="00E6341D"/>
    <w:rsid w:val="00E634C8"/>
    <w:rsid w:val="00E63506"/>
    <w:rsid w:val="00E6352B"/>
    <w:rsid w:val="00E636C9"/>
    <w:rsid w:val="00E63847"/>
    <w:rsid w:val="00E63932"/>
    <w:rsid w:val="00E63967"/>
    <w:rsid w:val="00E63A74"/>
    <w:rsid w:val="00E63B94"/>
    <w:rsid w:val="00E63DD2"/>
    <w:rsid w:val="00E63E4A"/>
    <w:rsid w:val="00E6410A"/>
    <w:rsid w:val="00E64467"/>
    <w:rsid w:val="00E64481"/>
    <w:rsid w:val="00E644FA"/>
    <w:rsid w:val="00E64534"/>
    <w:rsid w:val="00E645E9"/>
    <w:rsid w:val="00E646E3"/>
    <w:rsid w:val="00E6496D"/>
    <w:rsid w:val="00E649F9"/>
    <w:rsid w:val="00E64C91"/>
    <w:rsid w:val="00E64CF5"/>
    <w:rsid w:val="00E64F7F"/>
    <w:rsid w:val="00E651A0"/>
    <w:rsid w:val="00E65251"/>
    <w:rsid w:val="00E65339"/>
    <w:rsid w:val="00E6541C"/>
    <w:rsid w:val="00E655A3"/>
    <w:rsid w:val="00E655F1"/>
    <w:rsid w:val="00E6565A"/>
    <w:rsid w:val="00E657A5"/>
    <w:rsid w:val="00E65ACB"/>
    <w:rsid w:val="00E65C88"/>
    <w:rsid w:val="00E65D3C"/>
    <w:rsid w:val="00E65D8A"/>
    <w:rsid w:val="00E65DD9"/>
    <w:rsid w:val="00E65E5D"/>
    <w:rsid w:val="00E65F03"/>
    <w:rsid w:val="00E65F23"/>
    <w:rsid w:val="00E65F2A"/>
    <w:rsid w:val="00E660CD"/>
    <w:rsid w:val="00E6610C"/>
    <w:rsid w:val="00E663A0"/>
    <w:rsid w:val="00E6666C"/>
    <w:rsid w:val="00E668B6"/>
    <w:rsid w:val="00E6693F"/>
    <w:rsid w:val="00E669AC"/>
    <w:rsid w:val="00E66A1C"/>
    <w:rsid w:val="00E66A22"/>
    <w:rsid w:val="00E66B42"/>
    <w:rsid w:val="00E66BC7"/>
    <w:rsid w:val="00E66BCD"/>
    <w:rsid w:val="00E66BDC"/>
    <w:rsid w:val="00E66C73"/>
    <w:rsid w:val="00E66D50"/>
    <w:rsid w:val="00E66D71"/>
    <w:rsid w:val="00E66E07"/>
    <w:rsid w:val="00E66E96"/>
    <w:rsid w:val="00E66F0B"/>
    <w:rsid w:val="00E66F42"/>
    <w:rsid w:val="00E67295"/>
    <w:rsid w:val="00E673C6"/>
    <w:rsid w:val="00E673EF"/>
    <w:rsid w:val="00E675F6"/>
    <w:rsid w:val="00E675FF"/>
    <w:rsid w:val="00E677E5"/>
    <w:rsid w:val="00E6786D"/>
    <w:rsid w:val="00E67909"/>
    <w:rsid w:val="00E67BFC"/>
    <w:rsid w:val="00E67C85"/>
    <w:rsid w:val="00E67CD5"/>
    <w:rsid w:val="00E67EB0"/>
    <w:rsid w:val="00E67EBF"/>
    <w:rsid w:val="00E7001E"/>
    <w:rsid w:val="00E700CC"/>
    <w:rsid w:val="00E700CF"/>
    <w:rsid w:val="00E701D8"/>
    <w:rsid w:val="00E70291"/>
    <w:rsid w:val="00E70309"/>
    <w:rsid w:val="00E70345"/>
    <w:rsid w:val="00E70424"/>
    <w:rsid w:val="00E704C7"/>
    <w:rsid w:val="00E70904"/>
    <w:rsid w:val="00E70A0E"/>
    <w:rsid w:val="00E70A5D"/>
    <w:rsid w:val="00E70AB8"/>
    <w:rsid w:val="00E70E81"/>
    <w:rsid w:val="00E71110"/>
    <w:rsid w:val="00E716E4"/>
    <w:rsid w:val="00E71799"/>
    <w:rsid w:val="00E71846"/>
    <w:rsid w:val="00E71892"/>
    <w:rsid w:val="00E718C2"/>
    <w:rsid w:val="00E71AA0"/>
    <w:rsid w:val="00E71AF5"/>
    <w:rsid w:val="00E71B6F"/>
    <w:rsid w:val="00E71C09"/>
    <w:rsid w:val="00E71CDD"/>
    <w:rsid w:val="00E71D37"/>
    <w:rsid w:val="00E71F45"/>
    <w:rsid w:val="00E71F5E"/>
    <w:rsid w:val="00E722CF"/>
    <w:rsid w:val="00E7234D"/>
    <w:rsid w:val="00E723EA"/>
    <w:rsid w:val="00E724A0"/>
    <w:rsid w:val="00E7259B"/>
    <w:rsid w:val="00E72768"/>
    <w:rsid w:val="00E72982"/>
    <w:rsid w:val="00E729F8"/>
    <w:rsid w:val="00E72B85"/>
    <w:rsid w:val="00E72C70"/>
    <w:rsid w:val="00E72D6C"/>
    <w:rsid w:val="00E72D9C"/>
    <w:rsid w:val="00E72E11"/>
    <w:rsid w:val="00E72F0C"/>
    <w:rsid w:val="00E72FBC"/>
    <w:rsid w:val="00E7329A"/>
    <w:rsid w:val="00E7343C"/>
    <w:rsid w:val="00E73749"/>
    <w:rsid w:val="00E739C5"/>
    <w:rsid w:val="00E73A4B"/>
    <w:rsid w:val="00E73A8F"/>
    <w:rsid w:val="00E73BAB"/>
    <w:rsid w:val="00E73BE4"/>
    <w:rsid w:val="00E73CBD"/>
    <w:rsid w:val="00E73DBC"/>
    <w:rsid w:val="00E73DD1"/>
    <w:rsid w:val="00E74013"/>
    <w:rsid w:val="00E74021"/>
    <w:rsid w:val="00E7403D"/>
    <w:rsid w:val="00E740A4"/>
    <w:rsid w:val="00E742B6"/>
    <w:rsid w:val="00E742DF"/>
    <w:rsid w:val="00E74604"/>
    <w:rsid w:val="00E74831"/>
    <w:rsid w:val="00E74D54"/>
    <w:rsid w:val="00E74DBA"/>
    <w:rsid w:val="00E74DFF"/>
    <w:rsid w:val="00E74E2C"/>
    <w:rsid w:val="00E74E74"/>
    <w:rsid w:val="00E74EE7"/>
    <w:rsid w:val="00E74EF6"/>
    <w:rsid w:val="00E74F42"/>
    <w:rsid w:val="00E7523C"/>
    <w:rsid w:val="00E75497"/>
    <w:rsid w:val="00E754B4"/>
    <w:rsid w:val="00E75558"/>
    <w:rsid w:val="00E755D6"/>
    <w:rsid w:val="00E756D8"/>
    <w:rsid w:val="00E7584F"/>
    <w:rsid w:val="00E75918"/>
    <w:rsid w:val="00E7599A"/>
    <w:rsid w:val="00E75D44"/>
    <w:rsid w:val="00E75E18"/>
    <w:rsid w:val="00E75E27"/>
    <w:rsid w:val="00E75E3B"/>
    <w:rsid w:val="00E75FFE"/>
    <w:rsid w:val="00E7603C"/>
    <w:rsid w:val="00E76218"/>
    <w:rsid w:val="00E76237"/>
    <w:rsid w:val="00E7623E"/>
    <w:rsid w:val="00E762E6"/>
    <w:rsid w:val="00E762ED"/>
    <w:rsid w:val="00E76490"/>
    <w:rsid w:val="00E7652B"/>
    <w:rsid w:val="00E765FD"/>
    <w:rsid w:val="00E7668C"/>
    <w:rsid w:val="00E7692E"/>
    <w:rsid w:val="00E7697A"/>
    <w:rsid w:val="00E76A78"/>
    <w:rsid w:val="00E76D20"/>
    <w:rsid w:val="00E76D65"/>
    <w:rsid w:val="00E76D69"/>
    <w:rsid w:val="00E770AE"/>
    <w:rsid w:val="00E775F9"/>
    <w:rsid w:val="00E77858"/>
    <w:rsid w:val="00E77B08"/>
    <w:rsid w:val="00E77B84"/>
    <w:rsid w:val="00E77C13"/>
    <w:rsid w:val="00E77E35"/>
    <w:rsid w:val="00E77E4F"/>
    <w:rsid w:val="00E77E81"/>
    <w:rsid w:val="00E77EA3"/>
    <w:rsid w:val="00E77FE9"/>
    <w:rsid w:val="00E801AD"/>
    <w:rsid w:val="00E801D5"/>
    <w:rsid w:val="00E8025A"/>
    <w:rsid w:val="00E80477"/>
    <w:rsid w:val="00E80669"/>
    <w:rsid w:val="00E8072D"/>
    <w:rsid w:val="00E80CA6"/>
    <w:rsid w:val="00E80F00"/>
    <w:rsid w:val="00E80FF7"/>
    <w:rsid w:val="00E81084"/>
    <w:rsid w:val="00E81138"/>
    <w:rsid w:val="00E8114E"/>
    <w:rsid w:val="00E81210"/>
    <w:rsid w:val="00E8153A"/>
    <w:rsid w:val="00E8153C"/>
    <w:rsid w:val="00E815F0"/>
    <w:rsid w:val="00E815FB"/>
    <w:rsid w:val="00E817AC"/>
    <w:rsid w:val="00E817B7"/>
    <w:rsid w:val="00E8199E"/>
    <w:rsid w:val="00E81A5D"/>
    <w:rsid w:val="00E81B19"/>
    <w:rsid w:val="00E81C50"/>
    <w:rsid w:val="00E81D89"/>
    <w:rsid w:val="00E81E6A"/>
    <w:rsid w:val="00E81F09"/>
    <w:rsid w:val="00E81FB0"/>
    <w:rsid w:val="00E82104"/>
    <w:rsid w:val="00E82281"/>
    <w:rsid w:val="00E82376"/>
    <w:rsid w:val="00E82496"/>
    <w:rsid w:val="00E824E4"/>
    <w:rsid w:val="00E82681"/>
    <w:rsid w:val="00E82742"/>
    <w:rsid w:val="00E8278C"/>
    <w:rsid w:val="00E827C3"/>
    <w:rsid w:val="00E8285F"/>
    <w:rsid w:val="00E8287A"/>
    <w:rsid w:val="00E82A49"/>
    <w:rsid w:val="00E82AD4"/>
    <w:rsid w:val="00E82BE4"/>
    <w:rsid w:val="00E82C9A"/>
    <w:rsid w:val="00E82F9C"/>
    <w:rsid w:val="00E82FA2"/>
    <w:rsid w:val="00E83092"/>
    <w:rsid w:val="00E830AD"/>
    <w:rsid w:val="00E83940"/>
    <w:rsid w:val="00E83B8F"/>
    <w:rsid w:val="00E83C54"/>
    <w:rsid w:val="00E83D03"/>
    <w:rsid w:val="00E83E7F"/>
    <w:rsid w:val="00E83EA6"/>
    <w:rsid w:val="00E83F83"/>
    <w:rsid w:val="00E8425F"/>
    <w:rsid w:val="00E84324"/>
    <w:rsid w:val="00E8432E"/>
    <w:rsid w:val="00E84651"/>
    <w:rsid w:val="00E84721"/>
    <w:rsid w:val="00E847E0"/>
    <w:rsid w:val="00E8487E"/>
    <w:rsid w:val="00E849DC"/>
    <w:rsid w:val="00E84AE5"/>
    <w:rsid w:val="00E84AF0"/>
    <w:rsid w:val="00E84C16"/>
    <w:rsid w:val="00E84C19"/>
    <w:rsid w:val="00E84D7E"/>
    <w:rsid w:val="00E84E49"/>
    <w:rsid w:val="00E84EF7"/>
    <w:rsid w:val="00E85011"/>
    <w:rsid w:val="00E85027"/>
    <w:rsid w:val="00E850D6"/>
    <w:rsid w:val="00E853A8"/>
    <w:rsid w:val="00E853B6"/>
    <w:rsid w:val="00E85479"/>
    <w:rsid w:val="00E855A1"/>
    <w:rsid w:val="00E85667"/>
    <w:rsid w:val="00E859B5"/>
    <w:rsid w:val="00E859B7"/>
    <w:rsid w:val="00E85C42"/>
    <w:rsid w:val="00E85D5F"/>
    <w:rsid w:val="00E85D6A"/>
    <w:rsid w:val="00E85E51"/>
    <w:rsid w:val="00E85F2E"/>
    <w:rsid w:val="00E860C4"/>
    <w:rsid w:val="00E860E8"/>
    <w:rsid w:val="00E861B7"/>
    <w:rsid w:val="00E861BB"/>
    <w:rsid w:val="00E8621A"/>
    <w:rsid w:val="00E86239"/>
    <w:rsid w:val="00E863A0"/>
    <w:rsid w:val="00E86514"/>
    <w:rsid w:val="00E8668F"/>
    <w:rsid w:val="00E86696"/>
    <w:rsid w:val="00E868CE"/>
    <w:rsid w:val="00E86AB3"/>
    <w:rsid w:val="00E86AF2"/>
    <w:rsid w:val="00E86B1A"/>
    <w:rsid w:val="00E86EF1"/>
    <w:rsid w:val="00E86FAF"/>
    <w:rsid w:val="00E8700C"/>
    <w:rsid w:val="00E870AF"/>
    <w:rsid w:val="00E87118"/>
    <w:rsid w:val="00E87276"/>
    <w:rsid w:val="00E87545"/>
    <w:rsid w:val="00E875F7"/>
    <w:rsid w:val="00E8762B"/>
    <w:rsid w:val="00E87BE3"/>
    <w:rsid w:val="00E87C57"/>
    <w:rsid w:val="00E8AA8D"/>
    <w:rsid w:val="00E90035"/>
    <w:rsid w:val="00E900A7"/>
    <w:rsid w:val="00E900C7"/>
    <w:rsid w:val="00E90112"/>
    <w:rsid w:val="00E90225"/>
    <w:rsid w:val="00E90242"/>
    <w:rsid w:val="00E902FE"/>
    <w:rsid w:val="00E907F2"/>
    <w:rsid w:val="00E90B1D"/>
    <w:rsid w:val="00E90C08"/>
    <w:rsid w:val="00E90D32"/>
    <w:rsid w:val="00E90E7E"/>
    <w:rsid w:val="00E90F41"/>
    <w:rsid w:val="00E90F88"/>
    <w:rsid w:val="00E91055"/>
    <w:rsid w:val="00E91060"/>
    <w:rsid w:val="00E91087"/>
    <w:rsid w:val="00E911F8"/>
    <w:rsid w:val="00E91273"/>
    <w:rsid w:val="00E9140B"/>
    <w:rsid w:val="00E91427"/>
    <w:rsid w:val="00E91470"/>
    <w:rsid w:val="00E91614"/>
    <w:rsid w:val="00E9194A"/>
    <w:rsid w:val="00E919C2"/>
    <w:rsid w:val="00E919D6"/>
    <w:rsid w:val="00E91AD7"/>
    <w:rsid w:val="00E91EA5"/>
    <w:rsid w:val="00E91F69"/>
    <w:rsid w:val="00E91F7E"/>
    <w:rsid w:val="00E91FC9"/>
    <w:rsid w:val="00E92087"/>
    <w:rsid w:val="00E92329"/>
    <w:rsid w:val="00E92344"/>
    <w:rsid w:val="00E92406"/>
    <w:rsid w:val="00E9259E"/>
    <w:rsid w:val="00E9262E"/>
    <w:rsid w:val="00E9277C"/>
    <w:rsid w:val="00E928DA"/>
    <w:rsid w:val="00E92CD6"/>
    <w:rsid w:val="00E92D84"/>
    <w:rsid w:val="00E92F37"/>
    <w:rsid w:val="00E930A4"/>
    <w:rsid w:val="00E93179"/>
    <w:rsid w:val="00E9324B"/>
    <w:rsid w:val="00E93324"/>
    <w:rsid w:val="00E9334D"/>
    <w:rsid w:val="00E93413"/>
    <w:rsid w:val="00E934B8"/>
    <w:rsid w:val="00E9357F"/>
    <w:rsid w:val="00E936DD"/>
    <w:rsid w:val="00E9373F"/>
    <w:rsid w:val="00E937BF"/>
    <w:rsid w:val="00E937DB"/>
    <w:rsid w:val="00E9386C"/>
    <w:rsid w:val="00E93875"/>
    <w:rsid w:val="00E938F0"/>
    <w:rsid w:val="00E939F8"/>
    <w:rsid w:val="00E93A4D"/>
    <w:rsid w:val="00E93B16"/>
    <w:rsid w:val="00E93BD0"/>
    <w:rsid w:val="00E93E08"/>
    <w:rsid w:val="00E93E30"/>
    <w:rsid w:val="00E93E55"/>
    <w:rsid w:val="00E93E97"/>
    <w:rsid w:val="00E94121"/>
    <w:rsid w:val="00E94172"/>
    <w:rsid w:val="00E94289"/>
    <w:rsid w:val="00E9432C"/>
    <w:rsid w:val="00E94447"/>
    <w:rsid w:val="00E945EA"/>
    <w:rsid w:val="00E9473D"/>
    <w:rsid w:val="00E94A02"/>
    <w:rsid w:val="00E94A72"/>
    <w:rsid w:val="00E94AA5"/>
    <w:rsid w:val="00E94B64"/>
    <w:rsid w:val="00E94CE5"/>
    <w:rsid w:val="00E94D27"/>
    <w:rsid w:val="00E94F6E"/>
    <w:rsid w:val="00E94F98"/>
    <w:rsid w:val="00E950D7"/>
    <w:rsid w:val="00E95127"/>
    <w:rsid w:val="00E95313"/>
    <w:rsid w:val="00E954D7"/>
    <w:rsid w:val="00E955B7"/>
    <w:rsid w:val="00E955DE"/>
    <w:rsid w:val="00E955FA"/>
    <w:rsid w:val="00E958F0"/>
    <w:rsid w:val="00E95A44"/>
    <w:rsid w:val="00E95B7D"/>
    <w:rsid w:val="00E95C49"/>
    <w:rsid w:val="00E95C66"/>
    <w:rsid w:val="00E95CF4"/>
    <w:rsid w:val="00E95E1A"/>
    <w:rsid w:val="00E95E8F"/>
    <w:rsid w:val="00E95F0C"/>
    <w:rsid w:val="00E95F83"/>
    <w:rsid w:val="00E9600E"/>
    <w:rsid w:val="00E960DB"/>
    <w:rsid w:val="00E96226"/>
    <w:rsid w:val="00E962E9"/>
    <w:rsid w:val="00E9645F"/>
    <w:rsid w:val="00E965D6"/>
    <w:rsid w:val="00E9661F"/>
    <w:rsid w:val="00E9662D"/>
    <w:rsid w:val="00E96675"/>
    <w:rsid w:val="00E966C1"/>
    <w:rsid w:val="00E966F1"/>
    <w:rsid w:val="00E9695B"/>
    <w:rsid w:val="00E969B5"/>
    <w:rsid w:val="00E96A32"/>
    <w:rsid w:val="00E96B9A"/>
    <w:rsid w:val="00E96CDE"/>
    <w:rsid w:val="00E96EDC"/>
    <w:rsid w:val="00E96F8A"/>
    <w:rsid w:val="00E96FBF"/>
    <w:rsid w:val="00E97074"/>
    <w:rsid w:val="00E97139"/>
    <w:rsid w:val="00E9726E"/>
    <w:rsid w:val="00E972FA"/>
    <w:rsid w:val="00E9730C"/>
    <w:rsid w:val="00E97582"/>
    <w:rsid w:val="00E9760A"/>
    <w:rsid w:val="00E9799B"/>
    <w:rsid w:val="00E97A3F"/>
    <w:rsid w:val="00E97A41"/>
    <w:rsid w:val="00E97B2C"/>
    <w:rsid w:val="00E97B51"/>
    <w:rsid w:val="00E97E0D"/>
    <w:rsid w:val="00E97E16"/>
    <w:rsid w:val="00E97F52"/>
    <w:rsid w:val="00EA002C"/>
    <w:rsid w:val="00EA0197"/>
    <w:rsid w:val="00EA02D5"/>
    <w:rsid w:val="00EA03D0"/>
    <w:rsid w:val="00EA053D"/>
    <w:rsid w:val="00EA083A"/>
    <w:rsid w:val="00EA0A67"/>
    <w:rsid w:val="00EA0AD8"/>
    <w:rsid w:val="00EA0DA0"/>
    <w:rsid w:val="00EA0DA7"/>
    <w:rsid w:val="00EA0FD4"/>
    <w:rsid w:val="00EA105F"/>
    <w:rsid w:val="00EA10E7"/>
    <w:rsid w:val="00EA120B"/>
    <w:rsid w:val="00EA1214"/>
    <w:rsid w:val="00EA1406"/>
    <w:rsid w:val="00EA1576"/>
    <w:rsid w:val="00EA15FA"/>
    <w:rsid w:val="00EA1919"/>
    <w:rsid w:val="00EA193B"/>
    <w:rsid w:val="00EA19E1"/>
    <w:rsid w:val="00EA1A97"/>
    <w:rsid w:val="00EA1D00"/>
    <w:rsid w:val="00EA1D94"/>
    <w:rsid w:val="00EA1E01"/>
    <w:rsid w:val="00EA1F73"/>
    <w:rsid w:val="00EA24F2"/>
    <w:rsid w:val="00EA25E9"/>
    <w:rsid w:val="00EA2788"/>
    <w:rsid w:val="00EA2BD8"/>
    <w:rsid w:val="00EA2BDE"/>
    <w:rsid w:val="00EA2D11"/>
    <w:rsid w:val="00EA2D72"/>
    <w:rsid w:val="00EA2EAC"/>
    <w:rsid w:val="00EA308E"/>
    <w:rsid w:val="00EA342E"/>
    <w:rsid w:val="00EA352D"/>
    <w:rsid w:val="00EA3819"/>
    <w:rsid w:val="00EA394E"/>
    <w:rsid w:val="00EA3AB6"/>
    <w:rsid w:val="00EA3B17"/>
    <w:rsid w:val="00EA3D72"/>
    <w:rsid w:val="00EA3E7F"/>
    <w:rsid w:val="00EA3EC5"/>
    <w:rsid w:val="00EA4102"/>
    <w:rsid w:val="00EA41AF"/>
    <w:rsid w:val="00EA4224"/>
    <w:rsid w:val="00EA4362"/>
    <w:rsid w:val="00EA4740"/>
    <w:rsid w:val="00EA48B5"/>
    <w:rsid w:val="00EA4986"/>
    <w:rsid w:val="00EA4A40"/>
    <w:rsid w:val="00EA4A73"/>
    <w:rsid w:val="00EA4AB0"/>
    <w:rsid w:val="00EA4B5C"/>
    <w:rsid w:val="00EA4D15"/>
    <w:rsid w:val="00EA51A9"/>
    <w:rsid w:val="00EA51E1"/>
    <w:rsid w:val="00EA530A"/>
    <w:rsid w:val="00EA53C6"/>
    <w:rsid w:val="00EA54E9"/>
    <w:rsid w:val="00EA570A"/>
    <w:rsid w:val="00EA59B8"/>
    <w:rsid w:val="00EA5A79"/>
    <w:rsid w:val="00EA5A7B"/>
    <w:rsid w:val="00EA5F8E"/>
    <w:rsid w:val="00EA5FB2"/>
    <w:rsid w:val="00EA61FE"/>
    <w:rsid w:val="00EA62B0"/>
    <w:rsid w:val="00EA6344"/>
    <w:rsid w:val="00EA63FD"/>
    <w:rsid w:val="00EA65DE"/>
    <w:rsid w:val="00EA67F8"/>
    <w:rsid w:val="00EA6B41"/>
    <w:rsid w:val="00EA6D38"/>
    <w:rsid w:val="00EA7118"/>
    <w:rsid w:val="00EA715A"/>
    <w:rsid w:val="00EA7317"/>
    <w:rsid w:val="00EA759C"/>
    <w:rsid w:val="00EA7600"/>
    <w:rsid w:val="00EA7715"/>
    <w:rsid w:val="00EA7AC6"/>
    <w:rsid w:val="00EA7AC8"/>
    <w:rsid w:val="00EA7BC3"/>
    <w:rsid w:val="00EA7C5B"/>
    <w:rsid w:val="00EA7C8E"/>
    <w:rsid w:val="00EA7FAA"/>
    <w:rsid w:val="00EB04F7"/>
    <w:rsid w:val="00EB058A"/>
    <w:rsid w:val="00EB07B2"/>
    <w:rsid w:val="00EB07B8"/>
    <w:rsid w:val="00EB0954"/>
    <w:rsid w:val="00EB09FF"/>
    <w:rsid w:val="00EB0A86"/>
    <w:rsid w:val="00EB0AC6"/>
    <w:rsid w:val="00EB0AEA"/>
    <w:rsid w:val="00EB0BA7"/>
    <w:rsid w:val="00EB0DF7"/>
    <w:rsid w:val="00EB0F52"/>
    <w:rsid w:val="00EB1033"/>
    <w:rsid w:val="00EB1169"/>
    <w:rsid w:val="00EB11B9"/>
    <w:rsid w:val="00EB1259"/>
    <w:rsid w:val="00EB1297"/>
    <w:rsid w:val="00EB15C0"/>
    <w:rsid w:val="00EB1616"/>
    <w:rsid w:val="00EB16A2"/>
    <w:rsid w:val="00EB1943"/>
    <w:rsid w:val="00EB1C39"/>
    <w:rsid w:val="00EB1D5A"/>
    <w:rsid w:val="00EB1F9D"/>
    <w:rsid w:val="00EB2061"/>
    <w:rsid w:val="00EB212C"/>
    <w:rsid w:val="00EB2146"/>
    <w:rsid w:val="00EB228F"/>
    <w:rsid w:val="00EB249A"/>
    <w:rsid w:val="00EB249B"/>
    <w:rsid w:val="00EB2636"/>
    <w:rsid w:val="00EB2866"/>
    <w:rsid w:val="00EB2A4C"/>
    <w:rsid w:val="00EB2B42"/>
    <w:rsid w:val="00EB2BBC"/>
    <w:rsid w:val="00EB2C64"/>
    <w:rsid w:val="00EB2C9F"/>
    <w:rsid w:val="00EB2D99"/>
    <w:rsid w:val="00EB2DAA"/>
    <w:rsid w:val="00EB2FB5"/>
    <w:rsid w:val="00EB3153"/>
    <w:rsid w:val="00EB31CE"/>
    <w:rsid w:val="00EB3232"/>
    <w:rsid w:val="00EB33CF"/>
    <w:rsid w:val="00EB3404"/>
    <w:rsid w:val="00EB34D8"/>
    <w:rsid w:val="00EB3578"/>
    <w:rsid w:val="00EB38EA"/>
    <w:rsid w:val="00EB38F0"/>
    <w:rsid w:val="00EB3A62"/>
    <w:rsid w:val="00EB3B56"/>
    <w:rsid w:val="00EB3CE1"/>
    <w:rsid w:val="00EB3FB4"/>
    <w:rsid w:val="00EB3FE8"/>
    <w:rsid w:val="00EB4062"/>
    <w:rsid w:val="00EB4173"/>
    <w:rsid w:val="00EB4206"/>
    <w:rsid w:val="00EB4356"/>
    <w:rsid w:val="00EB437A"/>
    <w:rsid w:val="00EB4544"/>
    <w:rsid w:val="00EB4577"/>
    <w:rsid w:val="00EB473C"/>
    <w:rsid w:val="00EB47F5"/>
    <w:rsid w:val="00EB48F4"/>
    <w:rsid w:val="00EB4B05"/>
    <w:rsid w:val="00EB4C5F"/>
    <w:rsid w:val="00EB4DC1"/>
    <w:rsid w:val="00EB4F11"/>
    <w:rsid w:val="00EB4F41"/>
    <w:rsid w:val="00EB4FDF"/>
    <w:rsid w:val="00EB5061"/>
    <w:rsid w:val="00EB50CB"/>
    <w:rsid w:val="00EB51D2"/>
    <w:rsid w:val="00EB5202"/>
    <w:rsid w:val="00EB53F2"/>
    <w:rsid w:val="00EB540D"/>
    <w:rsid w:val="00EB5717"/>
    <w:rsid w:val="00EB5904"/>
    <w:rsid w:val="00EB5990"/>
    <w:rsid w:val="00EB59FF"/>
    <w:rsid w:val="00EB5A5F"/>
    <w:rsid w:val="00EB5A60"/>
    <w:rsid w:val="00EB5B28"/>
    <w:rsid w:val="00EB5B4D"/>
    <w:rsid w:val="00EB5C98"/>
    <w:rsid w:val="00EB5D40"/>
    <w:rsid w:val="00EB5E6F"/>
    <w:rsid w:val="00EB61AD"/>
    <w:rsid w:val="00EB61C1"/>
    <w:rsid w:val="00EB634E"/>
    <w:rsid w:val="00EB636C"/>
    <w:rsid w:val="00EB63A3"/>
    <w:rsid w:val="00EB66C2"/>
    <w:rsid w:val="00EB66F1"/>
    <w:rsid w:val="00EB6876"/>
    <w:rsid w:val="00EB68AA"/>
    <w:rsid w:val="00EB6AEF"/>
    <w:rsid w:val="00EB6BCD"/>
    <w:rsid w:val="00EB6BCF"/>
    <w:rsid w:val="00EB6C17"/>
    <w:rsid w:val="00EB6C53"/>
    <w:rsid w:val="00EB6E2D"/>
    <w:rsid w:val="00EB6F96"/>
    <w:rsid w:val="00EB7258"/>
    <w:rsid w:val="00EB72E8"/>
    <w:rsid w:val="00EB741B"/>
    <w:rsid w:val="00EB7566"/>
    <w:rsid w:val="00EB757D"/>
    <w:rsid w:val="00EB765E"/>
    <w:rsid w:val="00EB78F1"/>
    <w:rsid w:val="00EB797D"/>
    <w:rsid w:val="00EB7A55"/>
    <w:rsid w:val="00EB7B9A"/>
    <w:rsid w:val="00EB7BE7"/>
    <w:rsid w:val="00EB7CF9"/>
    <w:rsid w:val="00EB7D1D"/>
    <w:rsid w:val="00EC014C"/>
    <w:rsid w:val="00EC03B8"/>
    <w:rsid w:val="00EC03EC"/>
    <w:rsid w:val="00EC054B"/>
    <w:rsid w:val="00EC05F3"/>
    <w:rsid w:val="00EC060D"/>
    <w:rsid w:val="00EC06C6"/>
    <w:rsid w:val="00EC0734"/>
    <w:rsid w:val="00EC076E"/>
    <w:rsid w:val="00EC07A5"/>
    <w:rsid w:val="00EC08D0"/>
    <w:rsid w:val="00EC09A1"/>
    <w:rsid w:val="00EC0A8B"/>
    <w:rsid w:val="00EC0D3E"/>
    <w:rsid w:val="00EC0E61"/>
    <w:rsid w:val="00EC11D1"/>
    <w:rsid w:val="00EC12E9"/>
    <w:rsid w:val="00EC13B2"/>
    <w:rsid w:val="00EC14AF"/>
    <w:rsid w:val="00EC15FE"/>
    <w:rsid w:val="00EC1627"/>
    <w:rsid w:val="00EC169C"/>
    <w:rsid w:val="00EC1A3C"/>
    <w:rsid w:val="00EC1A57"/>
    <w:rsid w:val="00EC1A73"/>
    <w:rsid w:val="00EC1AE4"/>
    <w:rsid w:val="00EC1B3A"/>
    <w:rsid w:val="00EC1C0C"/>
    <w:rsid w:val="00EC1C4A"/>
    <w:rsid w:val="00EC1E2F"/>
    <w:rsid w:val="00EC1E5A"/>
    <w:rsid w:val="00EC20BF"/>
    <w:rsid w:val="00EC2115"/>
    <w:rsid w:val="00EC2221"/>
    <w:rsid w:val="00EC2273"/>
    <w:rsid w:val="00EC23AD"/>
    <w:rsid w:val="00EC247F"/>
    <w:rsid w:val="00EC2490"/>
    <w:rsid w:val="00EC251F"/>
    <w:rsid w:val="00EC2533"/>
    <w:rsid w:val="00EC2703"/>
    <w:rsid w:val="00EC2708"/>
    <w:rsid w:val="00EC2B05"/>
    <w:rsid w:val="00EC2C21"/>
    <w:rsid w:val="00EC2D16"/>
    <w:rsid w:val="00EC2F4B"/>
    <w:rsid w:val="00EC303B"/>
    <w:rsid w:val="00EC3098"/>
    <w:rsid w:val="00EC31B5"/>
    <w:rsid w:val="00EC3481"/>
    <w:rsid w:val="00EC3506"/>
    <w:rsid w:val="00EC35B5"/>
    <w:rsid w:val="00EC376A"/>
    <w:rsid w:val="00EC3896"/>
    <w:rsid w:val="00EC38F3"/>
    <w:rsid w:val="00EC3957"/>
    <w:rsid w:val="00EC3A84"/>
    <w:rsid w:val="00EC3B49"/>
    <w:rsid w:val="00EC3B7B"/>
    <w:rsid w:val="00EC3B92"/>
    <w:rsid w:val="00EC3C74"/>
    <w:rsid w:val="00EC3CD1"/>
    <w:rsid w:val="00EC3CE4"/>
    <w:rsid w:val="00EC3D39"/>
    <w:rsid w:val="00EC3DB3"/>
    <w:rsid w:val="00EC3E99"/>
    <w:rsid w:val="00EC3F7B"/>
    <w:rsid w:val="00EC41DE"/>
    <w:rsid w:val="00EC421D"/>
    <w:rsid w:val="00EC42A3"/>
    <w:rsid w:val="00EC4631"/>
    <w:rsid w:val="00EC4948"/>
    <w:rsid w:val="00EC4992"/>
    <w:rsid w:val="00EC4A72"/>
    <w:rsid w:val="00EC4D43"/>
    <w:rsid w:val="00EC4D54"/>
    <w:rsid w:val="00EC4DE9"/>
    <w:rsid w:val="00EC4EE7"/>
    <w:rsid w:val="00EC5052"/>
    <w:rsid w:val="00EC51BA"/>
    <w:rsid w:val="00EC5258"/>
    <w:rsid w:val="00EC55B9"/>
    <w:rsid w:val="00EC572A"/>
    <w:rsid w:val="00EC577C"/>
    <w:rsid w:val="00EC5793"/>
    <w:rsid w:val="00EC5BCA"/>
    <w:rsid w:val="00EC5C05"/>
    <w:rsid w:val="00EC5CB7"/>
    <w:rsid w:val="00EC5E2C"/>
    <w:rsid w:val="00EC5E6C"/>
    <w:rsid w:val="00EC5ECE"/>
    <w:rsid w:val="00EC61BB"/>
    <w:rsid w:val="00EC6217"/>
    <w:rsid w:val="00EC626D"/>
    <w:rsid w:val="00EC64B8"/>
    <w:rsid w:val="00EC663B"/>
    <w:rsid w:val="00EC6C56"/>
    <w:rsid w:val="00EC6DF2"/>
    <w:rsid w:val="00EC6E29"/>
    <w:rsid w:val="00EC6EDD"/>
    <w:rsid w:val="00EC7013"/>
    <w:rsid w:val="00EC70B5"/>
    <w:rsid w:val="00EC7140"/>
    <w:rsid w:val="00EC7199"/>
    <w:rsid w:val="00EC756C"/>
    <w:rsid w:val="00EC77CF"/>
    <w:rsid w:val="00EC7843"/>
    <w:rsid w:val="00EC7B9C"/>
    <w:rsid w:val="00EC7D0B"/>
    <w:rsid w:val="00EC7DB4"/>
    <w:rsid w:val="00EC7E4B"/>
    <w:rsid w:val="00EC7F23"/>
    <w:rsid w:val="00ED009D"/>
    <w:rsid w:val="00ED0247"/>
    <w:rsid w:val="00ED032A"/>
    <w:rsid w:val="00ED032B"/>
    <w:rsid w:val="00ED0393"/>
    <w:rsid w:val="00ED03EA"/>
    <w:rsid w:val="00ED044A"/>
    <w:rsid w:val="00ED049E"/>
    <w:rsid w:val="00ED04F5"/>
    <w:rsid w:val="00ED05F6"/>
    <w:rsid w:val="00ED0A3C"/>
    <w:rsid w:val="00ED0DC9"/>
    <w:rsid w:val="00ED0E27"/>
    <w:rsid w:val="00ED1001"/>
    <w:rsid w:val="00ED1226"/>
    <w:rsid w:val="00ED12B6"/>
    <w:rsid w:val="00ED16DC"/>
    <w:rsid w:val="00ED172D"/>
    <w:rsid w:val="00ED1A15"/>
    <w:rsid w:val="00ED1A2F"/>
    <w:rsid w:val="00ED1AB1"/>
    <w:rsid w:val="00ED1B98"/>
    <w:rsid w:val="00ED1BFC"/>
    <w:rsid w:val="00ED1CD9"/>
    <w:rsid w:val="00ED1EB6"/>
    <w:rsid w:val="00ED2164"/>
    <w:rsid w:val="00ED2307"/>
    <w:rsid w:val="00ED248D"/>
    <w:rsid w:val="00ED24A8"/>
    <w:rsid w:val="00ED27DD"/>
    <w:rsid w:val="00ED28A1"/>
    <w:rsid w:val="00ED294B"/>
    <w:rsid w:val="00ED29C5"/>
    <w:rsid w:val="00ED2A19"/>
    <w:rsid w:val="00ED2B07"/>
    <w:rsid w:val="00ED2B09"/>
    <w:rsid w:val="00ED2BC5"/>
    <w:rsid w:val="00ED2C53"/>
    <w:rsid w:val="00ED2D0E"/>
    <w:rsid w:val="00ED2DEA"/>
    <w:rsid w:val="00ED2E9B"/>
    <w:rsid w:val="00ED306A"/>
    <w:rsid w:val="00ED317B"/>
    <w:rsid w:val="00ED32C9"/>
    <w:rsid w:val="00ED398F"/>
    <w:rsid w:val="00ED3B72"/>
    <w:rsid w:val="00ED3BCF"/>
    <w:rsid w:val="00ED3DD1"/>
    <w:rsid w:val="00ED3E55"/>
    <w:rsid w:val="00ED3EEE"/>
    <w:rsid w:val="00ED3F16"/>
    <w:rsid w:val="00ED43DE"/>
    <w:rsid w:val="00ED4639"/>
    <w:rsid w:val="00ED46DA"/>
    <w:rsid w:val="00ED46F7"/>
    <w:rsid w:val="00ED47D6"/>
    <w:rsid w:val="00ED4BF0"/>
    <w:rsid w:val="00ED4D40"/>
    <w:rsid w:val="00ED4DF9"/>
    <w:rsid w:val="00ED4F2D"/>
    <w:rsid w:val="00ED5225"/>
    <w:rsid w:val="00ED535C"/>
    <w:rsid w:val="00ED551A"/>
    <w:rsid w:val="00ED5601"/>
    <w:rsid w:val="00ED5673"/>
    <w:rsid w:val="00ED5700"/>
    <w:rsid w:val="00ED5B2A"/>
    <w:rsid w:val="00ED5BFD"/>
    <w:rsid w:val="00ED5C76"/>
    <w:rsid w:val="00ED5C8C"/>
    <w:rsid w:val="00ED5D23"/>
    <w:rsid w:val="00ED5EB5"/>
    <w:rsid w:val="00ED5F5A"/>
    <w:rsid w:val="00ED601C"/>
    <w:rsid w:val="00ED6119"/>
    <w:rsid w:val="00ED612A"/>
    <w:rsid w:val="00ED61C0"/>
    <w:rsid w:val="00ED6281"/>
    <w:rsid w:val="00ED636A"/>
    <w:rsid w:val="00ED6491"/>
    <w:rsid w:val="00ED65A6"/>
    <w:rsid w:val="00ED65DA"/>
    <w:rsid w:val="00ED68ED"/>
    <w:rsid w:val="00ED69BC"/>
    <w:rsid w:val="00ED6ABF"/>
    <w:rsid w:val="00ED6B01"/>
    <w:rsid w:val="00ED6D98"/>
    <w:rsid w:val="00ED6ED8"/>
    <w:rsid w:val="00ED706E"/>
    <w:rsid w:val="00ED71B2"/>
    <w:rsid w:val="00ED74DB"/>
    <w:rsid w:val="00ED75C3"/>
    <w:rsid w:val="00ED75D3"/>
    <w:rsid w:val="00ED772F"/>
    <w:rsid w:val="00ED792F"/>
    <w:rsid w:val="00ED7AE8"/>
    <w:rsid w:val="00ED7B17"/>
    <w:rsid w:val="00ED7C06"/>
    <w:rsid w:val="00ED7C08"/>
    <w:rsid w:val="00ED7D00"/>
    <w:rsid w:val="00ED7D99"/>
    <w:rsid w:val="00ED7DD7"/>
    <w:rsid w:val="00ED7E28"/>
    <w:rsid w:val="00ED7EF6"/>
    <w:rsid w:val="00ED7FD3"/>
    <w:rsid w:val="00EE07E4"/>
    <w:rsid w:val="00EE0841"/>
    <w:rsid w:val="00EE0939"/>
    <w:rsid w:val="00EE0993"/>
    <w:rsid w:val="00EE0A4F"/>
    <w:rsid w:val="00EE0C42"/>
    <w:rsid w:val="00EE0C9B"/>
    <w:rsid w:val="00EE0E5D"/>
    <w:rsid w:val="00EE0ED5"/>
    <w:rsid w:val="00EE0EF1"/>
    <w:rsid w:val="00EE0F65"/>
    <w:rsid w:val="00EE1175"/>
    <w:rsid w:val="00EE132E"/>
    <w:rsid w:val="00EE1410"/>
    <w:rsid w:val="00EE1529"/>
    <w:rsid w:val="00EE156A"/>
    <w:rsid w:val="00EE1885"/>
    <w:rsid w:val="00EE18B9"/>
    <w:rsid w:val="00EE197D"/>
    <w:rsid w:val="00EE1A70"/>
    <w:rsid w:val="00EE1A9C"/>
    <w:rsid w:val="00EE1AEC"/>
    <w:rsid w:val="00EE1C14"/>
    <w:rsid w:val="00EE1CCA"/>
    <w:rsid w:val="00EE1DD0"/>
    <w:rsid w:val="00EE1E4B"/>
    <w:rsid w:val="00EE1EA4"/>
    <w:rsid w:val="00EE1FD0"/>
    <w:rsid w:val="00EE2138"/>
    <w:rsid w:val="00EE2306"/>
    <w:rsid w:val="00EE2370"/>
    <w:rsid w:val="00EE2560"/>
    <w:rsid w:val="00EE27AF"/>
    <w:rsid w:val="00EE27FB"/>
    <w:rsid w:val="00EE2942"/>
    <w:rsid w:val="00EE2987"/>
    <w:rsid w:val="00EE2BBE"/>
    <w:rsid w:val="00EE2DAC"/>
    <w:rsid w:val="00EE2FED"/>
    <w:rsid w:val="00EE321E"/>
    <w:rsid w:val="00EE3222"/>
    <w:rsid w:val="00EE3413"/>
    <w:rsid w:val="00EE34B3"/>
    <w:rsid w:val="00EE34F9"/>
    <w:rsid w:val="00EE35FC"/>
    <w:rsid w:val="00EE361E"/>
    <w:rsid w:val="00EE38B0"/>
    <w:rsid w:val="00EE39A9"/>
    <w:rsid w:val="00EE39F7"/>
    <w:rsid w:val="00EE3B35"/>
    <w:rsid w:val="00EE3BE3"/>
    <w:rsid w:val="00EE3BE8"/>
    <w:rsid w:val="00EE3C4E"/>
    <w:rsid w:val="00EE3CA5"/>
    <w:rsid w:val="00EE3CF1"/>
    <w:rsid w:val="00EE3EE4"/>
    <w:rsid w:val="00EE4064"/>
    <w:rsid w:val="00EE41CB"/>
    <w:rsid w:val="00EE429B"/>
    <w:rsid w:val="00EE45D8"/>
    <w:rsid w:val="00EE4852"/>
    <w:rsid w:val="00EE48A1"/>
    <w:rsid w:val="00EE492F"/>
    <w:rsid w:val="00EE4BBC"/>
    <w:rsid w:val="00EE4DB2"/>
    <w:rsid w:val="00EE4E2B"/>
    <w:rsid w:val="00EE4EB3"/>
    <w:rsid w:val="00EE4EFF"/>
    <w:rsid w:val="00EE4F70"/>
    <w:rsid w:val="00EE4FEA"/>
    <w:rsid w:val="00EE55E7"/>
    <w:rsid w:val="00EE5672"/>
    <w:rsid w:val="00EE5844"/>
    <w:rsid w:val="00EE5A17"/>
    <w:rsid w:val="00EE5A6A"/>
    <w:rsid w:val="00EE5AC5"/>
    <w:rsid w:val="00EE5F2C"/>
    <w:rsid w:val="00EE6172"/>
    <w:rsid w:val="00EE61D4"/>
    <w:rsid w:val="00EE63F8"/>
    <w:rsid w:val="00EE6615"/>
    <w:rsid w:val="00EE662B"/>
    <w:rsid w:val="00EE672D"/>
    <w:rsid w:val="00EE694A"/>
    <w:rsid w:val="00EE6B17"/>
    <w:rsid w:val="00EE6B77"/>
    <w:rsid w:val="00EE6C56"/>
    <w:rsid w:val="00EE6F9D"/>
    <w:rsid w:val="00EE7056"/>
    <w:rsid w:val="00EE711D"/>
    <w:rsid w:val="00EE7232"/>
    <w:rsid w:val="00EE72B3"/>
    <w:rsid w:val="00EE73A3"/>
    <w:rsid w:val="00EE753C"/>
    <w:rsid w:val="00EE754D"/>
    <w:rsid w:val="00EE7580"/>
    <w:rsid w:val="00EE75D2"/>
    <w:rsid w:val="00EE7765"/>
    <w:rsid w:val="00EE77FB"/>
    <w:rsid w:val="00EE77FD"/>
    <w:rsid w:val="00EE78A6"/>
    <w:rsid w:val="00EE7989"/>
    <w:rsid w:val="00EE7A21"/>
    <w:rsid w:val="00EE7ABC"/>
    <w:rsid w:val="00EE7AEE"/>
    <w:rsid w:val="00EE7B72"/>
    <w:rsid w:val="00EE7C8B"/>
    <w:rsid w:val="00EE7F7A"/>
    <w:rsid w:val="00EE7FE4"/>
    <w:rsid w:val="00EF018A"/>
    <w:rsid w:val="00EF01B2"/>
    <w:rsid w:val="00EF044F"/>
    <w:rsid w:val="00EF0620"/>
    <w:rsid w:val="00EF063F"/>
    <w:rsid w:val="00EF06A2"/>
    <w:rsid w:val="00EF070B"/>
    <w:rsid w:val="00EF07BF"/>
    <w:rsid w:val="00EF08DC"/>
    <w:rsid w:val="00EF09B7"/>
    <w:rsid w:val="00EF0A2E"/>
    <w:rsid w:val="00EF0AEB"/>
    <w:rsid w:val="00EF0CD9"/>
    <w:rsid w:val="00EF0D45"/>
    <w:rsid w:val="00EF13F1"/>
    <w:rsid w:val="00EF1403"/>
    <w:rsid w:val="00EF143F"/>
    <w:rsid w:val="00EF1684"/>
    <w:rsid w:val="00EF1A24"/>
    <w:rsid w:val="00EF1A9F"/>
    <w:rsid w:val="00EF1B5D"/>
    <w:rsid w:val="00EF1CF0"/>
    <w:rsid w:val="00EF1EA1"/>
    <w:rsid w:val="00EF20F6"/>
    <w:rsid w:val="00EF2195"/>
    <w:rsid w:val="00EF22F8"/>
    <w:rsid w:val="00EF2311"/>
    <w:rsid w:val="00EF23D9"/>
    <w:rsid w:val="00EF2471"/>
    <w:rsid w:val="00EF26E9"/>
    <w:rsid w:val="00EF2748"/>
    <w:rsid w:val="00EF2AA9"/>
    <w:rsid w:val="00EF2BBE"/>
    <w:rsid w:val="00EF2D48"/>
    <w:rsid w:val="00EF3137"/>
    <w:rsid w:val="00EF3150"/>
    <w:rsid w:val="00EF3208"/>
    <w:rsid w:val="00EF321B"/>
    <w:rsid w:val="00EF333D"/>
    <w:rsid w:val="00EF3446"/>
    <w:rsid w:val="00EF358D"/>
    <w:rsid w:val="00EF392D"/>
    <w:rsid w:val="00EF398E"/>
    <w:rsid w:val="00EF3A86"/>
    <w:rsid w:val="00EF3A98"/>
    <w:rsid w:val="00EF3B2F"/>
    <w:rsid w:val="00EF3B62"/>
    <w:rsid w:val="00EF3D46"/>
    <w:rsid w:val="00EF3EDF"/>
    <w:rsid w:val="00EF3F26"/>
    <w:rsid w:val="00EF3F68"/>
    <w:rsid w:val="00EF3FBD"/>
    <w:rsid w:val="00EF404F"/>
    <w:rsid w:val="00EF40A0"/>
    <w:rsid w:val="00EF41D6"/>
    <w:rsid w:val="00EF42FE"/>
    <w:rsid w:val="00EF43D0"/>
    <w:rsid w:val="00EF485C"/>
    <w:rsid w:val="00EF48EE"/>
    <w:rsid w:val="00EF49AF"/>
    <w:rsid w:val="00EF49BC"/>
    <w:rsid w:val="00EF4B54"/>
    <w:rsid w:val="00EF4C3E"/>
    <w:rsid w:val="00EF4CF0"/>
    <w:rsid w:val="00EF4CFD"/>
    <w:rsid w:val="00EF4F08"/>
    <w:rsid w:val="00EF5135"/>
    <w:rsid w:val="00EF53EC"/>
    <w:rsid w:val="00EF5407"/>
    <w:rsid w:val="00EF5558"/>
    <w:rsid w:val="00EF5713"/>
    <w:rsid w:val="00EF5923"/>
    <w:rsid w:val="00EF5A67"/>
    <w:rsid w:val="00EF5CCA"/>
    <w:rsid w:val="00EF624D"/>
    <w:rsid w:val="00EF6494"/>
    <w:rsid w:val="00EF649C"/>
    <w:rsid w:val="00EF656A"/>
    <w:rsid w:val="00EF6688"/>
    <w:rsid w:val="00EF6705"/>
    <w:rsid w:val="00EF67EB"/>
    <w:rsid w:val="00EF67FE"/>
    <w:rsid w:val="00EF680C"/>
    <w:rsid w:val="00EF69DA"/>
    <w:rsid w:val="00EF6BB5"/>
    <w:rsid w:val="00EF6CE9"/>
    <w:rsid w:val="00EF6F7F"/>
    <w:rsid w:val="00EF7192"/>
    <w:rsid w:val="00EF723C"/>
    <w:rsid w:val="00EF7244"/>
    <w:rsid w:val="00EF72AF"/>
    <w:rsid w:val="00EF764C"/>
    <w:rsid w:val="00EF76D2"/>
    <w:rsid w:val="00EF7729"/>
    <w:rsid w:val="00EF7AF5"/>
    <w:rsid w:val="00EF7C65"/>
    <w:rsid w:val="00EF7CCB"/>
    <w:rsid w:val="00EF7E12"/>
    <w:rsid w:val="00EF7EF5"/>
    <w:rsid w:val="00F00108"/>
    <w:rsid w:val="00F00209"/>
    <w:rsid w:val="00F002EB"/>
    <w:rsid w:val="00F00381"/>
    <w:rsid w:val="00F00826"/>
    <w:rsid w:val="00F009B4"/>
    <w:rsid w:val="00F009B9"/>
    <w:rsid w:val="00F00B18"/>
    <w:rsid w:val="00F00BDE"/>
    <w:rsid w:val="00F00BF2"/>
    <w:rsid w:val="00F00CE4"/>
    <w:rsid w:val="00F00EB0"/>
    <w:rsid w:val="00F00EB1"/>
    <w:rsid w:val="00F010AC"/>
    <w:rsid w:val="00F01141"/>
    <w:rsid w:val="00F0139F"/>
    <w:rsid w:val="00F014BE"/>
    <w:rsid w:val="00F01554"/>
    <w:rsid w:val="00F015B9"/>
    <w:rsid w:val="00F0177A"/>
    <w:rsid w:val="00F01A26"/>
    <w:rsid w:val="00F01BC5"/>
    <w:rsid w:val="00F01C69"/>
    <w:rsid w:val="00F01E82"/>
    <w:rsid w:val="00F01F3B"/>
    <w:rsid w:val="00F01F62"/>
    <w:rsid w:val="00F01FCC"/>
    <w:rsid w:val="00F020B2"/>
    <w:rsid w:val="00F022A1"/>
    <w:rsid w:val="00F022D2"/>
    <w:rsid w:val="00F02323"/>
    <w:rsid w:val="00F02632"/>
    <w:rsid w:val="00F02731"/>
    <w:rsid w:val="00F028ED"/>
    <w:rsid w:val="00F02A65"/>
    <w:rsid w:val="00F02ACB"/>
    <w:rsid w:val="00F02BDD"/>
    <w:rsid w:val="00F02D17"/>
    <w:rsid w:val="00F02FA9"/>
    <w:rsid w:val="00F0312C"/>
    <w:rsid w:val="00F0314D"/>
    <w:rsid w:val="00F031C1"/>
    <w:rsid w:val="00F03215"/>
    <w:rsid w:val="00F03333"/>
    <w:rsid w:val="00F0333A"/>
    <w:rsid w:val="00F0338F"/>
    <w:rsid w:val="00F0351C"/>
    <w:rsid w:val="00F0375E"/>
    <w:rsid w:val="00F037EE"/>
    <w:rsid w:val="00F03A67"/>
    <w:rsid w:val="00F03BAA"/>
    <w:rsid w:val="00F03C7D"/>
    <w:rsid w:val="00F03E2F"/>
    <w:rsid w:val="00F03E79"/>
    <w:rsid w:val="00F03FDD"/>
    <w:rsid w:val="00F0402C"/>
    <w:rsid w:val="00F04075"/>
    <w:rsid w:val="00F04197"/>
    <w:rsid w:val="00F04510"/>
    <w:rsid w:val="00F04573"/>
    <w:rsid w:val="00F04593"/>
    <w:rsid w:val="00F04664"/>
    <w:rsid w:val="00F046AD"/>
    <w:rsid w:val="00F0474A"/>
    <w:rsid w:val="00F04823"/>
    <w:rsid w:val="00F04E6D"/>
    <w:rsid w:val="00F04EB6"/>
    <w:rsid w:val="00F050E9"/>
    <w:rsid w:val="00F05128"/>
    <w:rsid w:val="00F051CA"/>
    <w:rsid w:val="00F053AD"/>
    <w:rsid w:val="00F05523"/>
    <w:rsid w:val="00F0582B"/>
    <w:rsid w:val="00F058A9"/>
    <w:rsid w:val="00F05973"/>
    <w:rsid w:val="00F05C13"/>
    <w:rsid w:val="00F05C99"/>
    <w:rsid w:val="00F05C9A"/>
    <w:rsid w:val="00F05E64"/>
    <w:rsid w:val="00F05F0C"/>
    <w:rsid w:val="00F05F75"/>
    <w:rsid w:val="00F06153"/>
    <w:rsid w:val="00F061B7"/>
    <w:rsid w:val="00F0629C"/>
    <w:rsid w:val="00F062AE"/>
    <w:rsid w:val="00F063BC"/>
    <w:rsid w:val="00F0683C"/>
    <w:rsid w:val="00F06921"/>
    <w:rsid w:val="00F0724A"/>
    <w:rsid w:val="00F072B4"/>
    <w:rsid w:val="00F076E2"/>
    <w:rsid w:val="00F0775C"/>
    <w:rsid w:val="00F0777F"/>
    <w:rsid w:val="00F0779E"/>
    <w:rsid w:val="00F078CF"/>
    <w:rsid w:val="00F07911"/>
    <w:rsid w:val="00F07A8D"/>
    <w:rsid w:val="00F07D8B"/>
    <w:rsid w:val="00F07E57"/>
    <w:rsid w:val="00F07E69"/>
    <w:rsid w:val="00F07F87"/>
    <w:rsid w:val="00F07FBB"/>
    <w:rsid w:val="00F0BC40"/>
    <w:rsid w:val="00F100B9"/>
    <w:rsid w:val="00F100EA"/>
    <w:rsid w:val="00F101B7"/>
    <w:rsid w:val="00F1034D"/>
    <w:rsid w:val="00F1034E"/>
    <w:rsid w:val="00F10374"/>
    <w:rsid w:val="00F10409"/>
    <w:rsid w:val="00F10413"/>
    <w:rsid w:val="00F10482"/>
    <w:rsid w:val="00F10545"/>
    <w:rsid w:val="00F10547"/>
    <w:rsid w:val="00F10579"/>
    <w:rsid w:val="00F105CD"/>
    <w:rsid w:val="00F106FF"/>
    <w:rsid w:val="00F1070B"/>
    <w:rsid w:val="00F10851"/>
    <w:rsid w:val="00F1095F"/>
    <w:rsid w:val="00F10A74"/>
    <w:rsid w:val="00F10B98"/>
    <w:rsid w:val="00F10C5F"/>
    <w:rsid w:val="00F10CE3"/>
    <w:rsid w:val="00F10DE1"/>
    <w:rsid w:val="00F10DFE"/>
    <w:rsid w:val="00F10E18"/>
    <w:rsid w:val="00F10F40"/>
    <w:rsid w:val="00F1101A"/>
    <w:rsid w:val="00F11453"/>
    <w:rsid w:val="00F11476"/>
    <w:rsid w:val="00F1178E"/>
    <w:rsid w:val="00F117D4"/>
    <w:rsid w:val="00F1197C"/>
    <w:rsid w:val="00F11ABC"/>
    <w:rsid w:val="00F11AF3"/>
    <w:rsid w:val="00F11C68"/>
    <w:rsid w:val="00F11CBD"/>
    <w:rsid w:val="00F11CCC"/>
    <w:rsid w:val="00F11D04"/>
    <w:rsid w:val="00F12038"/>
    <w:rsid w:val="00F122A4"/>
    <w:rsid w:val="00F123B7"/>
    <w:rsid w:val="00F123EF"/>
    <w:rsid w:val="00F125B5"/>
    <w:rsid w:val="00F12949"/>
    <w:rsid w:val="00F12AC6"/>
    <w:rsid w:val="00F12C88"/>
    <w:rsid w:val="00F12D90"/>
    <w:rsid w:val="00F12E4E"/>
    <w:rsid w:val="00F12FD4"/>
    <w:rsid w:val="00F130AA"/>
    <w:rsid w:val="00F13145"/>
    <w:rsid w:val="00F1316F"/>
    <w:rsid w:val="00F131AA"/>
    <w:rsid w:val="00F137B6"/>
    <w:rsid w:val="00F137D5"/>
    <w:rsid w:val="00F138C6"/>
    <w:rsid w:val="00F139A7"/>
    <w:rsid w:val="00F13A44"/>
    <w:rsid w:val="00F13A70"/>
    <w:rsid w:val="00F13AEE"/>
    <w:rsid w:val="00F13BCE"/>
    <w:rsid w:val="00F13D68"/>
    <w:rsid w:val="00F13D8C"/>
    <w:rsid w:val="00F13D97"/>
    <w:rsid w:val="00F13DF2"/>
    <w:rsid w:val="00F13EEE"/>
    <w:rsid w:val="00F140DF"/>
    <w:rsid w:val="00F14148"/>
    <w:rsid w:val="00F1414B"/>
    <w:rsid w:val="00F143EB"/>
    <w:rsid w:val="00F1446C"/>
    <w:rsid w:val="00F14554"/>
    <w:rsid w:val="00F1455B"/>
    <w:rsid w:val="00F146AB"/>
    <w:rsid w:val="00F146E8"/>
    <w:rsid w:val="00F147FA"/>
    <w:rsid w:val="00F14817"/>
    <w:rsid w:val="00F148D4"/>
    <w:rsid w:val="00F149FE"/>
    <w:rsid w:val="00F14BD4"/>
    <w:rsid w:val="00F14DC8"/>
    <w:rsid w:val="00F14E28"/>
    <w:rsid w:val="00F14E34"/>
    <w:rsid w:val="00F14E70"/>
    <w:rsid w:val="00F151D7"/>
    <w:rsid w:val="00F153E2"/>
    <w:rsid w:val="00F154D7"/>
    <w:rsid w:val="00F15531"/>
    <w:rsid w:val="00F155A6"/>
    <w:rsid w:val="00F15864"/>
    <w:rsid w:val="00F15B46"/>
    <w:rsid w:val="00F15CEA"/>
    <w:rsid w:val="00F15EF9"/>
    <w:rsid w:val="00F15FC5"/>
    <w:rsid w:val="00F161A6"/>
    <w:rsid w:val="00F162AB"/>
    <w:rsid w:val="00F16350"/>
    <w:rsid w:val="00F16442"/>
    <w:rsid w:val="00F16513"/>
    <w:rsid w:val="00F16565"/>
    <w:rsid w:val="00F1657D"/>
    <w:rsid w:val="00F165C5"/>
    <w:rsid w:val="00F167F4"/>
    <w:rsid w:val="00F1692B"/>
    <w:rsid w:val="00F16A21"/>
    <w:rsid w:val="00F16B22"/>
    <w:rsid w:val="00F16B5A"/>
    <w:rsid w:val="00F16D67"/>
    <w:rsid w:val="00F16E60"/>
    <w:rsid w:val="00F16E61"/>
    <w:rsid w:val="00F16EDF"/>
    <w:rsid w:val="00F16F1C"/>
    <w:rsid w:val="00F16F2F"/>
    <w:rsid w:val="00F17019"/>
    <w:rsid w:val="00F170C0"/>
    <w:rsid w:val="00F1710E"/>
    <w:rsid w:val="00F1727B"/>
    <w:rsid w:val="00F173F3"/>
    <w:rsid w:val="00F17466"/>
    <w:rsid w:val="00F17522"/>
    <w:rsid w:val="00F175BA"/>
    <w:rsid w:val="00F176FA"/>
    <w:rsid w:val="00F1798E"/>
    <w:rsid w:val="00F17AFF"/>
    <w:rsid w:val="00F17CBE"/>
    <w:rsid w:val="00F17D8A"/>
    <w:rsid w:val="00F17D96"/>
    <w:rsid w:val="00F17E0D"/>
    <w:rsid w:val="00F203E1"/>
    <w:rsid w:val="00F204F5"/>
    <w:rsid w:val="00F205B6"/>
    <w:rsid w:val="00F2092C"/>
    <w:rsid w:val="00F209B3"/>
    <w:rsid w:val="00F209E1"/>
    <w:rsid w:val="00F20BB0"/>
    <w:rsid w:val="00F20D72"/>
    <w:rsid w:val="00F20D7D"/>
    <w:rsid w:val="00F20F37"/>
    <w:rsid w:val="00F20FB6"/>
    <w:rsid w:val="00F20FEC"/>
    <w:rsid w:val="00F21186"/>
    <w:rsid w:val="00F21318"/>
    <w:rsid w:val="00F21500"/>
    <w:rsid w:val="00F217EC"/>
    <w:rsid w:val="00F218C7"/>
    <w:rsid w:val="00F21995"/>
    <w:rsid w:val="00F219A9"/>
    <w:rsid w:val="00F219E5"/>
    <w:rsid w:val="00F21AEB"/>
    <w:rsid w:val="00F21C7E"/>
    <w:rsid w:val="00F21D99"/>
    <w:rsid w:val="00F21DD0"/>
    <w:rsid w:val="00F21E4B"/>
    <w:rsid w:val="00F2224B"/>
    <w:rsid w:val="00F22481"/>
    <w:rsid w:val="00F226AD"/>
    <w:rsid w:val="00F226F4"/>
    <w:rsid w:val="00F229D1"/>
    <w:rsid w:val="00F229F6"/>
    <w:rsid w:val="00F22A8F"/>
    <w:rsid w:val="00F22C89"/>
    <w:rsid w:val="00F22E4B"/>
    <w:rsid w:val="00F22E89"/>
    <w:rsid w:val="00F22F4E"/>
    <w:rsid w:val="00F23031"/>
    <w:rsid w:val="00F23176"/>
    <w:rsid w:val="00F23209"/>
    <w:rsid w:val="00F23306"/>
    <w:rsid w:val="00F233CD"/>
    <w:rsid w:val="00F234EE"/>
    <w:rsid w:val="00F235EB"/>
    <w:rsid w:val="00F2362B"/>
    <w:rsid w:val="00F23A57"/>
    <w:rsid w:val="00F23BD1"/>
    <w:rsid w:val="00F23D0D"/>
    <w:rsid w:val="00F23D4E"/>
    <w:rsid w:val="00F23D51"/>
    <w:rsid w:val="00F23DDB"/>
    <w:rsid w:val="00F23F58"/>
    <w:rsid w:val="00F24017"/>
    <w:rsid w:val="00F2407B"/>
    <w:rsid w:val="00F242EB"/>
    <w:rsid w:val="00F24378"/>
    <w:rsid w:val="00F244A3"/>
    <w:rsid w:val="00F244B9"/>
    <w:rsid w:val="00F245E4"/>
    <w:rsid w:val="00F2463B"/>
    <w:rsid w:val="00F24642"/>
    <w:rsid w:val="00F248E8"/>
    <w:rsid w:val="00F2492C"/>
    <w:rsid w:val="00F24AB0"/>
    <w:rsid w:val="00F24B1F"/>
    <w:rsid w:val="00F24DCD"/>
    <w:rsid w:val="00F24F9E"/>
    <w:rsid w:val="00F25021"/>
    <w:rsid w:val="00F25112"/>
    <w:rsid w:val="00F2550E"/>
    <w:rsid w:val="00F25567"/>
    <w:rsid w:val="00F261F7"/>
    <w:rsid w:val="00F26272"/>
    <w:rsid w:val="00F263C1"/>
    <w:rsid w:val="00F263EE"/>
    <w:rsid w:val="00F2640D"/>
    <w:rsid w:val="00F26594"/>
    <w:rsid w:val="00F26596"/>
    <w:rsid w:val="00F2672B"/>
    <w:rsid w:val="00F2684C"/>
    <w:rsid w:val="00F269D1"/>
    <w:rsid w:val="00F26A42"/>
    <w:rsid w:val="00F26C68"/>
    <w:rsid w:val="00F26D64"/>
    <w:rsid w:val="00F26D70"/>
    <w:rsid w:val="00F26E34"/>
    <w:rsid w:val="00F26F0F"/>
    <w:rsid w:val="00F26FBB"/>
    <w:rsid w:val="00F270C2"/>
    <w:rsid w:val="00F27125"/>
    <w:rsid w:val="00F271B0"/>
    <w:rsid w:val="00F2731B"/>
    <w:rsid w:val="00F273ED"/>
    <w:rsid w:val="00F27432"/>
    <w:rsid w:val="00F275FD"/>
    <w:rsid w:val="00F278BF"/>
    <w:rsid w:val="00F2791F"/>
    <w:rsid w:val="00F27BC8"/>
    <w:rsid w:val="00F27C54"/>
    <w:rsid w:val="00F27CA7"/>
    <w:rsid w:val="00F27CED"/>
    <w:rsid w:val="00F27D1A"/>
    <w:rsid w:val="00F27D45"/>
    <w:rsid w:val="00F27DAA"/>
    <w:rsid w:val="00F27E27"/>
    <w:rsid w:val="00F30079"/>
    <w:rsid w:val="00F30129"/>
    <w:rsid w:val="00F30155"/>
    <w:rsid w:val="00F303E0"/>
    <w:rsid w:val="00F30455"/>
    <w:rsid w:val="00F3047F"/>
    <w:rsid w:val="00F304A7"/>
    <w:rsid w:val="00F30670"/>
    <w:rsid w:val="00F306A4"/>
    <w:rsid w:val="00F309A9"/>
    <w:rsid w:val="00F30A76"/>
    <w:rsid w:val="00F30BD2"/>
    <w:rsid w:val="00F30D88"/>
    <w:rsid w:val="00F30E03"/>
    <w:rsid w:val="00F30E7B"/>
    <w:rsid w:val="00F30FF4"/>
    <w:rsid w:val="00F3101B"/>
    <w:rsid w:val="00F310AD"/>
    <w:rsid w:val="00F31130"/>
    <w:rsid w:val="00F3117C"/>
    <w:rsid w:val="00F31360"/>
    <w:rsid w:val="00F31450"/>
    <w:rsid w:val="00F314A1"/>
    <w:rsid w:val="00F314F8"/>
    <w:rsid w:val="00F31555"/>
    <w:rsid w:val="00F315C0"/>
    <w:rsid w:val="00F31616"/>
    <w:rsid w:val="00F31638"/>
    <w:rsid w:val="00F31776"/>
    <w:rsid w:val="00F317CE"/>
    <w:rsid w:val="00F31825"/>
    <w:rsid w:val="00F31888"/>
    <w:rsid w:val="00F31AED"/>
    <w:rsid w:val="00F31B82"/>
    <w:rsid w:val="00F32110"/>
    <w:rsid w:val="00F32123"/>
    <w:rsid w:val="00F321B0"/>
    <w:rsid w:val="00F322B4"/>
    <w:rsid w:val="00F32362"/>
    <w:rsid w:val="00F3253C"/>
    <w:rsid w:val="00F32806"/>
    <w:rsid w:val="00F329AA"/>
    <w:rsid w:val="00F329C6"/>
    <w:rsid w:val="00F32A16"/>
    <w:rsid w:val="00F32A47"/>
    <w:rsid w:val="00F32CF8"/>
    <w:rsid w:val="00F32DBA"/>
    <w:rsid w:val="00F32F17"/>
    <w:rsid w:val="00F32F9F"/>
    <w:rsid w:val="00F3306B"/>
    <w:rsid w:val="00F330B5"/>
    <w:rsid w:val="00F33137"/>
    <w:rsid w:val="00F333A1"/>
    <w:rsid w:val="00F33589"/>
    <w:rsid w:val="00F335DF"/>
    <w:rsid w:val="00F33A83"/>
    <w:rsid w:val="00F33AC2"/>
    <w:rsid w:val="00F33E01"/>
    <w:rsid w:val="00F33EE7"/>
    <w:rsid w:val="00F33F47"/>
    <w:rsid w:val="00F34144"/>
    <w:rsid w:val="00F3434C"/>
    <w:rsid w:val="00F344D3"/>
    <w:rsid w:val="00F3455D"/>
    <w:rsid w:val="00F34574"/>
    <w:rsid w:val="00F3465D"/>
    <w:rsid w:val="00F34669"/>
    <w:rsid w:val="00F34846"/>
    <w:rsid w:val="00F34A3E"/>
    <w:rsid w:val="00F34C23"/>
    <w:rsid w:val="00F34DCB"/>
    <w:rsid w:val="00F34DD5"/>
    <w:rsid w:val="00F34FA6"/>
    <w:rsid w:val="00F3539D"/>
    <w:rsid w:val="00F35502"/>
    <w:rsid w:val="00F35887"/>
    <w:rsid w:val="00F35D63"/>
    <w:rsid w:val="00F35D99"/>
    <w:rsid w:val="00F35DE0"/>
    <w:rsid w:val="00F35EC3"/>
    <w:rsid w:val="00F36013"/>
    <w:rsid w:val="00F36024"/>
    <w:rsid w:val="00F36042"/>
    <w:rsid w:val="00F360E9"/>
    <w:rsid w:val="00F3629D"/>
    <w:rsid w:val="00F36303"/>
    <w:rsid w:val="00F368F7"/>
    <w:rsid w:val="00F3698A"/>
    <w:rsid w:val="00F36ADA"/>
    <w:rsid w:val="00F36BFB"/>
    <w:rsid w:val="00F36C94"/>
    <w:rsid w:val="00F36CCC"/>
    <w:rsid w:val="00F36D0F"/>
    <w:rsid w:val="00F36D2A"/>
    <w:rsid w:val="00F36D49"/>
    <w:rsid w:val="00F36D9A"/>
    <w:rsid w:val="00F36F0C"/>
    <w:rsid w:val="00F36F20"/>
    <w:rsid w:val="00F36F5D"/>
    <w:rsid w:val="00F37012"/>
    <w:rsid w:val="00F37114"/>
    <w:rsid w:val="00F3720E"/>
    <w:rsid w:val="00F37420"/>
    <w:rsid w:val="00F3742F"/>
    <w:rsid w:val="00F376C3"/>
    <w:rsid w:val="00F3780E"/>
    <w:rsid w:val="00F37848"/>
    <w:rsid w:val="00F378B0"/>
    <w:rsid w:val="00F37925"/>
    <w:rsid w:val="00F3797A"/>
    <w:rsid w:val="00F37AC0"/>
    <w:rsid w:val="00F37AC4"/>
    <w:rsid w:val="00F37AD2"/>
    <w:rsid w:val="00F37BE6"/>
    <w:rsid w:val="00F37D39"/>
    <w:rsid w:val="00F37E13"/>
    <w:rsid w:val="00F37E68"/>
    <w:rsid w:val="00F37E6A"/>
    <w:rsid w:val="00F37F98"/>
    <w:rsid w:val="00F37FE5"/>
    <w:rsid w:val="00F400C1"/>
    <w:rsid w:val="00F400CC"/>
    <w:rsid w:val="00F403B8"/>
    <w:rsid w:val="00F403C2"/>
    <w:rsid w:val="00F404C1"/>
    <w:rsid w:val="00F40505"/>
    <w:rsid w:val="00F40572"/>
    <w:rsid w:val="00F405C5"/>
    <w:rsid w:val="00F405D2"/>
    <w:rsid w:val="00F40660"/>
    <w:rsid w:val="00F406A3"/>
    <w:rsid w:val="00F406F0"/>
    <w:rsid w:val="00F40794"/>
    <w:rsid w:val="00F408CD"/>
    <w:rsid w:val="00F40ADD"/>
    <w:rsid w:val="00F40B16"/>
    <w:rsid w:val="00F40BE0"/>
    <w:rsid w:val="00F40E09"/>
    <w:rsid w:val="00F40F0D"/>
    <w:rsid w:val="00F40FC2"/>
    <w:rsid w:val="00F41149"/>
    <w:rsid w:val="00F4116F"/>
    <w:rsid w:val="00F41284"/>
    <w:rsid w:val="00F412B6"/>
    <w:rsid w:val="00F41442"/>
    <w:rsid w:val="00F41510"/>
    <w:rsid w:val="00F415A5"/>
    <w:rsid w:val="00F4169A"/>
    <w:rsid w:val="00F416D7"/>
    <w:rsid w:val="00F4179A"/>
    <w:rsid w:val="00F41986"/>
    <w:rsid w:val="00F41A89"/>
    <w:rsid w:val="00F41AB5"/>
    <w:rsid w:val="00F41B32"/>
    <w:rsid w:val="00F41BF1"/>
    <w:rsid w:val="00F41C65"/>
    <w:rsid w:val="00F420A7"/>
    <w:rsid w:val="00F42149"/>
    <w:rsid w:val="00F4223D"/>
    <w:rsid w:val="00F42280"/>
    <w:rsid w:val="00F425A4"/>
    <w:rsid w:val="00F425E4"/>
    <w:rsid w:val="00F42A81"/>
    <w:rsid w:val="00F42B5D"/>
    <w:rsid w:val="00F42D56"/>
    <w:rsid w:val="00F42DD2"/>
    <w:rsid w:val="00F43070"/>
    <w:rsid w:val="00F43096"/>
    <w:rsid w:val="00F430BF"/>
    <w:rsid w:val="00F43297"/>
    <w:rsid w:val="00F43326"/>
    <w:rsid w:val="00F4344C"/>
    <w:rsid w:val="00F435AB"/>
    <w:rsid w:val="00F4369A"/>
    <w:rsid w:val="00F436ED"/>
    <w:rsid w:val="00F43C45"/>
    <w:rsid w:val="00F43E82"/>
    <w:rsid w:val="00F43E9E"/>
    <w:rsid w:val="00F43F78"/>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BAF"/>
    <w:rsid w:val="00F44C30"/>
    <w:rsid w:val="00F44D1D"/>
    <w:rsid w:val="00F44F2E"/>
    <w:rsid w:val="00F44F64"/>
    <w:rsid w:val="00F4501B"/>
    <w:rsid w:val="00F4533E"/>
    <w:rsid w:val="00F4540A"/>
    <w:rsid w:val="00F456E6"/>
    <w:rsid w:val="00F458D2"/>
    <w:rsid w:val="00F45946"/>
    <w:rsid w:val="00F45B96"/>
    <w:rsid w:val="00F45E3D"/>
    <w:rsid w:val="00F45FE1"/>
    <w:rsid w:val="00F46060"/>
    <w:rsid w:val="00F46152"/>
    <w:rsid w:val="00F461F9"/>
    <w:rsid w:val="00F4636D"/>
    <w:rsid w:val="00F464C9"/>
    <w:rsid w:val="00F46585"/>
    <w:rsid w:val="00F466C3"/>
    <w:rsid w:val="00F46CC2"/>
    <w:rsid w:val="00F46ED8"/>
    <w:rsid w:val="00F46FA9"/>
    <w:rsid w:val="00F47176"/>
    <w:rsid w:val="00F47227"/>
    <w:rsid w:val="00F47250"/>
    <w:rsid w:val="00F47312"/>
    <w:rsid w:val="00F47510"/>
    <w:rsid w:val="00F47546"/>
    <w:rsid w:val="00F4757B"/>
    <w:rsid w:val="00F47590"/>
    <w:rsid w:val="00F4759D"/>
    <w:rsid w:val="00F47B94"/>
    <w:rsid w:val="00F47EBF"/>
    <w:rsid w:val="00F50321"/>
    <w:rsid w:val="00F5034D"/>
    <w:rsid w:val="00F50385"/>
    <w:rsid w:val="00F504FF"/>
    <w:rsid w:val="00F50617"/>
    <w:rsid w:val="00F507AB"/>
    <w:rsid w:val="00F50976"/>
    <w:rsid w:val="00F50B87"/>
    <w:rsid w:val="00F50D84"/>
    <w:rsid w:val="00F50EC8"/>
    <w:rsid w:val="00F510E0"/>
    <w:rsid w:val="00F5111E"/>
    <w:rsid w:val="00F5116E"/>
    <w:rsid w:val="00F5121E"/>
    <w:rsid w:val="00F51438"/>
    <w:rsid w:val="00F517B4"/>
    <w:rsid w:val="00F517C8"/>
    <w:rsid w:val="00F51812"/>
    <w:rsid w:val="00F51839"/>
    <w:rsid w:val="00F5186F"/>
    <w:rsid w:val="00F51A30"/>
    <w:rsid w:val="00F51A73"/>
    <w:rsid w:val="00F51AE1"/>
    <w:rsid w:val="00F51AE3"/>
    <w:rsid w:val="00F51B7D"/>
    <w:rsid w:val="00F51BBB"/>
    <w:rsid w:val="00F51CA7"/>
    <w:rsid w:val="00F51E10"/>
    <w:rsid w:val="00F51E8C"/>
    <w:rsid w:val="00F51EF9"/>
    <w:rsid w:val="00F51F47"/>
    <w:rsid w:val="00F520BE"/>
    <w:rsid w:val="00F524E4"/>
    <w:rsid w:val="00F52526"/>
    <w:rsid w:val="00F52583"/>
    <w:rsid w:val="00F5269E"/>
    <w:rsid w:val="00F52791"/>
    <w:rsid w:val="00F5279C"/>
    <w:rsid w:val="00F52ADE"/>
    <w:rsid w:val="00F52E2E"/>
    <w:rsid w:val="00F52EA0"/>
    <w:rsid w:val="00F52F09"/>
    <w:rsid w:val="00F530D5"/>
    <w:rsid w:val="00F53209"/>
    <w:rsid w:val="00F53216"/>
    <w:rsid w:val="00F53282"/>
    <w:rsid w:val="00F53355"/>
    <w:rsid w:val="00F53718"/>
    <w:rsid w:val="00F53840"/>
    <w:rsid w:val="00F53AEC"/>
    <w:rsid w:val="00F53CA9"/>
    <w:rsid w:val="00F53DDB"/>
    <w:rsid w:val="00F53F18"/>
    <w:rsid w:val="00F53F6C"/>
    <w:rsid w:val="00F53F78"/>
    <w:rsid w:val="00F5402B"/>
    <w:rsid w:val="00F54090"/>
    <w:rsid w:val="00F54205"/>
    <w:rsid w:val="00F5451A"/>
    <w:rsid w:val="00F54554"/>
    <w:rsid w:val="00F5465C"/>
    <w:rsid w:val="00F5472A"/>
    <w:rsid w:val="00F548D7"/>
    <w:rsid w:val="00F54C55"/>
    <w:rsid w:val="00F54DF5"/>
    <w:rsid w:val="00F54F17"/>
    <w:rsid w:val="00F5502A"/>
    <w:rsid w:val="00F55061"/>
    <w:rsid w:val="00F551B0"/>
    <w:rsid w:val="00F55285"/>
    <w:rsid w:val="00F5543E"/>
    <w:rsid w:val="00F556E5"/>
    <w:rsid w:val="00F5574A"/>
    <w:rsid w:val="00F5591C"/>
    <w:rsid w:val="00F55ABA"/>
    <w:rsid w:val="00F55B75"/>
    <w:rsid w:val="00F55CC1"/>
    <w:rsid w:val="00F55CEF"/>
    <w:rsid w:val="00F55F4B"/>
    <w:rsid w:val="00F56356"/>
    <w:rsid w:val="00F564EF"/>
    <w:rsid w:val="00F56551"/>
    <w:rsid w:val="00F56662"/>
    <w:rsid w:val="00F5682B"/>
    <w:rsid w:val="00F568C7"/>
    <w:rsid w:val="00F5694D"/>
    <w:rsid w:val="00F56A25"/>
    <w:rsid w:val="00F56A26"/>
    <w:rsid w:val="00F56C62"/>
    <w:rsid w:val="00F56EFC"/>
    <w:rsid w:val="00F56EFD"/>
    <w:rsid w:val="00F57225"/>
    <w:rsid w:val="00F57548"/>
    <w:rsid w:val="00F57575"/>
    <w:rsid w:val="00F5794A"/>
    <w:rsid w:val="00F57A1A"/>
    <w:rsid w:val="00F57D31"/>
    <w:rsid w:val="00F57DD3"/>
    <w:rsid w:val="00F57EBF"/>
    <w:rsid w:val="00F60091"/>
    <w:rsid w:val="00F601B2"/>
    <w:rsid w:val="00F603BD"/>
    <w:rsid w:val="00F60421"/>
    <w:rsid w:val="00F6047E"/>
    <w:rsid w:val="00F604D6"/>
    <w:rsid w:val="00F604DF"/>
    <w:rsid w:val="00F604F6"/>
    <w:rsid w:val="00F6060B"/>
    <w:rsid w:val="00F60640"/>
    <w:rsid w:val="00F6077B"/>
    <w:rsid w:val="00F608FE"/>
    <w:rsid w:val="00F60981"/>
    <w:rsid w:val="00F60ADD"/>
    <w:rsid w:val="00F60CCE"/>
    <w:rsid w:val="00F60EF8"/>
    <w:rsid w:val="00F61108"/>
    <w:rsid w:val="00F612F8"/>
    <w:rsid w:val="00F613EA"/>
    <w:rsid w:val="00F61468"/>
    <w:rsid w:val="00F614B6"/>
    <w:rsid w:val="00F615CD"/>
    <w:rsid w:val="00F61825"/>
    <w:rsid w:val="00F618BE"/>
    <w:rsid w:val="00F618EA"/>
    <w:rsid w:val="00F6199C"/>
    <w:rsid w:val="00F61A3F"/>
    <w:rsid w:val="00F61AF5"/>
    <w:rsid w:val="00F61C2E"/>
    <w:rsid w:val="00F61D16"/>
    <w:rsid w:val="00F62065"/>
    <w:rsid w:val="00F620F7"/>
    <w:rsid w:val="00F62307"/>
    <w:rsid w:val="00F62335"/>
    <w:rsid w:val="00F62337"/>
    <w:rsid w:val="00F62355"/>
    <w:rsid w:val="00F62369"/>
    <w:rsid w:val="00F6240E"/>
    <w:rsid w:val="00F625B4"/>
    <w:rsid w:val="00F62755"/>
    <w:rsid w:val="00F62951"/>
    <w:rsid w:val="00F62B51"/>
    <w:rsid w:val="00F62CA9"/>
    <w:rsid w:val="00F62DA1"/>
    <w:rsid w:val="00F62E4D"/>
    <w:rsid w:val="00F62F17"/>
    <w:rsid w:val="00F6332D"/>
    <w:rsid w:val="00F63505"/>
    <w:rsid w:val="00F6351F"/>
    <w:rsid w:val="00F63982"/>
    <w:rsid w:val="00F639B2"/>
    <w:rsid w:val="00F639C2"/>
    <w:rsid w:val="00F63BC9"/>
    <w:rsid w:val="00F63CDC"/>
    <w:rsid w:val="00F63D52"/>
    <w:rsid w:val="00F63E13"/>
    <w:rsid w:val="00F64068"/>
    <w:rsid w:val="00F64173"/>
    <w:rsid w:val="00F64436"/>
    <w:rsid w:val="00F6462B"/>
    <w:rsid w:val="00F64788"/>
    <w:rsid w:val="00F64A2F"/>
    <w:rsid w:val="00F64C3F"/>
    <w:rsid w:val="00F64DC7"/>
    <w:rsid w:val="00F64E46"/>
    <w:rsid w:val="00F64E4C"/>
    <w:rsid w:val="00F651B5"/>
    <w:rsid w:val="00F6522C"/>
    <w:rsid w:val="00F652AA"/>
    <w:rsid w:val="00F652C8"/>
    <w:rsid w:val="00F653A7"/>
    <w:rsid w:val="00F65470"/>
    <w:rsid w:val="00F6554F"/>
    <w:rsid w:val="00F6557A"/>
    <w:rsid w:val="00F6575C"/>
    <w:rsid w:val="00F65785"/>
    <w:rsid w:val="00F6579C"/>
    <w:rsid w:val="00F658DA"/>
    <w:rsid w:val="00F6593B"/>
    <w:rsid w:val="00F65A99"/>
    <w:rsid w:val="00F65AEA"/>
    <w:rsid w:val="00F65CAB"/>
    <w:rsid w:val="00F65CB1"/>
    <w:rsid w:val="00F65DFE"/>
    <w:rsid w:val="00F660A6"/>
    <w:rsid w:val="00F660D7"/>
    <w:rsid w:val="00F6625E"/>
    <w:rsid w:val="00F6627F"/>
    <w:rsid w:val="00F665E8"/>
    <w:rsid w:val="00F667D5"/>
    <w:rsid w:val="00F66A5A"/>
    <w:rsid w:val="00F66B05"/>
    <w:rsid w:val="00F66DAE"/>
    <w:rsid w:val="00F66EBD"/>
    <w:rsid w:val="00F66F0B"/>
    <w:rsid w:val="00F66FA9"/>
    <w:rsid w:val="00F6704C"/>
    <w:rsid w:val="00F670DE"/>
    <w:rsid w:val="00F672E6"/>
    <w:rsid w:val="00F67588"/>
    <w:rsid w:val="00F67746"/>
    <w:rsid w:val="00F67928"/>
    <w:rsid w:val="00F67A82"/>
    <w:rsid w:val="00F67B21"/>
    <w:rsid w:val="00F67BF0"/>
    <w:rsid w:val="00F67CB6"/>
    <w:rsid w:val="00F67D88"/>
    <w:rsid w:val="00F7002A"/>
    <w:rsid w:val="00F700AC"/>
    <w:rsid w:val="00F70112"/>
    <w:rsid w:val="00F70216"/>
    <w:rsid w:val="00F70340"/>
    <w:rsid w:val="00F707A8"/>
    <w:rsid w:val="00F70802"/>
    <w:rsid w:val="00F708E0"/>
    <w:rsid w:val="00F70925"/>
    <w:rsid w:val="00F7094C"/>
    <w:rsid w:val="00F7098A"/>
    <w:rsid w:val="00F70C4D"/>
    <w:rsid w:val="00F70D50"/>
    <w:rsid w:val="00F70D84"/>
    <w:rsid w:val="00F70E29"/>
    <w:rsid w:val="00F70ECD"/>
    <w:rsid w:val="00F710AF"/>
    <w:rsid w:val="00F711E6"/>
    <w:rsid w:val="00F71587"/>
    <w:rsid w:val="00F71878"/>
    <w:rsid w:val="00F718D2"/>
    <w:rsid w:val="00F7194F"/>
    <w:rsid w:val="00F71969"/>
    <w:rsid w:val="00F71C44"/>
    <w:rsid w:val="00F71CB7"/>
    <w:rsid w:val="00F71DE1"/>
    <w:rsid w:val="00F71EC2"/>
    <w:rsid w:val="00F71EF7"/>
    <w:rsid w:val="00F7205A"/>
    <w:rsid w:val="00F720BB"/>
    <w:rsid w:val="00F721E2"/>
    <w:rsid w:val="00F723CB"/>
    <w:rsid w:val="00F727CB"/>
    <w:rsid w:val="00F7284E"/>
    <w:rsid w:val="00F7290A"/>
    <w:rsid w:val="00F72A81"/>
    <w:rsid w:val="00F72B8D"/>
    <w:rsid w:val="00F72CBA"/>
    <w:rsid w:val="00F72DDE"/>
    <w:rsid w:val="00F72E4C"/>
    <w:rsid w:val="00F72FFA"/>
    <w:rsid w:val="00F730AA"/>
    <w:rsid w:val="00F730C1"/>
    <w:rsid w:val="00F73300"/>
    <w:rsid w:val="00F73336"/>
    <w:rsid w:val="00F737EA"/>
    <w:rsid w:val="00F7381C"/>
    <w:rsid w:val="00F738EE"/>
    <w:rsid w:val="00F73AE0"/>
    <w:rsid w:val="00F73B0B"/>
    <w:rsid w:val="00F73C09"/>
    <w:rsid w:val="00F73C12"/>
    <w:rsid w:val="00F73E10"/>
    <w:rsid w:val="00F73E54"/>
    <w:rsid w:val="00F73EC8"/>
    <w:rsid w:val="00F74140"/>
    <w:rsid w:val="00F74361"/>
    <w:rsid w:val="00F743EA"/>
    <w:rsid w:val="00F74428"/>
    <w:rsid w:val="00F74627"/>
    <w:rsid w:val="00F746DC"/>
    <w:rsid w:val="00F74851"/>
    <w:rsid w:val="00F74BA2"/>
    <w:rsid w:val="00F74BED"/>
    <w:rsid w:val="00F74BF2"/>
    <w:rsid w:val="00F74BFC"/>
    <w:rsid w:val="00F74D63"/>
    <w:rsid w:val="00F74E5A"/>
    <w:rsid w:val="00F75049"/>
    <w:rsid w:val="00F750A0"/>
    <w:rsid w:val="00F753E3"/>
    <w:rsid w:val="00F757DC"/>
    <w:rsid w:val="00F75957"/>
    <w:rsid w:val="00F759CB"/>
    <w:rsid w:val="00F75A33"/>
    <w:rsid w:val="00F75A9A"/>
    <w:rsid w:val="00F75AC4"/>
    <w:rsid w:val="00F75B5B"/>
    <w:rsid w:val="00F75BC3"/>
    <w:rsid w:val="00F75BF8"/>
    <w:rsid w:val="00F75C37"/>
    <w:rsid w:val="00F75C81"/>
    <w:rsid w:val="00F75C95"/>
    <w:rsid w:val="00F75D3E"/>
    <w:rsid w:val="00F75D60"/>
    <w:rsid w:val="00F75E59"/>
    <w:rsid w:val="00F75E9A"/>
    <w:rsid w:val="00F75EE9"/>
    <w:rsid w:val="00F75F31"/>
    <w:rsid w:val="00F75F63"/>
    <w:rsid w:val="00F7609C"/>
    <w:rsid w:val="00F76450"/>
    <w:rsid w:val="00F7656E"/>
    <w:rsid w:val="00F7658C"/>
    <w:rsid w:val="00F7664D"/>
    <w:rsid w:val="00F766B7"/>
    <w:rsid w:val="00F76D30"/>
    <w:rsid w:val="00F76DE1"/>
    <w:rsid w:val="00F76EBF"/>
    <w:rsid w:val="00F770DF"/>
    <w:rsid w:val="00F771AF"/>
    <w:rsid w:val="00F771F2"/>
    <w:rsid w:val="00F772A0"/>
    <w:rsid w:val="00F772C2"/>
    <w:rsid w:val="00F7738B"/>
    <w:rsid w:val="00F774AA"/>
    <w:rsid w:val="00F774D5"/>
    <w:rsid w:val="00F77564"/>
    <w:rsid w:val="00F77636"/>
    <w:rsid w:val="00F777CE"/>
    <w:rsid w:val="00F77825"/>
    <w:rsid w:val="00F77A09"/>
    <w:rsid w:val="00F77A12"/>
    <w:rsid w:val="00F77B23"/>
    <w:rsid w:val="00F77B6B"/>
    <w:rsid w:val="00F77B7E"/>
    <w:rsid w:val="00F77BD0"/>
    <w:rsid w:val="00F77CC6"/>
    <w:rsid w:val="00F77E40"/>
    <w:rsid w:val="00F800D4"/>
    <w:rsid w:val="00F801F0"/>
    <w:rsid w:val="00F802A4"/>
    <w:rsid w:val="00F80671"/>
    <w:rsid w:val="00F8072A"/>
    <w:rsid w:val="00F807B9"/>
    <w:rsid w:val="00F8082E"/>
    <w:rsid w:val="00F80970"/>
    <w:rsid w:val="00F80BDE"/>
    <w:rsid w:val="00F80BFE"/>
    <w:rsid w:val="00F80DB8"/>
    <w:rsid w:val="00F80F28"/>
    <w:rsid w:val="00F8115B"/>
    <w:rsid w:val="00F812A1"/>
    <w:rsid w:val="00F812B1"/>
    <w:rsid w:val="00F81325"/>
    <w:rsid w:val="00F81340"/>
    <w:rsid w:val="00F81349"/>
    <w:rsid w:val="00F819CF"/>
    <w:rsid w:val="00F81A47"/>
    <w:rsid w:val="00F81E26"/>
    <w:rsid w:val="00F81FC4"/>
    <w:rsid w:val="00F8218E"/>
    <w:rsid w:val="00F82671"/>
    <w:rsid w:val="00F82721"/>
    <w:rsid w:val="00F8277E"/>
    <w:rsid w:val="00F8278C"/>
    <w:rsid w:val="00F82875"/>
    <w:rsid w:val="00F82961"/>
    <w:rsid w:val="00F82983"/>
    <w:rsid w:val="00F829AD"/>
    <w:rsid w:val="00F82AF0"/>
    <w:rsid w:val="00F82B12"/>
    <w:rsid w:val="00F82B8B"/>
    <w:rsid w:val="00F82D32"/>
    <w:rsid w:val="00F82E50"/>
    <w:rsid w:val="00F8301A"/>
    <w:rsid w:val="00F830FA"/>
    <w:rsid w:val="00F83107"/>
    <w:rsid w:val="00F83408"/>
    <w:rsid w:val="00F83579"/>
    <w:rsid w:val="00F836E6"/>
    <w:rsid w:val="00F8378F"/>
    <w:rsid w:val="00F8381B"/>
    <w:rsid w:val="00F8383B"/>
    <w:rsid w:val="00F838AB"/>
    <w:rsid w:val="00F83A9E"/>
    <w:rsid w:val="00F83B23"/>
    <w:rsid w:val="00F83B36"/>
    <w:rsid w:val="00F83B99"/>
    <w:rsid w:val="00F83BDC"/>
    <w:rsid w:val="00F83C1C"/>
    <w:rsid w:val="00F83CFA"/>
    <w:rsid w:val="00F84238"/>
    <w:rsid w:val="00F8447F"/>
    <w:rsid w:val="00F844B8"/>
    <w:rsid w:val="00F844D0"/>
    <w:rsid w:val="00F84570"/>
    <w:rsid w:val="00F845F2"/>
    <w:rsid w:val="00F84889"/>
    <w:rsid w:val="00F84A7A"/>
    <w:rsid w:val="00F84C8F"/>
    <w:rsid w:val="00F84CAD"/>
    <w:rsid w:val="00F84F15"/>
    <w:rsid w:val="00F84FD6"/>
    <w:rsid w:val="00F850C8"/>
    <w:rsid w:val="00F8512A"/>
    <w:rsid w:val="00F8514B"/>
    <w:rsid w:val="00F852BA"/>
    <w:rsid w:val="00F85334"/>
    <w:rsid w:val="00F85584"/>
    <w:rsid w:val="00F85662"/>
    <w:rsid w:val="00F856F1"/>
    <w:rsid w:val="00F85792"/>
    <w:rsid w:val="00F857AA"/>
    <w:rsid w:val="00F85838"/>
    <w:rsid w:val="00F85845"/>
    <w:rsid w:val="00F85903"/>
    <w:rsid w:val="00F8590B"/>
    <w:rsid w:val="00F85B11"/>
    <w:rsid w:val="00F85D40"/>
    <w:rsid w:val="00F85D7D"/>
    <w:rsid w:val="00F85E4E"/>
    <w:rsid w:val="00F85EC2"/>
    <w:rsid w:val="00F85EEF"/>
    <w:rsid w:val="00F85FCC"/>
    <w:rsid w:val="00F860EB"/>
    <w:rsid w:val="00F86153"/>
    <w:rsid w:val="00F86223"/>
    <w:rsid w:val="00F863DF"/>
    <w:rsid w:val="00F8654C"/>
    <w:rsid w:val="00F86550"/>
    <w:rsid w:val="00F86582"/>
    <w:rsid w:val="00F86593"/>
    <w:rsid w:val="00F8671D"/>
    <w:rsid w:val="00F8679E"/>
    <w:rsid w:val="00F867DF"/>
    <w:rsid w:val="00F868AE"/>
    <w:rsid w:val="00F86A7A"/>
    <w:rsid w:val="00F86C38"/>
    <w:rsid w:val="00F87088"/>
    <w:rsid w:val="00F87194"/>
    <w:rsid w:val="00F872FA"/>
    <w:rsid w:val="00F874B6"/>
    <w:rsid w:val="00F87630"/>
    <w:rsid w:val="00F87704"/>
    <w:rsid w:val="00F87772"/>
    <w:rsid w:val="00F877A0"/>
    <w:rsid w:val="00F877F0"/>
    <w:rsid w:val="00F8797C"/>
    <w:rsid w:val="00F87B54"/>
    <w:rsid w:val="00F87DAF"/>
    <w:rsid w:val="00F87DF2"/>
    <w:rsid w:val="00F87EF7"/>
    <w:rsid w:val="00F87FAB"/>
    <w:rsid w:val="00F90172"/>
    <w:rsid w:val="00F901F3"/>
    <w:rsid w:val="00F902A6"/>
    <w:rsid w:val="00F90389"/>
    <w:rsid w:val="00F90507"/>
    <w:rsid w:val="00F90566"/>
    <w:rsid w:val="00F905D2"/>
    <w:rsid w:val="00F905FD"/>
    <w:rsid w:val="00F9069B"/>
    <w:rsid w:val="00F9075C"/>
    <w:rsid w:val="00F90797"/>
    <w:rsid w:val="00F90AB2"/>
    <w:rsid w:val="00F90ADE"/>
    <w:rsid w:val="00F90BEA"/>
    <w:rsid w:val="00F90C4D"/>
    <w:rsid w:val="00F90DF8"/>
    <w:rsid w:val="00F90E4F"/>
    <w:rsid w:val="00F90EE8"/>
    <w:rsid w:val="00F9104B"/>
    <w:rsid w:val="00F91343"/>
    <w:rsid w:val="00F913E6"/>
    <w:rsid w:val="00F915D2"/>
    <w:rsid w:val="00F9168F"/>
    <w:rsid w:val="00F91724"/>
    <w:rsid w:val="00F91742"/>
    <w:rsid w:val="00F918AA"/>
    <w:rsid w:val="00F918CF"/>
    <w:rsid w:val="00F91A08"/>
    <w:rsid w:val="00F91C85"/>
    <w:rsid w:val="00F91CF3"/>
    <w:rsid w:val="00F91F1F"/>
    <w:rsid w:val="00F91F4F"/>
    <w:rsid w:val="00F91FB4"/>
    <w:rsid w:val="00F92111"/>
    <w:rsid w:val="00F9212F"/>
    <w:rsid w:val="00F92246"/>
    <w:rsid w:val="00F9226B"/>
    <w:rsid w:val="00F92361"/>
    <w:rsid w:val="00F9236F"/>
    <w:rsid w:val="00F92636"/>
    <w:rsid w:val="00F92723"/>
    <w:rsid w:val="00F92735"/>
    <w:rsid w:val="00F9288A"/>
    <w:rsid w:val="00F928A5"/>
    <w:rsid w:val="00F92A68"/>
    <w:rsid w:val="00F92CBF"/>
    <w:rsid w:val="00F92D89"/>
    <w:rsid w:val="00F92F15"/>
    <w:rsid w:val="00F92F4D"/>
    <w:rsid w:val="00F92FFD"/>
    <w:rsid w:val="00F93022"/>
    <w:rsid w:val="00F93097"/>
    <w:rsid w:val="00F931D5"/>
    <w:rsid w:val="00F93210"/>
    <w:rsid w:val="00F93476"/>
    <w:rsid w:val="00F934C0"/>
    <w:rsid w:val="00F9350F"/>
    <w:rsid w:val="00F93538"/>
    <w:rsid w:val="00F93575"/>
    <w:rsid w:val="00F93591"/>
    <w:rsid w:val="00F935B2"/>
    <w:rsid w:val="00F9365C"/>
    <w:rsid w:val="00F936D8"/>
    <w:rsid w:val="00F93760"/>
    <w:rsid w:val="00F9388B"/>
    <w:rsid w:val="00F93982"/>
    <w:rsid w:val="00F93C45"/>
    <w:rsid w:val="00F93CCD"/>
    <w:rsid w:val="00F93D11"/>
    <w:rsid w:val="00F93D41"/>
    <w:rsid w:val="00F93D9E"/>
    <w:rsid w:val="00F93E19"/>
    <w:rsid w:val="00F93F0D"/>
    <w:rsid w:val="00F9440E"/>
    <w:rsid w:val="00F9449E"/>
    <w:rsid w:val="00F944BF"/>
    <w:rsid w:val="00F945A2"/>
    <w:rsid w:val="00F9477A"/>
    <w:rsid w:val="00F948B1"/>
    <w:rsid w:val="00F9499B"/>
    <w:rsid w:val="00F94B1C"/>
    <w:rsid w:val="00F94B9B"/>
    <w:rsid w:val="00F94BC8"/>
    <w:rsid w:val="00F94CB1"/>
    <w:rsid w:val="00F94F96"/>
    <w:rsid w:val="00F95007"/>
    <w:rsid w:val="00F950A4"/>
    <w:rsid w:val="00F95266"/>
    <w:rsid w:val="00F9559F"/>
    <w:rsid w:val="00F9563F"/>
    <w:rsid w:val="00F95838"/>
    <w:rsid w:val="00F95865"/>
    <w:rsid w:val="00F958D4"/>
    <w:rsid w:val="00F959FC"/>
    <w:rsid w:val="00F95DD8"/>
    <w:rsid w:val="00F95E8F"/>
    <w:rsid w:val="00F95F59"/>
    <w:rsid w:val="00F964B9"/>
    <w:rsid w:val="00F965FF"/>
    <w:rsid w:val="00F96686"/>
    <w:rsid w:val="00F966FD"/>
    <w:rsid w:val="00F96769"/>
    <w:rsid w:val="00F9694E"/>
    <w:rsid w:val="00F96991"/>
    <w:rsid w:val="00F96BE7"/>
    <w:rsid w:val="00F96D9A"/>
    <w:rsid w:val="00F96DAC"/>
    <w:rsid w:val="00F96E49"/>
    <w:rsid w:val="00F96EF3"/>
    <w:rsid w:val="00F96F45"/>
    <w:rsid w:val="00F96F52"/>
    <w:rsid w:val="00F971C9"/>
    <w:rsid w:val="00F971DA"/>
    <w:rsid w:val="00F97207"/>
    <w:rsid w:val="00F97222"/>
    <w:rsid w:val="00F9724E"/>
    <w:rsid w:val="00F97258"/>
    <w:rsid w:val="00F97370"/>
    <w:rsid w:val="00F9737F"/>
    <w:rsid w:val="00F9758B"/>
    <w:rsid w:val="00F977B5"/>
    <w:rsid w:val="00F97817"/>
    <w:rsid w:val="00F97844"/>
    <w:rsid w:val="00F97983"/>
    <w:rsid w:val="00F97BF2"/>
    <w:rsid w:val="00F97CA5"/>
    <w:rsid w:val="00F97F3D"/>
    <w:rsid w:val="00FA01D4"/>
    <w:rsid w:val="00FA022B"/>
    <w:rsid w:val="00FA03D7"/>
    <w:rsid w:val="00FA04B3"/>
    <w:rsid w:val="00FA05CA"/>
    <w:rsid w:val="00FA0663"/>
    <w:rsid w:val="00FA070F"/>
    <w:rsid w:val="00FA07EB"/>
    <w:rsid w:val="00FA0807"/>
    <w:rsid w:val="00FA09AF"/>
    <w:rsid w:val="00FA0A68"/>
    <w:rsid w:val="00FA0A6C"/>
    <w:rsid w:val="00FA0A87"/>
    <w:rsid w:val="00FA0A9D"/>
    <w:rsid w:val="00FA0DBD"/>
    <w:rsid w:val="00FA0E77"/>
    <w:rsid w:val="00FA0F05"/>
    <w:rsid w:val="00FA0F6F"/>
    <w:rsid w:val="00FA1093"/>
    <w:rsid w:val="00FA10C1"/>
    <w:rsid w:val="00FA113B"/>
    <w:rsid w:val="00FA11B0"/>
    <w:rsid w:val="00FA136A"/>
    <w:rsid w:val="00FA1470"/>
    <w:rsid w:val="00FA154B"/>
    <w:rsid w:val="00FA189C"/>
    <w:rsid w:val="00FA194B"/>
    <w:rsid w:val="00FA19E0"/>
    <w:rsid w:val="00FA1C7D"/>
    <w:rsid w:val="00FA1D51"/>
    <w:rsid w:val="00FA1F12"/>
    <w:rsid w:val="00FA204C"/>
    <w:rsid w:val="00FA2063"/>
    <w:rsid w:val="00FA2213"/>
    <w:rsid w:val="00FA2228"/>
    <w:rsid w:val="00FA22AB"/>
    <w:rsid w:val="00FA22C6"/>
    <w:rsid w:val="00FA23E7"/>
    <w:rsid w:val="00FA2AF5"/>
    <w:rsid w:val="00FA2AF9"/>
    <w:rsid w:val="00FA2B2D"/>
    <w:rsid w:val="00FA2B51"/>
    <w:rsid w:val="00FA2BD5"/>
    <w:rsid w:val="00FA2DFE"/>
    <w:rsid w:val="00FA2ED3"/>
    <w:rsid w:val="00FA3163"/>
    <w:rsid w:val="00FA319D"/>
    <w:rsid w:val="00FA31BB"/>
    <w:rsid w:val="00FA3323"/>
    <w:rsid w:val="00FA33AD"/>
    <w:rsid w:val="00FA342C"/>
    <w:rsid w:val="00FA3489"/>
    <w:rsid w:val="00FA3564"/>
    <w:rsid w:val="00FA35D5"/>
    <w:rsid w:val="00FA3602"/>
    <w:rsid w:val="00FA3707"/>
    <w:rsid w:val="00FA3B09"/>
    <w:rsid w:val="00FA3C7A"/>
    <w:rsid w:val="00FA3C9C"/>
    <w:rsid w:val="00FA3DEA"/>
    <w:rsid w:val="00FA3EDA"/>
    <w:rsid w:val="00FA3EFF"/>
    <w:rsid w:val="00FA3FD5"/>
    <w:rsid w:val="00FA4019"/>
    <w:rsid w:val="00FA406F"/>
    <w:rsid w:val="00FA417A"/>
    <w:rsid w:val="00FA447A"/>
    <w:rsid w:val="00FA4582"/>
    <w:rsid w:val="00FA45B7"/>
    <w:rsid w:val="00FA478D"/>
    <w:rsid w:val="00FA4797"/>
    <w:rsid w:val="00FA490F"/>
    <w:rsid w:val="00FA4A35"/>
    <w:rsid w:val="00FA4B80"/>
    <w:rsid w:val="00FA4BB2"/>
    <w:rsid w:val="00FA4D18"/>
    <w:rsid w:val="00FA4E35"/>
    <w:rsid w:val="00FA4E3D"/>
    <w:rsid w:val="00FA4E5A"/>
    <w:rsid w:val="00FA4FD8"/>
    <w:rsid w:val="00FA5046"/>
    <w:rsid w:val="00FA515D"/>
    <w:rsid w:val="00FA520B"/>
    <w:rsid w:val="00FA53A3"/>
    <w:rsid w:val="00FA54EA"/>
    <w:rsid w:val="00FA56D5"/>
    <w:rsid w:val="00FA5702"/>
    <w:rsid w:val="00FA58E7"/>
    <w:rsid w:val="00FA590B"/>
    <w:rsid w:val="00FA5A2E"/>
    <w:rsid w:val="00FA5BF7"/>
    <w:rsid w:val="00FA5C1A"/>
    <w:rsid w:val="00FA5C95"/>
    <w:rsid w:val="00FA5CC5"/>
    <w:rsid w:val="00FA5D23"/>
    <w:rsid w:val="00FA5D74"/>
    <w:rsid w:val="00FA5EC0"/>
    <w:rsid w:val="00FA5F08"/>
    <w:rsid w:val="00FA5F6E"/>
    <w:rsid w:val="00FA6134"/>
    <w:rsid w:val="00FA622F"/>
    <w:rsid w:val="00FA62A0"/>
    <w:rsid w:val="00FA6446"/>
    <w:rsid w:val="00FA6578"/>
    <w:rsid w:val="00FA6607"/>
    <w:rsid w:val="00FA6806"/>
    <w:rsid w:val="00FA68FD"/>
    <w:rsid w:val="00FA69DC"/>
    <w:rsid w:val="00FA6B65"/>
    <w:rsid w:val="00FA6C0D"/>
    <w:rsid w:val="00FA6CC0"/>
    <w:rsid w:val="00FA6CFF"/>
    <w:rsid w:val="00FA6D80"/>
    <w:rsid w:val="00FA6E0E"/>
    <w:rsid w:val="00FA6E5D"/>
    <w:rsid w:val="00FA72B3"/>
    <w:rsid w:val="00FA7351"/>
    <w:rsid w:val="00FA753B"/>
    <w:rsid w:val="00FA758D"/>
    <w:rsid w:val="00FA764B"/>
    <w:rsid w:val="00FA779E"/>
    <w:rsid w:val="00FA77BB"/>
    <w:rsid w:val="00FA77E8"/>
    <w:rsid w:val="00FA78B2"/>
    <w:rsid w:val="00FA79B4"/>
    <w:rsid w:val="00FA7B6C"/>
    <w:rsid w:val="00FA7C12"/>
    <w:rsid w:val="00FA7C35"/>
    <w:rsid w:val="00FA7F35"/>
    <w:rsid w:val="00FA7FA2"/>
    <w:rsid w:val="00FB017A"/>
    <w:rsid w:val="00FB0295"/>
    <w:rsid w:val="00FB03AE"/>
    <w:rsid w:val="00FB075B"/>
    <w:rsid w:val="00FB0841"/>
    <w:rsid w:val="00FB089E"/>
    <w:rsid w:val="00FB09BF"/>
    <w:rsid w:val="00FB0B2A"/>
    <w:rsid w:val="00FB0B87"/>
    <w:rsid w:val="00FB0CF2"/>
    <w:rsid w:val="00FB0DA4"/>
    <w:rsid w:val="00FB0EFD"/>
    <w:rsid w:val="00FB0F8D"/>
    <w:rsid w:val="00FB104C"/>
    <w:rsid w:val="00FB1095"/>
    <w:rsid w:val="00FB1334"/>
    <w:rsid w:val="00FB1564"/>
    <w:rsid w:val="00FB1695"/>
    <w:rsid w:val="00FB16E3"/>
    <w:rsid w:val="00FB178B"/>
    <w:rsid w:val="00FB17E2"/>
    <w:rsid w:val="00FB1870"/>
    <w:rsid w:val="00FB188C"/>
    <w:rsid w:val="00FB1A66"/>
    <w:rsid w:val="00FB1A7B"/>
    <w:rsid w:val="00FB1B15"/>
    <w:rsid w:val="00FB1CEA"/>
    <w:rsid w:val="00FB2099"/>
    <w:rsid w:val="00FB2278"/>
    <w:rsid w:val="00FB271F"/>
    <w:rsid w:val="00FB27D3"/>
    <w:rsid w:val="00FB27FA"/>
    <w:rsid w:val="00FB285B"/>
    <w:rsid w:val="00FB2914"/>
    <w:rsid w:val="00FB293D"/>
    <w:rsid w:val="00FB2953"/>
    <w:rsid w:val="00FB2A07"/>
    <w:rsid w:val="00FB2AC7"/>
    <w:rsid w:val="00FB2B07"/>
    <w:rsid w:val="00FB2C3D"/>
    <w:rsid w:val="00FB2C56"/>
    <w:rsid w:val="00FB2CDD"/>
    <w:rsid w:val="00FB2D36"/>
    <w:rsid w:val="00FB2EF1"/>
    <w:rsid w:val="00FB3133"/>
    <w:rsid w:val="00FB3369"/>
    <w:rsid w:val="00FB33CA"/>
    <w:rsid w:val="00FB34C8"/>
    <w:rsid w:val="00FB3537"/>
    <w:rsid w:val="00FB3567"/>
    <w:rsid w:val="00FB370C"/>
    <w:rsid w:val="00FB3719"/>
    <w:rsid w:val="00FB38E8"/>
    <w:rsid w:val="00FB39CD"/>
    <w:rsid w:val="00FB3F2D"/>
    <w:rsid w:val="00FB3FD4"/>
    <w:rsid w:val="00FB3FF6"/>
    <w:rsid w:val="00FB440F"/>
    <w:rsid w:val="00FB4441"/>
    <w:rsid w:val="00FB466A"/>
    <w:rsid w:val="00FB4696"/>
    <w:rsid w:val="00FB46D3"/>
    <w:rsid w:val="00FB471B"/>
    <w:rsid w:val="00FB4787"/>
    <w:rsid w:val="00FB47EB"/>
    <w:rsid w:val="00FB4872"/>
    <w:rsid w:val="00FB48FF"/>
    <w:rsid w:val="00FB49DE"/>
    <w:rsid w:val="00FB4A18"/>
    <w:rsid w:val="00FB4BA1"/>
    <w:rsid w:val="00FB4DBE"/>
    <w:rsid w:val="00FB4DF3"/>
    <w:rsid w:val="00FB4E08"/>
    <w:rsid w:val="00FB4E72"/>
    <w:rsid w:val="00FB4FB0"/>
    <w:rsid w:val="00FB505A"/>
    <w:rsid w:val="00FB505F"/>
    <w:rsid w:val="00FB5089"/>
    <w:rsid w:val="00FB5163"/>
    <w:rsid w:val="00FB51BB"/>
    <w:rsid w:val="00FB528F"/>
    <w:rsid w:val="00FB5391"/>
    <w:rsid w:val="00FB53F7"/>
    <w:rsid w:val="00FB5682"/>
    <w:rsid w:val="00FB5922"/>
    <w:rsid w:val="00FB59CD"/>
    <w:rsid w:val="00FB5F69"/>
    <w:rsid w:val="00FB6295"/>
    <w:rsid w:val="00FB641C"/>
    <w:rsid w:val="00FB6733"/>
    <w:rsid w:val="00FB6E01"/>
    <w:rsid w:val="00FB71AC"/>
    <w:rsid w:val="00FB71ED"/>
    <w:rsid w:val="00FB7262"/>
    <w:rsid w:val="00FB775F"/>
    <w:rsid w:val="00FB78A7"/>
    <w:rsid w:val="00FB7930"/>
    <w:rsid w:val="00FB7961"/>
    <w:rsid w:val="00FB79D3"/>
    <w:rsid w:val="00FB7A16"/>
    <w:rsid w:val="00FB7B02"/>
    <w:rsid w:val="00FB7C29"/>
    <w:rsid w:val="00FB7C94"/>
    <w:rsid w:val="00FB7DCB"/>
    <w:rsid w:val="00FB7EC2"/>
    <w:rsid w:val="00FB7F7A"/>
    <w:rsid w:val="00FB7F7C"/>
    <w:rsid w:val="00FC0016"/>
    <w:rsid w:val="00FC0032"/>
    <w:rsid w:val="00FC02BC"/>
    <w:rsid w:val="00FC0362"/>
    <w:rsid w:val="00FC038B"/>
    <w:rsid w:val="00FC03A3"/>
    <w:rsid w:val="00FC04ED"/>
    <w:rsid w:val="00FC069E"/>
    <w:rsid w:val="00FC07CF"/>
    <w:rsid w:val="00FC0965"/>
    <w:rsid w:val="00FC09DA"/>
    <w:rsid w:val="00FC0AD6"/>
    <w:rsid w:val="00FC0D4C"/>
    <w:rsid w:val="00FC0F23"/>
    <w:rsid w:val="00FC1131"/>
    <w:rsid w:val="00FC1211"/>
    <w:rsid w:val="00FC12A9"/>
    <w:rsid w:val="00FC148C"/>
    <w:rsid w:val="00FC14A6"/>
    <w:rsid w:val="00FC1503"/>
    <w:rsid w:val="00FC15D3"/>
    <w:rsid w:val="00FC1640"/>
    <w:rsid w:val="00FC1777"/>
    <w:rsid w:val="00FC18C5"/>
    <w:rsid w:val="00FC1AE9"/>
    <w:rsid w:val="00FC1B25"/>
    <w:rsid w:val="00FC1C02"/>
    <w:rsid w:val="00FC1D52"/>
    <w:rsid w:val="00FC1F4A"/>
    <w:rsid w:val="00FC20CE"/>
    <w:rsid w:val="00FC22DF"/>
    <w:rsid w:val="00FC23D7"/>
    <w:rsid w:val="00FC2433"/>
    <w:rsid w:val="00FC2586"/>
    <w:rsid w:val="00FC2825"/>
    <w:rsid w:val="00FC2868"/>
    <w:rsid w:val="00FC2A02"/>
    <w:rsid w:val="00FC2AAD"/>
    <w:rsid w:val="00FC2C06"/>
    <w:rsid w:val="00FC2C2D"/>
    <w:rsid w:val="00FC2C77"/>
    <w:rsid w:val="00FC2E37"/>
    <w:rsid w:val="00FC2F40"/>
    <w:rsid w:val="00FC2F7D"/>
    <w:rsid w:val="00FC2F87"/>
    <w:rsid w:val="00FC31EC"/>
    <w:rsid w:val="00FC3205"/>
    <w:rsid w:val="00FC3286"/>
    <w:rsid w:val="00FC33BC"/>
    <w:rsid w:val="00FC3427"/>
    <w:rsid w:val="00FC34C2"/>
    <w:rsid w:val="00FC376D"/>
    <w:rsid w:val="00FC3B1B"/>
    <w:rsid w:val="00FC3B4B"/>
    <w:rsid w:val="00FC3B69"/>
    <w:rsid w:val="00FC3D8D"/>
    <w:rsid w:val="00FC4060"/>
    <w:rsid w:val="00FC407A"/>
    <w:rsid w:val="00FC4188"/>
    <w:rsid w:val="00FC42EE"/>
    <w:rsid w:val="00FC43C4"/>
    <w:rsid w:val="00FC44CD"/>
    <w:rsid w:val="00FC463E"/>
    <w:rsid w:val="00FC471F"/>
    <w:rsid w:val="00FC487F"/>
    <w:rsid w:val="00FC497A"/>
    <w:rsid w:val="00FC498B"/>
    <w:rsid w:val="00FC4A66"/>
    <w:rsid w:val="00FC4C84"/>
    <w:rsid w:val="00FC4C8C"/>
    <w:rsid w:val="00FC4E94"/>
    <w:rsid w:val="00FC4EEF"/>
    <w:rsid w:val="00FC500E"/>
    <w:rsid w:val="00FC5306"/>
    <w:rsid w:val="00FC5545"/>
    <w:rsid w:val="00FC555F"/>
    <w:rsid w:val="00FC5563"/>
    <w:rsid w:val="00FC557B"/>
    <w:rsid w:val="00FC56C7"/>
    <w:rsid w:val="00FC56EB"/>
    <w:rsid w:val="00FC5800"/>
    <w:rsid w:val="00FC599B"/>
    <w:rsid w:val="00FC599C"/>
    <w:rsid w:val="00FC5AF5"/>
    <w:rsid w:val="00FC5B28"/>
    <w:rsid w:val="00FC5B98"/>
    <w:rsid w:val="00FC5BE7"/>
    <w:rsid w:val="00FC5D57"/>
    <w:rsid w:val="00FC5EB4"/>
    <w:rsid w:val="00FC6079"/>
    <w:rsid w:val="00FC615C"/>
    <w:rsid w:val="00FC6298"/>
    <w:rsid w:val="00FC6393"/>
    <w:rsid w:val="00FC645B"/>
    <w:rsid w:val="00FC6525"/>
    <w:rsid w:val="00FC653C"/>
    <w:rsid w:val="00FC65A5"/>
    <w:rsid w:val="00FC65D7"/>
    <w:rsid w:val="00FC66B6"/>
    <w:rsid w:val="00FC673D"/>
    <w:rsid w:val="00FC6753"/>
    <w:rsid w:val="00FC681E"/>
    <w:rsid w:val="00FC6AEB"/>
    <w:rsid w:val="00FC6B64"/>
    <w:rsid w:val="00FC6D2E"/>
    <w:rsid w:val="00FC6D42"/>
    <w:rsid w:val="00FC6DE2"/>
    <w:rsid w:val="00FC6E64"/>
    <w:rsid w:val="00FC702B"/>
    <w:rsid w:val="00FC715F"/>
    <w:rsid w:val="00FC71AE"/>
    <w:rsid w:val="00FC7335"/>
    <w:rsid w:val="00FC7546"/>
    <w:rsid w:val="00FC7A60"/>
    <w:rsid w:val="00FC7A6D"/>
    <w:rsid w:val="00FD00F4"/>
    <w:rsid w:val="00FD011B"/>
    <w:rsid w:val="00FD01E2"/>
    <w:rsid w:val="00FD0443"/>
    <w:rsid w:val="00FD05C1"/>
    <w:rsid w:val="00FD0606"/>
    <w:rsid w:val="00FD06E6"/>
    <w:rsid w:val="00FD07B1"/>
    <w:rsid w:val="00FD07CC"/>
    <w:rsid w:val="00FD08EC"/>
    <w:rsid w:val="00FD09CF"/>
    <w:rsid w:val="00FD0B99"/>
    <w:rsid w:val="00FD0CF1"/>
    <w:rsid w:val="00FD0EF6"/>
    <w:rsid w:val="00FD1043"/>
    <w:rsid w:val="00FD13BA"/>
    <w:rsid w:val="00FD1496"/>
    <w:rsid w:val="00FD15D8"/>
    <w:rsid w:val="00FD170C"/>
    <w:rsid w:val="00FD178D"/>
    <w:rsid w:val="00FD17CB"/>
    <w:rsid w:val="00FD186A"/>
    <w:rsid w:val="00FD1A12"/>
    <w:rsid w:val="00FD1F96"/>
    <w:rsid w:val="00FD1F9E"/>
    <w:rsid w:val="00FD1FB6"/>
    <w:rsid w:val="00FD2090"/>
    <w:rsid w:val="00FD21EE"/>
    <w:rsid w:val="00FD221E"/>
    <w:rsid w:val="00FD22E0"/>
    <w:rsid w:val="00FD2390"/>
    <w:rsid w:val="00FD24AB"/>
    <w:rsid w:val="00FD24CD"/>
    <w:rsid w:val="00FD255B"/>
    <w:rsid w:val="00FD257C"/>
    <w:rsid w:val="00FD25A1"/>
    <w:rsid w:val="00FD2842"/>
    <w:rsid w:val="00FD2925"/>
    <w:rsid w:val="00FD29A1"/>
    <w:rsid w:val="00FD2A0D"/>
    <w:rsid w:val="00FD2A86"/>
    <w:rsid w:val="00FD2AE4"/>
    <w:rsid w:val="00FD2B7F"/>
    <w:rsid w:val="00FD2BFD"/>
    <w:rsid w:val="00FD2F22"/>
    <w:rsid w:val="00FD3030"/>
    <w:rsid w:val="00FD3041"/>
    <w:rsid w:val="00FD306B"/>
    <w:rsid w:val="00FD321E"/>
    <w:rsid w:val="00FD336F"/>
    <w:rsid w:val="00FD3569"/>
    <w:rsid w:val="00FD37A9"/>
    <w:rsid w:val="00FD37CD"/>
    <w:rsid w:val="00FD3B61"/>
    <w:rsid w:val="00FD3BB8"/>
    <w:rsid w:val="00FD3FAD"/>
    <w:rsid w:val="00FD40B9"/>
    <w:rsid w:val="00FD4345"/>
    <w:rsid w:val="00FD4409"/>
    <w:rsid w:val="00FD45CA"/>
    <w:rsid w:val="00FD4612"/>
    <w:rsid w:val="00FD46B8"/>
    <w:rsid w:val="00FD48D9"/>
    <w:rsid w:val="00FD499F"/>
    <w:rsid w:val="00FD4A2D"/>
    <w:rsid w:val="00FD4A35"/>
    <w:rsid w:val="00FD4B14"/>
    <w:rsid w:val="00FD4B29"/>
    <w:rsid w:val="00FD4EB4"/>
    <w:rsid w:val="00FD4F60"/>
    <w:rsid w:val="00FD4FBD"/>
    <w:rsid w:val="00FD4FD6"/>
    <w:rsid w:val="00FD5097"/>
    <w:rsid w:val="00FD512D"/>
    <w:rsid w:val="00FD5139"/>
    <w:rsid w:val="00FD514B"/>
    <w:rsid w:val="00FD5299"/>
    <w:rsid w:val="00FD52C1"/>
    <w:rsid w:val="00FD5554"/>
    <w:rsid w:val="00FD5644"/>
    <w:rsid w:val="00FD591E"/>
    <w:rsid w:val="00FD5A3C"/>
    <w:rsid w:val="00FD5A91"/>
    <w:rsid w:val="00FD5BB4"/>
    <w:rsid w:val="00FD5C57"/>
    <w:rsid w:val="00FD5CF9"/>
    <w:rsid w:val="00FD5EFE"/>
    <w:rsid w:val="00FD63B0"/>
    <w:rsid w:val="00FD6518"/>
    <w:rsid w:val="00FD654B"/>
    <w:rsid w:val="00FD66F3"/>
    <w:rsid w:val="00FD6B9E"/>
    <w:rsid w:val="00FD6BB1"/>
    <w:rsid w:val="00FD6D42"/>
    <w:rsid w:val="00FD6D8C"/>
    <w:rsid w:val="00FD6DD0"/>
    <w:rsid w:val="00FD6FB8"/>
    <w:rsid w:val="00FD70C5"/>
    <w:rsid w:val="00FD716E"/>
    <w:rsid w:val="00FD717E"/>
    <w:rsid w:val="00FD72CF"/>
    <w:rsid w:val="00FD748F"/>
    <w:rsid w:val="00FD75F1"/>
    <w:rsid w:val="00FD7977"/>
    <w:rsid w:val="00FD797D"/>
    <w:rsid w:val="00FD7AD2"/>
    <w:rsid w:val="00FD7DBA"/>
    <w:rsid w:val="00FD7F21"/>
    <w:rsid w:val="00FD7FFD"/>
    <w:rsid w:val="00FE00DA"/>
    <w:rsid w:val="00FE02B8"/>
    <w:rsid w:val="00FE035D"/>
    <w:rsid w:val="00FE03A0"/>
    <w:rsid w:val="00FE050F"/>
    <w:rsid w:val="00FE052D"/>
    <w:rsid w:val="00FE0601"/>
    <w:rsid w:val="00FE0608"/>
    <w:rsid w:val="00FE0628"/>
    <w:rsid w:val="00FE0707"/>
    <w:rsid w:val="00FE08FF"/>
    <w:rsid w:val="00FE0B13"/>
    <w:rsid w:val="00FE0E79"/>
    <w:rsid w:val="00FE0F1C"/>
    <w:rsid w:val="00FE0FA8"/>
    <w:rsid w:val="00FE100E"/>
    <w:rsid w:val="00FE11B7"/>
    <w:rsid w:val="00FE1269"/>
    <w:rsid w:val="00FE12A1"/>
    <w:rsid w:val="00FE13F5"/>
    <w:rsid w:val="00FE1404"/>
    <w:rsid w:val="00FE1611"/>
    <w:rsid w:val="00FE1630"/>
    <w:rsid w:val="00FE1675"/>
    <w:rsid w:val="00FE17CF"/>
    <w:rsid w:val="00FE1845"/>
    <w:rsid w:val="00FE188C"/>
    <w:rsid w:val="00FE19C7"/>
    <w:rsid w:val="00FE1A47"/>
    <w:rsid w:val="00FE1A8A"/>
    <w:rsid w:val="00FE1AA5"/>
    <w:rsid w:val="00FE1CCB"/>
    <w:rsid w:val="00FE1D77"/>
    <w:rsid w:val="00FE1F37"/>
    <w:rsid w:val="00FE1FC8"/>
    <w:rsid w:val="00FE1FD1"/>
    <w:rsid w:val="00FE20E8"/>
    <w:rsid w:val="00FE21BC"/>
    <w:rsid w:val="00FE22CD"/>
    <w:rsid w:val="00FE22E4"/>
    <w:rsid w:val="00FE2424"/>
    <w:rsid w:val="00FE243B"/>
    <w:rsid w:val="00FE2669"/>
    <w:rsid w:val="00FE26A1"/>
    <w:rsid w:val="00FE285F"/>
    <w:rsid w:val="00FE295F"/>
    <w:rsid w:val="00FE2B6C"/>
    <w:rsid w:val="00FE2D88"/>
    <w:rsid w:val="00FE2DEE"/>
    <w:rsid w:val="00FE2EAB"/>
    <w:rsid w:val="00FE2F13"/>
    <w:rsid w:val="00FE3086"/>
    <w:rsid w:val="00FE3098"/>
    <w:rsid w:val="00FE31AE"/>
    <w:rsid w:val="00FE320E"/>
    <w:rsid w:val="00FE3274"/>
    <w:rsid w:val="00FE32F5"/>
    <w:rsid w:val="00FE3537"/>
    <w:rsid w:val="00FE357D"/>
    <w:rsid w:val="00FE3603"/>
    <w:rsid w:val="00FE388A"/>
    <w:rsid w:val="00FE3981"/>
    <w:rsid w:val="00FE3A21"/>
    <w:rsid w:val="00FE3AD8"/>
    <w:rsid w:val="00FE3C7B"/>
    <w:rsid w:val="00FE3D92"/>
    <w:rsid w:val="00FE3E4B"/>
    <w:rsid w:val="00FE3FE2"/>
    <w:rsid w:val="00FE403C"/>
    <w:rsid w:val="00FE46AB"/>
    <w:rsid w:val="00FE47AA"/>
    <w:rsid w:val="00FE492C"/>
    <w:rsid w:val="00FE494B"/>
    <w:rsid w:val="00FE4A64"/>
    <w:rsid w:val="00FE4B47"/>
    <w:rsid w:val="00FE4BF6"/>
    <w:rsid w:val="00FE4C5A"/>
    <w:rsid w:val="00FE4CF0"/>
    <w:rsid w:val="00FE4FAF"/>
    <w:rsid w:val="00FE504D"/>
    <w:rsid w:val="00FE507B"/>
    <w:rsid w:val="00FE5180"/>
    <w:rsid w:val="00FE51BC"/>
    <w:rsid w:val="00FE54EB"/>
    <w:rsid w:val="00FE55BD"/>
    <w:rsid w:val="00FE55C4"/>
    <w:rsid w:val="00FE581E"/>
    <w:rsid w:val="00FE58A6"/>
    <w:rsid w:val="00FE5938"/>
    <w:rsid w:val="00FE5A85"/>
    <w:rsid w:val="00FE5B05"/>
    <w:rsid w:val="00FE5C98"/>
    <w:rsid w:val="00FE5D05"/>
    <w:rsid w:val="00FE5F58"/>
    <w:rsid w:val="00FE5F9A"/>
    <w:rsid w:val="00FE6096"/>
    <w:rsid w:val="00FE640A"/>
    <w:rsid w:val="00FE65FD"/>
    <w:rsid w:val="00FE662A"/>
    <w:rsid w:val="00FE67E5"/>
    <w:rsid w:val="00FE6845"/>
    <w:rsid w:val="00FE693C"/>
    <w:rsid w:val="00FE6981"/>
    <w:rsid w:val="00FE6AF3"/>
    <w:rsid w:val="00FE6C48"/>
    <w:rsid w:val="00FE6D1D"/>
    <w:rsid w:val="00FE7003"/>
    <w:rsid w:val="00FE716F"/>
    <w:rsid w:val="00FE724D"/>
    <w:rsid w:val="00FE727D"/>
    <w:rsid w:val="00FE72FD"/>
    <w:rsid w:val="00FE733A"/>
    <w:rsid w:val="00FE7555"/>
    <w:rsid w:val="00FE76DC"/>
    <w:rsid w:val="00FE7837"/>
    <w:rsid w:val="00FE7A70"/>
    <w:rsid w:val="00FE7A7B"/>
    <w:rsid w:val="00FE7BFD"/>
    <w:rsid w:val="00FE7C5E"/>
    <w:rsid w:val="00FE7CDC"/>
    <w:rsid w:val="00FE7D1C"/>
    <w:rsid w:val="00FE7D24"/>
    <w:rsid w:val="00FE7D38"/>
    <w:rsid w:val="00FE7D53"/>
    <w:rsid w:val="00FE7E20"/>
    <w:rsid w:val="00FE7E47"/>
    <w:rsid w:val="00FF0140"/>
    <w:rsid w:val="00FF0218"/>
    <w:rsid w:val="00FF0255"/>
    <w:rsid w:val="00FF05EE"/>
    <w:rsid w:val="00FF061E"/>
    <w:rsid w:val="00FF0657"/>
    <w:rsid w:val="00FF065E"/>
    <w:rsid w:val="00FF072D"/>
    <w:rsid w:val="00FF0744"/>
    <w:rsid w:val="00FF090B"/>
    <w:rsid w:val="00FF0927"/>
    <w:rsid w:val="00FF0A32"/>
    <w:rsid w:val="00FF0A37"/>
    <w:rsid w:val="00FF0A62"/>
    <w:rsid w:val="00FF0C72"/>
    <w:rsid w:val="00FF0CA4"/>
    <w:rsid w:val="00FF0CF3"/>
    <w:rsid w:val="00FF0DFA"/>
    <w:rsid w:val="00FF0F27"/>
    <w:rsid w:val="00FF0F8F"/>
    <w:rsid w:val="00FF0FB2"/>
    <w:rsid w:val="00FF1022"/>
    <w:rsid w:val="00FF102E"/>
    <w:rsid w:val="00FF1259"/>
    <w:rsid w:val="00FF1319"/>
    <w:rsid w:val="00FF1331"/>
    <w:rsid w:val="00FF139B"/>
    <w:rsid w:val="00FF1602"/>
    <w:rsid w:val="00FF1695"/>
    <w:rsid w:val="00FF16F0"/>
    <w:rsid w:val="00FF1B65"/>
    <w:rsid w:val="00FF1BA8"/>
    <w:rsid w:val="00FF1F9A"/>
    <w:rsid w:val="00FF2069"/>
    <w:rsid w:val="00FF2199"/>
    <w:rsid w:val="00FF21A3"/>
    <w:rsid w:val="00FF21C3"/>
    <w:rsid w:val="00FF2266"/>
    <w:rsid w:val="00FF24CB"/>
    <w:rsid w:val="00FF24EE"/>
    <w:rsid w:val="00FF2711"/>
    <w:rsid w:val="00FF28AC"/>
    <w:rsid w:val="00FF28EC"/>
    <w:rsid w:val="00FF296D"/>
    <w:rsid w:val="00FF2B56"/>
    <w:rsid w:val="00FF2BC4"/>
    <w:rsid w:val="00FF2C81"/>
    <w:rsid w:val="00FF2C91"/>
    <w:rsid w:val="00FF2CB6"/>
    <w:rsid w:val="00FF2D1E"/>
    <w:rsid w:val="00FF2D99"/>
    <w:rsid w:val="00FF2EC8"/>
    <w:rsid w:val="00FF324E"/>
    <w:rsid w:val="00FF34B3"/>
    <w:rsid w:val="00FF35AA"/>
    <w:rsid w:val="00FF35C1"/>
    <w:rsid w:val="00FF361E"/>
    <w:rsid w:val="00FF3757"/>
    <w:rsid w:val="00FF3819"/>
    <w:rsid w:val="00FF38AA"/>
    <w:rsid w:val="00FF38F6"/>
    <w:rsid w:val="00FF3AF2"/>
    <w:rsid w:val="00FF3BD8"/>
    <w:rsid w:val="00FF3D32"/>
    <w:rsid w:val="00FF3E3D"/>
    <w:rsid w:val="00FF3FF6"/>
    <w:rsid w:val="00FF4002"/>
    <w:rsid w:val="00FF409B"/>
    <w:rsid w:val="00FF40AD"/>
    <w:rsid w:val="00FF40DC"/>
    <w:rsid w:val="00FF41D8"/>
    <w:rsid w:val="00FF42F6"/>
    <w:rsid w:val="00FF43B0"/>
    <w:rsid w:val="00FF4492"/>
    <w:rsid w:val="00FF4518"/>
    <w:rsid w:val="00FF4599"/>
    <w:rsid w:val="00FF45FE"/>
    <w:rsid w:val="00FF499E"/>
    <w:rsid w:val="00FF49F3"/>
    <w:rsid w:val="00FF4D07"/>
    <w:rsid w:val="00FF4D5C"/>
    <w:rsid w:val="00FF4DFC"/>
    <w:rsid w:val="00FF4E7D"/>
    <w:rsid w:val="00FF4FA6"/>
    <w:rsid w:val="00FF500F"/>
    <w:rsid w:val="00FF50E3"/>
    <w:rsid w:val="00FF50EE"/>
    <w:rsid w:val="00FF515C"/>
    <w:rsid w:val="00FF5228"/>
    <w:rsid w:val="00FF5499"/>
    <w:rsid w:val="00FF54C6"/>
    <w:rsid w:val="00FF5608"/>
    <w:rsid w:val="00FF5682"/>
    <w:rsid w:val="00FF575D"/>
    <w:rsid w:val="00FF586F"/>
    <w:rsid w:val="00FF5A00"/>
    <w:rsid w:val="00FF5A2C"/>
    <w:rsid w:val="00FF5A40"/>
    <w:rsid w:val="00FF5AE3"/>
    <w:rsid w:val="00FF5C67"/>
    <w:rsid w:val="00FF5D63"/>
    <w:rsid w:val="00FF60E8"/>
    <w:rsid w:val="00FF6150"/>
    <w:rsid w:val="00FF6171"/>
    <w:rsid w:val="00FF61EE"/>
    <w:rsid w:val="00FF6264"/>
    <w:rsid w:val="00FF6358"/>
    <w:rsid w:val="00FF63C6"/>
    <w:rsid w:val="00FF645F"/>
    <w:rsid w:val="00FF658F"/>
    <w:rsid w:val="00FF68A7"/>
    <w:rsid w:val="00FF68F4"/>
    <w:rsid w:val="00FF6966"/>
    <w:rsid w:val="00FF6A34"/>
    <w:rsid w:val="00FF6E43"/>
    <w:rsid w:val="00FF6EB1"/>
    <w:rsid w:val="00FF6F94"/>
    <w:rsid w:val="00FF6FEC"/>
    <w:rsid w:val="00FF70A9"/>
    <w:rsid w:val="00FF7134"/>
    <w:rsid w:val="00FF71DF"/>
    <w:rsid w:val="00FF7489"/>
    <w:rsid w:val="00FF74A0"/>
    <w:rsid w:val="00FF7570"/>
    <w:rsid w:val="00FF75A4"/>
    <w:rsid w:val="00FF768A"/>
    <w:rsid w:val="00FF77FD"/>
    <w:rsid w:val="00FF7A9C"/>
    <w:rsid w:val="00FF7AC2"/>
    <w:rsid w:val="00FF7C80"/>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2FBC116"/>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C1EC99"/>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7CF972"/>
    <w:rsid w:val="0E816992"/>
    <w:rsid w:val="0E854E6F"/>
    <w:rsid w:val="0E889B5A"/>
    <w:rsid w:val="0E8AF0FA"/>
    <w:rsid w:val="0EA7C216"/>
    <w:rsid w:val="0EB57835"/>
    <w:rsid w:val="0EB63B6A"/>
    <w:rsid w:val="0EC6B07C"/>
    <w:rsid w:val="0F0B4554"/>
    <w:rsid w:val="0F0D0D73"/>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1FAD39A"/>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9769F6"/>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EDAFB8"/>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0D3FD"/>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40301"/>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1C1CBF"/>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13081"/>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26396"/>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AA7AED"/>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B51E5"/>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361908"/>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6FB08D"/>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2C00E"/>
    <w:rsid w:val="644538CA"/>
    <w:rsid w:val="644B0E51"/>
    <w:rsid w:val="6459CFDC"/>
    <w:rsid w:val="64769029"/>
    <w:rsid w:val="64871050"/>
    <w:rsid w:val="64932121"/>
    <w:rsid w:val="64AE9242"/>
    <w:rsid w:val="64C7EB38"/>
    <w:rsid w:val="64D2AA38"/>
    <w:rsid w:val="64E980F9"/>
    <w:rsid w:val="64EB25FF"/>
    <w:rsid w:val="650E0D0C"/>
    <w:rsid w:val="6519EB47"/>
    <w:rsid w:val="651B511C"/>
    <w:rsid w:val="6526731A"/>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0AA49D"/>
    <w:rsid w:val="682670A6"/>
    <w:rsid w:val="6827E051"/>
    <w:rsid w:val="685971E3"/>
    <w:rsid w:val="686D0555"/>
    <w:rsid w:val="6876B210"/>
    <w:rsid w:val="6876CD78"/>
    <w:rsid w:val="688A8A5F"/>
    <w:rsid w:val="68A785CC"/>
    <w:rsid w:val="68E409EB"/>
    <w:rsid w:val="68F95BD1"/>
    <w:rsid w:val="691EA910"/>
    <w:rsid w:val="695287E0"/>
    <w:rsid w:val="69602163"/>
    <w:rsid w:val="69696A9A"/>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CDC93"/>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CC0A6A"/>
    <w:rsid w:val="70DD4BFE"/>
    <w:rsid w:val="70EA4C0F"/>
    <w:rsid w:val="70EF6DFF"/>
    <w:rsid w:val="70F62859"/>
    <w:rsid w:val="7108D5E4"/>
    <w:rsid w:val="711E2DBC"/>
    <w:rsid w:val="711FF693"/>
    <w:rsid w:val="71268806"/>
    <w:rsid w:val="713AC3F6"/>
    <w:rsid w:val="71480290"/>
    <w:rsid w:val="714869E1"/>
    <w:rsid w:val="714F729D"/>
    <w:rsid w:val="716AE295"/>
    <w:rsid w:val="716B286D"/>
    <w:rsid w:val="71A65A31"/>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6DF6"/>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6B3E9B"/>
    <w:rPr>
      <w:color w:val="26664E" w:themeColor="accent1"/>
      <w:szCs w:val="20"/>
    </w:rPr>
  </w:style>
  <w:style w:type="character" w:customStyle="1" w:styleId="08FiguretableboxheadingChar">
    <w:name w:val="08. Figure/table/box heading Char"/>
    <w:basedOn w:val="TableheadingChar"/>
    <w:link w:val="08Figuretableboxheading"/>
    <w:rsid w:val="00F771F2"/>
    <w:rPr>
      <w:rFonts w:ascii="Calibri Light" w:hAnsi="Calibri Light"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1A03C0"/>
    <w:pPr>
      <w:spacing w:after="0"/>
    </w:pPr>
    <w:rPr>
      <w:rFonts w:ascii="Calibri" w:hAnsi="Calibri" w:cs="Calibri"/>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1A03C0"/>
    <w:rPr>
      <w:rFonts w:ascii="Calibri" w:hAnsi="Calibri" w:cs="Calibri"/>
      <w:color w:val="000000" w:themeColor="text1"/>
      <w:sz w:val="18"/>
      <w:szCs w:val="20"/>
    </w:rPr>
  </w:style>
  <w:style w:type="paragraph" w:customStyle="1" w:styleId="Tabletext">
    <w:name w:val="Table text"/>
    <w:link w:val="TabletextChar"/>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711723"/>
    <w:pPr>
      <w:spacing w:before="120" w:after="120"/>
    </w:pPr>
    <w:rPr>
      <w:rFonts w:ascii="Calibri" w:hAnsi="Calibri"/>
      <w:b/>
      <w:color w:val="000000" w:themeColor="text1"/>
    </w:rPr>
  </w:style>
  <w:style w:type="paragraph" w:styleId="TOC2">
    <w:name w:val="toc 2"/>
    <w:next w:val="Paragraph"/>
    <w:uiPriority w:val="39"/>
    <w:unhideWhenUsed/>
    <w:qFormat/>
    <w:rsid w:val="00766DF6"/>
    <w:pPr>
      <w:spacing w:before="120" w:after="120"/>
      <w:ind w:left="510"/>
    </w:pPr>
    <w:rPr>
      <w:rFonts w:ascii="Calibri" w:hAnsi="Calibri"/>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C06D68"/>
    <w:pPr>
      <w:spacing w:before="180" w:after="0" w:line="276" w:lineRule="auto"/>
      <w:jc w:val="both"/>
    </w:pPr>
    <w:rPr>
      <w:rFonts w:ascii="Calibri" w:hAnsi="Calibri" w:cs="Calibri"/>
      <w:color w:val="000000" w:themeColor="text1"/>
      <w:sz w:val="26"/>
      <w:szCs w:val="20"/>
    </w:rPr>
  </w:style>
  <w:style w:type="character" w:customStyle="1" w:styleId="05ParagraphChar">
    <w:name w:val="05. Paragraph Char"/>
    <w:basedOn w:val="DefaultParagraphFont"/>
    <w:link w:val="05Paragraph"/>
    <w:rsid w:val="00C06D68"/>
    <w:rPr>
      <w:rFonts w:ascii="Calibri" w:hAnsi="Calibri" w:cs="Calibri"/>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locked/>
    <w:rsid w:val="00051414"/>
    <w:pPr>
      <w:numPr>
        <w:numId w:val="20"/>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21"/>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21"/>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21"/>
      </w:numPr>
    </w:pPr>
  </w:style>
  <w:style w:type="paragraph" w:customStyle="1" w:styleId="DPCbulletafternumbers1">
    <w:name w:val="DPC bullet after numbers 1"/>
    <w:basedOn w:val="Normal"/>
    <w:rsid w:val="00051414"/>
    <w:pPr>
      <w:numPr>
        <w:ilvl w:val="2"/>
        <w:numId w:val="21"/>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21"/>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w:hAnsi="Calibri" w:cs="Arial"/>
      <w:b/>
      <w:color w:val="000000" w:themeColor="text1"/>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numPr>
        <w:ilvl w:val="1"/>
        <w:numId w:val="18"/>
      </w:numPr>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673EF5"/>
    <w:pPr>
      <w:spacing w:after="48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C06D68"/>
    <w:pPr>
      <w:numPr>
        <w:numId w:val="38"/>
      </w:numPr>
      <w:spacing w:line="276" w:lineRule="auto"/>
      <w:ind w:left="357" w:hanging="357"/>
      <w:jc w:val="both"/>
    </w:pPr>
    <w:rPr>
      <w:rFonts w:ascii="Calibri" w:hAnsi="Calibri" w:cs="Calibri"/>
    </w:rPr>
  </w:style>
  <w:style w:type="character" w:customStyle="1" w:styleId="06VIRTBulletpointsChar">
    <w:name w:val="06. VIRT Bullet points Char"/>
    <w:basedOn w:val="DefaultParagraphFont"/>
    <w:link w:val="06VIRTBulletpoints"/>
    <w:locked/>
    <w:rsid w:val="00C06D68"/>
    <w:rPr>
      <w:rFonts w:ascii="Calibri" w:hAnsi="Calibri" w:cs="Calibri"/>
      <w:color w:val="000000" w:themeColor="text1"/>
      <w:sz w:val="26"/>
      <w:szCs w:val="20"/>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table" w:customStyle="1" w:styleId="ListTable3-Accent214">
    <w:name w:val="List Table 3 - Accent 214"/>
    <w:basedOn w:val="TableNormal"/>
    <w:next w:val="ListTable3-Accent2"/>
    <w:uiPriority w:val="48"/>
    <w:rsid w:val="0008426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5">
    <w:name w:val="List Table 3 - Accent 215"/>
    <w:basedOn w:val="TableNormal"/>
    <w:next w:val="ListTable3-Accent2"/>
    <w:uiPriority w:val="48"/>
    <w:rsid w:val="003045C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6">
    <w:name w:val="List Table 3 - Accent 216"/>
    <w:basedOn w:val="TableNormal"/>
    <w:next w:val="ListTable3-Accent2"/>
    <w:uiPriority w:val="48"/>
    <w:rsid w:val="00991DD7"/>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8">
    <w:name w:val="List Table 3 - Accent 28"/>
    <w:basedOn w:val="TableNormal"/>
    <w:next w:val="ListTable3-Accent2"/>
    <w:uiPriority w:val="48"/>
    <w:rsid w:val="003A19C2"/>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7">
    <w:name w:val="List Table 3 - Accent 217"/>
    <w:basedOn w:val="TableNormal"/>
    <w:next w:val="ListTable3-Accent2"/>
    <w:uiPriority w:val="48"/>
    <w:rsid w:val="00B2517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VIRTHeading2">
    <w:name w:val="VIRT Heading 2"/>
    <w:basedOn w:val="03VIRTHeading3"/>
    <w:link w:val="VIRTHeading2Char"/>
    <w:qFormat/>
    <w:rsid w:val="00405886"/>
    <w:rPr>
      <w:b/>
      <w:bCs/>
    </w:rPr>
  </w:style>
  <w:style w:type="paragraph" w:customStyle="1" w:styleId="Chapter">
    <w:name w:val="Chapter"/>
    <w:basedOn w:val="01Chapterheading"/>
    <w:link w:val="ChapterChar"/>
    <w:qFormat/>
    <w:rsid w:val="00405886"/>
  </w:style>
  <w:style w:type="character" w:customStyle="1" w:styleId="VIRTHeading2Char">
    <w:name w:val="VIRT Heading 2 Char"/>
    <w:basedOn w:val="03VIRTHeading3Char"/>
    <w:link w:val="VIRTHeading2"/>
    <w:rsid w:val="00405886"/>
    <w:rPr>
      <w:rFonts w:ascii="Rockwell" w:hAnsi="Rockwell" w:cs="Arial"/>
      <w:b/>
      <w:bCs/>
      <w:color w:val="0F6745" w:themeColor="accent2" w:themeShade="BF"/>
      <w:spacing w:val="-6"/>
      <w:sz w:val="30"/>
    </w:rPr>
  </w:style>
  <w:style w:type="character" w:customStyle="1" w:styleId="ChapterChar">
    <w:name w:val="Chapter Char"/>
    <w:basedOn w:val="01ChapterheadingChar"/>
    <w:link w:val="Chapter"/>
    <w:rsid w:val="00405886"/>
    <w:rPr>
      <w:rFonts w:ascii="Rockwell" w:hAnsi="Rockwell" w:cs="Arial"/>
      <w:color w:val="26664E" w:themeColor="accent1"/>
      <w:sz w:val="7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7136503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3632221">
      <w:bodyDiv w:val="1"/>
      <w:marLeft w:val="0"/>
      <w:marRight w:val="0"/>
      <w:marTop w:val="0"/>
      <w:marBottom w:val="0"/>
      <w:divBdr>
        <w:top w:val="none" w:sz="0" w:space="0" w:color="auto"/>
        <w:left w:val="none" w:sz="0" w:space="0" w:color="auto"/>
        <w:bottom w:val="none" w:sz="0" w:space="0" w:color="auto"/>
        <w:right w:val="none" w:sz="0" w:space="0" w:color="auto"/>
      </w:divBdr>
      <w:divsChild>
        <w:div w:id="604117569">
          <w:marLeft w:val="547"/>
          <w:marRight w:val="0"/>
          <w:marTop w:val="0"/>
          <w:marBottom w:val="12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s://vpsc.vic.gov.au/executive-employment/%20victorian-public-entity-executive-employment/" TargetMode="External"/><Relationship Id="rId3" Type="http://schemas.openxmlformats.org/officeDocument/2006/relationships/numbering" Target="numbering.xml"/><Relationship Id="rId21" Type="http://schemas.openxmlformats.org/officeDocument/2006/relationships/hyperlink" Target="https://www.ato.gov.au/rates/key-superannuation-rates-and-thresholds/?anchor=Maximumsupercontributionbase"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www.premier.vic.gov.au/site-4/new-wages-policy-strikes-responsible-balance-victoria"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abs.gov.au/methodologies/consumer-price-index-australia-methodology/mar-quarter-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vic.gov.au/public-entity-executive-remuneration-policy"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gazette.vic.gov.au/%20gazette/Gazettes2020/GG2020G050.pdf"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www.fwc.gov.au/documents/resources/2023fwcfb3500.pdf" TargetMode="External"/><Relationship Id="rId27" Type="http://schemas.openxmlformats.org/officeDocument/2006/relationships/hyperlink" Target="https://vpsc.vic.gov.au/executive-employment/victorian-public-entity-executive-employment/public-entity-executive-handbook/" TargetMode="Externa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56D6E7C4-2F81-4D53-B91C-1389E39F379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7914</Words>
  <Characters>46565</Characters>
  <Application>Microsoft Office Word</Application>
  <DocSecurity>2</DocSecurity>
  <Lines>1258</Lines>
  <Paragraphs>736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53743</CharactersWithSpaces>
  <SharedDoc>false</SharedDoc>
  <HLinks>
    <vt:vector size="42" baseType="variant">
      <vt:variant>
        <vt:i4>6815777</vt:i4>
      </vt:variant>
      <vt:variant>
        <vt:i4>75</vt:i4>
      </vt:variant>
      <vt:variant>
        <vt:i4>0</vt:i4>
      </vt:variant>
      <vt:variant>
        <vt:i4>5</vt:i4>
      </vt:variant>
      <vt:variant>
        <vt:lpwstr>https://vpsc.vic.gov.au/executive-employment/victorian-public-entity-executive-employment/public-entity-executive-handbook/</vt:lpwstr>
      </vt:variant>
      <vt:variant>
        <vt:lpwstr/>
      </vt:variant>
      <vt:variant>
        <vt:i4>7929954</vt:i4>
      </vt:variant>
      <vt:variant>
        <vt:i4>72</vt:i4>
      </vt:variant>
      <vt:variant>
        <vt:i4>0</vt:i4>
      </vt:variant>
      <vt:variant>
        <vt:i4>5</vt:i4>
      </vt:variant>
      <vt:variant>
        <vt:lpwstr>https://vpsc.vic.gov.au/executive-employment/ victorian-public-entity-executive-employment/</vt:lpwstr>
      </vt:variant>
      <vt:variant>
        <vt:lpwstr/>
      </vt:variant>
      <vt:variant>
        <vt:i4>6357043</vt:i4>
      </vt:variant>
      <vt:variant>
        <vt:i4>69</vt:i4>
      </vt:variant>
      <vt:variant>
        <vt:i4>0</vt:i4>
      </vt:variant>
      <vt:variant>
        <vt:i4>5</vt:i4>
      </vt:variant>
      <vt:variant>
        <vt:lpwstr>https://www.premier.vic.gov.au/site-4/new-wages-policy-strikes-responsible-balance-victoria</vt:lpwstr>
      </vt:variant>
      <vt:variant>
        <vt:lpwstr/>
      </vt:variant>
      <vt:variant>
        <vt:i4>2097248</vt:i4>
      </vt:variant>
      <vt:variant>
        <vt:i4>66</vt:i4>
      </vt:variant>
      <vt:variant>
        <vt:i4>0</vt:i4>
      </vt:variant>
      <vt:variant>
        <vt:i4>5</vt:i4>
      </vt:variant>
      <vt:variant>
        <vt:lpwstr>https://www.vic.gov.au/public-entity-executive-remuneration-policy</vt:lpwstr>
      </vt:variant>
      <vt:variant>
        <vt:lpwstr/>
      </vt:variant>
      <vt:variant>
        <vt:i4>65620</vt:i4>
      </vt:variant>
      <vt:variant>
        <vt:i4>63</vt:i4>
      </vt:variant>
      <vt:variant>
        <vt:i4>0</vt:i4>
      </vt:variant>
      <vt:variant>
        <vt:i4>5</vt:i4>
      </vt:variant>
      <vt:variant>
        <vt:lpwstr>http://www.gazette.vic.gov.au/ gazette/Gazettes2020/GG2020G050.pdf</vt:lpwstr>
      </vt:variant>
      <vt:variant>
        <vt:lpwstr>page=65</vt:lpwstr>
      </vt:variant>
      <vt:variant>
        <vt:i4>4325463</vt:i4>
      </vt:variant>
      <vt:variant>
        <vt:i4>60</vt:i4>
      </vt:variant>
      <vt:variant>
        <vt:i4>0</vt:i4>
      </vt:variant>
      <vt:variant>
        <vt:i4>5</vt:i4>
      </vt:variant>
      <vt:variant>
        <vt:lpwstr>https://www.fwc.gov.au/documents/resources/2023fwcfb3500.pdf</vt:lpwstr>
      </vt:variant>
      <vt:variant>
        <vt:lpwstr/>
      </vt:variant>
      <vt:variant>
        <vt:i4>5505047</vt:i4>
      </vt:variant>
      <vt:variant>
        <vt:i4>57</vt:i4>
      </vt:variant>
      <vt:variant>
        <vt:i4>0</vt:i4>
      </vt:variant>
      <vt:variant>
        <vt:i4>5</vt:i4>
      </vt:variant>
      <vt:variant>
        <vt:lpwstr>https://www.ato.gov.au/rates/key-superannuation-rates-and-thresholds/?anchor=Maximumsupercontributionbase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2023-06-28T05:53:00Z</dcterms:created>
  <dcterms:modified xsi:type="dcterms:W3CDTF">2023-06-28T05:53:00Z</dcterms:modified>
</cp:coreProperties>
</file>