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B77ADC9" w14:textId="0B44652D" w:rsidR="00B1131E" w:rsidRPr="00E22B6C" w:rsidRDefault="002313E3" w:rsidP="008F19CF">
      <w:pPr>
        <w:pStyle w:val="Paragraph"/>
        <w:rPr>
          <w:color w:val="FFFFFF" w:themeColor="background1"/>
        </w:rPr>
      </w:pPr>
      <w:bookmarkStart w:id="0" w:name="_Toc33609441"/>
      <w:bookmarkStart w:id="1" w:name="_Toc35006355"/>
      <w:bookmarkStart w:id="2" w:name="_Toc45015310"/>
      <w:bookmarkStart w:id="3" w:name="_Toc59090121"/>
      <w:bookmarkStart w:id="4" w:name="_Hlk19784699"/>
      <w:r>
        <w:rPr>
          <w:noProof/>
        </w:rPr>
        <w:drawing>
          <wp:anchor distT="0" distB="0" distL="114300" distR="114300" simplePos="0" relativeHeight="251657215" behindDoc="1" locked="0" layoutInCell="1" allowOverlap="1" wp14:anchorId="0B48B631" wp14:editId="0930D0FC">
            <wp:simplePos x="0" y="0"/>
            <wp:positionH relativeFrom="page">
              <wp:posOffset>0</wp:posOffset>
            </wp:positionH>
            <wp:positionV relativeFrom="page">
              <wp:posOffset>0</wp:posOffset>
            </wp:positionV>
            <wp:extent cx="8082000" cy="23547600"/>
            <wp:effectExtent l="0" t="0" r="0" b="0"/>
            <wp:wrapNone/>
            <wp:docPr id="233" name="Picture 8" descr="A green and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8" descr="A green and black background&#10;&#10;Description automatically generated with medium confidence"/>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r w:rsidR="00052E1E">
        <w:rPr>
          <w:noProof/>
        </w:rPr>
        <w:drawing>
          <wp:anchor distT="0" distB="0" distL="114300" distR="114300" simplePos="0" relativeHeight="251658240" behindDoc="1" locked="0" layoutInCell="1" allowOverlap="1" wp14:anchorId="00779374" wp14:editId="48B38A8B">
            <wp:simplePos x="0" y="0"/>
            <wp:positionH relativeFrom="column">
              <wp:posOffset>-198095</wp:posOffset>
            </wp:positionH>
            <wp:positionV relativeFrom="paragraph">
              <wp:posOffset>26516</wp:posOffset>
            </wp:positionV>
            <wp:extent cx="1733474" cy="1437616"/>
            <wp:effectExtent l="0" t="0" r="635" b="0"/>
            <wp:wrapNone/>
            <wp:docPr id="176179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99" name="Picture 176179339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3474" cy="1437616"/>
                    </a:xfrm>
                    <a:prstGeom prst="rect">
                      <a:avLst/>
                    </a:prstGeom>
                  </pic:spPr>
                </pic:pic>
              </a:graphicData>
            </a:graphic>
          </wp:anchor>
        </w:drawing>
      </w:r>
      <w:r w:rsidR="00623B7A">
        <w:t xml:space="preserve"> </w:t>
      </w:r>
    </w:p>
    <w:p w14:paraId="22A76066" w14:textId="32B7BF0F" w:rsidR="006E4E5B" w:rsidRPr="00E22B6C" w:rsidRDefault="006E4E5B" w:rsidP="008F19CF">
      <w:pPr>
        <w:pStyle w:val="Paragraph"/>
        <w:rPr>
          <w:rFonts w:cs="Calibri Light"/>
          <w:color w:val="FFFFFF" w:themeColor="background1"/>
        </w:rPr>
      </w:pPr>
      <w:bookmarkStart w:id="5" w:name="_Hlk96348976"/>
      <w:bookmarkStart w:id="6" w:name="_Hlk96349639"/>
    </w:p>
    <w:p w14:paraId="0A29E527" w14:textId="50606D79" w:rsidR="006E4E5B" w:rsidRPr="00E22B6C" w:rsidRDefault="006E4E5B" w:rsidP="001957FF">
      <w:pPr>
        <w:pStyle w:val="Paragraph"/>
        <w:tabs>
          <w:tab w:val="left" w:pos="7817"/>
        </w:tabs>
        <w:rPr>
          <w:rFonts w:cs="Calibri Light"/>
          <w:color w:val="FFFFFF" w:themeColor="background1"/>
        </w:rPr>
      </w:pPr>
    </w:p>
    <w:p w14:paraId="0448B036" w14:textId="1E548CC8" w:rsidR="006E4E5B" w:rsidRPr="00E22B6C" w:rsidRDefault="006E4E5B" w:rsidP="001957FF">
      <w:pPr>
        <w:pStyle w:val="Paragraph"/>
        <w:tabs>
          <w:tab w:val="left" w:pos="7817"/>
        </w:tabs>
        <w:rPr>
          <w:rFonts w:cs="Calibri Light"/>
          <w:color w:val="FFFFFF" w:themeColor="background1"/>
        </w:rPr>
      </w:pPr>
    </w:p>
    <w:p w14:paraId="739CAD14" w14:textId="75FDE32E" w:rsidR="006E4E5B" w:rsidRPr="00E22B6C" w:rsidRDefault="006E4E5B" w:rsidP="008F19CF">
      <w:pPr>
        <w:pStyle w:val="Paragraph"/>
        <w:rPr>
          <w:rFonts w:cs="Calibri Light"/>
          <w:color w:val="FFFFFF" w:themeColor="background1"/>
        </w:rPr>
      </w:pPr>
    </w:p>
    <w:p w14:paraId="5CA8D193" w14:textId="77777777" w:rsidR="006E4E5B" w:rsidRPr="00E22B6C" w:rsidRDefault="006E4E5B" w:rsidP="008F19CF">
      <w:pPr>
        <w:pStyle w:val="Paragraph"/>
        <w:rPr>
          <w:rFonts w:cs="Calibri Light"/>
          <w:color w:val="FFFFFF" w:themeColor="background1"/>
        </w:rPr>
      </w:pPr>
    </w:p>
    <w:p w14:paraId="61C43AFF" w14:textId="42928D52" w:rsidR="006E4E5B" w:rsidRDefault="00390465" w:rsidP="005E707E">
      <w:pPr>
        <w:spacing w:line="276" w:lineRule="auto"/>
        <w:ind w:left="-425" w:right="703"/>
        <w:outlineLvl w:val="0"/>
        <w:rPr>
          <w:rFonts w:asciiTheme="minorHAnsi" w:hAnsiTheme="minorHAnsi" w:cs="@MS PMincho"/>
          <w:color w:val="FFFFFF" w:themeColor="background2"/>
          <w:sz w:val="68"/>
          <w:szCs w:val="68"/>
        </w:rPr>
      </w:pPr>
      <w:bookmarkStart w:id="7" w:name="_Hlk97559626"/>
      <w:r w:rsidRPr="294F9AB0">
        <w:rPr>
          <w:rFonts w:asciiTheme="minorHAnsi" w:hAnsiTheme="minorHAnsi" w:cs="@MS PMincho"/>
          <w:color w:val="FFFFFF" w:themeColor="background2"/>
          <w:sz w:val="68"/>
          <w:szCs w:val="68"/>
        </w:rPr>
        <w:t>Allowance payable to Mayors, Deputy Mayors and Councillors</w:t>
      </w:r>
      <w:r w:rsidR="00880D06" w:rsidRPr="294F9AB0">
        <w:rPr>
          <w:rFonts w:asciiTheme="minorHAnsi" w:hAnsiTheme="minorHAnsi" w:cs="@MS PMincho"/>
          <w:color w:val="FFFFFF" w:themeColor="background2"/>
          <w:sz w:val="68"/>
          <w:szCs w:val="68"/>
        </w:rPr>
        <w:t xml:space="preserve"> (Victoria)</w:t>
      </w:r>
      <w:r>
        <w:br/>
      </w:r>
      <w:r w:rsidR="00880D06" w:rsidRPr="294F9AB0">
        <w:rPr>
          <w:rFonts w:asciiTheme="minorHAnsi" w:hAnsiTheme="minorHAnsi" w:cs="@MS PMincho"/>
          <w:color w:val="FFFFFF" w:themeColor="background2"/>
          <w:sz w:val="68"/>
          <w:szCs w:val="68"/>
        </w:rPr>
        <w:t>Annual Adjustment</w:t>
      </w:r>
      <w:r w:rsidR="006E4E5B" w:rsidRPr="294F9AB0">
        <w:rPr>
          <w:rFonts w:asciiTheme="minorHAnsi" w:hAnsiTheme="minorHAnsi" w:cs="@MS PMincho"/>
          <w:color w:val="FFFFFF" w:themeColor="background2"/>
          <w:sz w:val="68"/>
          <w:szCs w:val="68"/>
        </w:rPr>
        <w:t xml:space="preserve"> Determination </w:t>
      </w:r>
      <w:bookmarkEnd w:id="7"/>
      <w:r w:rsidR="00880D06" w:rsidRPr="294F9AB0">
        <w:rPr>
          <w:rFonts w:asciiTheme="minorHAnsi" w:hAnsiTheme="minorHAnsi" w:cs="@MS PMincho"/>
          <w:color w:val="FFFFFF" w:themeColor="background2"/>
          <w:sz w:val="68"/>
          <w:szCs w:val="68"/>
        </w:rPr>
        <w:t>202</w:t>
      </w:r>
      <w:r w:rsidR="3D3EE04A" w:rsidRPr="294F9AB0">
        <w:rPr>
          <w:rFonts w:asciiTheme="minorHAnsi" w:hAnsiTheme="minorHAnsi" w:cs="@MS PMincho"/>
          <w:color w:val="FFFFFF" w:themeColor="background2"/>
          <w:sz w:val="68"/>
          <w:szCs w:val="68"/>
        </w:rPr>
        <w:t>4</w:t>
      </w:r>
    </w:p>
    <w:p w14:paraId="401827F2" w14:textId="2BCE3B1C" w:rsidR="006E4E5B" w:rsidRPr="00BD24F3" w:rsidRDefault="006E4E5B" w:rsidP="006E4E5B"/>
    <w:p w14:paraId="79C14A8C" w14:textId="34FB8641" w:rsidR="006E4E5B" w:rsidRDefault="006E4E5B" w:rsidP="006E4E5B"/>
    <w:p w14:paraId="0755E2AF" w14:textId="3AD99284" w:rsidR="006E4E5B" w:rsidRDefault="006E4E5B" w:rsidP="006E4E5B">
      <w:pPr>
        <w:tabs>
          <w:tab w:val="right" w:pos="8498"/>
        </w:tabs>
        <w:spacing w:after="80"/>
      </w:pPr>
      <w:r w:rsidRPr="294F9AB0">
        <w:rPr>
          <w:b/>
          <w:bCs/>
        </w:rPr>
        <w:br w:type="page"/>
      </w:r>
    </w:p>
    <w:p w14:paraId="27D83EB9" w14:textId="5DAA4E82" w:rsidR="006E4E5B" w:rsidRDefault="006E4E5B" w:rsidP="006E4E5B">
      <w:pPr>
        <w:spacing w:after="80"/>
        <w:rPr>
          <w:b/>
          <w:bCs/>
        </w:rPr>
        <w:sectPr w:rsidR="006E4E5B" w:rsidSect="0001367F">
          <w:headerReference w:type="even" r:id="rId14"/>
          <w:footerReference w:type="even" r:id="rId15"/>
          <w:footerReference w:type="default" r:id="rId16"/>
          <w:headerReference w:type="first" r:id="rId17"/>
          <w:footerReference w:type="first" r:id="rId18"/>
          <w:type w:val="continuous"/>
          <w:pgSz w:w="11906" w:h="16838"/>
          <w:pgMar w:top="1701" w:right="1701" w:bottom="1559" w:left="1701" w:header="425" w:footer="709" w:gutter="0"/>
          <w:cols w:space="282"/>
          <w:docGrid w:linePitch="360"/>
        </w:sectPr>
      </w:pPr>
      <w:r>
        <w:rPr>
          <w:noProof/>
        </w:rPr>
        <w:lastRenderedPageBreak/>
        <w:drawing>
          <wp:anchor distT="0" distB="0" distL="114300" distR="114300" simplePos="0" relativeHeight="251658243" behindDoc="0" locked="0" layoutInCell="1" allowOverlap="0" wp14:anchorId="0B6E4787" wp14:editId="20BAC73C">
            <wp:simplePos x="0" y="0"/>
            <wp:positionH relativeFrom="page">
              <wp:posOffset>5537200</wp:posOffset>
            </wp:positionH>
            <wp:positionV relativeFrom="page">
              <wp:posOffset>1159510</wp:posOffset>
            </wp:positionV>
            <wp:extent cx="1540800" cy="9507600"/>
            <wp:effectExtent l="0" t="0" r="2540" b="0"/>
            <wp:wrapSquare wrapText="bothSides"/>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9"/>
                    <a:stretch>
                      <a:fillRect/>
                    </a:stretch>
                  </pic:blipFill>
                  <pic:spPr>
                    <a:xfrm>
                      <a:off x="0" y="0"/>
                      <a:ext cx="1540800" cy="9507600"/>
                    </a:xfrm>
                    <a:prstGeom prst="rect">
                      <a:avLst/>
                    </a:prstGeom>
                  </pic:spPr>
                </pic:pic>
              </a:graphicData>
            </a:graphic>
            <wp14:sizeRelH relativeFrom="margin">
              <wp14:pctWidth>0</wp14:pctWidth>
            </wp14:sizeRelH>
            <wp14:sizeRelV relativeFrom="margin">
              <wp14:pctHeight>0</wp14:pctHeight>
            </wp14:sizeRelV>
          </wp:anchor>
        </w:drawing>
      </w: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6E545C" w14:paraId="648F4BA0" w14:textId="77777777" w:rsidTr="294F9A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bookmarkEnd w:id="5"/>
          <w:p w14:paraId="4D3852D0" w14:textId="77777777" w:rsidR="00B1131E" w:rsidRPr="000C1B31" w:rsidRDefault="00B1131E" w:rsidP="00EE6E87">
            <w:pPr>
              <w:pStyle w:val="Style2"/>
              <w:spacing w:before="0"/>
              <w:rPr>
                <w:b/>
              </w:rPr>
            </w:pPr>
            <w:r w:rsidRPr="000C1B31">
              <w:rPr>
                <w:b/>
              </w:rPr>
              <w:lastRenderedPageBreak/>
              <w:t>DETERMINATION</w:t>
            </w:r>
          </w:p>
        </w:tc>
        <w:tc>
          <w:tcPr>
            <w:tcW w:w="4196" w:type="dxa"/>
            <w:shd w:val="clear" w:color="auto" w:fill="auto"/>
          </w:tcPr>
          <w:p w14:paraId="04CDC1C5" w14:textId="655C5591" w:rsidR="00B1131E" w:rsidRPr="005E7DF4" w:rsidRDefault="00B1131E" w:rsidP="00EE6E87">
            <w:pPr>
              <w:pStyle w:val="Instrumenttableofcontents"/>
              <w:spacing w:before="0"/>
              <w:jc w:val="right"/>
              <w:cnfStyle w:val="100000000000" w:firstRow="1" w:lastRow="0" w:firstColumn="0" w:lastColumn="0" w:oddVBand="0" w:evenVBand="0" w:oddHBand="0" w:evenHBand="0" w:firstRowFirstColumn="0" w:firstRowLastColumn="0" w:lastRowFirstColumn="0" w:lastRowLastColumn="0"/>
              <w:rPr>
                <w:rFonts w:cs="Calibri Light"/>
                <w:b w:val="0"/>
                <w:color w:val="auto"/>
              </w:rPr>
            </w:pPr>
            <w:r w:rsidRPr="005E7DF4">
              <w:rPr>
                <w:rFonts w:cs="Calibri Light"/>
                <w:b w:val="0"/>
                <w:color w:val="auto"/>
              </w:rPr>
              <w:t>[</w:t>
            </w:r>
            <w:r w:rsidR="00880D06" w:rsidRPr="005E7DF4">
              <w:rPr>
                <w:rFonts w:cs="Calibri Light"/>
                <w:b w:val="0"/>
                <w:color w:val="auto"/>
              </w:rPr>
              <w:t>202</w:t>
            </w:r>
            <w:r w:rsidR="50D3523D" w:rsidRPr="005E7DF4">
              <w:rPr>
                <w:rFonts w:cs="Calibri Light"/>
                <w:b w:val="0"/>
                <w:color w:val="auto"/>
              </w:rPr>
              <w:t>4</w:t>
            </w:r>
            <w:r w:rsidRPr="005E7DF4">
              <w:rPr>
                <w:rFonts w:cs="Calibri Light"/>
                <w:b w:val="0"/>
                <w:color w:val="auto"/>
              </w:rPr>
              <w:t xml:space="preserve">] </w:t>
            </w:r>
            <w:r w:rsidR="00880D06" w:rsidRPr="005E7DF4">
              <w:rPr>
                <w:rFonts w:cs="Calibri Light"/>
                <w:b w:val="0"/>
                <w:color w:val="auto"/>
              </w:rPr>
              <w:t>D</w:t>
            </w:r>
            <w:r w:rsidR="029864F5" w:rsidRPr="005E7DF4">
              <w:rPr>
                <w:rFonts w:cs="Calibri Light"/>
                <w:b w:val="0"/>
                <w:color w:val="auto"/>
              </w:rPr>
              <w:t>CM</w:t>
            </w:r>
            <w:r w:rsidR="00880D06" w:rsidRPr="005E7DF4">
              <w:rPr>
                <w:rFonts w:cs="Calibri Light"/>
                <w:b w:val="0"/>
                <w:color w:val="auto"/>
              </w:rPr>
              <w:t>A</w:t>
            </w:r>
            <w:r w:rsidRPr="005E7DF4">
              <w:rPr>
                <w:rFonts w:cs="Calibri Light"/>
                <w:b w:val="0"/>
                <w:color w:val="auto"/>
              </w:rPr>
              <w:t xml:space="preserve"> </w:t>
            </w:r>
            <w:r w:rsidR="00880D06" w:rsidRPr="005E7DF4">
              <w:rPr>
                <w:rFonts w:cs="Calibri Light"/>
                <w:b w:val="0"/>
                <w:color w:val="auto"/>
              </w:rPr>
              <w:t>01</w:t>
            </w:r>
          </w:p>
        </w:tc>
      </w:tr>
    </w:tbl>
    <w:p w14:paraId="685527A4" w14:textId="77777777" w:rsidR="00B1131E" w:rsidRPr="0059136C" w:rsidRDefault="00B1131E" w:rsidP="00B1131E">
      <w:pPr>
        <w:pStyle w:val="Instrumenttableofcontents"/>
        <w:rPr>
          <w:rFonts w:cs="Calibri Light"/>
          <w:i/>
          <w:iCs/>
        </w:rPr>
      </w:pPr>
      <w:r w:rsidRPr="0059136C">
        <w:rPr>
          <w:rFonts w:cs="Calibri Light"/>
          <w:i/>
          <w:iCs/>
        </w:rPr>
        <w:t xml:space="preserve">Victorian Independent Remuneration Tribunal and Improving Parliamentary Standards Act 2019 </w:t>
      </w:r>
      <w:r w:rsidRPr="0059136C">
        <w:rPr>
          <w:rFonts w:cs="Calibri Light"/>
        </w:rPr>
        <w:t>(Vic)</w:t>
      </w:r>
    </w:p>
    <w:p w14:paraId="25DEBBB6" w14:textId="04031209" w:rsidR="00B1131E" w:rsidRPr="0059136C" w:rsidRDefault="00B1131E" w:rsidP="00B1131E">
      <w:pPr>
        <w:pStyle w:val="Instrumenttableofcontents"/>
        <w:rPr>
          <w:rFonts w:cs="Calibri Light"/>
        </w:rPr>
      </w:pPr>
      <w:r w:rsidRPr="0059136C">
        <w:rPr>
          <w:rFonts w:cs="Calibri Light"/>
        </w:rPr>
        <w:t>Part 3—</w:t>
      </w:r>
      <w:r w:rsidR="00880D06" w:rsidRPr="0059136C">
        <w:rPr>
          <w:rFonts w:cs="Calibri Light"/>
        </w:rPr>
        <w:t xml:space="preserve">Determinations for annual adjustments in relation to </w:t>
      </w:r>
      <w:r w:rsidR="00460168" w:rsidRPr="0059136C">
        <w:rPr>
          <w:rFonts w:cs="Calibri Light"/>
        </w:rPr>
        <w:t>Mayors, Deputy Mayors and Councillors</w:t>
      </w:r>
      <w:r w:rsidR="00880D06" w:rsidRPr="0059136C">
        <w:rPr>
          <w:rFonts w:cs="Calibri Light"/>
        </w:rPr>
        <w:t>.</w:t>
      </w:r>
    </w:p>
    <w:p w14:paraId="6CD3F5A1" w14:textId="2573052C" w:rsidR="00B1131E" w:rsidRDefault="000E7FF5" w:rsidP="294F9AB0">
      <w:pPr>
        <w:pStyle w:val="Style3"/>
      </w:pPr>
      <w:bookmarkStart w:id="8" w:name="_Toc114570542"/>
      <w:bookmarkStart w:id="9" w:name="_Toc120025945"/>
      <w:r>
        <w:t xml:space="preserve">Allowance payable to Mayors, Deputy Mayors and Councillors </w:t>
      </w:r>
      <w:r w:rsidR="00880D06">
        <w:t>(Victoria) Annual Adjustment Determination 202</w:t>
      </w:r>
      <w:bookmarkEnd w:id="8"/>
      <w:bookmarkEnd w:id="9"/>
      <w:r w:rsidR="001077A3">
        <w:t>4</w:t>
      </w:r>
    </w:p>
    <w:p w14:paraId="1A830A64" w14:textId="77777777" w:rsidR="00B1131E" w:rsidRDefault="00B1131E" w:rsidP="00B1131E">
      <w:pPr>
        <w:pStyle w:val="03VIRTHeading3"/>
      </w:pPr>
      <w:r>
        <w:rPr>
          <w:noProof/>
        </w:rPr>
        <w:drawing>
          <wp:inline distT="0" distB="0" distL="0" distR="0" wp14:anchorId="17A521E4" wp14:editId="3511D888">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p>
    <w:p w14:paraId="4F3A4612" w14:textId="1D280B46" w:rsidR="00F05128" w:rsidRPr="0059136C" w:rsidRDefault="00F05128" w:rsidP="00CE5690">
      <w:pPr>
        <w:numPr>
          <w:ilvl w:val="0"/>
          <w:numId w:val="17"/>
        </w:numPr>
        <w:spacing w:before="180" w:after="160" w:line="276" w:lineRule="auto"/>
        <w:ind w:left="360"/>
        <w:rPr>
          <w:rFonts w:ascii="Calibri Light" w:eastAsia="Calibri" w:hAnsi="Calibri Light" w:cs="Calibri Light"/>
          <w:color w:val="000000" w:themeColor="text1"/>
          <w:sz w:val="26"/>
          <w:szCs w:val="44"/>
        </w:rPr>
      </w:pPr>
      <w:r w:rsidRPr="0059136C">
        <w:rPr>
          <w:rFonts w:ascii="Calibri Light" w:eastAsia="Calibri" w:hAnsi="Calibri Light" w:cs="Calibri Light"/>
          <w:color w:val="000000" w:themeColor="text1"/>
          <w:sz w:val="26"/>
          <w:szCs w:val="44"/>
        </w:rPr>
        <w:t>Pursuant to section 2</w:t>
      </w:r>
      <w:r w:rsidR="009E1A2E" w:rsidRPr="0059136C">
        <w:rPr>
          <w:rFonts w:ascii="Calibri Light" w:eastAsia="Calibri" w:hAnsi="Calibri Light" w:cs="Calibri Light"/>
          <w:color w:val="000000" w:themeColor="text1"/>
          <w:sz w:val="26"/>
          <w:szCs w:val="44"/>
        </w:rPr>
        <w:t>3B</w:t>
      </w:r>
      <w:r w:rsidRPr="0059136C">
        <w:rPr>
          <w:rFonts w:ascii="Calibri Light" w:eastAsia="Calibri" w:hAnsi="Calibri Light" w:cs="Calibri Light"/>
          <w:color w:val="000000" w:themeColor="text1"/>
          <w:sz w:val="26"/>
          <w:szCs w:val="44"/>
        </w:rPr>
        <w:t xml:space="preserve">(1) of the </w:t>
      </w:r>
      <w:r w:rsidRPr="0059136C">
        <w:rPr>
          <w:rFonts w:ascii="Calibri Light" w:eastAsia="Calibri" w:hAnsi="Calibri Light" w:cs="Calibri Light"/>
          <w:i/>
          <w:iCs/>
          <w:color w:val="000000" w:themeColor="text1"/>
          <w:sz w:val="26"/>
          <w:szCs w:val="44"/>
        </w:rPr>
        <w:t xml:space="preserve">Victorian Independent Remuneration Tribunal and Improving Parliament Standards Act 2019 </w:t>
      </w:r>
      <w:r w:rsidRPr="0059136C">
        <w:rPr>
          <w:rFonts w:ascii="Calibri Light" w:eastAsia="Calibri" w:hAnsi="Calibri Light" w:cs="Calibri Light"/>
          <w:color w:val="000000" w:themeColor="text1"/>
          <w:sz w:val="26"/>
          <w:szCs w:val="44"/>
        </w:rPr>
        <w:t xml:space="preserve">(Vic) (VIRTIPS Act), the Tribunal determines to make the following adjustments to the </w:t>
      </w:r>
      <w:bookmarkStart w:id="10" w:name="_Hlk113977693"/>
      <w:r w:rsidR="000E7FF5" w:rsidRPr="0059136C">
        <w:rPr>
          <w:rFonts w:ascii="Calibri Light" w:eastAsia="Calibri" w:hAnsi="Calibri Light" w:cs="Calibri Light"/>
          <w:i/>
          <w:iCs/>
          <w:color w:val="000000" w:themeColor="text1"/>
          <w:sz w:val="26"/>
          <w:szCs w:val="44"/>
        </w:rPr>
        <w:t>Allowance payable to Mayors, Deputy Mayors and Councillors</w:t>
      </w:r>
      <w:r w:rsidRPr="0059136C">
        <w:rPr>
          <w:rFonts w:ascii="Calibri Light" w:eastAsia="Calibri" w:hAnsi="Calibri Light" w:cs="Calibri Light"/>
          <w:i/>
          <w:iCs/>
          <w:color w:val="000000" w:themeColor="text1"/>
          <w:sz w:val="26"/>
          <w:szCs w:val="44"/>
        </w:rPr>
        <w:t xml:space="preserve"> </w:t>
      </w:r>
      <w:bookmarkEnd w:id="10"/>
      <w:r w:rsidRPr="0059136C">
        <w:rPr>
          <w:rFonts w:ascii="Calibri Light" w:eastAsia="Calibri" w:hAnsi="Calibri Light" w:cs="Calibri Light"/>
          <w:i/>
          <w:iCs/>
          <w:color w:val="000000" w:themeColor="text1"/>
          <w:sz w:val="26"/>
          <w:szCs w:val="44"/>
        </w:rPr>
        <w:t>(Victoria) Determination No. 01/202</w:t>
      </w:r>
      <w:r w:rsidR="002B54F1" w:rsidRPr="0059136C">
        <w:rPr>
          <w:rFonts w:ascii="Calibri Light" w:eastAsia="Calibri" w:hAnsi="Calibri Light" w:cs="Calibri Light"/>
          <w:i/>
          <w:iCs/>
          <w:color w:val="000000" w:themeColor="text1"/>
          <w:sz w:val="26"/>
          <w:szCs w:val="44"/>
        </w:rPr>
        <w:t>2</w:t>
      </w:r>
      <w:r w:rsidRPr="0059136C">
        <w:rPr>
          <w:rFonts w:ascii="Calibri Light" w:eastAsia="Calibri" w:hAnsi="Calibri Light" w:cs="Calibri Light"/>
          <w:color w:val="000000" w:themeColor="text1"/>
          <w:sz w:val="26"/>
          <w:szCs w:val="44"/>
        </w:rPr>
        <w:t>.</w:t>
      </w:r>
    </w:p>
    <w:p w14:paraId="099EF2AA" w14:textId="29836AA6" w:rsidR="00F05128" w:rsidRPr="0059136C" w:rsidRDefault="00F05128" w:rsidP="00CE5690">
      <w:pPr>
        <w:pStyle w:val="ListParagraph"/>
        <w:numPr>
          <w:ilvl w:val="0"/>
          <w:numId w:val="19"/>
        </w:numPr>
        <w:spacing w:before="180" w:line="276" w:lineRule="auto"/>
        <w:ind w:left="831"/>
        <w:jc w:val="both"/>
        <w:rPr>
          <w:rFonts w:ascii="Calibri Light" w:eastAsia="Calibri" w:hAnsi="Calibri Light" w:cs="Calibri Light"/>
          <w:color w:val="000000" w:themeColor="text1"/>
          <w:sz w:val="26"/>
          <w:szCs w:val="44"/>
        </w:rPr>
      </w:pPr>
      <w:r w:rsidRPr="0059136C">
        <w:rPr>
          <w:rFonts w:ascii="Calibri Light" w:eastAsia="Calibri" w:hAnsi="Calibri Light" w:cs="Calibri Light"/>
          <w:color w:val="000000" w:themeColor="text1"/>
          <w:sz w:val="26"/>
          <w:szCs w:val="44"/>
        </w:rPr>
        <w:t xml:space="preserve">Delete </w:t>
      </w:r>
      <w:r w:rsidR="00BA2DAE" w:rsidRPr="0059136C">
        <w:rPr>
          <w:rFonts w:ascii="Calibri Light" w:eastAsia="Calibri" w:hAnsi="Calibri Light" w:cs="Calibri Light"/>
          <w:color w:val="000000" w:themeColor="text1"/>
          <w:sz w:val="26"/>
          <w:szCs w:val="44"/>
        </w:rPr>
        <w:t xml:space="preserve">clauses </w:t>
      </w:r>
      <w:r w:rsidR="00201DC0" w:rsidRPr="0059136C">
        <w:rPr>
          <w:rFonts w:ascii="Calibri Light" w:eastAsia="Calibri" w:hAnsi="Calibri Light" w:cs="Calibri Light"/>
          <w:color w:val="000000" w:themeColor="text1"/>
          <w:sz w:val="26"/>
          <w:szCs w:val="44"/>
        </w:rPr>
        <w:t>7 to 9 and Tables</w:t>
      </w:r>
      <w:r w:rsidR="002D15D4" w:rsidRPr="0059136C">
        <w:rPr>
          <w:rFonts w:ascii="Calibri Light" w:eastAsia="Calibri" w:hAnsi="Calibri Light" w:cs="Calibri Light"/>
          <w:color w:val="000000" w:themeColor="text1"/>
          <w:sz w:val="26"/>
          <w:szCs w:val="44"/>
        </w:rPr>
        <w:t xml:space="preserve"> 1 to </w:t>
      </w:r>
      <w:r w:rsidR="002D15D4" w:rsidRPr="006263A2">
        <w:rPr>
          <w:rFonts w:ascii="Calibri Light" w:eastAsia="Calibri" w:hAnsi="Calibri Light" w:cs="Calibri Light"/>
          <w:color w:val="000000" w:themeColor="text1"/>
          <w:sz w:val="26"/>
          <w:szCs w:val="44"/>
        </w:rPr>
        <w:t>1</w:t>
      </w:r>
      <w:r w:rsidR="00CC2534" w:rsidRPr="006263A2">
        <w:rPr>
          <w:rFonts w:ascii="Calibri Light" w:eastAsia="Calibri" w:hAnsi="Calibri Light" w:cs="Calibri Light"/>
          <w:color w:val="000000" w:themeColor="text1"/>
          <w:sz w:val="26"/>
          <w:szCs w:val="44"/>
        </w:rPr>
        <w:t>0</w:t>
      </w:r>
      <w:r w:rsidR="002D15D4" w:rsidRPr="0059136C">
        <w:rPr>
          <w:rFonts w:ascii="Calibri Light" w:eastAsia="Calibri" w:hAnsi="Calibri Light" w:cs="Calibri Light"/>
          <w:color w:val="000000" w:themeColor="text1"/>
          <w:sz w:val="26"/>
          <w:szCs w:val="44"/>
        </w:rPr>
        <w:t xml:space="preserve"> and replace them with the following:</w:t>
      </w:r>
    </w:p>
    <w:p w14:paraId="53D06238" w14:textId="77777777" w:rsidR="00525EEF" w:rsidRPr="0059136C" w:rsidRDefault="00525EEF" w:rsidP="004D5FE9">
      <w:pPr>
        <w:pStyle w:val="Instrumenttableofcontents"/>
        <w:keepNext/>
        <w:numPr>
          <w:ilvl w:val="0"/>
          <w:numId w:val="14"/>
        </w:numPr>
        <w:ind w:left="1131" w:hanging="280"/>
        <w:rPr>
          <w:rFonts w:cs="Calibri Light"/>
          <w:b/>
        </w:rPr>
      </w:pPr>
      <w:r w:rsidRPr="0059136C">
        <w:rPr>
          <w:rFonts w:cs="Calibri Light"/>
          <w:b/>
        </w:rPr>
        <w:t>Value of the base allowance for Mayors</w:t>
      </w:r>
    </w:p>
    <w:p w14:paraId="6094169D" w14:textId="77777777" w:rsidR="00525EEF" w:rsidRPr="0059136C" w:rsidRDefault="00525EEF" w:rsidP="004D5FE9">
      <w:pPr>
        <w:pStyle w:val="Instrumenttableofcontents"/>
        <w:numPr>
          <w:ilvl w:val="1"/>
          <w:numId w:val="14"/>
        </w:numPr>
        <w:ind w:left="1633" w:hanging="499"/>
        <w:rPr>
          <w:rFonts w:cs="Calibri Light"/>
        </w:rPr>
      </w:pPr>
      <w:r w:rsidRPr="0059136C">
        <w:rPr>
          <w:rFonts w:cs="Calibri Light"/>
        </w:rPr>
        <w:t>The values of the base allowances for Mayors are:</w:t>
      </w:r>
    </w:p>
    <w:p w14:paraId="2C345D61" w14:textId="712EA351" w:rsidR="00525EEF" w:rsidRPr="0059136C" w:rsidRDefault="00525EEF" w:rsidP="00CE5690">
      <w:pPr>
        <w:pStyle w:val="Instrumenttableofcontents"/>
        <w:numPr>
          <w:ilvl w:val="0"/>
          <w:numId w:val="23"/>
        </w:numPr>
        <w:ind w:left="1982" w:hanging="357"/>
        <w:rPr>
          <w:rFonts w:cs="Calibri Light"/>
        </w:rPr>
      </w:pPr>
      <w:r w:rsidRPr="0059136C">
        <w:rPr>
          <w:rFonts w:cs="Calibri Light"/>
        </w:rPr>
        <w:t>from 1 July 202</w:t>
      </w:r>
      <w:r w:rsidR="00CD3F5D" w:rsidRPr="0059136C">
        <w:rPr>
          <w:rFonts w:cs="Calibri Light"/>
        </w:rPr>
        <w:t>4</w:t>
      </w:r>
      <w:r w:rsidRPr="0059136C">
        <w:rPr>
          <w:rFonts w:cs="Calibri Light"/>
        </w:rPr>
        <w:t xml:space="preserve"> until 17 December 202</w:t>
      </w:r>
      <w:r w:rsidR="005E0B92" w:rsidRPr="0059136C">
        <w:rPr>
          <w:rFonts w:cs="Calibri Light"/>
        </w:rPr>
        <w:t>4</w:t>
      </w:r>
      <w:r w:rsidRPr="0059136C">
        <w:rPr>
          <w:rFonts w:cs="Calibri Light"/>
        </w:rPr>
        <w:t>, the values set out in Table 1</w:t>
      </w:r>
    </w:p>
    <w:p w14:paraId="409E24F0" w14:textId="63017DF8" w:rsidR="00525EEF" w:rsidRPr="0059136C" w:rsidRDefault="00525EEF" w:rsidP="00CE5690">
      <w:pPr>
        <w:pStyle w:val="Instrumenttableofcontents"/>
        <w:numPr>
          <w:ilvl w:val="0"/>
          <w:numId w:val="23"/>
        </w:numPr>
        <w:ind w:left="1982" w:hanging="357"/>
        <w:rPr>
          <w:rFonts w:cs="Calibri Light"/>
        </w:rPr>
      </w:pPr>
      <w:r w:rsidRPr="0059136C">
        <w:rPr>
          <w:rFonts w:cs="Calibri Light"/>
        </w:rPr>
        <w:t>from 18 December 2024 until 17 December 2025, the values set out in Table </w:t>
      </w:r>
      <w:r w:rsidR="00CF6398" w:rsidRPr="0059136C">
        <w:rPr>
          <w:rFonts w:cs="Calibri Light"/>
        </w:rPr>
        <w:t>2</w:t>
      </w:r>
    </w:p>
    <w:p w14:paraId="10B3F011" w14:textId="05B70B28" w:rsidR="00525EEF" w:rsidRPr="0059136C" w:rsidRDefault="00525EEF" w:rsidP="00CE5690">
      <w:pPr>
        <w:pStyle w:val="Instrumenttableofcontents"/>
        <w:numPr>
          <w:ilvl w:val="0"/>
          <w:numId w:val="23"/>
        </w:numPr>
        <w:ind w:left="1982" w:hanging="357"/>
        <w:rPr>
          <w:rFonts w:cs="Calibri Light"/>
        </w:rPr>
      </w:pPr>
      <w:r w:rsidRPr="0059136C">
        <w:rPr>
          <w:rFonts w:cs="Calibri Light"/>
        </w:rPr>
        <w:t>from 18 December 2025, the value</w:t>
      </w:r>
      <w:r w:rsidR="00280AEA" w:rsidRPr="0059136C">
        <w:rPr>
          <w:rFonts w:cs="Calibri Light"/>
        </w:rPr>
        <w:t>s</w:t>
      </w:r>
      <w:r w:rsidRPr="0059136C">
        <w:rPr>
          <w:rFonts w:cs="Calibri Light"/>
        </w:rPr>
        <w:t xml:space="preserve"> set out in Table </w:t>
      </w:r>
      <w:r w:rsidR="00CF6398" w:rsidRPr="0059136C">
        <w:rPr>
          <w:rFonts w:cs="Calibri Light"/>
        </w:rPr>
        <w:t>3</w:t>
      </w:r>
      <w:r w:rsidRPr="0059136C">
        <w:rPr>
          <w:rFonts w:cs="Calibri Light"/>
        </w:rPr>
        <w:t>.</w:t>
      </w:r>
    </w:p>
    <w:p w14:paraId="620D7A24" w14:textId="6477FC31" w:rsidR="00525EEF" w:rsidRPr="006263A2" w:rsidRDefault="00525EEF" w:rsidP="00EE6E87">
      <w:pPr>
        <w:pStyle w:val="Instrumenttableheading"/>
        <w:keepNext w:val="0"/>
        <w:rPr>
          <w:rFonts w:cs="Calibri Light"/>
        </w:rPr>
      </w:pPr>
      <w:r w:rsidRPr="006263A2">
        <w:rPr>
          <w:rFonts w:cs="Calibri Light"/>
        </w:rPr>
        <w:t xml:space="preserve">Table 1: Value of the base allowance for Mayors, by Council allowance category, </w:t>
      </w:r>
      <w:r w:rsidRPr="006263A2">
        <w:rPr>
          <w:rFonts w:cs="Calibri Light"/>
        </w:rPr>
        <w:br/>
        <w:t>1 July 202</w:t>
      </w:r>
      <w:r w:rsidR="003D11DE" w:rsidRPr="006263A2">
        <w:rPr>
          <w:rFonts w:cs="Calibri Light"/>
        </w:rPr>
        <w:t>4</w:t>
      </w:r>
      <w:r w:rsidRPr="006263A2">
        <w:rPr>
          <w:rFonts w:cs="Calibri Light"/>
        </w:rPr>
        <w:t xml:space="preserve"> until 17 December 202</w:t>
      </w:r>
      <w:r w:rsidR="003D11DE" w:rsidRPr="006263A2">
        <w:rPr>
          <w:rFonts w:cs="Calibri Light"/>
        </w:rPr>
        <w:t>4</w:t>
      </w:r>
    </w:p>
    <w:tbl>
      <w:tblPr>
        <w:tblStyle w:val="ListTable3-Accent21"/>
        <w:tblW w:w="5000" w:type="pct"/>
        <w:tblInd w:w="0" w:type="dxa"/>
        <w:tblLook w:val="04A0" w:firstRow="1" w:lastRow="0" w:firstColumn="1" w:lastColumn="0" w:noHBand="0" w:noVBand="1"/>
      </w:tblPr>
      <w:tblGrid>
        <w:gridCol w:w="3679"/>
        <w:gridCol w:w="4825"/>
      </w:tblGrid>
      <w:tr w:rsidR="00525EEF" w:rsidRPr="00F50B16" w14:paraId="680BBE3F"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3A13993C" w14:textId="77777777" w:rsidR="00525EEF" w:rsidRPr="006263A2" w:rsidRDefault="00525EEF" w:rsidP="00EE6E87">
            <w:pPr>
              <w:pStyle w:val="Textinthetable"/>
              <w:keepNext w:val="0"/>
              <w:rPr>
                <w:rFonts w:cs="Calibri Light"/>
                <w:b w:val="0"/>
              </w:rPr>
            </w:pPr>
            <w:r w:rsidRPr="006263A2">
              <w:rPr>
                <w:rFonts w:cs="Calibri Light"/>
              </w:rPr>
              <w:t>Council allowance category</w:t>
            </w:r>
          </w:p>
        </w:tc>
        <w:tc>
          <w:tcPr>
            <w:tcW w:w="2837" w:type="pct"/>
          </w:tcPr>
          <w:p w14:paraId="1CEA6AB1" w14:textId="77777777" w:rsidR="00525EEF" w:rsidRPr="006263A2" w:rsidRDefault="00525EEF" w:rsidP="00EE6E87">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cs="Calibri Light"/>
                <w:b w:val="0"/>
              </w:rPr>
            </w:pPr>
            <w:r w:rsidRPr="006263A2">
              <w:rPr>
                <w:rFonts w:cs="Calibri Light"/>
              </w:rPr>
              <w:t>Value of allowance ($ per annum)</w:t>
            </w:r>
          </w:p>
        </w:tc>
      </w:tr>
      <w:tr w:rsidR="006B78C3" w:rsidRPr="00F50B16" w14:paraId="0EF6B52E" w14:textId="77777777" w:rsidTr="00B458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58E6EB3" w14:textId="77777777" w:rsidR="006B78C3" w:rsidRPr="0059136C" w:rsidRDefault="006B78C3" w:rsidP="00EE6E87">
            <w:pPr>
              <w:pStyle w:val="Textinthetable"/>
              <w:keepNext w:val="0"/>
              <w:rPr>
                <w:rFonts w:cs="Calibri Light"/>
                <w:b/>
                <w:color w:val="000000" w:themeColor="text1"/>
              </w:rPr>
            </w:pPr>
            <w:r w:rsidRPr="0059136C">
              <w:rPr>
                <w:rFonts w:cs="Calibri Light"/>
                <w:color w:val="000000" w:themeColor="text1"/>
              </w:rPr>
              <w:t>Category 1</w:t>
            </w:r>
          </w:p>
        </w:tc>
        <w:tc>
          <w:tcPr>
            <w:tcW w:w="2837" w:type="pct"/>
            <w:vAlign w:val="center"/>
          </w:tcPr>
          <w:p w14:paraId="64398D83" w14:textId="35C3AD5B" w:rsidR="006B78C3" w:rsidRPr="0059136C" w:rsidRDefault="00380853" w:rsidP="00EE6E87">
            <w:pPr>
              <w:pStyle w:val="Textinthetable"/>
              <w:keepNext w:val="0"/>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59136C">
              <w:rPr>
                <w:rFonts w:cs="Calibri Light"/>
                <w:bCs/>
                <w:color w:val="000000" w:themeColor="text1"/>
              </w:rPr>
              <w:t>84,498</w:t>
            </w:r>
          </w:p>
        </w:tc>
      </w:tr>
      <w:tr w:rsidR="006B78C3" w:rsidRPr="00F50B16" w14:paraId="5D99D3C6" w14:textId="77777777" w:rsidTr="00B458B5">
        <w:trPr>
          <w:cantSplit/>
        </w:trPr>
        <w:tc>
          <w:tcPr>
            <w:cnfStyle w:val="001000000000" w:firstRow="0" w:lastRow="0" w:firstColumn="1" w:lastColumn="0" w:oddVBand="0" w:evenVBand="0" w:oddHBand="0" w:evenHBand="0" w:firstRowFirstColumn="0" w:firstRowLastColumn="0" w:lastRowFirstColumn="0" w:lastRowLastColumn="0"/>
            <w:tcW w:w="2163" w:type="pct"/>
          </w:tcPr>
          <w:p w14:paraId="29917057" w14:textId="77777777" w:rsidR="006B78C3" w:rsidRPr="0059136C" w:rsidRDefault="006B78C3" w:rsidP="00EE6E87">
            <w:pPr>
              <w:pStyle w:val="Textinthetable"/>
              <w:keepNext w:val="0"/>
              <w:rPr>
                <w:rFonts w:cs="Calibri Light"/>
                <w:b/>
                <w:color w:val="000000" w:themeColor="text1"/>
              </w:rPr>
            </w:pPr>
            <w:r w:rsidRPr="0059136C">
              <w:rPr>
                <w:rFonts w:cs="Calibri Light"/>
                <w:color w:val="000000" w:themeColor="text1"/>
              </w:rPr>
              <w:t>Category 2</w:t>
            </w:r>
          </w:p>
        </w:tc>
        <w:tc>
          <w:tcPr>
            <w:tcW w:w="2837" w:type="pct"/>
            <w:vAlign w:val="center"/>
          </w:tcPr>
          <w:p w14:paraId="4B8F9026" w14:textId="2EDE3C46" w:rsidR="006B78C3" w:rsidRPr="0059136C" w:rsidRDefault="006B78C3" w:rsidP="00EE6E87">
            <w:pPr>
              <w:pStyle w:val="Textinthetable"/>
              <w:keepNext w:val="0"/>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59136C">
              <w:rPr>
                <w:rFonts w:cs="Calibri Light"/>
                <w:bCs/>
                <w:color w:val="000000" w:themeColor="text1"/>
              </w:rPr>
              <w:t>10</w:t>
            </w:r>
            <w:r w:rsidR="00380853" w:rsidRPr="0059136C">
              <w:rPr>
                <w:rFonts w:cs="Calibri Light"/>
                <w:bCs/>
                <w:color w:val="000000" w:themeColor="text1"/>
              </w:rPr>
              <w:t>9</w:t>
            </w:r>
            <w:r w:rsidRPr="0059136C">
              <w:rPr>
                <w:rFonts w:cs="Calibri Light"/>
                <w:bCs/>
                <w:color w:val="000000" w:themeColor="text1"/>
              </w:rPr>
              <w:t>,</w:t>
            </w:r>
            <w:r w:rsidR="00380853" w:rsidRPr="0059136C">
              <w:rPr>
                <w:rFonts w:cs="Calibri Light"/>
                <w:bCs/>
                <w:color w:val="000000" w:themeColor="text1"/>
              </w:rPr>
              <w:t>114</w:t>
            </w:r>
          </w:p>
        </w:tc>
      </w:tr>
      <w:tr w:rsidR="006B78C3" w:rsidRPr="00F50B16" w14:paraId="48798888" w14:textId="77777777" w:rsidTr="00B458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15E4831" w14:textId="77777777" w:rsidR="006B78C3" w:rsidRPr="0059136C" w:rsidRDefault="006B78C3" w:rsidP="00EE6E87">
            <w:pPr>
              <w:pStyle w:val="Textinthetable"/>
              <w:keepNext w:val="0"/>
              <w:rPr>
                <w:rFonts w:cs="Calibri Light"/>
                <w:b/>
                <w:color w:val="000000" w:themeColor="text1"/>
              </w:rPr>
            </w:pPr>
            <w:r w:rsidRPr="0059136C">
              <w:rPr>
                <w:rFonts w:cs="Calibri Light"/>
                <w:color w:val="000000" w:themeColor="text1"/>
              </w:rPr>
              <w:t>Category 3</w:t>
            </w:r>
          </w:p>
        </w:tc>
        <w:tc>
          <w:tcPr>
            <w:tcW w:w="2837" w:type="pct"/>
            <w:vAlign w:val="center"/>
          </w:tcPr>
          <w:p w14:paraId="490463E8" w14:textId="1EBB1675" w:rsidR="006B78C3" w:rsidRPr="0059136C" w:rsidRDefault="006B78C3" w:rsidP="00EE6E87">
            <w:pPr>
              <w:pStyle w:val="Textinthetable"/>
              <w:keepNext w:val="0"/>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59136C">
              <w:rPr>
                <w:rFonts w:cs="Calibri Light"/>
                <w:bCs/>
                <w:color w:val="000000" w:themeColor="text1"/>
              </w:rPr>
              <w:t>13</w:t>
            </w:r>
            <w:r w:rsidR="005A67D2" w:rsidRPr="0059136C">
              <w:rPr>
                <w:rFonts w:cs="Calibri Light"/>
                <w:bCs/>
                <w:color w:val="000000" w:themeColor="text1"/>
              </w:rPr>
              <w:t>4</w:t>
            </w:r>
            <w:r w:rsidRPr="0059136C">
              <w:rPr>
                <w:rFonts w:cs="Calibri Light"/>
                <w:bCs/>
                <w:color w:val="000000" w:themeColor="text1"/>
              </w:rPr>
              <w:t>,</w:t>
            </w:r>
            <w:r w:rsidR="005A67D2" w:rsidRPr="0059136C">
              <w:rPr>
                <w:rFonts w:cs="Calibri Light"/>
                <w:bCs/>
                <w:color w:val="000000" w:themeColor="text1"/>
              </w:rPr>
              <w:t>954</w:t>
            </w:r>
          </w:p>
        </w:tc>
      </w:tr>
      <w:tr w:rsidR="006B78C3" w:rsidRPr="00F50B16" w14:paraId="6F85BB37" w14:textId="77777777" w:rsidTr="00B458B5">
        <w:trPr>
          <w:cantSplit/>
        </w:trPr>
        <w:tc>
          <w:tcPr>
            <w:cnfStyle w:val="001000000000" w:firstRow="0" w:lastRow="0" w:firstColumn="1" w:lastColumn="0" w:oddVBand="0" w:evenVBand="0" w:oddHBand="0" w:evenHBand="0" w:firstRowFirstColumn="0" w:firstRowLastColumn="0" w:lastRowFirstColumn="0" w:lastRowLastColumn="0"/>
            <w:tcW w:w="2163" w:type="pct"/>
          </w:tcPr>
          <w:p w14:paraId="7977ADA8" w14:textId="77777777" w:rsidR="006B78C3" w:rsidRPr="0059136C" w:rsidRDefault="006B78C3" w:rsidP="006B78C3">
            <w:pPr>
              <w:pStyle w:val="Textinthetable"/>
              <w:keepNext w:val="0"/>
              <w:rPr>
                <w:rFonts w:cs="Calibri Light"/>
                <w:b/>
                <w:color w:val="000000" w:themeColor="text1"/>
              </w:rPr>
            </w:pPr>
            <w:r w:rsidRPr="0059136C">
              <w:rPr>
                <w:rFonts w:cs="Calibri Light"/>
                <w:color w:val="000000" w:themeColor="text1"/>
              </w:rPr>
              <w:t>Category 4 – Melbourne City Council</w:t>
            </w:r>
          </w:p>
        </w:tc>
        <w:tc>
          <w:tcPr>
            <w:tcW w:w="2837" w:type="pct"/>
            <w:vAlign w:val="center"/>
          </w:tcPr>
          <w:p w14:paraId="7F4E0794" w14:textId="0A5955DB" w:rsidR="006B78C3" w:rsidRPr="0059136C" w:rsidRDefault="006B78C3" w:rsidP="00EE6E87">
            <w:pPr>
              <w:pStyle w:val="Textinthetable"/>
              <w:keepNext w:val="0"/>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59136C">
              <w:rPr>
                <w:rFonts w:cs="Calibri Light"/>
                <w:bCs/>
                <w:color w:val="000000" w:themeColor="text1"/>
              </w:rPr>
              <w:t>26</w:t>
            </w:r>
            <w:r w:rsidR="00C56649" w:rsidRPr="0059136C">
              <w:rPr>
                <w:rFonts w:cs="Calibri Light"/>
                <w:bCs/>
                <w:color w:val="000000" w:themeColor="text1"/>
              </w:rPr>
              <w:t>9</w:t>
            </w:r>
            <w:r w:rsidRPr="0059136C">
              <w:rPr>
                <w:rFonts w:cs="Calibri Light"/>
                <w:bCs/>
                <w:color w:val="000000" w:themeColor="text1"/>
              </w:rPr>
              <w:t>,</w:t>
            </w:r>
            <w:r w:rsidR="00A00591" w:rsidRPr="0059136C">
              <w:rPr>
                <w:rFonts w:cs="Calibri Light"/>
                <w:bCs/>
                <w:color w:val="000000" w:themeColor="text1"/>
              </w:rPr>
              <w:t>909</w:t>
            </w:r>
          </w:p>
        </w:tc>
      </w:tr>
    </w:tbl>
    <w:p w14:paraId="6EE682A0" w14:textId="385710A6" w:rsidR="00525EEF" w:rsidRPr="006263A2" w:rsidRDefault="00525EEF" w:rsidP="00525EEF">
      <w:pPr>
        <w:pStyle w:val="Instrumenttableheading"/>
        <w:keepNext w:val="0"/>
        <w:rPr>
          <w:rFonts w:cs="Calibri Light"/>
        </w:rPr>
      </w:pPr>
      <w:r w:rsidRPr="006263A2">
        <w:rPr>
          <w:rFonts w:cs="Calibri Light"/>
        </w:rPr>
        <w:lastRenderedPageBreak/>
        <w:t xml:space="preserve">Table </w:t>
      </w:r>
      <w:r w:rsidR="006B78C3" w:rsidRPr="006263A2">
        <w:rPr>
          <w:rFonts w:cs="Calibri Light"/>
        </w:rPr>
        <w:t>2</w:t>
      </w:r>
      <w:r w:rsidRPr="006263A2">
        <w:rPr>
          <w:rFonts w:cs="Calibri Light"/>
        </w:rPr>
        <w:t xml:space="preserve">: Value of the base allowance for Mayors, by Council allowance category, </w:t>
      </w:r>
      <w:r w:rsidRPr="006263A2">
        <w:rPr>
          <w:rFonts w:cs="Calibri Light"/>
        </w:rPr>
        <w:br/>
        <w:t>18 December 2024 until 17 December 2025</w:t>
      </w:r>
    </w:p>
    <w:tbl>
      <w:tblPr>
        <w:tblStyle w:val="ListTable3-Accent21"/>
        <w:tblW w:w="5000" w:type="pct"/>
        <w:tblInd w:w="0" w:type="dxa"/>
        <w:tblLook w:val="04A0" w:firstRow="1" w:lastRow="0" w:firstColumn="1" w:lastColumn="0" w:noHBand="0" w:noVBand="1"/>
      </w:tblPr>
      <w:tblGrid>
        <w:gridCol w:w="3679"/>
        <w:gridCol w:w="4825"/>
      </w:tblGrid>
      <w:tr w:rsidR="00525EEF" w:rsidRPr="00F50B16" w14:paraId="2A99D5EF"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1C2E13F6" w14:textId="77777777" w:rsidR="00525EEF" w:rsidRPr="006263A2" w:rsidRDefault="00525EEF">
            <w:pPr>
              <w:pStyle w:val="Textinthetable"/>
              <w:keepNext w:val="0"/>
              <w:rPr>
                <w:rFonts w:cs="Calibri Light"/>
                <w:b w:val="0"/>
              </w:rPr>
            </w:pPr>
            <w:r w:rsidRPr="006263A2">
              <w:rPr>
                <w:rFonts w:cs="Calibri Light"/>
              </w:rPr>
              <w:t>Council allowance category</w:t>
            </w:r>
          </w:p>
        </w:tc>
        <w:tc>
          <w:tcPr>
            <w:tcW w:w="2837" w:type="pct"/>
          </w:tcPr>
          <w:p w14:paraId="2EC08422" w14:textId="77777777" w:rsidR="00525EEF" w:rsidRPr="006263A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cs="Calibri Light"/>
                <w:b w:val="0"/>
              </w:rPr>
            </w:pPr>
            <w:r w:rsidRPr="006263A2">
              <w:rPr>
                <w:rFonts w:cs="Calibri Light"/>
              </w:rPr>
              <w:t>Value of allowance ($ per annum)</w:t>
            </w:r>
          </w:p>
        </w:tc>
      </w:tr>
      <w:tr w:rsidR="00B458B5" w:rsidRPr="00F50B16" w14:paraId="21B8068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AB0F389" w14:textId="77777777" w:rsidR="00B458B5" w:rsidRPr="0059136C" w:rsidRDefault="00B458B5" w:rsidP="00B458B5">
            <w:pPr>
              <w:pStyle w:val="Textinthetable"/>
              <w:keepNext w:val="0"/>
              <w:rPr>
                <w:rFonts w:cs="Calibri Light"/>
                <w:b/>
                <w:color w:val="000000" w:themeColor="text1"/>
              </w:rPr>
            </w:pPr>
            <w:r w:rsidRPr="0059136C">
              <w:rPr>
                <w:rFonts w:cs="Calibri Light"/>
                <w:color w:val="000000" w:themeColor="text1"/>
              </w:rPr>
              <w:t>Category 1</w:t>
            </w:r>
          </w:p>
        </w:tc>
        <w:tc>
          <w:tcPr>
            <w:tcW w:w="2837" w:type="pct"/>
            <w:vAlign w:val="center"/>
          </w:tcPr>
          <w:p w14:paraId="217BB413" w14:textId="106CC1C3" w:rsidR="00B458B5" w:rsidRPr="0059136C"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59136C">
              <w:rPr>
                <w:rFonts w:cs="Calibri Light"/>
                <w:bCs/>
                <w:color w:val="000000" w:themeColor="text1"/>
              </w:rPr>
              <w:t>8</w:t>
            </w:r>
            <w:r w:rsidR="00A00591" w:rsidRPr="0059136C">
              <w:rPr>
                <w:rFonts w:cs="Calibri Light"/>
                <w:bCs/>
                <w:color w:val="000000" w:themeColor="text1"/>
              </w:rPr>
              <w:t>6</w:t>
            </w:r>
            <w:r w:rsidRPr="0059136C">
              <w:rPr>
                <w:rFonts w:cs="Calibri Light"/>
                <w:bCs/>
                <w:color w:val="000000" w:themeColor="text1"/>
              </w:rPr>
              <w:t>,</w:t>
            </w:r>
            <w:r w:rsidR="001A1E55" w:rsidRPr="0059136C">
              <w:rPr>
                <w:rFonts w:cs="Calibri Light"/>
                <w:bCs/>
                <w:color w:val="000000" w:themeColor="text1"/>
              </w:rPr>
              <w:t>722</w:t>
            </w:r>
          </w:p>
        </w:tc>
      </w:tr>
      <w:tr w:rsidR="00B458B5" w:rsidRPr="00F50B16" w14:paraId="2EC07184"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2BE064A2" w14:textId="77777777" w:rsidR="00B458B5" w:rsidRPr="0059136C" w:rsidRDefault="00B458B5" w:rsidP="00B458B5">
            <w:pPr>
              <w:pStyle w:val="Textinthetable"/>
              <w:keepNext w:val="0"/>
              <w:rPr>
                <w:rFonts w:cs="Calibri Light"/>
                <w:b/>
                <w:color w:val="000000" w:themeColor="text1"/>
              </w:rPr>
            </w:pPr>
            <w:r w:rsidRPr="0059136C">
              <w:rPr>
                <w:rFonts w:cs="Calibri Light"/>
                <w:color w:val="000000" w:themeColor="text1"/>
              </w:rPr>
              <w:t>Category 2</w:t>
            </w:r>
          </w:p>
        </w:tc>
        <w:tc>
          <w:tcPr>
            <w:tcW w:w="2837" w:type="pct"/>
            <w:vAlign w:val="center"/>
          </w:tcPr>
          <w:p w14:paraId="5A8155AB" w14:textId="3752135B" w:rsidR="00B458B5" w:rsidRPr="0059136C"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59136C">
              <w:rPr>
                <w:rFonts w:cs="Calibri Light"/>
                <w:bCs/>
                <w:color w:val="000000" w:themeColor="text1"/>
              </w:rPr>
              <w:t>1</w:t>
            </w:r>
            <w:r w:rsidR="001A1E55" w:rsidRPr="0059136C">
              <w:rPr>
                <w:rFonts w:cs="Calibri Light"/>
                <w:bCs/>
                <w:color w:val="000000" w:themeColor="text1"/>
              </w:rPr>
              <w:t>11</w:t>
            </w:r>
            <w:r w:rsidRPr="0059136C">
              <w:rPr>
                <w:rFonts w:cs="Calibri Light"/>
                <w:bCs/>
                <w:color w:val="000000" w:themeColor="text1"/>
              </w:rPr>
              <w:t>,</w:t>
            </w:r>
            <w:r w:rsidR="001A1E55" w:rsidRPr="0059136C">
              <w:rPr>
                <w:rFonts w:cs="Calibri Light"/>
                <w:bCs/>
                <w:color w:val="000000" w:themeColor="text1"/>
              </w:rPr>
              <w:t>987</w:t>
            </w:r>
          </w:p>
        </w:tc>
      </w:tr>
      <w:tr w:rsidR="00B458B5" w:rsidRPr="00F50B16" w14:paraId="687B7F6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7CF9A1D" w14:textId="77777777" w:rsidR="00B458B5" w:rsidRPr="0059136C" w:rsidRDefault="00B458B5" w:rsidP="00B458B5">
            <w:pPr>
              <w:pStyle w:val="Textinthetable"/>
              <w:keepNext w:val="0"/>
              <w:rPr>
                <w:rFonts w:cs="Calibri Light"/>
                <w:b/>
                <w:color w:val="000000" w:themeColor="text1"/>
              </w:rPr>
            </w:pPr>
            <w:r w:rsidRPr="0059136C">
              <w:rPr>
                <w:rFonts w:cs="Calibri Light"/>
                <w:color w:val="000000" w:themeColor="text1"/>
              </w:rPr>
              <w:t>Category 3</w:t>
            </w:r>
          </w:p>
        </w:tc>
        <w:tc>
          <w:tcPr>
            <w:tcW w:w="2837" w:type="pct"/>
            <w:vAlign w:val="center"/>
          </w:tcPr>
          <w:p w14:paraId="6258171C" w14:textId="62BD68C4" w:rsidR="00B458B5" w:rsidRPr="0059136C"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59136C">
              <w:rPr>
                <w:rFonts w:cs="Calibri Light"/>
                <w:bCs/>
                <w:color w:val="000000" w:themeColor="text1"/>
              </w:rPr>
              <w:t>13</w:t>
            </w:r>
            <w:r w:rsidR="001A1E55" w:rsidRPr="0059136C">
              <w:rPr>
                <w:rFonts w:cs="Calibri Light"/>
                <w:bCs/>
                <w:color w:val="000000" w:themeColor="text1"/>
              </w:rPr>
              <w:t>8</w:t>
            </w:r>
            <w:r w:rsidR="00A55A44" w:rsidRPr="0059136C">
              <w:rPr>
                <w:rFonts w:cs="Calibri Light"/>
                <w:bCs/>
                <w:color w:val="000000" w:themeColor="text1"/>
              </w:rPr>
              <w:t>,</w:t>
            </w:r>
            <w:r w:rsidR="00DD7EE4" w:rsidRPr="0059136C">
              <w:rPr>
                <w:rFonts w:cs="Calibri Light"/>
                <w:bCs/>
                <w:color w:val="000000" w:themeColor="text1"/>
              </w:rPr>
              <w:t>506</w:t>
            </w:r>
          </w:p>
        </w:tc>
      </w:tr>
      <w:tr w:rsidR="00B458B5" w:rsidRPr="00F50B16" w14:paraId="07B7B8C4"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64D4C599" w14:textId="77777777" w:rsidR="00B458B5" w:rsidRPr="0059136C" w:rsidRDefault="00B458B5" w:rsidP="00B458B5">
            <w:pPr>
              <w:pStyle w:val="Textinthetable"/>
              <w:keepNext w:val="0"/>
              <w:rPr>
                <w:rFonts w:cs="Calibri Light"/>
                <w:b/>
                <w:color w:val="000000" w:themeColor="text1"/>
              </w:rPr>
            </w:pPr>
            <w:r w:rsidRPr="0059136C">
              <w:rPr>
                <w:rFonts w:cs="Calibri Light"/>
                <w:color w:val="000000" w:themeColor="text1"/>
              </w:rPr>
              <w:t>Category 4 – Melbourne City Council</w:t>
            </w:r>
          </w:p>
        </w:tc>
        <w:tc>
          <w:tcPr>
            <w:tcW w:w="2837" w:type="pct"/>
            <w:vAlign w:val="center"/>
          </w:tcPr>
          <w:p w14:paraId="51AD7D96" w14:textId="176917D3" w:rsidR="00B458B5" w:rsidRPr="0059136C"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59136C">
              <w:rPr>
                <w:rFonts w:cs="Calibri Light"/>
                <w:bCs/>
                <w:color w:val="000000" w:themeColor="text1"/>
              </w:rPr>
              <w:t>2</w:t>
            </w:r>
            <w:r w:rsidR="00DD7EE4" w:rsidRPr="0059136C">
              <w:rPr>
                <w:rFonts w:cs="Calibri Light"/>
                <w:bCs/>
                <w:color w:val="000000" w:themeColor="text1"/>
              </w:rPr>
              <w:t>7</w:t>
            </w:r>
            <w:r w:rsidRPr="0059136C">
              <w:rPr>
                <w:rFonts w:cs="Calibri Light"/>
                <w:bCs/>
                <w:color w:val="000000" w:themeColor="text1"/>
              </w:rPr>
              <w:t>7,</w:t>
            </w:r>
            <w:r w:rsidR="00DD7EE4" w:rsidRPr="0059136C">
              <w:rPr>
                <w:rFonts w:cs="Calibri Light"/>
                <w:bCs/>
                <w:color w:val="000000" w:themeColor="text1"/>
              </w:rPr>
              <w:t>014</w:t>
            </w:r>
          </w:p>
        </w:tc>
      </w:tr>
    </w:tbl>
    <w:p w14:paraId="2E37DF71" w14:textId="03918A7F" w:rsidR="00525EEF" w:rsidRPr="006263A2" w:rsidRDefault="00525EEF" w:rsidP="00525EEF">
      <w:pPr>
        <w:pStyle w:val="Instrumenttableheading"/>
        <w:keepNext w:val="0"/>
        <w:rPr>
          <w:rFonts w:cs="Calibri Light"/>
        </w:rPr>
      </w:pPr>
      <w:r w:rsidRPr="006263A2">
        <w:rPr>
          <w:rFonts w:cs="Calibri Light"/>
        </w:rPr>
        <w:t xml:space="preserve">Table </w:t>
      </w:r>
      <w:r w:rsidR="006B78C3" w:rsidRPr="006263A2">
        <w:rPr>
          <w:rFonts w:cs="Calibri Light"/>
        </w:rPr>
        <w:t>3</w:t>
      </w:r>
      <w:r w:rsidRPr="006263A2">
        <w:rPr>
          <w:rFonts w:cs="Calibri Light"/>
        </w:rPr>
        <w:t xml:space="preserve">: Value of the base allowance for Mayors, by Council allowance category, </w:t>
      </w:r>
      <w:r w:rsidRPr="006263A2">
        <w:rPr>
          <w:rFonts w:cs="Calibri Light"/>
        </w:rPr>
        <w:br/>
        <w:t>from 18 December 2025</w:t>
      </w:r>
    </w:p>
    <w:tbl>
      <w:tblPr>
        <w:tblStyle w:val="ListTable3-Accent21"/>
        <w:tblW w:w="5000" w:type="pct"/>
        <w:tblInd w:w="0" w:type="dxa"/>
        <w:tblLook w:val="04A0" w:firstRow="1" w:lastRow="0" w:firstColumn="1" w:lastColumn="0" w:noHBand="0" w:noVBand="1"/>
      </w:tblPr>
      <w:tblGrid>
        <w:gridCol w:w="3679"/>
        <w:gridCol w:w="4825"/>
      </w:tblGrid>
      <w:tr w:rsidR="00525EEF" w:rsidRPr="00F50B16" w14:paraId="134FC296"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3083BA48" w14:textId="77777777" w:rsidR="00525EEF" w:rsidRPr="006263A2" w:rsidRDefault="00525EEF">
            <w:pPr>
              <w:pStyle w:val="Textinthetable"/>
              <w:keepNext w:val="0"/>
              <w:rPr>
                <w:rFonts w:cs="Calibri Light"/>
                <w:b w:val="0"/>
              </w:rPr>
            </w:pPr>
            <w:r w:rsidRPr="006263A2">
              <w:rPr>
                <w:rFonts w:cs="Calibri Light"/>
              </w:rPr>
              <w:t>Council allowance category</w:t>
            </w:r>
          </w:p>
        </w:tc>
        <w:tc>
          <w:tcPr>
            <w:tcW w:w="2837" w:type="pct"/>
          </w:tcPr>
          <w:p w14:paraId="488E39E4" w14:textId="77777777" w:rsidR="00525EEF" w:rsidRPr="006263A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cs="Calibri Light"/>
                <w:b w:val="0"/>
              </w:rPr>
            </w:pPr>
            <w:r w:rsidRPr="006263A2">
              <w:rPr>
                <w:rFonts w:cs="Calibri Light"/>
              </w:rPr>
              <w:t>Value of allowance ($ per annum)</w:t>
            </w:r>
          </w:p>
        </w:tc>
      </w:tr>
      <w:tr w:rsidR="00B458B5" w:rsidRPr="00F50B16" w14:paraId="1433BC1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5E8B766" w14:textId="77777777" w:rsidR="00B458B5" w:rsidRPr="0059136C" w:rsidRDefault="00B458B5" w:rsidP="00B458B5">
            <w:pPr>
              <w:pStyle w:val="Textinthetable"/>
              <w:keepNext w:val="0"/>
              <w:rPr>
                <w:rFonts w:cs="Calibri Light"/>
                <w:b/>
                <w:color w:val="000000" w:themeColor="text1"/>
              </w:rPr>
            </w:pPr>
            <w:r w:rsidRPr="0059136C">
              <w:rPr>
                <w:rFonts w:cs="Calibri Light"/>
                <w:color w:val="000000" w:themeColor="text1"/>
              </w:rPr>
              <w:t>Category 1</w:t>
            </w:r>
          </w:p>
        </w:tc>
        <w:tc>
          <w:tcPr>
            <w:tcW w:w="2837" w:type="pct"/>
            <w:vAlign w:val="center"/>
          </w:tcPr>
          <w:p w14:paraId="7BD0CC1F" w14:textId="5A81596F" w:rsidR="00B458B5" w:rsidRPr="0059136C" w:rsidRDefault="00DD7EE4"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59136C">
              <w:rPr>
                <w:rFonts w:cs="Calibri Light"/>
                <w:bCs/>
                <w:color w:val="000000" w:themeColor="text1"/>
              </w:rPr>
              <w:t>88,</w:t>
            </w:r>
            <w:r w:rsidR="00C2740F" w:rsidRPr="0059136C">
              <w:rPr>
                <w:rFonts w:cs="Calibri Light"/>
                <w:bCs/>
                <w:color w:val="000000" w:themeColor="text1"/>
              </w:rPr>
              <w:t>945</w:t>
            </w:r>
          </w:p>
        </w:tc>
      </w:tr>
      <w:tr w:rsidR="00B458B5" w:rsidRPr="00F50B16" w14:paraId="3439D638"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1FC2CD4A" w14:textId="77777777" w:rsidR="00B458B5" w:rsidRPr="0059136C" w:rsidRDefault="00B458B5" w:rsidP="00B458B5">
            <w:pPr>
              <w:pStyle w:val="Textinthetable"/>
              <w:keepNext w:val="0"/>
              <w:rPr>
                <w:rFonts w:cs="Calibri Light"/>
                <w:b/>
                <w:color w:val="000000" w:themeColor="text1"/>
              </w:rPr>
            </w:pPr>
            <w:r w:rsidRPr="0059136C">
              <w:rPr>
                <w:rFonts w:cs="Calibri Light"/>
                <w:color w:val="000000" w:themeColor="text1"/>
              </w:rPr>
              <w:t>Category 2</w:t>
            </w:r>
          </w:p>
        </w:tc>
        <w:tc>
          <w:tcPr>
            <w:tcW w:w="2837" w:type="pct"/>
            <w:vAlign w:val="center"/>
          </w:tcPr>
          <w:p w14:paraId="0F4A660E" w14:textId="0D644395" w:rsidR="00B458B5" w:rsidRPr="0059136C"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59136C">
              <w:rPr>
                <w:rFonts w:cs="Calibri Light"/>
                <w:bCs/>
                <w:color w:val="000000" w:themeColor="text1"/>
              </w:rPr>
              <w:t>11</w:t>
            </w:r>
            <w:r w:rsidR="00C2740F" w:rsidRPr="0059136C">
              <w:rPr>
                <w:rFonts w:cs="Calibri Light"/>
                <w:bCs/>
                <w:color w:val="000000" w:themeColor="text1"/>
              </w:rPr>
              <w:t>4</w:t>
            </w:r>
            <w:r w:rsidRPr="0059136C">
              <w:rPr>
                <w:rFonts w:cs="Calibri Light"/>
                <w:bCs/>
                <w:color w:val="000000" w:themeColor="text1"/>
              </w:rPr>
              <w:t>,</w:t>
            </w:r>
            <w:r w:rsidR="00C2740F" w:rsidRPr="0059136C">
              <w:rPr>
                <w:rFonts w:cs="Calibri Light"/>
                <w:bCs/>
                <w:color w:val="000000" w:themeColor="text1"/>
              </w:rPr>
              <w:t>857</w:t>
            </w:r>
          </w:p>
        </w:tc>
      </w:tr>
      <w:tr w:rsidR="00B458B5" w:rsidRPr="00F50B16" w14:paraId="3374D4A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9DBDF7D" w14:textId="77777777" w:rsidR="00B458B5" w:rsidRPr="0059136C" w:rsidRDefault="00B458B5" w:rsidP="00B458B5">
            <w:pPr>
              <w:pStyle w:val="Textinthetable"/>
              <w:keepNext w:val="0"/>
              <w:rPr>
                <w:rFonts w:cs="Calibri Light"/>
                <w:b/>
                <w:color w:val="000000" w:themeColor="text1"/>
              </w:rPr>
            </w:pPr>
            <w:r w:rsidRPr="0059136C">
              <w:rPr>
                <w:rFonts w:cs="Calibri Light"/>
                <w:color w:val="000000" w:themeColor="text1"/>
              </w:rPr>
              <w:t>Category 3</w:t>
            </w:r>
          </w:p>
        </w:tc>
        <w:tc>
          <w:tcPr>
            <w:tcW w:w="2837" w:type="pct"/>
            <w:vAlign w:val="center"/>
          </w:tcPr>
          <w:p w14:paraId="73197A46" w14:textId="189B0039" w:rsidR="00B458B5" w:rsidRPr="0059136C"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59136C">
              <w:rPr>
                <w:rFonts w:cs="Calibri Light"/>
                <w:bCs/>
                <w:color w:val="000000" w:themeColor="text1"/>
              </w:rPr>
              <w:t>1</w:t>
            </w:r>
            <w:r w:rsidR="00C2740F" w:rsidRPr="0059136C">
              <w:rPr>
                <w:rFonts w:cs="Calibri Light"/>
                <w:bCs/>
                <w:color w:val="000000" w:themeColor="text1"/>
              </w:rPr>
              <w:t>42</w:t>
            </w:r>
            <w:r w:rsidRPr="0059136C">
              <w:rPr>
                <w:rFonts w:cs="Calibri Light"/>
                <w:bCs/>
                <w:color w:val="000000" w:themeColor="text1"/>
              </w:rPr>
              <w:t>,</w:t>
            </w:r>
            <w:r w:rsidR="00C2740F" w:rsidRPr="0059136C">
              <w:rPr>
                <w:rFonts w:cs="Calibri Light"/>
                <w:bCs/>
                <w:color w:val="000000" w:themeColor="text1"/>
              </w:rPr>
              <w:t>057</w:t>
            </w:r>
          </w:p>
        </w:tc>
      </w:tr>
      <w:tr w:rsidR="00B458B5" w:rsidRPr="000C020B" w14:paraId="0DB7AB22"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240EE303" w14:textId="77777777" w:rsidR="00B458B5" w:rsidRPr="0059136C" w:rsidRDefault="00B458B5" w:rsidP="00B458B5">
            <w:pPr>
              <w:pStyle w:val="Textinthetable"/>
              <w:keepNext w:val="0"/>
              <w:rPr>
                <w:rFonts w:cs="Calibri Light"/>
                <w:b/>
                <w:color w:val="000000" w:themeColor="text1"/>
              </w:rPr>
            </w:pPr>
            <w:r w:rsidRPr="0059136C">
              <w:rPr>
                <w:rFonts w:cs="Calibri Light"/>
                <w:color w:val="000000" w:themeColor="text1"/>
              </w:rPr>
              <w:t>Category 4 – Melbourne City Council</w:t>
            </w:r>
          </w:p>
        </w:tc>
        <w:tc>
          <w:tcPr>
            <w:tcW w:w="2837" w:type="pct"/>
            <w:vAlign w:val="center"/>
          </w:tcPr>
          <w:p w14:paraId="6A27A37C" w14:textId="6B14D0CC" w:rsidR="00B458B5" w:rsidRPr="0059136C"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59136C">
              <w:rPr>
                <w:rFonts w:cs="Calibri Light"/>
                <w:bCs/>
                <w:color w:val="000000" w:themeColor="text1"/>
              </w:rPr>
              <w:t>2</w:t>
            </w:r>
            <w:r w:rsidR="005E0C55" w:rsidRPr="0059136C">
              <w:rPr>
                <w:rFonts w:cs="Calibri Light"/>
                <w:bCs/>
                <w:color w:val="000000" w:themeColor="text1"/>
              </w:rPr>
              <w:t>84</w:t>
            </w:r>
            <w:r w:rsidRPr="0059136C">
              <w:rPr>
                <w:rFonts w:cs="Calibri Light"/>
                <w:bCs/>
                <w:color w:val="000000" w:themeColor="text1"/>
              </w:rPr>
              <w:t>,</w:t>
            </w:r>
            <w:r w:rsidR="005E0C55" w:rsidRPr="0059136C">
              <w:rPr>
                <w:rFonts w:cs="Calibri Light"/>
                <w:bCs/>
                <w:color w:val="000000" w:themeColor="text1"/>
              </w:rPr>
              <w:t>116</w:t>
            </w:r>
          </w:p>
        </w:tc>
      </w:tr>
    </w:tbl>
    <w:p w14:paraId="5A2CFE15" w14:textId="77777777" w:rsidR="00525EEF" w:rsidRPr="0059136C" w:rsidRDefault="00525EEF" w:rsidP="00D63AD8">
      <w:pPr>
        <w:pStyle w:val="Instrumenttableofcontents"/>
        <w:keepNext/>
        <w:numPr>
          <w:ilvl w:val="0"/>
          <w:numId w:val="14"/>
        </w:numPr>
        <w:ind w:left="1134" w:hanging="283"/>
        <w:rPr>
          <w:rFonts w:cs="Calibri Light"/>
        </w:rPr>
      </w:pPr>
      <w:r w:rsidRPr="0059136C">
        <w:rPr>
          <w:rFonts w:cs="Calibri Light"/>
          <w:b/>
        </w:rPr>
        <w:t>Value of the base allowance for Deputy Mayors</w:t>
      </w:r>
    </w:p>
    <w:p w14:paraId="5953BF3A" w14:textId="77777777" w:rsidR="00525EEF" w:rsidRPr="0059136C" w:rsidRDefault="00525EEF" w:rsidP="004D5FE9">
      <w:pPr>
        <w:pStyle w:val="Instrumenttableofcontents"/>
        <w:numPr>
          <w:ilvl w:val="1"/>
          <w:numId w:val="14"/>
        </w:numPr>
        <w:ind w:left="1579" w:hanging="445"/>
        <w:rPr>
          <w:rFonts w:cs="Calibri Light"/>
        </w:rPr>
      </w:pPr>
      <w:r w:rsidRPr="0059136C">
        <w:rPr>
          <w:rFonts w:cs="Calibri Light"/>
        </w:rPr>
        <w:t>The values of the base allowances for Deputy Mayors are:</w:t>
      </w:r>
    </w:p>
    <w:p w14:paraId="7CDBF5D9" w14:textId="43BA6382" w:rsidR="00525EEF" w:rsidRPr="0059136C" w:rsidRDefault="00525EEF" w:rsidP="00FC05C4">
      <w:pPr>
        <w:pStyle w:val="Instrumenttableofcontents"/>
        <w:numPr>
          <w:ilvl w:val="0"/>
          <w:numId w:val="24"/>
        </w:numPr>
        <w:ind w:left="1928" w:hanging="357"/>
        <w:rPr>
          <w:rFonts w:cs="Calibri Light"/>
        </w:rPr>
      </w:pPr>
      <w:r w:rsidRPr="0059136C">
        <w:rPr>
          <w:rFonts w:cs="Calibri Light"/>
        </w:rPr>
        <w:t>from 1 July 202</w:t>
      </w:r>
      <w:r w:rsidR="00143942" w:rsidRPr="0059136C">
        <w:rPr>
          <w:rFonts w:cs="Calibri Light"/>
        </w:rPr>
        <w:t>4</w:t>
      </w:r>
      <w:r w:rsidRPr="0059136C">
        <w:rPr>
          <w:rFonts w:cs="Calibri Light"/>
        </w:rPr>
        <w:t xml:space="preserve"> until 17 December 202</w:t>
      </w:r>
      <w:r w:rsidR="00143942" w:rsidRPr="0059136C">
        <w:rPr>
          <w:rFonts w:cs="Calibri Light"/>
        </w:rPr>
        <w:t>4</w:t>
      </w:r>
      <w:r w:rsidRPr="0059136C">
        <w:rPr>
          <w:rFonts w:cs="Calibri Light"/>
        </w:rPr>
        <w:t>, the values set out in Table </w:t>
      </w:r>
      <w:r w:rsidR="00143942" w:rsidRPr="0059136C">
        <w:rPr>
          <w:rFonts w:cs="Calibri Light"/>
        </w:rPr>
        <w:t>4</w:t>
      </w:r>
    </w:p>
    <w:p w14:paraId="74263639" w14:textId="3BB6F14C" w:rsidR="00525EEF" w:rsidRPr="0059136C" w:rsidRDefault="00525EEF" w:rsidP="00FC05C4">
      <w:pPr>
        <w:pStyle w:val="Instrumenttableofcontents"/>
        <w:numPr>
          <w:ilvl w:val="0"/>
          <w:numId w:val="24"/>
        </w:numPr>
        <w:ind w:left="1928" w:hanging="357"/>
        <w:rPr>
          <w:rFonts w:cs="Calibri Light"/>
        </w:rPr>
      </w:pPr>
      <w:r w:rsidRPr="0059136C">
        <w:rPr>
          <w:rFonts w:cs="Calibri Light"/>
        </w:rPr>
        <w:t>from 18 December 2024 until 17 December 2025, the values set out in Table </w:t>
      </w:r>
      <w:r w:rsidR="00143942" w:rsidRPr="0059136C">
        <w:rPr>
          <w:rFonts w:cs="Calibri Light"/>
        </w:rPr>
        <w:t>5</w:t>
      </w:r>
    </w:p>
    <w:p w14:paraId="78FB1EA4" w14:textId="4C14C043" w:rsidR="00525EEF" w:rsidRPr="0059136C" w:rsidRDefault="00525EEF" w:rsidP="00FC05C4">
      <w:pPr>
        <w:pStyle w:val="Instrumenttableofcontents"/>
        <w:numPr>
          <w:ilvl w:val="0"/>
          <w:numId w:val="24"/>
        </w:numPr>
        <w:ind w:left="1928" w:hanging="357"/>
        <w:rPr>
          <w:rFonts w:cs="Calibri Light"/>
        </w:rPr>
      </w:pPr>
      <w:r w:rsidRPr="0059136C">
        <w:rPr>
          <w:rFonts w:cs="Calibri Light"/>
        </w:rPr>
        <w:t>from 18 December 2025, the value</w:t>
      </w:r>
      <w:r w:rsidR="00280AEA" w:rsidRPr="0059136C">
        <w:rPr>
          <w:rFonts w:cs="Calibri Light"/>
        </w:rPr>
        <w:t>s</w:t>
      </w:r>
      <w:r w:rsidRPr="0059136C">
        <w:rPr>
          <w:rFonts w:cs="Calibri Light"/>
        </w:rPr>
        <w:t xml:space="preserve"> set out in Table </w:t>
      </w:r>
      <w:r w:rsidR="00143942" w:rsidRPr="0059136C">
        <w:rPr>
          <w:rFonts w:cs="Calibri Light"/>
        </w:rPr>
        <w:t>6</w:t>
      </w:r>
      <w:r w:rsidRPr="0059136C">
        <w:rPr>
          <w:rFonts w:cs="Calibri Light"/>
        </w:rPr>
        <w:t>.</w:t>
      </w:r>
    </w:p>
    <w:p w14:paraId="4F69C59C" w14:textId="552E5196" w:rsidR="00525EEF" w:rsidRPr="006263A2" w:rsidRDefault="00525EEF" w:rsidP="005B524A">
      <w:pPr>
        <w:pStyle w:val="Instrumenttableheading"/>
        <w:rPr>
          <w:rFonts w:cs="Calibri Light"/>
        </w:rPr>
      </w:pPr>
      <w:r w:rsidRPr="006263A2">
        <w:rPr>
          <w:rFonts w:cs="Calibri Light"/>
        </w:rPr>
        <w:t xml:space="preserve">Table </w:t>
      </w:r>
      <w:r w:rsidR="00143942" w:rsidRPr="006263A2">
        <w:rPr>
          <w:rFonts w:cs="Calibri Light"/>
        </w:rPr>
        <w:t>4</w:t>
      </w:r>
      <w:r w:rsidRPr="006263A2">
        <w:rPr>
          <w:rFonts w:cs="Calibri Light"/>
        </w:rPr>
        <w:t>: Value of the base allowance for Deputy Mayors, by Council allowance category, 1 July 202</w:t>
      </w:r>
      <w:r w:rsidR="00381BF1" w:rsidRPr="006263A2">
        <w:rPr>
          <w:rFonts w:cs="Calibri Light"/>
        </w:rPr>
        <w:t>4</w:t>
      </w:r>
      <w:r w:rsidRPr="006263A2">
        <w:rPr>
          <w:rFonts w:cs="Calibri Light"/>
        </w:rPr>
        <w:t xml:space="preserve"> until 17 December 202</w:t>
      </w:r>
      <w:r w:rsidR="00381BF1" w:rsidRPr="006263A2">
        <w:rPr>
          <w:rFonts w:cs="Calibri Light"/>
        </w:rPr>
        <w:t>4</w:t>
      </w:r>
    </w:p>
    <w:tbl>
      <w:tblPr>
        <w:tblStyle w:val="ListTable3-Accent21"/>
        <w:tblW w:w="5000" w:type="pct"/>
        <w:tblInd w:w="0" w:type="dxa"/>
        <w:tblLook w:val="04A0" w:firstRow="1" w:lastRow="0" w:firstColumn="1" w:lastColumn="0" w:noHBand="0" w:noVBand="1"/>
      </w:tblPr>
      <w:tblGrid>
        <w:gridCol w:w="3679"/>
        <w:gridCol w:w="4825"/>
      </w:tblGrid>
      <w:tr w:rsidR="00525EEF" w:rsidRPr="00F2357E" w14:paraId="191E2179"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27CED807" w14:textId="77777777" w:rsidR="00525EEF" w:rsidRPr="006263A2" w:rsidRDefault="00525EEF" w:rsidP="005B524A">
            <w:pPr>
              <w:pStyle w:val="Textinthetable"/>
              <w:rPr>
                <w:rFonts w:cs="Calibri Light"/>
                <w:b w:val="0"/>
              </w:rPr>
            </w:pPr>
            <w:r w:rsidRPr="006263A2">
              <w:rPr>
                <w:rFonts w:cs="Calibri Light"/>
              </w:rPr>
              <w:t>Council allowance category</w:t>
            </w:r>
          </w:p>
        </w:tc>
        <w:tc>
          <w:tcPr>
            <w:tcW w:w="2837" w:type="pct"/>
          </w:tcPr>
          <w:p w14:paraId="45423CAA" w14:textId="77777777" w:rsidR="00525EEF" w:rsidRPr="006263A2" w:rsidRDefault="00525EEF" w:rsidP="005B524A">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rPr>
            </w:pPr>
            <w:r w:rsidRPr="006263A2">
              <w:rPr>
                <w:rFonts w:cs="Calibri Light"/>
              </w:rPr>
              <w:t>Value of allowance ($ per annum)</w:t>
            </w:r>
          </w:p>
        </w:tc>
      </w:tr>
      <w:tr w:rsidR="00A408F9" w:rsidRPr="00F2357E" w14:paraId="660236A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3F6DF06" w14:textId="77777777" w:rsidR="00A408F9" w:rsidRPr="0059136C" w:rsidRDefault="00A408F9" w:rsidP="00A408F9">
            <w:pPr>
              <w:pStyle w:val="Textinthetable"/>
              <w:rPr>
                <w:rFonts w:cs="Calibri Light"/>
                <w:b/>
                <w:color w:val="000000" w:themeColor="text1"/>
              </w:rPr>
            </w:pPr>
            <w:bookmarkStart w:id="11" w:name="_Hlk137562893"/>
            <w:r w:rsidRPr="0059136C">
              <w:rPr>
                <w:rFonts w:cs="Calibri Light"/>
                <w:color w:val="000000" w:themeColor="text1"/>
              </w:rPr>
              <w:t>Category 1</w:t>
            </w:r>
          </w:p>
        </w:tc>
        <w:tc>
          <w:tcPr>
            <w:tcW w:w="2837" w:type="pct"/>
            <w:vAlign w:val="center"/>
          </w:tcPr>
          <w:p w14:paraId="20D6A846" w14:textId="10CB7807" w:rsidR="00A408F9" w:rsidRPr="0059136C" w:rsidRDefault="00677F06" w:rsidP="00677F06">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2"/>
              </w:rPr>
            </w:pPr>
            <w:r w:rsidRPr="0059136C">
              <w:rPr>
                <w:rFonts w:ascii="Calibri Light" w:hAnsi="Calibri Light" w:cs="Calibri Light"/>
                <w:color w:val="000000"/>
                <w:sz w:val="22"/>
              </w:rPr>
              <w:t>42,248</w:t>
            </w:r>
          </w:p>
        </w:tc>
      </w:tr>
      <w:tr w:rsidR="000A0BA6" w:rsidRPr="00F2357E" w14:paraId="74F4321F"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7DF7B1D4" w14:textId="77777777" w:rsidR="000A0BA6" w:rsidRPr="0059136C" w:rsidRDefault="000A0BA6" w:rsidP="000A0BA6">
            <w:pPr>
              <w:pStyle w:val="Textinthetable"/>
              <w:rPr>
                <w:rFonts w:cs="Calibri Light"/>
                <w:b/>
                <w:color w:val="000000" w:themeColor="text1"/>
              </w:rPr>
            </w:pPr>
            <w:r w:rsidRPr="0059136C">
              <w:rPr>
                <w:rFonts w:cs="Calibri Light"/>
                <w:color w:val="000000" w:themeColor="text1"/>
              </w:rPr>
              <w:t>Category 2</w:t>
            </w:r>
          </w:p>
        </w:tc>
        <w:tc>
          <w:tcPr>
            <w:tcW w:w="2837" w:type="pct"/>
            <w:vAlign w:val="bottom"/>
          </w:tcPr>
          <w:p w14:paraId="226E1A50" w14:textId="3D235D9F" w:rsidR="000A0BA6" w:rsidRPr="0059136C" w:rsidRDefault="000A0BA6" w:rsidP="000A0BA6">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highlight w:val="yellow"/>
              </w:rPr>
            </w:pPr>
            <w:r w:rsidRPr="0059136C">
              <w:rPr>
                <w:rFonts w:cs="Calibri Light"/>
                <w:color w:val="000000"/>
              </w:rPr>
              <w:t>54,558</w:t>
            </w:r>
          </w:p>
        </w:tc>
      </w:tr>
      <w:tr w:rsidR="000A0BA6" w:rsidRPr="00F2357E" w14:paraId="77B2A23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733BEE7" w14:textId="77777777" w:rsidR="000A0BA6" w:rsidRPr="0059136C" w:rsidRDefault="000A0BA6" w:rsidP="000A0BA6">
            <w:pPr>
              <w:pStyle w:val="Textinthetable"/>
              <w:rPr>
                <w:rFonts w:cs="Calibri Light"/>
                <w:b/>
                <w:color w:val="000000" w:themeColor="text1"/>
              </w:rPr>
            </w:pPr>
            <w:r w:rsidRPr="0059136C">
              <w:rPr>
                <w:rFonts w:cs="Calibri Light"/>
                <w:color w:val="000000" w:themeColor="text1"/>
              </w:rPr>
              <w:t>Category 3</w:t>
            </w:r>
          </w:p>
        </w:tc>
        <w:tc>
          <w:tcPr>
            <w:tcW w:w="2837" w:type="pct"/>
            <w:vAlign w:val="bottom"/>
          </w:tcPr>
          <w:p w14:paraId="772F96A1" w14:textId="4F103DE5" w:rsidR="000A0BA6" w:rsidRPr="0059136C" w:rsidRDefault="000A0BA6" w:rsidP="000A0BA6">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highlight w:val="yellow"/>
              </w:rPr>
            </w:pPr>
            <w:r w:rsidRPr="0059136C">
              <w:rPr>
                <w:rFonts w:cs="Calibri Light"/>
                <w:color w:val="000000"/>
              </w:rPr>
              <w:t>67,477</w:t>
            </w:r>
          </w:p>
        </w:tc>
      </w:tr>
      <w:tr w:rsidR="000A0BA6" w:rsidRPr="00F2357E" w14:paraId="481A0A3D"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1B05D80C" w14:textId="77777777" w:rsidR="000A0BA6" w:rsidRPr="0059136C" w:rsidRDefault="000A0BA6" w:rsidP="000A0BA6">
            <w:pPr>
              <w:pStyle w:val="Textinthetable"/>
              <w:keepNext w:val="0"/>
              <w:rPr>
                <w:rFonts w:cs="Calibri Light"/>
                <w:b/>
                <w:color w:val="000000" w:themeColor="text1"/>
              </w:rPr>
            </w:pPr>
            <w:r w:rsidRPr="0059136C">
              <w:rPr>
                <w:rFonts w:cs="Calibri Light"/>
                <w:color w:val="000000" w:themeColor="text1"/>
              </w:rPr>
              <w:t>Category 4 – Melbourne City Council</w:t>
            </w:r>
          </w:p>
        </w:tc>
        <w:tc>
          <w:tcPr>
            <w:tcW w:w="2837" w:type="pct"/>
            <w:vAlign w:val="bottom"/>
          </w:tcPr>
          <w:p w14:paraId="4A3E0386" w14:textId="3CC0E4A4" w:rsidR="000A0BA6" w:rsidRPr="0059136C" w:rsidRDefault="000A0BA6" w:rsidP="000A0BA6">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highlight w:val="yellow"/>
              </w:rPr>
            </w:pPr>
            <w:r w:rsidRPr="0059136C">
              <w:rPr>
                <w:rFonts w:cs="Calibri Light"/>
                <w:color w:val="000000"/>
              </w:rPr>
              <w:t>134,955</w:t>
            </w:r>
          </w:p>
        </w:tc>
      </w:tr>
    </w:tbl>
    <w:bookmarkEnd w:id="11"/>
    <w:p w14:paraId="747F7E34" w14:textId="20D6DBA2" w:rsidR="00525EEF" w:rsidRPr="006263A2" w:rsidRDefault="00525EEF" w:rsidP="00807A95">
      <w:pPr>
        <w:pStyle w:val="Instrumenttableheading"/>
        <w:rPr>
          <w:rFonts w:cs="Calibri Light"/>
        </w:rPr>
      </w:pPr>
      <w:r w:rsidRPr="006263A2">
        <w:rPr>
          <w:rFonts w:cs="Calibri Light"/>
        </w:rPr>
        <w:t xml:space="preserve">Table </w:t>
      </w:r>
      <w:r w:rsidR="00143942" w:rsidRPr="006263A2">
        <w:rPr>
          <w:rFonts w:cs="Calibri Light"/>
        </w:rPr>
        <w:t>5</w:t>
      </w:r>
      <w:r w:rsidRPr="006263A2">
        <w:rPr>
          <w:rFonts w:cs="Calibri Light"/>
        </w:rPr>
        <w:t>: Value of the base allowance for Deputy Mayors, by Council allowance category,</w:t>
      </w:r>
      <w:r w:rsidR="00801083" w:rsidRPr="006263A2">
        <w:rPr>
          <w:rFonts w:cs="Calibri Light"/>
        </w:rPr>
        <w:t xml:space="preserve"> </w:t>
      </w:r>
      <w:r w:rsidRPr="006263A2">
        <w:rPr>
          <w:rFonts w:cs="Calibri Light"/>
        </w:rPr>
        <w:t>18 December 2024 until 17 December 2025</w:t>
      </w:r>
    </w:p>
    <w:tbl>
      <w:tblPr>
        <w:tblStyle w:val="ListTable3-Accent21"/>
        <w:tblW w:w="5000" w:type="pct"/>
        <w:tblInd w:w="0" w:type="dxa"/>
        <w:tblLook w:val="04A0" w:firstRow="1" w:lastRow="0" w:firstColumn="1" w:lastColumn="0" w:noHBand="0" w:noVBand="1"/>
      </w:tblPr>
      <w:tblGrid>
        <w:gridCol w:w="3679"/>
        <w:gridCol w:w="4825"/>
      </w:tblGrid>
      <w:tr w:rsidR="00525EEF" w:rsidRPr="00F2357E" w14:paraId="3CA4A587"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5A199331" w14:textId="77777777" w:rsidR="00525EEF" w:rsidRPr="006263A2" w:rsidRDefault="00525EEF" w:rsidP="00807A95">
            <w:pPr>
              <w:pStyle w:val="Textinthetable"/>
              <w:rPr>
                <w:rFonts w:cs="Calibri Light"/>
                <w:b w:val="0"/>
              </w:rPr>
            </w:pPr>
            <w:r w:rsidRPr="006263A2">
              <w:rPr>
                <w:rFonts w:cs="Calibri Light"/>
              </w:rPr>
              <w:t>Council allowance category</w:t>
            </w:r>
          </w:p>
        </w:tc>
        <w:tc>
          <w:tcPr>
            <w:tcW w:w="2837" w:type="pct"/>
          </w:tcPr>
          <w:p w14:paraId="223093D9" w14:textId="77777777" w:rsidR="00525EEF" w:rsidRPr="006263A2" w:rsidRDefault="00525EEF" w:rsidP="00807A95">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rPr>
            </w:pPr>
            <w:r w:rsidRPr="006263A2">
              <w:rPr>
                <w:rFonts w:cs="Calibri Light"/>
              </w:rPr>
              <w:t>Value of allowance ($ per annum)</w:t>
            </w:r>
          </w:p>
        </w:tc>
      </w:tr>
      <w:tr w:rsidR="00DC2B0E" w:rsidRPr="00F2357E" w14:paraId="35B510F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36F00A4" w14:textId="77777777" w:rsidR="00DC2B0E" w:rsidRPr="0059136C" w:rsidRDefault="00DC2B0E" w:rsidP="00807A95">
            <w:pPr>
              <w:pStyle w:val="Textinthetable"/>
              <w:rPr>
                <w:rFonts w:cs="Calibri Light"/>
                <w:b/>
                <w:color w:val="000000" w:themeColor="text1"/>
              </w:rPr>
            </w:pPr>
            <w:r w:rsidRPr="0059136C">
              <w:rPr>
                <w:rFonts w:cs="Calibri Light"/>
                <w:color w:val="000000" w:themeColor="text1"/>
              </w:rPr>
              <w:t>Category 1</w:t>
            </w:r>
          </w:p>
        </w:tc>
        <w:tc>
          <w:tcPr>
            <w:tcW w:w="2837" w:type="pct"/>
            <w:vAlign w:val="bottom"/>
          </w:tcPr>
          <w:p w14:paraId="247849D4" w14:textId="43589138" w:rsidR="00DC2B0E" w:rsidRPr="0059136C" w:rsidRDefault="00DC2B0E" w:rsidP="00807A95">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highlight w:val="yellow"/>
              </w:rPr>
            </w:pPr>
            <w:r w:rsidRPr="0059136C">
              <w:rPr>
                <w:rFonts w:cs="Calibri Light"/>
                <w:color w:val="000000"/>
              </w:rPr>
              <w:t>43,360</w:t>
            </w:r>
          </w:p>
        </w:tc>
      </w:tr>
      <w:tr w:rsidR="00DC2B0E" w:rsidRPr="00F2357E" w14:paraId="791C13DA"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7E58FAD1" w14:textId="77777777" w:rsidR="00DC2B0E" w:rsidRPr="0059136C" w:rsidRDefault="00DC2B0E" w:rsidP="00807A95">
            <w:pPr>
              <w:pStyle w:val="Textinthetable"/>
              <w:rPr>
                <w:rFonts w:cs="Calibri Light"/>
                <w:b/>
                <w:color w:val="000000" w:themeColor="text1"/>
              </w:rPr>
            </w:pPr>
            <w:r w:rsidRPr="0059136C">
              <w:rPr>
                <w:rFonts w:cs="Calibri Light"/>
                <w:color w:val="000000" w:themeColor="text1"/>
              </w:rPr>
              <w:t>Category 2</w:t>
            </w:r>
          </w:p>
        </w:tc>
        <w:tc>
          <w:tcPr>
            <w:tcW w:w="2837" w:type="pct"/>
            <w:vAlign w:val="bottom"/>
          </w:tcPr>
          <w:p w14:paraId="369B2660" w14:textId="37C7F72C" w:rsidR="00DC2B0E" w:rsidRPr="0059136C" w:rsidRDefault="00DC2B0E" w:rsidP="00807A95">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highlight w:val="yellow"/>
              </w:rPr>
            </w:pPr>
            <w:r w:rsidRPr="0059136C">
              <w:rPr>
                <w:rFonts w:cs="Calibri Light"/>
                <w:color w:val="000000"/>
              </w:rPr>
              <w:t>55,994</w:t>
            </w:r>
          </w:p>
        </w:tc>
      </w:tr>
      <w:tr w:rsidR="00DC2B0E" w:rsidRPr="00F2357E" w14:paraId="174BA1E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5329060" w14:textId="77777777" w:rsidR="00DC2B0E" w:rsidRPr="0059136C" w:rsidRDefault="00DC2B0E" w:rsidP="00807A95">
            <w:pPr>
              <w:pStyle w:val="Textinthetable"/>
              <w:rPr>
                <w:rFonts w:cs="Calibri Light"/>
                <w:b/>
                <w:color w:val="000000" w:themeColor="text1"/>
              </w:rPr>
            </w:pPr>
            <w:r w:rsidRPr="0059136C">
              <w:rPr>
                <w:rFonts w:cs="Calibri Light"/>
                <w:color w:val="000000" w:themeColor="text1"/>
              </w:rPr>
              <w:t>Category 3</w:t>
            </w:r>
          </w:p>
        </w:tc>
        <w:tc>
          <w:tcPr>
            <w:tcW w:w="2837" w:type="pct"/>
            <w:vAlign w:val="bottom"/>
          </w:tcPr>
          <w:p w14:paraId="3FD98838" w14:textId="0D6234B2" w:rsidR="00DC2B0E" w:rsidRPr="0059136C" w:rsidRDefault="00DC2B0E" w:rsidP="00807A95">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highlight w:val="yellow"/>
              </w:rPr>
            </w:pPr>
            <w:r w:rsidRPr="0059136C">
              <w:rPr>
                <w:rFonts w:cs="Calibri Light"/>
                <w:color w:val="000000"/>
              </w:rPr>
              <w:t>69,252</w:t>
            </w:r>
          </w:p>
        </w:tc>
      </w:tr>
      <w:tr w:rsidR="00DC2B0E" w:rsidRPr="00F2357E" w14:paraId="553B56F6"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4B8F521E" w14:textId="77777777" w:rsidR="00DC2B0E" w:rsidRPr="0059136C" w:rsidRDefault="00DC2B0E" w:rsidP="00DC2B0E">
            <w:pPr>
              <w:pStyle w:val="Textinthetable"/>
              <w:keepNext w:val="0"/>
              <w:rPr>
                <w:rFonts w:cs="Calibri Light"/>
                <w:b/>
                <w:color w:val="000000" w:themeColor="text1"/>
              </w:rPr>
            </w:pPr>
            <w:r w:rsidRPr="0059136C">
              <w:rPr>
                <w:rFonts w:cs="Calibri Light"/>
                <w:color w:val="000000" w:themeColor="text1"/>
              </w:rPr>
              <w:t>Category 4 – Melbourne City Council</w:t>
            </w:r>
          </w:p>
        </w:tc>
        <w:tc>
          <w:tcPr>
            <w:tcW w:w="2837" w:type="pct"/>
            <w:vAlign w:val="bottom"/>
          </w:tcPr>
          <w:p w14:paraId="544E2702" w14:textId="0B8C3EC0" w:rsidR="00DC2B0E" w:rsidRPr="0059136C" w:rsidRDefault="00DC2B0E" w:rsidP="00DC2B0E">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highlight w:val="yellow"/>
              </w:rPr>
            </w:pPr>
            <w:r w:rsidRPr="0059136C">
              <w:rPr>
                <w:rFonts w:cs="Calibri Light"/>
                <w:color w:val="000000"/>
              </w:rPr>
              <w:t>138,507</w:t>
            </w:r>
          </w:p>
        </w:tc>
      </w:tr>
    </w:tbl>
    <w:p w14:paraId="6083F009" w14:textId="46D375D6" w:rsidR="00525EEF" w:rsidRPr="006263A2" w:rsidRDefault="00525EEF" w:rsidP="00EE6E87">
      <w:pPr>
        <w:pStyle w:val="Instrumenttableheading"/>
        <w:rPr>
          <w:rFonts w:cs="Calibri Light"/>
        </w:rPr>
      </w:pPr>
      <w:r w:rsidRPr="006263A2">
        <w:rPr>
          <w:rFonts w:cs="Calibri Light"/>
        </w:rPr>
        <w:lastRenderedPageBreak/>
        <w:t xml:space="preserve">Table </w:t>
      </w:r>
      <w:r w:rsidR="00143942" w:rsidRPr="006263A2">
        <w:rPr>
          <w:rFonts w:cs="Calibri Light"/>
        </w:rPr>
        <w:t>6</w:t>
      </w:r>
      <w:r w:rsidRPr="006263A2">
        <w:rPr>
          <w:rFonts w:cs="Calibri Light"/>
        </w:rPr>
        <w:t>: Value of the base allowance for Deputy Mayors, by Council allowance category, from 18 December 2025</w:t>
      </w:r>
    </w:p>
    <w:tbl>
      <w:tblPr>
        <w:tblStyle w:val="ListTable3-Accent21"/>
        <w:tblW w:w="5000" w:type="pct"/>
        <w:tblInd w:w="0" w:type="dxa"/>
        <w:tblLook w:val="04A0" w:firstRow="1" w:lastRow="0" w:firstColumn="1" w:lastColumn="0" w:noHBand="0" w:noVBand="1"/>
      </w:tblPr>
      <w:tblGrid>
        <w:gridCol w:w="3679"/>
        <w:gridCol w:w="4825"/>
      </w:tblGrid>
      <w:tr w:rsidR="00525EEF" w:rsidRPr="00F2357E" w14:paraId="036FCFA6"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409C6CD9" w14:textId="77777777" w:rsidR="00525EEF" w:rsidRPr="006263A2" w:rsidRDefault="00525EEF" w:rsidP="00EE6E87">
            <w:pPr>
              <w:pStyle w:val="Textinthetable"/>
              <w:rPr>
                <w:rFonts w:cs="Calibri Light"/>
                <w:b w:val="0"/>
              </w:rPr>
            </w:pPr>
            <w:r w:rsidRPr="006263A2">
              <w:rPr>
                <w:rFonts w:cs="Calibri Light"/>
              </w:rPr>
              <w:t>Council allowance category</w:t>
            </w:r>
          </w:p>
        </w:tc>
        <w:tc>
          <w:tcPr>
            <w:tcW w:w="2837" w:type="pct"/>
          </w:tcPr>
          <w:p w14:paraId="4C08AA08" w14:textId="77777777" w:rsidR="00525EEF" w:rsidRPr="006263A2" w:rsidRDefault="00525EEF" w:rsidP="00EE6E87">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rPr>
            </w:pPr>
            <w:r w:rsidRPr="006263A2">
              <w:rPr>
                <w:rFonts w:cs="Calibri Light"/>
              </w:rPr>
              <w:t>Value of allowance ($ per annum)</w:t>
            </w:r>
          </w:p>
        </w:tc>
      </w:tr>
      <w:tr w:rsidR="00DC2B0E" w:rsidRPr="00F2357E" w14:paraId="43E23FD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37DC581" w14:textId="77777777" w:rsidR="00DC2B0E" w:rsidRPr="0059136C" w:rsidRDefault="00DC2B0E" w:rsidP="00EE6E87">
            <w:pPr>
              <w:pStyle w:val="Textinthetable"/>
              <w:rPr>
                <w:rFonts w:cs="Calibri Light"/>
                <w:b/>
                <w:color w:val="000000" w:themeColor="text1"/>
              </w:rPr>
            </w:pPr>
            <w:r w:rsidRPr="0059136C">
              <w:rPr>
                <w:rFonts w:cs="Calibri Light"/>
                <w:color w:val="000000" w:themeColor="text1"/>
              </w:rPr>
              <w:t>Category 1</w:t>
            </w:r>
          </w:p>
        </w:tc>
        <w:tc>
          <w:tcPr>
            <w:tcW w:w="2837" w:type="pct"/>
            <w:vAlign w:val="bottom"/>
          </w:tcPr>
          <w:p w14:paraId="3B0EDA87" w14:textId="06023603" w:rsidR="00DC2B0E" w:rsidRPr="0059136C" w:rsidRDefault="00DC2B0E" w:rsidP="00DC2B0E">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highlight w:val="yellow"/>
              </w:rPr>
            </w:pPr>
            <w:r w:rsidRPr="0059136C">
              <w:rPr>
                <w:rFonts w:cs="Calibri Light"/>
                <w:color w:val="000000"/>
              </w:rPr>
              <w:t>44,473</w:t>
            </w:r>
          </w:p>
        </w:tc>
      </w:tr>
      <w:tr w:rsidR="00DC2B0E" w:rsidRPr="00F2357E" w14:paraId="3F39BAF4"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59B7E9EE" w14:textId="77777777" w:rsidR="00DC2B0E" w:rsidRPr="0059136C" w:rsidRDefault="00DC2B0E" w:rsidP="00DC2B0E">
            <w:pPr>
              <w:pStyle w:val="Textinthetable"/>
              <w:keepNext w:val="0"/>
              <w:rPr>
                <w:rFonts w:cs="Calibri Light"/>
                <w:b/>
                <w:color w:val="000000" w:themeColor="text1"/>
              </w:rPr>
            </w:pPr>
            <w:r w:rsidRPr="0059136C">
              <w:rPr>
                <w:rFonts w:cs="Calibri Light"/>
                <w:color w:val="000000" w:themeColor="text1"/>
              </w:rPr>
              <w:t>Category 2</w:t>
            </w:r>
          </w:p>
        </w:tc>
        <w:tc>
          <w:tcPr>
            <w:tcW w:w="2837" w:type="pct"/>
            <w:vAlign w:val="bottom"/>
          </w:tcPr>
          <w:p w14:paraId="7F962C98" w14:textId="34F7158B" w:rsidR="00DC2B0E" w:rsidRPr="0059136C" w:rsidRDefault="00DC2B0E" w:rsidP="00DC2B0E">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highlight w:val="yellow"/>
              </w:rPr>
            </w:pPr>
            <w:r w:rsidRPr="0059136C">
              <w:rPr>
                <w:rFonts w:cs="Calibri Light"/>
                <w:color w:val="000000"/>
              </w:rPr>
              <w:t>57,429</w:t>
            </w:r>
          </w:p>
        </w:tc>
      </w:tr>
      <w:tr w:rsidR="00DC2B0E" w:rsidRPr="00F2357E" w14:paraId="3CDBD99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4C606AC" w14:textId="77777777" w:rsidR="00DC2B0E" w:rsidRPr="0059136C" w:rsidRDefault="00DC2B0E" w:rsidP="00DC2B0E">
            <w:pPr>
              <w:pStyle w:val="Textinthetable"/>
              <w:keepNext w:val="0"/>
              <w:rPr>
                <w:rFonts w:cs="Calibri Light"/>
                <w:b/>
                <w:color w:val="000000" w:themeColor="text1"/>
              </w:rPr>
            </w:pPr>
            <w:r w:rsidRPr="0059136C">
              <w:rPr>
                <w:rFonts w:cs="Calibri Light"/>
                <w:color w:val="000000" w:themeColor="text1"/>
              </w:rPr>
              <w:t>Category 3</w:t>
            </w:r>
          </w:p>
        </w:tc>
        <w:tc>
          <w:tcPr>
            <w:tcW w:w="2837" w:type="pct"/>
            <w:vAlign w:val="bottom"/>
          </w:tcPr>
          <w:p w14:paraId="5BFABAC4" w14:textId="6365017D" w:rsidR="00DC2B0E" w:rsidRPr="0059136C" w:rsidRDefault="00DC2B0E" w:rsidP="00DC2B0E">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highlight w:val="yellow"/>
              </w:rPr>
            </w:pPr>
            <w:r w:rsidRPr="0059136C">
              <w:rPr>
                <w:rFonts w:cs="Calibri Light"/>
                <w:color w:val="000000"/>
              </w:rPr>
              <w:t>71,028</w:t>
            </w:r>
          </w:p>
        </w:tc>
      </w:tr>
      <w:tr w:rsidR="00DC2B0E" w:rsidRPr="00F2357E" w14:paraId="1AFE9227"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5936DD94" w14:textId="77777777" w:rsidR="00DC2B0E" w:rsidRPr="0059136C" w:rsidRDefault="00DC2B0E" w:rsidP="00DC2B0E">
            <w:pPr>
              <w:pStyle w:val="Textinthetable"/>
              <w:keepNext w:val="0"/>
              <w:rPr>
                <w:rFonts w:cs="Calibri Light"/>
                <w:b/>
                <w:color w:val="000000" w:themeColor="text1"/>
              </w:rPr>
            </w:pPr>
            <w:r w:rsidRPr="0059136C">
              <w:rPr>
                <w:rFonts w:cs="Calibri Light"/>
                <w:color w:val="000000" w:themeColor="text1"/>
              </w:rPr>
              <w:t>Category 4 – Melbourne City Council</w:t>
            </w:r>
          </w:p>
        </w:tc>
        <w:tc>
          <w:tcPr>
            <w:tcW w:w="2837" w:type="pct"/>
            <w:vAlign w:val="bottom"/>
          </w:tcPr>
          <w:p w14:paraId="28DF564D" w14:textId="2C841D4E" w:rsidR="00DC2B0E" w:rsidRPr="0059136C" w:rsidRDefault="00DC2B0E" w:rsidP="00DC2B0E">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highlight w:val="yellow"/>
              </w:rPr>
            </w:pPr>
            <w:r w:rsidRPr="0059136C">
              <w:rPr>
                <w:rFonts w:cs="Calibri Light"/>
                <w:color w:val="000000"/>
              </w:rPr>
              <w:t>142,058</w:t>
            </w:r>
          </w:p>
        </w:tc>
      </w:tr>
    </w:tbl>
    <w:p w14:paraId="3339B544" w14:textId="77777777" w:rsidR="00525EEF" w:rsidRPr="0059136C" w:rsidRDefault="00525EEF" w:rsidP="00D63AD8">
      <w:pPr>
        <w:pStyle w:val="Instrumenttableofcontents"/>
        <w:keepNext/>
        <w:numPr>
          <w:ilvl w:val="0"/>
          <w:numId w:val="14"/>
        </w:numPr>
        <w:ind w:left="1134" w:hanging="283"/>
        <w:rPr>
          <w:rFonts w:cs="Calibri Light"/>
        </w:rPr>
      </w:pPr>
      <w:r w:rsidRPr="0059136C">
        <w:rPr>
          <w:rFonts w:cs="Calibri Light"/>
          <w:b/>
        </w:rPr>
        <w:t>Value of the base allowance for Councillors</w:t>
      </w:r>
    </w:p>
    <w:p w14:paraId="56014564" w14:textId="24512A00" w:rsidR="00525EEF" w:rsidRPr="0059136C" w:rsidRDefault="00525EEF" w:rsidP="00FC3763">
      <w:pPr>
        <w:pStyle w:val="Instrumenttableofcontents"/>
        <w:numPr>
          <w:ilvl w:val="1"/>
          <w:numId w:val="14"/>
        </w:numPr>
        <w:ind w:left="1579" w:hanging="445"/>
        <w:rPr>
          <w:rFonts w:cs="Calibri Light"/>
        </w:rPr>
      </w:pPr>
      <w:r w:rsidRPr="0059136C">
        <w:rPr>
          <w:rFonts w:cs="Calibri Light"/>
        </w:rPr>
        <w:t>The values of the base allowances for Councillors from 1 July 202</w:t>
      </w:r>
      <w:r w:rsidR="00912296" w:rsidRPr="0059136C">
        <w:rPr>
          <w:rFonts w:cs="Calibri Light"/>
        </w:rPr>
        <w:t>4</w:t>
      </w:r>
      <w:r w:rsidR="00FC3763" w:rsidRPr="0059136C">
        <w:rPr>
          <w:rFonts w:cs="Calibri Light"/>
        </w:rPr>
        <w:t xml:space="preserve"> are</w:t>
      </w:r>
      <w:r w:rsidRPr="0059136C">
        <w:rPr>
          <w:rFonts w:cs="Calibri Light"/>
        </w:rPr>
        <w:t xml:space="preserve"> the values set out in Table </w:t>
      </w:r>
      <w:r w:rsidR="00912296" w:rsidRPr="0059136C">
        <w:rPr>
          <w:rFonts w:cs="Calibri Light"/>
        </w:rPr>
        <w:t>7</w:t>
      </w:r>
      <w:r w:rsidR="00FC3763" w:rsidRPr="0059136C">
        <w:rPr>
          <w:rFonts w:cs="Calibri Light"/>
        </w:rPr>
        <w:t>.</w:t>
      </w:r>
    </w:p>
    <w:p w14:paraId="14F6768B" w14:textId="3A6273EF" w:rsidR="00525EEF" w:rsidRPr="006263A2" w:rsidRDefault="00525EEF" w:rsidP="00525EEF">
      <w:pPr>
        <w:pStyle w:val="Instrumenttableheading"/>
        <w:keepNext w:val="0"/>
        <w:rPr>
          <w:rFonts w:cs="Calibri Light"/>
        </w:rPr>
      </w:pPr>
      <w:r w:rsidRPr="006263A2">
        <w:rPr>
          <w:rFonts w:cs="Calibri Light"/>
        </w:rPr>
        <w:t xml:space="preserve">Table </w:t>
      </w:r>
      <w:r w:rsidR="000D5A2D" w:rsidRPr="006263A2">
        <w:rPr>
          <w:rFonts w:cs="Calibri Light"/>
        </w:rPr>
        <w:t>7</w:t>
      </w:r>
      <w:r w:rsidRPr="006263A2">
        <w:rPr>
          <w:rFonts w:cs="Calibri Light"/>
        </w:rPr>
        <w:t xml:space="preserve">: Value of the base allowance for Councillors, by Council allowance category, </w:t>
      </w:r>
      <w:r w:rsidRPr="006263A2">
        <w:rPr>
          <w:rFonts w:cs="Calibri Light"/>
        </w:rPr>
        <w:br/>
      </w:r>
      <w:r w:rsidR="00231ECA">
        <w:rPr>
          <w:rFonts w:cs="Calibri Light"/>
        </w:rPr>
        <w:t xml:space="preserve">from </w:t>
      </w:r>
      <w:r w:rsidRPr="006263A2">
        <w:rPr>
          <w:rFonts w:cs="Calibri Light"/>
        </w:rPr>
        <w:t>1 July 202</w:t>
      </w:r>
      <w:r w:rsidR="00912296" w:rsidRPr="006263A2">
        <w:rPr>
          <w:rFonts w:cs="Calibri Light"/>
        </w:rPr>
        <w:t>4</w:t>
      </w:r>
      <w:r w:rsidRPr="006263A2">
        <w:rPr>
          <w:rFonts w:cs="Calibri Light"/>
        </w:rPr>
        <w:t xml:space="preserve"> </w:t>
      </w:r>
    </w:p>
    <w:tbl>
      <w:tblPr>
        <w:tblStyle w:val="ListTable3-Accent21"/>
        <w:tblW w:w="5000" w:type="pct"/>
        <w:tblInd w:w="0" w:type="dxa"/>
        <w:tblLook w:val="04A0" w:firstRow="1" w:lastRow="0" w:firstColumn="1" w:lastColumn="0" w:noHBand="0" w:noVBand="1"/>
      </w:tblPr>
      <w:tblGrid>
        <w:gridCol w:w="3679"/>
        <w:gridCol w:w="4825"/>
      </w:tblGrid>
      <w:tr w:rsidR="00525EEF" w:rsidRPr="00F2357E" w14:paraId="65406EDD"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Pr>
          <w:p w14:paraId="4E2E6C7D" w14:textId="77777777" w:rsidR="00525EEF" w:rsidRPr="006263A2" w:rsidRDefault="00525EEF">
            <w:pPr>
              <w:pStyle w:val="Textinthetable"/>
              <w:keepNext w:val="0"/>
              <w:rPr>
                <w:rFonts w:cs="Calibri Light"/>
                <w:b w:val="0"/>
              </w:rPr>
            </w:pPr>
            <w:r w:rsidRPr="006263A2">
              <w:rPr>
                <w:rFonts w:cs="Calibri Light"/>
              </w:rPr>
              <w:t>Council allowance category</w:t>
            </w:r>
          </w:p>
        </w:tc>
        <w:tc>
          <w:tcPr>
            <w:tcW w:w="2837" w:type="pct"/>
          </w:tcPr>
          <w:p w14:paraId="6604E7E0" w14:textId="77777777" w:rsidR="00525EEF" w:rsidRPr="006263A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cs="Calibri Light"/>
                <w:b w:val="0"/>
              </w:rPr>
            </w:pPr>
            <w:r w:rsidRPr="006263A2">
              <w:rPr>
                <w:rFonts w:cs="Calibri Light"/>
              </w:rPr>
              <w:t>Value of allowance ($ per annum)</w:t>
            </w:r>
          </w:p>
        </w:tc>
      </w:tr>
      <w:tr w:rsidR="00DB7342" w:rsidRPr="00F2357E" w14:paraId="7431F58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3EA031A" w14:textId="77777777" w:rsidR="00DB7342" w:rsidRPr="0059136C" w:rsidRDefault="00DB7342" w:rsidP="00DB7342">
            <w:pPr>
              <w:pStyle w:val="Textinthetable"/>
              <w:keepNext w:val="0"/>
              <w:rPr>
                <w:rFonts w:cs="Calibri Light"/>
                <w:b/>
                <w:color w:val="000000" w:themeColor="text1"/>
              </w:rPr>
            </w:pPr>
            <w:r w:rsidRPr="0059136C">
              <w:rPr>
                <w:rFonts w:cs="Calibri Light"/>
                <w:color w:val="000000" w:themeColor="text1"/>
              </w:rPr>
              <w:t>Category 1</w:t>
            </w:r>
          </w:p>
        </w:tc>
        <w:tc>
          <w:tcPr>
            <w:tcW w:w="2837" w:type="pct"/>
            <w:vAlign w:val="bottom"/>
          </w:tcPr>
          <w:p w14:paraId="7385EF15" w14:textId="3C2F234E" w:rsidR="00DB7342" w:rsidRPr="0059136C" w:rsidRDefault="00DB7342" w:rsidP="00DB7342">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highlight w:val="yellow"/>
              </w:rPr>
            </w:pPr>
            <w:r w:rsidRPr="0059136C">
              <w:rPr>
                <w:rFonts w:cs="Calibri Light"/>
                <w:color w:val="000000"/>
              </w:rPr>
              <w:t>27,291</w:t>
            </w:r>
          </w:p>
        </w:tc>
      </w:tr>
      <w:tr w:rsidR="00DB7342" w:rsidRPr="00F2357E" w14:paraId="1648009A"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3BA55AD1" w14:textId="77777777" w:rsidR="00DB7342" w:rsidRPr="0059136C" w:rsidRDefault="00DB7342" w:rsidP="00DB7342">
            <w:pPr>
              <w:pStyle w:val="Textinthetable"/>
              <w:keepNext w:val="0"/>
              <w:rPr>
                <w:rFonts w:cs="Calibri Light"/>
                <w:b/>
                <w:color w:val="000000" w:themeColor="text1"/>
              </w:rPr>
            </w:pPr>
            <w:r w:rsidRPr="0059136C">
              <w:rPr>
                <w:rFonts w:cs="Calibri Light"/>
                <w:color w:val="000000" w:themeColor="text1"/>
              </w:rPr>
              <w:t>Category 2</w:t>
            </w:r>
          </w:p>
        </w:tc>
        <w:tc>
          <w:tcPr>
            <w:tcW w:w="2837" w:type="pct"/>
            <w:vAlign w:val="bottom"/>
          </w:tcPr>
          <w:p w14:paraId="5199D9DE" w14:textId="00D9BCDD" w:rsidR="00DB7342" w:rsidRPr="0059136C" w:rsidRDefault="00DB7342" w:rsidP="00DB7342">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highlight w:val="yellow"/>
              </w:rPr>
            </w:pPr>
            <w:r w:rsidRPr="0059136C">
              <w:rPr>
                <w:rFonts w:cs="Calibri Light"/>
                <w:color w:val="000000"/>
              </w:rPr>
              <w:t>34,028</w:t>
            </w:r>
          </w:p>
        </w:tc>
      </w:tr>
      <w:tr w:rsidR="00DB7342" w:rsidRPr="00F2357E" w14:paraId="4900788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34BDD73" w14:textId="77777777" w:rsidR="00DB7342" w:rsidRPr="0059136C" w:rsidRDefault="00DB7342" w:rsidP="00DB7342">
            <w:pPr>
              <w:pStyle w:val="Textinthetable"/>
              <w:keepNext w:val="0"/>
              <w:rPr>
                <w:rFonts w:cs="Calibri Light"/>
                <w:b/>
                <w:color w:val="000000" w:themeColor="text1"/>
              </w:rPr>
            </w:pPr>
            <w:r w:rsidRPr="0059136C">
              <w:rPr>
                <w:rFonts w:cs="Calibri Light"/>
                <w:color w:val="000000" w:themeColor="text1"/>
              </w:rPr>
              <w:t>Category 3</w:t>
            </w:r>
          </w:p>
        </w:tc>
        <w:tc>
          <w:tcPr>
            <w:tcW w:w="2837" w:type="pct"/>
            <w:vAlign w:val="bottom"/>
          </w:tcPr>
          <w:p w14:paraId="707B65E2" w14:textId="7346DEAE" w:rsidR="00DB7342" w:rsidRPr="0059136C" w:rsidRDefault="00DB7342" w:rsidP="00DB7342">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highlight w:val="yellow"/>
              </w:rPr>
            </w:pPr>
            <w:r w:rsidRPr="0059136C">
              <w:rPr>
                <w:rFonts w:cs="Calibri Light"/>
                <w:color w:val="000000"/>
              </w:rPr>
              <w:t>40,769</w:t>
            </w:r>
          </w:p>
        </w:tc>
      </w:tr>
      <w:tr w:rsidR="00DB7342" w:rsidRPr="00F2357E" w14:paraId="7C16245F"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321C9C66" w14:textId="77777777" w:rsidR="00DB7342" w:rsidRPr="0059136C" w:rsidRDefault="00DB7342" w:rsidP="00DB7342">
            <w:pPr>
              <w:pStyle w:val="Textinthetable"/>
              <w:keepNext w:val="0"/>
              <w:rPr>
                <w:rFonts w:cs="Calibri Light"/>
                <w:b/>
                <w:color w:val="000000" w:themeColor="text1"/>
              </w:rPr>
            </w:pPr>
            <w:r w:rsidRPr="0059136C">
              <w:rPr>
                <w:rFonts w:cs="Calibri Light"/>
                <w:color w:val="000000" w:themeColor="text1"/>
              </w:rPr>
              <w:t>Category 4 – Melbourne City Council</w:t>
            </w:r>
          </w:p>
        </w:tc>
        <w:tc>
          <w:tcPr>
            <w:tcW w:w="2837" w:type="pct"/>
            <w:vAlign w:val="bottom"/>
          </w:tcPr>
          <w:p w14:paraId="0EA8C83A" w14:textId="19F1FB6A" w:rsidR="00DB7342" w:rsidRPr="0059136C" w:rsidRDefault="00DB7342" w:rsidP="00DB7342">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highlight w:val="yellow"/>
              </w:rPr>
            </w:pPr>
            <w:r w:rsidRPr="0059136C">
              <w:rPr>
                <w:rFonts w:cs="Calibri Light"/>
                <w:color w:val="000000"/>
              </w:rPr>
              <w:t>61,153</w:t>
            </w:r>
          </w:p>
        </w:tc>
      </w:tr>
    </w:tbl>
    <w:p w14:paraId="6E741C94" w14:textId="12839301" w:rsidR="003A0648" w:rsidRPr="0059136C" w:rsidRDefault="00C50F59" w:rsidP="00FC05C4">
      <w:pPr>
        <w:pStyle w:val="Parapraph"/>
        <w:numPr>
          <w:ilvl w:val="0"/>
          <w:numId w:val="19"/>
        </w:numPr>
        <w:ind w:left="831"/>
        <w:rPr>
          <w:rFonts w:cs="Calibri Light"/>
          <w:color w:val="000000" w:themeColor="text1"/>
        </w:rPr>
      </w:pPr>
      <w:r w:rsidRPr="0059136C">
        <w:rPr>
          <w:rFonts w:cs="Calibri Light"/>
          <w:color w:val="000000" w:themeColor="text1"/>
        </w:rPr>
        <w:t>In clause</w:t>
      </w:r>
      <w:r w:rsidR="00780113" w:rsidRPr="0059136C">
        <w:rPr>
          <w:rFonts w:cs="Calibri Light"/>
          <w:color w:val="000000" w:themeColor="text1"/>
        </w:rPr>
        <w:t xml:space="preserve"> 10.1</w:t>
      </w:r>
      <w:r w:rsidR="00193370" w:rsidRPr="0059136C">
        <w:rPr>
          <w:rFonts w:cs="Calibri Light"/>
          <w:color w:val="000000" w:themeColor="text1"/>
        </w:rPr>
        <w:t>,</w:t>
      </w:r>
      <w:r w:rsidR="00780113" w:rsidRPr="0059136C">
        <w:rPr>
          <w:rFonts w:cs="Calibri Light"/>
          <w:color w:val="000000" w:themeColor="text1"/>
        </w:rPr>
        <w:t xml:space="preserve"> delete ‘$</w:t>
      </w:r>
      <w:r w:rsidR="001571BD" w:rsidRPr="0059136C">
        <w:rPr>
          <w:rFonts w:cs="Calibri Light"/>
          <w:color w:val="000000" w:themeColor="text1"/>
        </w:rPr>
        <w:t>45</w:t>
      </w:r>
      <w:r w:rsidR="007A16D5" w:rsidRPr="0059136C">
        <w:rPr>
          <w:rFonts w:cs="Calibri Light"/>
          <w:color w:val="000000" w:themeColor="text1"/>
        </w:rPr>
        <w:t>.90</w:t>
      </w:r>
      <w:r w:rsidR="00780113" w:rsidRPr="0059136C">
        <w:rPr>
          <w:rFonts w:cs="Calibri Light"/>
          <w:color w:val="000000" w:themeColor="text1"/>
        </w:rPr>
        <w:t>’ and ‘$</w:t>
      </w:r>
      <w:r w:rsidR="001571BD" w:rsidRPr="0059136C">
        <w:rPr>
          <w:rFonts w:cs="Calibri Light"/>
          <w:color w:val="000000" w:themeColor="text1"/>
        </w:rPr>
        <w:t>5,</w:t>
      </w:r>
      <w:r w:rsidR="007A16D5" w:rsidRPr="0059136C">
        <w:rPr>
          <w:rFonts w:cs="Calibri Light"/>
          <w:color w:val="000000" w:themeColor="text1"/>
        </w:rPr>
        <w:t>738</w:t>
      </w:r>
      <w:r w:rsidR="00780113" w:rsidRPr="0059136C">
        <w:rPr>
          <w:rFonts w:cs="Calibri Light"/>
          <w:color w:val="000000" w:themeColor="text1"/>
        </w:rPr>
        <w:t>’ and replace with ‘$</w:t>
      </w:r>
      <w:r w:rsidR="008D57EA" w:rsidRPr="0059136C">
        <w:rPr>
          <w:rFonts w:cs="Calibri Light"/>
          <w:color w:val="000000" w:themeColor="text1"/>
        </w:rPr>
        <w:t>4</w:t>
      </w:r>
      <w:r w:rsidR="002950FA" w:rsidRPr="0059136C">
        <w:rPr>
          <w:rFonts w:cs="Calibri Light"/>
          <w:color w:val="000000" w:themeColor="text1"/>
        </w:rPr>
        <w:t>7</w:t>
      </w:r>
      <w:r w:rsidR="008D57EA" w:rsidRPr="0059136C">
        <w:rPr>
          <w:rFonts w:cs="Calibri Light"/>
          <w:color w:val="000000" w:themeColor="text1"/>
        </w:rPr>
        <w:t>.</w:t>
      </w:r>
      <w:r w:rsidR="00FA5E1D" w:rsidRPr="0059136C">
        <w:rPr>
          <w:rFonts w:cs="Calibri Light"/>
          <w:color w:val="000000" w:themeColor="text1"/>
        </w:rPr>
        <w:t>5</w:t>
      </w:r>
      <w:r w:rsidR="008D57EA" w:rsidRPr="0059136C">
        <w:rPr>
          <w:rFonts w:cs="Calibri Light"/>
          <w:color w:val="000000" w:themeColor="text1"/>
        </w:rPr>
        <w:t>0</w:t>
      </w:r>
      <w:r w:rsidR="00780113" w:rsidRPr="0059136C">
        <w:rPr>
          <w:rFonts w:cs="Calibri Light"/>
          <w:color w:val="000000" w:themeColor="text1"/>
        </w:rPr>
        <w:t xml:space="preserve">’ and </w:t>
      </w:r>
      <w:r w:rsidR="00CF653E" w:rsidRPr="0059136C">
        <w:rPr>
          <w:rFonts w:cs="Calibri Light"/>
          <w:color w:val="000000" w:themeColor="text1"/>
        </w:rPr>
        <w:tab/>
      </w:r>
      <w:r w:rsidR="00780113" w:rsidRPr="0059136C">
        <w:rPr>
          <w:rFonts w:cs="Calibri Light"/>
          <w:color w:val="000000" w:themeColor="text1"/>
        </w:rPr>
        <w:t>‘$</w:t>
      </w:r>
      <w:r w:rsidR="00B40B4B" w:rsidRPr="0059136C">
        <w:rPr>
          <w:rFonts w:cs="Calibri Light"/>
          <w:color w:val="000000" w:themeColor="text1"/>
        </w:rPr>
        <w:t>5,</w:t>
      </w:r>
      <w:r w:rsidR="00FA5E1D" w:rsidRPr="0059136C">
        <w:rPr>
          <w:rFonts w:cs="Calibri Light"/>
          <w:color w:val="000000" w:themeColor="text1"/>
        </w:rPr>
        <w:t>937.50</w:t>
      </w:r>
      <w:r w:rsidR="00780113" w:rsidRPr="0059136C">
        <w:rPr>
          <w:rFonts w:cs="Calibri Light"/>
          <w:color w:val="000000" w:themeColor="text1"/>
        </w:rPr>
        <w:t>’, respectively.</w:t>
      </w:r>
    </w:p>
    <w:p w14:paraId="5483B5A8" w14:textId="730D3552" w:rsidR="00E76D20" w:rsidRPr="0059136C" w:rsidRDefault="00E76D20" w:rsidP="00FC05C4">
      <w:pPr>
        <w:pStyle w:val="Parapraph"/>
        <w:numPr>
          <w:ilvl w:val="0"/>
          <w:numId w:val="17"/>
        </w:numPr>
        <w:ind w:left="360"/>
        <w:rPr>
          <w:rFonts w:cs="Calibri Light"/>
          <w:color w:val="000000" w:themeColor="text1"/>
        </w:rPr>
      </w:pPr>
      <w:r w:rsidRPr="0059136C">
        <w:rPr>
          <w:rFonts w:cs="Calibri Light"/>
          <w:color w:val="000000" w:themeColor="text1"/>
        </w:rPr>
        <w:t xml:space="preserve">This Determination commences on </w:t>
      </w:r>
      <w:r w:rsidR="001571BD" w:rsidRPr="0059136C">
        <w:rPr>
          <w:rFonts w:cs="Calibri Light"/>
          <w:color w:val="000000" w:themeColor="text1"/>
        </w:rPr>
        <w:t>1</w:t>
      </w:r>
      <w:r w:rsidRPr="0059136C">
        <w:rPr>
          <w:rFonts w:cs="Calibri Light"/>
          <w:color w:val="000000" w:themeColor="text1"/>
        </w:rPr>
        <w:t xml:space="preserve"> </w:t>
      </w:r>
      <w:r w:rsidR="001571BD" w:rsidRPr="0059136C">
        <w:rPr>
          <w:rFonts w:cs="Calibri Light"/>
          <w:color w:val="000000" w:themeColor="text1"/>
        </w:rPr>
        <w:t>July</w:t>
      </w:r>
      <w:r w:rsidRPr="0059136C">
        <w:rPr>
          <w:rFonts w:cs="Calibri Light"/>
          <w:color w:val="000000" w:themeColor="text1"/>
        </w:rPr>
        <w:t xml:space="preserve"> 202</w:t>
      </w:r>
      <w:r w:rsidR="00470F93" w:rsidRPr="0059136C">
        <w:rPr>
          <w:rFonts w:cs="Calibri Light"/>
          <w:color w:val="000000" w:themeColor="text1"/>
        </w:rPr>
        <w:t>4</w:t>
      </w:r>
      <w:r w:rsidRPr="0059136C">
        <w:rPr>
          <w:rFonts w:cs="Calibri Light"/>
          <w:color w:val="000000" w:themeColor="text1"/>
        </w:rPr>
        <w:t xml:space="preserve">. </w:t>
      </w:r>
    </w:p>
    <w:p w14:paraId="57A18F1B" w14:textId="1C20A46D" w:rsidR="007231E0" w:rsidRPr="0059136C" w:rsidRDefault="00E76D20" w:rsidP="00FC05C4">
      <w:pPr>
        <w:pStyle w:val="Parapraph"/>
        <w:numPr>
          <w:ilvl w:val="0"/>
          <w:numId w:val="17"/>
        </w:numPr>
        <w:ind w:left="360"/>
        <w:rPr>
          <w:rFonts w:cs="Calibri Light"/>
          <w:color w:val="000000" w:themeColor="text1"/>
        </w:rPr>
      </w:pPr>
      <w:r w:rsidRPr="0059136C">
        <w:rPr>
          <w:rFonts w:cs="Calibri Light"/>
          <w:color w:val="000000" w:themeColor="text1"/>
        </w:rPr>
        <w:t xml:space="preserve">The </w:t>
      </w:r>
      <w:r w:rsidR="00D12F93" w:rsidRPr="0059136C">
        <w:rPr>
          <w:rFonts w:eastAsia="Calibri" w:cs="Calibri Light"/>
          <w:i/>
          <w:iCs/>
          <w:color w:val="000000" w:themeColor="text1"/>
        </w:rPr>
        <w:t>Allowance payable to Mayors, Deputy Mayors and Councillors</w:t>
      </w:r>
      <w:r w:rsidR="00D12F93" w:rsidRPr="0059136C">
        <w:rPr>
          <w:rFonts w:cs="Calibri Light"/>
          <w:i/>
          <w:iCs/>
          <w:color w:val="000000" w:themeColor="text1"/>
        </w:rPr>
        <w:t xml:space="preserve"> </w:t>
      </w:r>
      <w:r w:rsidRPr="0059136C">
        <w:rPr>
          <w:rFonts w:cs="Calibri Light"/>
          <w:i/>
          <w:iCs/>
          <w:color w:val="000000" w:themeColor="text1"/>
        </w:rPr>
        <w:t>(Victoria) Determination No. 01/202</w:t>
      </w:r>
      <w:r w:rsidR="00D12F93" w:rsidRPr="0059136C">
        <w:rPr>
          <w:rFonts w:cs="Calibri Light"/>
          <w:i/>
          <w:iCs/>
          <w:color w:val="000000" w:themeColor="text1"/>
        </w:rPr>
        <w:t>2</w:t>
      </w:r>
      <w:r w:rsidRPr="0059136C">
        <w:rPr>
          <w:rFonts w:cs="Calibri Light"/>
          <w:color w:val="000000" w:themeColor="text1"/>
        </w:rPr>
        <w:t xml:space="preserve"> as varied is available on the Tribunal’s website.</w:t>
      </w:r>
    </w:p>
    <w:p w14:paraId="29D80FC1" w14:textId="77777777" w:rsidR="007A1AC0" w:rsidRDefault="007A1AC0"/>
    <w:p w14:paraId="5F2A89F2" w14:textId="77777777" w:rsidR="007A4838" w:rsidRDefault="007A4838" w:rsidP="002229FF">
      <w:pPr>
        <w:pStyle w:val="05Paragraph"/>
      </w:pPr>
      <w:bookmarkStart w:id="12" w:name="_Toc74833626"/>
      <w:bookmarkStart w:id="13" w:name="_Toc748336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32"/>
        <w:gridCol w:w="2736"/>
      </w:tblGrid>
      <w:tr w:rsidR="006805BE" w:rsidRPr="00A17293" w14:paraId="310A01C8" w14:textId="77777777" w:rsidTr="002341A0">
        <w:tc>
          <w:tcPr>
            <w:tcW w:w="2881" w:type="dxa"/>
            <w:vAlign w:val="center"/>
          </w:tcPr>
          <w:p w14:paraId="0FD53CDA" w14:textId="77777777" w:rsidR="006805BE" w:rsidRPr="006F1B2E" w:rsidRDefault="006805BE" w:rsidP="00A2741C">
            <w:pPr>
              <w:spacing w:after="0"/>
              <w:rPr>
                <w:rFonts w:ascii="Calibri Light" w:hAnsi="Calibri Light" w:cs="Calibri Light"/>
                <w:color w:val="auto"/>
                <w:sz w:val="26"/>
                <w:szCs w:val="26"/>
              </w:rPr>
            </w:pPr>
          </w:p>
        </w:tc>
        <w:tc>
          <w:tcPr>
            <w:tcW w:w="2832" w:type="dxa"/>
          </w:tcPr>
          <w:p w14:paraId="028C2967" w14:textId="77777777" w:rsidR="006805BE" w:rsidRPr="006F1B2E" w:rsidRDefault="006805BE" w:rsidP="00A2741C">
            <w:pPr>
              <w:spacing w:after="0"/>
              <w:rPr>
                <w:rFonts w:ascii="Calibri Light" w:hAnsi="Calibri Light" w:cs="Calibri Light"/>
                <w:color w:val="auto"/>
                <w:sz w:val="26"/>
                <w:szCs w:val="26"/>
              </w:rPr>
            </w:pPr>
          </w:p>
        </w:tc>
        <w:tc>
          <w:tcPr>
            <w:tcW w:w="2736" w:type="dxa"/>
          </w:tcPr>
          <w:p w14:paraId="561CFC5B" w14:textId="77777777" w:rsidR="006805BE" w:rsidRPr="00A17293" w:rsidRDefault="006805BE" w:rsidP="00A2741C">
            <w:pPr>
              <w:spacing w:after="0"/>
              <w:rPr>
                <w:rFonts w:ascii="Calibri Light" w:hAnsi="Calibri Light" w:cs="Calibri Light"/>
                <w:color w:val="auto"/>
                <w:sz w:val="26"/>
                <w:szCs w:val="26"/>
                <w:highlight w:val="yellow"/>
              </w:rPr>
            </w:pPr>
          </w:p>
        </w:tc>
      </w:tr>
      <w:tr w:rsidR="006805BE" w:rsidRPr="00A17293" w14:paraId="51AE5EAA" w14:textId="77777777" w:rsidTr="002341A0">
        <w:tc>
          <w:tcPr>
            <w:tcW w:w="2881" w:type="dxa"/>
          </w:tcPr>
          <w:p w14:paraId="67F33483" w14:textId="67A4BD28" w:rsidR="006805BE" w:rsidRPr="006F1B2E" w:rsidRDefault="006805BE" w:rsidP="00A2741C">
            <w:pPr>
              <w:spacing w:after="0"/>
              <w:rPr>
                <w:rFonts w:ascii="Calibri Light" w:hAnsi="Calibri Light" w:cs="Calibri Light"/>
                <w:color w:val="auto"/>
                <w:sz w:val="26"/>
                <w:szCs w:val="26"/>
              </w:rPr>
            </w:pPr>
            <w:r w:rsidRPr="006F1B2E">
              <w:rPr>
                <w:noProof/>
              </w:rPr>
              <w:drawing>
                <wp:inline distT="0" distB="0" distL="0" distR="0" wp14:anchorId="35F98FFB" wp14:editId="421571F7">
                  <wp:extent cx="1466850" cy="508000"/>
                  <wp:effectExtent l="0" t="0" r="0" b="6350"/>
                  <wp:docPr id="400146992" name="Picture 400146992" descr="Warren McCan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rren McCann's signature"/>
                          <pic:cNvPicPr>
                            <a:picLocks noChangeAspect="1"/>
                          </pic:cNvPicPr>
                        </pic:nvPicPr>
                        <pic:blipFill>
                          <a:blip r:embed="rId21"/>
                          <a:stretch>
                            <a:fillRect/>
                          </a:stretch>
                        </pic:blipFill>
                        <pic:spPr>
                          <a:xfrm>
                            <a:off x="0" y="0"/>
                            <a:ext cx="1466850" cy="508000"/>
                          </a:xfrm>
                          <a:prstGeom prst="rect">
                            <a:avLst/>
                          </a:prstGeom>
                        </pic:spPr>
                      </pic:pic>
                    </a:graphicData>
                  </a:graphic>
                </wp:inline>
              </w:drawing>
            </w:r>
          </w:p>
        </w:tc>
        <w:tc>
          <w:tcPr>
            <w:tcW w:w="2832" w:type="dxa"/>
            <w:vAlign w:val="center"/>
          </w:tcPr>
          <w:p w14:paraId="78328424" w14:textId="2C1C8E18" w:rsidR="006805BE" w:rsidRPr="006F1B2E" w:rsidRDefault="00AC6F54" w:rsidP="00A2741C">
            <w:pPr>
              <w:spacing w:after="0"/>
              <w:rPr>
                <w:rFonts w:ascii="Calibri Light" w:hAnsi="Calibri Light" w:cs="Calibri Light"/>
                <w:color w:val="auto"/>
                <w:sz w:val="26"/>
                <w:szCs w:val="26"/>
              </w:rPr>
            </w:pPr>
            <w:r w:rsidRPr="006F1B2E">
              <w:rPr>
                <w:noProof/>
              </w:rPr>
              <w:drawing>
                <wp:inline distT="0" distB="0" distL="0" distR="0" wp14:anchorId="5E8407A8" wp14:editId="0A26A92D">
                  <wp:extent cx="1661160" cy="294640"/>
                  <wp:effectExtent l="0" t="0" r="0" b="0"/>
                  <wp:docPr id="235" name="Picture 235" descr="Laurinda Gardn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Laurinda Gardner's signature"/>
                          <pic:cNvPicPr>
                            <a:picLocks noChangeAspect="1"/>
                          </pic:cNvPicPr>
                        </pic:nvPicPr>
                        <pic:blipFill>
                          <a:blip r:embed="rId22"/>
                          <a:stretch>
                            <a:fillRect/>
                          </a:stretch>
                        </pic:blipFill>
                        <pic:spPr>
                          <a:xfrm>
                            <a:off x="0" y="0"/>
                            <a:ext cx="1661160" cy="294640"/>
                          </a:xfrm>
                          <a:prstGeom prst="rect">
                            <a:avLst/>
                          </a:prstGeom>
                        </pic:spPr>
                      </pic:pic>
                    </a:graphicData>
                  </a:graphic>
                </wp:inline>
              </w:drawing>
            </w:r>
          </w:p>
        </w:tc>
        <w:tc>
          <w:tcPr>
            <w:tcW w:w="2736" w:type="dxa"/>
          </w:tcPr>
          <w:p w14:paraId="45045143" w14:textId="77777777" w:rsidR="006805BE" w:rsidRPr="00A17293" w:rsidRDefault="006805BE" w:rsidP="00A2741C">
            <w:pPr>
              <w:spacing w:after="0"/>
              <w:rPr>
                <w:rFonts w:ascii="Calibri Light" w:hAnsi="Calibri Light" w:cs="Calibri Light"/>
                <w:color w:val="auto"/>
                <w:sz w:val="26"/>
                <w:szCs w:val="26"/>
                <w:highlight w:val="yellow"/>
              </w:rPr>
            </w:pPr>
          </w:p>
        </w:tc>
      </w:tr>
      <w:tr w:rsidR="006805BE" w:rsidRPr="00A17293" w14:paraId="282585AC" w14:textId="77777777" w:rsidTr="002341A0">
        <w:tc>
          <w:tcPr>
            <w:tcW w:w="2881" w:type="dxa"/>
          </w:tcPr>
          <w:p w14:paraId="29728C1B" w14:textId="77777777" w:rsidR="006805BE" w:rsidRPr="006F1B2E" w:rsidRDefault="006805BE" w:rsidP="00A2741C">
            <w:pPr>
              <w:spacing w:after="0"/>
              <w:rPr>
                <w:rFonts w:ascii="Calibri Light" w:hAnsi="Calibri Light" w:cs="Calibri Light"/>
                <w:color w:val="auto"/>
                <w:sz w:val="26"/>
                <w:szCs w:val="26"/>
              </w:rPr>
            </w:pPr>
          </w:p>
        </w:tc>
        <w:tc>
          <w:tcPr>
            <w:tcW w:w="2832" w:type="dxa"/>
          </w:tcPr>
          <w:p w14:paraId="2A75B450" w14:textId="77777777" w:rsidR="006805BE" w:rsidRPr="006F1B2E" w:rsidRDefault="006805BE" w:rsidP="00A2741C">
            <w:pPr>
              <w:spacing w:after="0"/>
              <w:rPr>
                <w:rFonts w:ascii="Calibri Light" w:hAnsi="Calibri Light" w:cs="Calibri Light"/>
                <w:color w:val="auto"/>
                <w:sz w:val="26"/>
                <w:szCs w:val="26"/>
              </w:rPr>
            </w:pPr>
          </w:p>
        </w:tc>
        <w:tc>
          <w:tcPr>
            <w:tcW w:w="2736" w:type="dxa"/>
          </w:tcPr>
          <w:p w14:paraId="00932600" w14:textId="77777777" w:rsidR="006805BE" w:rsidRPr="00A17293" w:rsidRDefault="006805BE" w:rsidP="00A2741C">
            <w:pPr>
              <w:spacing w:after="0"/>
              <w:rPr>
                <w:rFonts w:ascii="Calibri Light" w:hAnsi="Calibri Light" w:cs="Calibri Light"/>
                <w:color w:val="auto"/>
                <w:sz w:val="26"/>
                <w:szCs w:val="26"/>
                <w:highlight w:val="yellow"/>
              </w:rPr>
            </w:pPr>
          </w:p>
        </w:tc>
      </w:tr>
      <w:tr w:rsidR="007A4838" w:rsidRPr="00A17293" w14:paraId="23822AD4" w14:textId="77777777" w:rsidTr="002341A0">
        <w:tc>
          <w:tcPr>
            <w:tcW w:w="2881" w:type="dxa"/>
            <w:hideMark/>
          </w:tcPr>
          <w:p w14:paraId="0B6A37E7" w14:textId="77777777" w:rsidR="007A4838" w:rsidRDefault="007A4838" w:rsidP="002341A0">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Warren McCann</w:t>
            </w:r>
          </w:p>
          <w:p w14:paraId="54607DD5" w14:textId="77777777" w:rsidR="00893FF3" w:rsidRDefault="00893FF3" w:rsidP="002341A0">
            <w:pPr>
              <w:spacing w:before="120" w:after="120"/>
              <w:rPr>
                <w:rFonts w:ascii="Calibri Light" w:hAnsi="Calibri Light" w:cs="Calibri Light"/>
                <w:i/>
                <w:color w:val="auto"/>
                <w:sz w:val="26"/>
                <w:szCs w:val="26"/>
              </w:rPr>
            </w:pPr>
            <w:r w:rsidRPr="006F1B2E">
              <w:rPr>
                <w:rFonts w:ascii="Calibri Light" w:hAnsi="Calibri Light" w:cs="Calibri Light"/>
                <w:i/>
                <w:color w:val="auto"/>
                <w:sz w:val="26"/>
                <w:szCs w:val="26"/>
              </w:rPr>
              <w:t>Chair</w:t>
            </w:r>
          </w:p>
          <w:p w14:paraId="654C5BB3" w14:textId="16E81EEC" w:rsidR="00893FF3" w:rsidRPr="00893FF3" w:rsidRDefault="00893FF3" w:rsidP="002341A0">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Victorian Independent Remuneration Tribunal</w:t>
            </w:r>
          </w:p>
        </w:tc>
        <w:tc>
          <w:tcPr>
            <w:tcW w:w="2832" w:type="dxa"/>
          </w:tcPr>
          <w:p w14:paraId="35928A07" w14:textId="77777777" w:rsidR="007A4838" w:rsidRDefault="007A4838" w:rsidP="002341A0">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Laurinda Gardner</w:t>
            </w:r>
          </w:p>
          <w:p w14:paraId="65000680" w14:textId="77777777" w:rsidR="00893FF3" w:rsidRDefault="00893FF3" w:rsidP="002341A0">
            <w:pPr>
              <w:spacing w:before="120" w:after="120"/>
              <w:rPr>
                <w:rFonts w:ascii="Calibri Light" w:hAnsi="Calibri Light" w:cs="Calibri Light"/>
                <w:color w:val="auto"/>
                <w:sz w:val="26"/>
                <w:szCs w:val="26"/>
              </w:rPr>
            </w:pPr>
            <w:r w:rsidRPr="006F1B2E">
              <w:rPr>
                <w:rFonts w:ascii="Calibri Light" w:hAnsi="Calibri Light" w:cs="Calibri Light"/>
                <w:i/>
                <w:color w:val="auto"/>
                <w:sz w:val="26"/>
                <w:szCs w:val="26"/>
              </w:rPr>
              <w:t>Member</w:t>
            </w:r>
            <w:r w:rsidRPr="006F1B2E">
              <w:rPr>
                <w:rFonts w:ascii="Calibri Light" w:hAnsi="Calibri Light" w:cs="Calibri Light"/>
                <w:color w:val="auto"/>
                <w:sz w:val="26"/>
                <w:szCs w:val="26"/>
              </w:rPr>
              <w:t xml:space="preserve"> </w:t>
            </w:r>
          </w:p>
          <w:p w14:paraId="3D66C921" w14:textId="3E8A9196" w:rsidR="00893FF3" w:rsidRPr="006F1B2E" w:rsidRDefault="00893FF3" w:rsidP="002341A0">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Victorian Independent Remuneration Tribunal</w:t>
            </w:r>
          </w:p>
        </w:tc>
        <w:tc>
          <w:tcPr>
            <w:tcW w:w="2736" w:type="dxa"/>
          </w:tcPr>
          <w:p w14:paraId="2B3ECE6E" w14:textId="77777777" w:rsidR="007A4838" w:rsidRPr="00A17293" w:rsidRDefault="007A4838" w:rsidP="00A2741C">
            <w:pPr>
              <w:spacing w:after="0"/>
              <w:rPr>
                <w:rFonts w:ascii="Calibri Light" w:hAnsi="Calibri Light" w:cs="Calibri Light"/>
                <w:color w:val="auto"/>
                <w:sz w:val="26"/>
                <w:szCs w:val="26"/>
                <w:highlight w:val="yellow"/>
              </w:rPr>
            </w:pPr>
          </w:p>
        </w:tc>
      </w:tr>
      <w:tr w:rsidR="007A4838" w:rsidRPr="00A17293" w14:paraId="686A9CFA" w14:textId="77777777" w:rsidTr="002341A0">
        <w:tc>
          <w:tcPr>
            <w:tcW w:w="2881" w:type="dxa"/>
            <w:hideMark/>
          </w:tcPr>
          <w:p w14:paraId="7A2DA801" w14:textId="498EA4E6" w:rsidR="006F1B2E" w:rsidRPr="006F1B2E" w:rsidRDefault="006F1B2E" w:rsidP="002341A0">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Date: 1 July 2024</w:t>
            </w:r>
          </w:p>
        </w:tc>
        <w:tc>
          <w:tcPr>
            <w:tcW w:w="2832" w:type="dxa"/>
          </w:tcPr>
          <w:p w14:paraId="44931D42" w14:textId="6362679D" w:rsidR="007A4838" w:rsidRPr="006F1B2E" w:rsidRDefault="007A4838" w:rsidP="002341A0">
            <w:pPr>
              <w:spacing w:before="120" w:after="120"/>
              <w:rPr>
                <w:rFonts w:ascii="Calibri Light" w:hAnsi="Calibri Light" w:cs="Calibri Light"/>
                <w:color w:val="auto"/>
                <w:sz w:val="26"/>
                <w:szCs w:val="26"/>
              </w:rPr>
            </w:pPr>
          </w:p>
        </w:tc>
        <w:tc>
          <w:tcPr>
            <w:tcW w:w="2736" w:type="dxa"/>
          </w:tcPr>
          <w:p w14:paraId="5AD64038" w14:textId="77777777" w:rsidR="007A4838" w:rsidRPr="00A17293" w:rsidRDefault="007A4838" w:rsidP="00A2741C">
            <w:pPr>
              <w:spacing w:after="0"/>
              <w:rPr>
                <w:rFonts w:ascii="Calibri Light" w:hAnsi="Calibri Light" w:cs="Calibri Light"/>
                <w:color w:val="auto"/>
                <w:sz w:val="26"/>
                <w:szCs w:val="26"/>
                <w:highlight w:val="yellow"/>
              </w:rPr>
            </w:pPr>
          </w:p>
        </w:tc>
      </w:tr>
    </w:tbl>
    <w:p w14:paraId="7394184F" w14:textId="69D4BB11" w:rsidR="00AC7FEA" w:rsidRDefault="00AC7FEA" w:rsidP="002229FF">
      <w:pPr>
        <w:pStyle w:val="05Paragraph"/>
      </w:pPr>
      <w:r>
        <w:br w:type="page"/>
      </w:r>
    </w:p>
    <w:p w14:paraId="7AB0FAA3" w14:textId="38F030E2" w:rsidR="006E4E5B" w:rsidRDefault="006E4E5B" w:rsidP="002229FF">
      <w:pPr>
        <w:pStyle w:val="05Paragraph"/>
      </w:pPr>
    </w:p>
    <w:bookmarkEnd w:id="6"/>
    <w:bookmarkEnd w:id="12"/>
    <w:bookmarkEnd w:id="13"/>
    <w:p w14:paraId="490CCA31" w14:textId="14C0D65E"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drawing>
          <wp:anchor distT="0" distB="0" distL="114300" distR="114300" simplePos="0" relativeHeight="251658241" behindDoc="1" locked="0" layoutInCell="1" allowOverlap="1" wp14:anchorId="44ECA1A0" wp14:editId="4CF9077E">
            <wp:simplePos x="0" y="0"/>
            <wp:positionH relativeFrom="column">
              <wp:posOffset>-1083945</wp:posOffset>
            </wp:positionH>
            <wp:positionV relativeFrom="paragraph">
              <wp:posOffset>-1083945</wp:posOffset>
            </wp:positionV>
            <wp:extent cx="8082000" cy="2354760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0AB5972A" w14:textId="4EDC8003"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drawing>
          <wp:anchor distT="0" distB="0" distL="114300" distR="114300" simplePos="0" relativeHeight="251658242" behindDoc="1" locked="0" layoutInCell="1" allowOverlap="1" wp14:anchorId="7C27E175" wp14:editId="7D2CE21B">
            <wp:simplePos x="0" y="0"/>
            <wp:positionH relativeFrom="column">
              <wp:posOffset>107950</wp:posOffset>
            </wp:positionH>
            <wp:positionV relativeFrom="paragraph">
              <wp:posOffset>-90170</wp:posOffset>
            </wp:positionV>
            <wp:extent cx="1731600" cy="1436400"/>
            <wp:effectExtent l="0" t="0" r="254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1600" cy="1436400"/>
                    </a:xfrm>
                    <a:prstGeom prst="rect">
                      <a:avLst/>
                    </a:prstGeom>
                  </pic:spPr>
                </pic:pic>
              </a:graphicData>
            </a:graphic>
            <wp14:sizeRelH relativeFrom="margin">
              <wp14:pctWidth>0</wp14:pctWidth>
            </wp14:sizeRelH>
            <wp14:sizeRelV relativeFrom="margin">
              <wp14:pctHeight>0</wp14:pctHeight>
            </wp14:sizeRelV>
          </wp:anchor>
        </w:drawing>
      </w:r>
    </w:p>
    <w:p w14:paraId="7374E62B" w14:textId="5922B6B8"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21A5F0A2" w:rsidR="00B1131E" w:rsidRPr="00BD24F3" w:rsidRDefault="00390465" w:rsidP="00B1131E">
      <w:pPr>
        <w:ind w:left="-426" w:right="701"/>
        <w:outlineLvl w:val="0"/>
      </w:pPr>
      <w:r>
        <w:rPr>
          <w:rFonts w:asciiTheme="minorHAnsi" w:hAnsiTheme="minorHAnsi" w:cs="@MS PMincho"/>
          <w:color w:val="FFFFFF" w:themeColor="background1"/>
          <w:sz w:val="68"/>
          <w:szCs w:val="68"/>
        </w:rPr>
        <w:t>Allowance payable to Mayors, Deputy Mayors and Councillors</w:t>
      </w:r>
      <w:r w:rsidR="00880D06">
        <w:rPr>
          <w:rFonts w:asciiTheme="minorHAnsi" w:hAnsiTheme="minorHAnsi" w:cs="@MS PMincho"/>
          <w:color w:val="FFFFFF" w:themeColor="background1"/>
          <w:sz w:val="68"/>
          <w:szCs w:val="68"/>
        </w:rPr>
        <w:t xml:space="preserve"> (Victoria)</w:t>
      </w:r>
      <w:r w:rsidR="004D0512">
        <w:rPr>
          <w:rFonts w:asciiTheme="minorHAnsi" w:hAnsiTheme="minorHAnsi" w:cs="@MS PMincho"/>
          <w:color w:val="FFFFFF" w:themeColor="background1"/>
          <w:sz w:val="68"/>
          <w:szCs w:val="68"/>
        </w:rPr>
        <w:br/>
      </w:r>
      <w:r w:rsidR="00880D06">
        <w:rPr>
          <w:rFonts w:asciiTheme="minorHAnsi" w:hAnsiTheme="minorHAnsi" w:cs="@MS PMincho"/>
          <w:color w:val="FFFFFF" w:themeColor="background1"/>
          <w:sz w:val="68"/>
          <w:szCs w:val="68"/>
        </w:rPr>
        <w:t>Annual Adjustment Determination 202</w:t>
      </w:r>
      <w:r w:rsidR="001627CD">
        <w:rPr>
          <w:rFonts w:asciiTheme="minorHAnsi" w:hAnsiTheme="minorHAnsi" w:cs="@MS PMincho"/>
          <w:color w:val="FFFFFF" w:themeColor="background1"/>
          <w:sz w:val="68"/>
          <w:szCs w:val="68"/>
        </w:rPr>
        <w:t>4</w:t>
      </w:r>
    </w:p>
    <w:p w14:paraId="68205C6F" w14:textId="77777777" w:rsidR="00B1131E" w:rsidRDefault="00B1131E" w:rsidP="00B1131E"/>
    <w:p w14:paraId="3C86FA85" w14:textId="77777777" w:rsidR="00B1131E" w:rsidRDefault="00B1131E" w:rsidP="00B1131E"/>
    <w:p w14:paraId="2145A53F" w14:textId="77777777" w:rsidR="00B1131E" w:rsidRPr="00DA607A" w:rsidRDefault="00B1131E" w:rsidP="00B1131E"/>
    <w:p w14:paraId="07E12F11" w14:textId="77777777" w:rsidR="00B1131E" w:rsidRDefault="00B1131E" w:rsidP="00B1131E">
      <w:pPr>
        <w:ind w:left="-426" w:right="701"/>
        <w:outlineLvl w:val="0"/>
        <w:rPr>
          <w:rFonts w:asciiTheme="minorHAnsi" w:hAnsiTheme="minorHAnsi" w:cs="@MS PMincho"/>
          <w:color w:val="FFFFFF" w:themeColor="background1"/>
          <w:sz w:val="56"/>
          <w:szCs w:val="56"/>
        </w:rPr>
      </w:pPr>
      <w:r w:rsidRPr="00B04C96">
        <w:rPr>
          <w:rFonts w:asciiTheme="minorHAnsi" w:hAnsiTheme="minorHAnsi" w:cs="@MS PMincho"/>
          <w:color w:val="FFFFFF" w:themeColor="background1"/>
          <w:sz w:val="56"/>
          <w:szCs w:val="56"/>
        </w:rPr>
        <w:t>Statement of Reasons</w:t>
      </w:r>
    </w:p>
    <w:p w14:paraId="64D75619" w14:textId="77777777" w:rsidR="00B1131E" w:rsidRDefault="00B1131E" w:rsidP="00B1131E">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01367F">
          <w:headerReference w:type="even" r:id="rId23"/>
          <w:headerReference w:type="default" r:id="rId24"/>
          <w:footerReference w:type="even" r:id="rId25"/>
          <w:footerReference w:type="default" r:id="rId26"/>
          <w:headerReference w:type="first" r:id="rId27"/>
          <w:footerReference w:type="first" r:id="rId28"/>
          <w:pgSz w:w="11906" w:h="16838"/>
          <w:pgMar w:top="1701" w:right="1701" w:bottom="1559" w:left="1701" w:header="425" w:footer="709" w:gutter="0"/>
          <w:pgNumType w:start="1"/>
          <w:cols w:space="282"/>
          <w:docGrid w:linePitch="360"/>
        </w:sectPr>
      </w:pPr>
    </w:p>
    <w:p w14:paraId="2FB32BB3" w14:textId="73E16DCC" w:rsidR="00AC7FEA" w:rsidRDefault="00AC7FEA" w:rsidP="000C1B31">
      <w:pPr>
        <w:pStyle w:val="Style4"/>
        <w:rPr>
          <w:rStyle w:val="Style4Char"/>
        </w:rPr>
      </w:pPr>
      <w:bookmarkStart w:id="14" w:name="_Toc99551496"/>
      <w:bookmarkStart w:id="15" w:name="_Toc101263872"/>
      <w:bookmarkStart w:id="16" w:name="_Toc106631660"/>
      <w:bookmarkStart w:id="17" w:name="_Toc106636942"/>
      <w:bookmarkStart w:id="18" w:name="_Toc168049536"/>
      <w:bookmarkStart w:id="19" w:name="_Toc168050479"/>
      <w:bookmarkStart w:id="20" w:name="_Toc168559030"/>
      <w:bookmarkStart w:id="21" w:name="_Toc169253726"/>
      <w:bookmarkStart w:id="22" w:name="_Toc169709064"/>
      <w:bookmarkStart w:id="23" w:name="_Toc170226236"/>
      <w:bookmarkStart w:id="24" w:name="_Toc114570544"/>
      <w:bookmarkStart w:id="25" w:name="_Toc120025946"/>
      <w:r w:rsidRPr="00764135">
        <w:rPr>
          <w:noProof/>
          <w:sz w:val="16"/>
          <w:highlight w:val="yellow"/>
          <w:lang w:eastAsia="en-AU"/>
        </w:rPr>
        <w:lastRenderedPageBreak/>
        <w:drawing>
          <wp:anchor distT="0" distB="0" distL="114300" distR="114300" simplePos="0" relativeHeight="251658246" behindDoc="1" locked="0" layoutInCell="1" allowOverlap="1" wp14:anchorId="288F10F9" wp14:editId="79C3BC96">
            <wp:simplePos x="0" y="0"/>
            <wp:positionH relativeFrom="page">
              <wp:posOffset>5087295</wp:posOffset>
            </wp:positionH>
            <wp:positionV relativeFrom="page">
              <wp:posOffset>2216933</wp:posOffset>
            </wp:positionV>
            <wp:extent cx="2188800" cy="13964400"/>
            <wp:effectExtent l="0" t="0" r="2540" b="0"/>
            <wp:wrapNone/>
            <wp:docPr id="242" name="Pictur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2188800" cy="1396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14"/>
      <w:bookmarkEnd w:id="15"/>
      <w:bookmarkEnd w:id="16"/>
      <w:bookmarkEnd w:id="17"/>
      <w:bookmarkEnd w:id="18"/>
      <w:bookmarkEnd w:id="19"/>
      <w:bookmarkEnd w:id="20"/>
      <w:bookmarkEnd w:id="21"/>
      <w:bookmarkEnd w:id="22"/>
      <w:bookmarkEnd w:id="23"/>
      <w:r>
        <w:rPr>
          <w:rStyle w:val="Style4Char"/>
        </w:rPr>
        <w:br w:type="page"/>
      </w:r>
    </w:p>
    <w:p w14:paraId="124FBA31" w14:textId="418C4314" w:rsidR="00B1131E" w:rsidRDefault="00B1131E" w:rsidP="000C1B31">
      <w:pPr>
        <w:pStyle w:val="Style4"/>
      </w:pPr>
      <w:r w:rsidRPr="000C1B31">
        <w:rPr>
          <w:rStyle w:val="Style4Char"/>
        </w:rPr>
        <w:lastRenderedPageBreak/>
        <w:t>Contents</w:t>
      </w:r>
      <w:r w:rsidRPr="00C02C39">
        <w:br/>
      </w:r>
      <w:r w:rsidRPr="00C02C39">
        <w:rPr>
          <w:noProof/>
        </w:rPr>
        <w:drawing>
          <wp:inline distT="0" distB="0" distL="0" distR="0" wp14:anchorId="16C35874" wp14:editId="5F25261E">
            <wp:extent cx="2222500" cy="25336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0">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24"/>
      <w:bookmarkEnd w:id="25"/>
    </w:p>
    <w:sdt>
      <w:sdtPr>
        <w:rPr>
          <w:rFonts w:ascii="Arial" w:hAnsi="Arial" w:cstheme="minorBidi"/>
          <w:b w:val="0"/>
          <w:color w:val="7F7F7F" w:themeColor="text1" w:themeTint="80"/>
          <w:sz w:val="20"/>
          <w:szCs w:val="22"/>
          <w:highlight w:val="yellow"/>
        </w:rPr>
        <w:id w:val="1578161639"/>
        <w:docPartObj>
          <w:docPartGallery w:val="Table of Contents"/>
          <w:docPartUnique/>
        </w:docPartObj>
      </w:sdtPr>
      <w:sdtEndPr>
        <w:rPr>
          <w:rFonts w:ascii="Calibri Light" w:hAnsi="Calibri Light"/>
          <w:color w:val="7F7F7F" w:themeColor="text2" w:themeTint="80"/>
          <w:sz w:val="26"/>
          <w:szCs w:val="26"/>
        </w:rPr>
      </w:sdtEndPr>
      <w:sdtContent>
        <w:p w14:paraId="0596E703" w14:textId="19272C73" w:rsidR="00AC7FEA" w:rsidRPr="00AC7FEA" w:rsidRDefault="000C1B31">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r w:rsidRPr="00AC7FEA">
            <w:rPr>
              <w:rFonts w:eastAsiaTheme="majorEastAsia" w:cs="Calibri Light"/>
              <w:color w:val="auto"/>
              <w:sz w:val="28"/>
              <w:szCs w:val="28"/>
              <w:highlight w:val="yellow"/>
              <w:lang w:val="en-US"/>
            </w:rPr>
            <w:fldChar w:fldCharType="begin"/>
          </w:r>
          <w:r w:rsidRPr="00AC7FEA">
            <w:rPr>
              <w:rFonts w:eastAsiaTheme="majorEastAsia" w:cs="Calibri Light"/>
              <w:color w:val="auto"/>
              <w:sz w:val="28"/>
              <w:szCs w:val="28"/>
              <w:highlight w:val="yellow"/>
              <w:lang w:val="en-US"/>
            </w:rPr>
            <w:instrText xml:space="preserve"> TOC \t "02. VIRT Heading 2,2,01. Chapter heading,1" </w:instrText>
          </w:r>
          <w:r w:rsidRPr="00AC7FEA">
            <w:rPr>
              <w:rFonts w:eastAsiaTheme="majorEastAsia" w:cs="Calibri Light"/>
              <w:color w:val="auto"/>
              <w:sz w:val="28"/>
              <w:szCs w:val="28"/>
              <w:highlight w:val="yellow"/>
              <w:lang w:val="en-US"/>
            </w:rPr>
            <w:fldChar w:fldCharType="separate"/>
          </w:r>
          <w:r w:rsidR="00AC7FEA" w:rsidRPr="00AC7FEA">
            <w:rPr>
              <w:noProof/>
              <w:color w:val="auto"/>
            </w:rPr>
            <w:t>Abbreviations and glossary</w:t>
          </w:r>
          <w:r w:rsidR="00AC7FEA" w:rsidRPr="00AC7FEA">
            <w:rPr>
              <w:noProof/>
              <w:color w:val="auto"/>
            </w:rPr>
            <w:tab/>
          </w:r>
          <w:r w:rsidR="00AC7FEA" w:rsidRPr="00AC7FEA">
            <w:rPr>
              <w:noProof/>
              <w:color w:val="auto"/>
            </w:rPr>
            <w:fldChar w:fldCharType="begin"/>
          </w:r>
          <w:r w:rsidR="00AC7FEA" w:rsidRPr="00AC7FEA">
            <w:rPr>
              <w:noProof/>
              <w:color w:val="auto"/>
            </w:rPr>
            <w:instrText xml:space="preserve"> PAGEREF _Toc170383512 \h </w:instrText>
          </w:r>
          <w:r w:rsidR="00AC7FEA" w:rsidRPr="00AC7FEA">
            <w:rPr>
              <w:noProof/>
              <w:color w:val="auto"/>
            </w:rPr>
          </w:r>
          <w:r w:rsidR="00AC7FEA" w:rsidRPr="00AC7FEA">
            <w:rPr>
              <w:noProof/>
              <w:color w:val="auto"/>
            </w:rPr>
            <w:fldChar w:fldCharType="separate"/>
          </w:r>
          <w:r w:rsidR="00AC7FEA" w:rsidRPr="00AC7FEA">
            <w:rPr>
              <w:noProof/>
              <w:color w:val="auto"/>
            </w:rPr>
            <w:t>8</w:t>
          </w:r>
          <w:r w:rsidR="00AC7FEA" w:rsidRPr="00AC7FEA">
            <w:rPr>
              <w:noProof/>
              <w:color w:val="auto"/>
            </w:rPr>
            <w:fldChar w:fldCharType="end"/>
          </w:r>
        </w:p>
        <w:p w14:paraId="09291072" w14:textId="71C546D3" w:rsidR="00AC7FEA" w:rsidRPr="00AC7FEA" w:rsidRDefault="00AC7FEA">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r w:rsidRPr="00AC7FEA">
            <w:rPr>
              <w:noProof/>
              <w:color w:val="auto"/>
            </w:rPr>
            <w:t>Summary</w:t>
          </w:r>
          <w:r w:rsidRPr="00AC7FEA">
            <w:rPr>
              <w:noProof/>
              <w:color w:val="auto"/>
            </w:rPr>
            <w:tab/>
          </w:r>
          <w:r w:rsidRPr="00AC7FEA">
            <w:rPr>
              <w:noProof/>
              <w:color w:val="auto"/>
            </w:rPr>
            <w:fldChar w:fldCharType="begin"/>
          </w:r>
          <w:r w:rsidRPr="00AC7FEA">
            <w:rPr>
              <w:noProof/>
              <w:color w:val="auto"/>
            </w:rPr>
            <w:instrText xml:space="preserve"> PAGEREF _Toc170383513 \h </w:instrText>
          </w:r>
          <w:r w:rsidRPr="00AC7FEA">
            <w:rPr>
              <w:noProof/>
              <w:color w:val="auto"/>
            </w:rPr>
          </w:r>
          <w:r w:rsidRPr="00AC7FEA">
            <w:rPr>
              <w:noProof/>
              <w:color w:val="auto"/>
            </w:rPr>
            <w:fldChar w:fldCharType="separate"/>
          </w:r>
          <w:r w:rsidRPr="00AC7FEA">
            <w:rPr>
              <w:noProof/>
              <w:color w:val="auto"/>
            </w:rPr>
            <w:t>9</w:t>
          </w:r>
          <w:r w:rsidRPr="00AC7FEA">
            <w:rPr>
              <w:noProof/>
              <w:color w:val="auto"/>
            </w:rPr>
            <w:fldChar w:fldCharType="end"/>
          </w:r>
        </w:p>
        <w:p w14:paraId="07689B4B" w14:textId="71CEC108" w:rsidR="00AC7FEA" w:rsidRPr="00AC7FEA" w:rsidRDefault="00AC7FEA">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r w:rsidRPr="00AC7FEA">
            <w:rPr>
              <w:noProof/>
              <w:color w:val="auto"/>
            </w:rPr>
            <w:t>1</w:t>
          </w:r>
          <w:r w:rsidRPr="00AC7FEA">
            <w:rPr>
              <w:rFonts w:asciiTheme="minorHAnsi" w:eastAsiaTheme="minorEastAsia" w:hAnsiTheme="minorHAnsi" w:cstheme="minorBidi"/>
              <w:b w:val="0"/>
              <w:noProof/>
              <w:color w:val="auto"/>
              <w:kern w:val="2"/>
              <w:sz w:val="24"/>
              <w:szCs w:val="24"/>
              <w:lang w:eastAsia="en-AU"/>
              <w14:ligatures w14:val="standardContextual"/>
            </w:rPr>
            <w:tab/>
          </w:r>
          <w:r w:rsidRPr="00AC7FEA">
            <w:rPr>
              <w:noProof/>
              <w:color w:val="auto"/>
            </w:rPr>
            <w:t>Context</w:t>
          </w:r>
          <w:r w:rsidRPr="00AC7FEA">
            <w:rPr>
              <w:noProof/>
              <w:color w:val="auto"/>
            </w:rPr>
            <w:tab/>
          </w:r>
          <w:r w:rsidRPr="00AC7FEA">
            <w:rPr>
              <w:noProof/>
              <w:color w:val="auto"/>
            </w:rPr>
            <w:fldChar w:fldCharType="begin"/>
          </w:r>
          <w:r w:rsidRPr="00AC7FEA">
            <w:rPr>
              <w:noProof/>
              <w:color w:val="auto"/>
            </w:rPr>
            <w:instrText xml:space="preserve"> PAGEREF _Toc170383514 \h </w:instrText>
          </w:r>
          <w:r w:rsidRPr="00AC7FEA">
            <w:rPr>
              <w:noProof/>
              <w:color w:val="auto"/>
            </w:rPr>
          </w:r>
          <w:r w:rsidRPr="00AC7FEA">
            <w:rPr>
              <w:noProof/>
              <w:color w:val="auto"/>
            </w:rPr>
            <w:fldChar w:fldCharType="separate"/>
          </w:r>
          <w:r w:rsidRPr="00AC7FEA">
            <w:rPr>
              <w:noProof/>
              <w:color w:val="auto"/>
            </w:rPr>
            <w:t>11</w:t>
          </w:r>
          <w:r w:rsidRPr="00AC7FEA">
            <w:rPr>
              <w:noProof/>
              <w:color w:val="auto"/>
            </w:rPr>
            <w:fldChar w:fldCharType="end"/>
          </w:r>
        </w:p>
        <w:p w14:paraId="531A305C" w14:textId="1661E523"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1.1</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The Tribunal’s approach</w:t>
          </w:r>
          <w:r w:rsidRPr="00AC7FEA">
            <w:rPr>
              <w:noProof/>
              <w:color w:val="auto"/>
            </w:rPr>
            <w:tab/>
          </w:r>
          <w:r w:rsidRPr="00AC7FEA">
            <w:rPr>
              <w:noProof/>
              <w:color w:val="auto"/>
            </w:rPr>
            <w:fldChar w:fldCharType="begin"/>
          </w:r>
          <w:r w:rsidRPr="00AC7FEA">
            <w:rPr>
              <w:noProof/>
              <w:color w:val="auto"/>
            </w:rPr>
            <w:instrText xml:space="preserve"> PAGEREF _Toc170383515 \h </w:instrText>
          </w:r>
          <w:r w:rsidRPr="00AC7FEA">
            <w:rPr>
              <w:noProof/>
              <w:color w:val="auto"/>
            </w:rPr>
          </w:r>
          <w:r w:rsidRPr="00AC7FEA">
            <w:rPr>
              <w:noProof/>
              <w:color w:val="auto"/>
            </w:rPr>
            <w:fldChar w:fldCharType="separate"/>
          </w:r>
          <w:r w:rsidRPr="00AC7FEA">
            <w:rPr>
              <w:noProof/>
              <w:color w:val="auto"/>
            </w:rPr>
            <w:t>12</w:t>
          </w:r>
          <w:r w:rsidRPr="00AC7FEA">
            <w:rPr>
              <w:noProof/>
              <w:color w:val="auto"/>
            </w:rPr>
            <w:fldChar w:fldCharType="end"/>
          </w:r>
        </w:p>
        <w:p w14:paraId="2EBE2864" w14:textId="5CE9C65A" w:rsidR="00AC7FEA" w:rsidRPr="00AC7FEA" w:rsidRDefault="00AC7FEA">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r w:rsidRPr="00AC7FEA">
            <w:rPr>
              <w:noProof/>
              <w:color w:val="auto"/>
            </w:rPr>
            <w:t>2</w:t>
          </w:r>
          <w:r w:rsidRPr="00AC7FEA">
            <w:rPr>
              <w:rFonts w:asciiTheme="minorHAnsi" w:eastAsiaTheme="minorEastAsia" w:hAnsiTheme="minorHAnsi" w:cstheme="minorBidi"/>
              <w:b w:val="0"/>
              <w:noProof/>
              <w:color w:val="auto"/>
              <w:kern w:val="2"/>
              <w:sz w:val="24"/>
              <w:szCs w:val="24"/>
              <w:lang w:eastAsia="en-AU"/>
              <w14:ligatures w14:val="standardContextual"/>
            </w:rPr>
            <w:tab/>
          </w:r>
          <w:r w:rsidRPr="00AC7FEA">
            <w:rPr>
              <w:noProof/>
              <w:color w:val="auto"/>
            </w:rPr>
            <w:t>Factors considered</w:t>
          </w:r>
          <w:r w:rsidRPr="00AC7FEA">
            <w:rPr>
              <w:noProof/>
              <w:color w:val="auto"/>
            </w:rPr>
            <w:tab/>
          </w:r>
          <w:r w:rsidRPr="00AC7FEA">
            <w:rPr>
              <w:noProof/>
              <w:color w:val="auto"/>
            </w:rPr>
            <w:fldChar w:fldCharType="begin"/>
          </w:r>
          <w:r w:rsidRPr="00AC7FEA">
            <w:rPr>
              <w:noProof/>
              <w:color w:val="auto"/>
            </w:rPr>
            <w:instrText xml:space="preserve"> PAGEREF _Toc170383516 \h </w:instrText>
          </w:r>
          <w:r w:rsidRPr="00AC7FEA">
            <w:rPr>
              <w:noProof/>
              <w:color w:val="auto"/>
            </w:rPr>
          </w:r>
          <w:r w:rsidRPr="00AC7FEA">
            <w:rPr>
              <w:noProof/>
              <w:color w:val="auto"/>
            </w:rPr>
            <w:fldChar w:fldCharType="separate"/>
          </w:r>
          <w:r w:rsidRPr="00AC7FEA">
            <w:rPr>
              <w:noProof/>
              <w:color w:val="auto"/>
            </w:rPr>
            <w:t>13</w:t>
          </w:r>
          <w:r w:rsidRPr="00AC7FEA">
            <w:rPr>
              <w:noProof/>
              <w:color w:val="auto"/>
            </w:rPr>
            <w:fldChar w:fldCharType="end"/>
          </w:r>
        </w:p>
        <w:p w14:paraId="50205E8B" w14:textId="2874B368"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2.1</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Current and projected economic conditions and trends</w:t>
          </w:r>
          <w:r w:rsidRPr="00AC7FEA">
            <w:rPr>
              <w:noProof/>
              <w:color w:val="auto"/>
            </w:rPr>
            <w:tab/>
          </w:r>
          <w:r w:rsidRPr="00AC7FEA">
            <w:rPr>
              <w:noProof/>
              <w:color w:val="auto"/>
            </w:rPr>
            <w:fldChar w:fldCharType="begin"/>
          </w:r>
          <w:r w:rsidRPr="00AC7FEA">
            <w:rPr>
              <w:noProof/>
              <w:color w:val="auto"/>
            </w:rPr>
            <w:instrText xml:space="preserve"> PAGEREF _Toc170383517 \h </w:instrText>
          </w:r>
          <w:r w:rsidRPr="00AC7FEA">
            <w:rPr>
              <w:noProof/>
              <w:color w:val="auto"/>
            </w:rPr>
          </w:r>
          <w:r w:rsidRPr="00AC7FEA">
            <w:rPr>
              <w:noProof/>
              <w:color w:val="auto"/>
            </w:rPr>
            <w:fldChar w:fldCharType="separate"/>
          </w:r>
          <w:r w:rsidRPr="00AC7FEA">
            <w:rPr>
              <w:noProof/>
              <w:color w:val="auto"/>
            </w:rPr>
            <w:t>13</w:t>
          </w:r>
          <w:r w:rsidRPr="00AC7FEA">
            <w:rPr>
              <w:noProof/>
              <w:color w:val="auto"/>
            </w:rPr>
            <w:fldChar w:fldCharType="end"/>
          </w:r>
        </w:p>
        <w:p w14:paraId="04D7C8A6" w14:textId="2527976D"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2.2</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Financial position and fiscal strategy of the State of Victoria</w:t>
          </w:r>
          <w:r w:rsidRPr="00AC7FEA">
            <w:rPr>
              <w:noProof/>
              <w:color w:val="auto"/>
            </w:rPr>
            <w:tab/>
          </w:r>
          <w:r w:rsidRPr="00AC7FEA">
            <w:rPr>
              <w:noProof/>
              <w:color w:val="auto"/>
            </w:rPr>
            <w:fldChar w:fldCharType="begin"/>
          </w:r>
          <w:r w:rsidRPr="00AC7FEA">
            <w:rPr>
              <w:noProof/>
              <w:color w:val="auto"/>
            </w:rPr>
            <w:instrText xml:space="preserve"> PAGEREF _Toc170383518 \h </w:instrText>
          </w:r>
          <w:r w:rsidRPr="00AC7FEA">
            <w:rPr>
              <w:noProof/>
              <w:color w:val="auto"/>
            </w:rPr>
          </w:r>
          <w:r w:rsidRPr="00AC7FEA">
            <w:rPr>
              <w:noProof/>
              <w:color w:val="auto"/>
            </w:rPr>
            <w:fldChar w:fldCharType="separate"/>
          </w:r>
          <w:r w:rsidRPr="00AC7FEA">
            <w:rPr>
              <w:noProof/>
              <w:color w:val="auto"/>
            </w:rPr>
            <w:t>15</w:t>
          </w:r>
          <w:r w:rsidRPr="00AC7FEA">
            <w:rPr>
              <w:noProof/>
              <w:color w:val="auto"/>
            </w:rPr>
            <w:fldChar w:fldCharType="end"/>
          </w:r>
        </w:p>
        <w:p w14:paraId="65394D16" w14:textId="6F48796C"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2.3</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Wages Policy</w:t>
          </w:r>
          <w:r w:rsidRPr="00AC7FEA">
            <w:rPr>
              <w:noProof/>
              <w:color w:val="auto"/>
            </w:rPr>
            <w:tab/>
          </w:r>
          <w:r w:rsidRPr="00AC7FEA">
            <w:rPr>
              <w:noProof/>
              <w:color w:val="auto"/>
            </w:rPr>
            <w:fldChar w:fldCharType="begin"/>
          </w:r>
          <w:r w:rsidRPr="00AC7FEA">
            <w:rPr>
              <w:noProof/>
              <w:color w:val="auto"/>
            </w:rPr>
            <w:instrText xml:space="preserve"> PAGEREF _Toc170383519 \h </w:instrText>
          </w:r>
          <w:r w:rsidRPr="00AC7FEA">
            <w:rPr>
              <w:noProof/>
              <w:color w:val="auto"/>
            </w:rPr>
          </w:r>
          <w:r w:rsidRPr="00AC7FEA">
            <w:rPr>
              <w:noProof/>
              <w:color w:val="auto"/>
            </w:rPr>
            <w:fldChar w:fldCharType="separate"/>
          </w:r>
          <w:r w:rsidRPr="00AC7FEA">
            <w:rPr>
              <w:noProof/>
              <w:color w:val="auto"/>
            </w:rPr>
            <w:t>15</w:t>
          </w:r>
          <w:r w:rsidRPr="00AC7FEA">
            <w:rPr>
              <w:noProof/>
              <w:color w:val="auto"/>
            </w:rPr>
            <w:fldChar w:fldCharType="end"/>
          </w:r>
        </w:p>
        <w:p w14:paraId="624F3B74" w14:textId="05EEF851"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2.4</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Matters raised in submissions</w:t>
          </w:r>
          <w:r w:rsidRPr="00AC7FEA">
            <w:rPr>
              <w:noProof/>
              <w:color w:val="auto"/>
            </w:rPr>
            <w:tab/>
          </w:r>
          <w:r w:rsidRPr="00AC7FEA">
            <w:rPr>
              <w:noProof/>
              <w:color w:val="auto"/>
            </w:rPr>
            <w:fldChar w:fldCharType="begin"/>
          </w:r>
          <w:r w:rsidRPr="00AC7FEA">
            <w:rPr>
              <w:noProof/>
              <w:color w:val="auto"/>
            </w:rPr>
            <w:instrText xml:space="preserve"> PAGEREF _Toc170383520 \h </w:instrText>
          </w:r>
          <w:r w:rsidRPr="00AC7FEA">
            <w:rPr>
              <w:noProof/>
              <w:color w:val="auto"/>
            </w:rPr>
          </w:r>
          <w:r w:rsidRPr="00AC7FEA">
            <w:rPr>
              <w:noProof/>
              <w:color w:val="auto"/>
            </w:rPr>
            <w:fldChar w:fldCharType="separate"/>
          </w:r>
          <w:r w:rsidRPr="00AC7FEA">
            <w:rPr>
              <w:noProof/>
              <w:color w:val="auto"/>
            </w:rPr>
            <w:t>16</w:t>
          </w:r>
          <w:r w:rsidRPr="00AC7FEA">
            <w:rPr>
              <w:noProof/>
              <w:color w:val="auto"/>
            </w:rPr>
            <w:fldChar w:fldCharType="end"/>
          </w:r>
        </w:p>
        <w:p w14:paraId="14A8B1A7" w14:textId="0D441F91"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2.5</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Other relevant considerations</w:t>
          </w:r>
          <w:r w:rsidRPr="00AC7FEA">
            <w:rPr>
              <w:noProof/>
              <w:color w:val="auto"/>
            </w:rPr>
            <w:tab/>
          </w:r>
          <w:r w:rsidRPr="00AC7FEA">
            <w:rPr>
              <w:noProof/>
              <w:color w:val="auto"/>
            </w:rPr>
            <w:fldChar w:fldCharType="begin"/>
          </w:r>
          <w:r w:rsidRPr="00AC7FEA">
            <w:rPr>
              <w:noProof/>
              <w:color w:val="auto"/>
            </w:rPr>
            <w:instrText xml:space="preserve"> PAGEREF _Toc170383521 \h </w:instrText>
          </w:r>
          <w:r w:rsidRPr="00AC7FEA">
            <w:rPr>
              <w:noProof/>
              <w:color w:val="auto"/>
            </w:rPr>
          </w:r>
          <w:r w:rsidRPr="00AC7FEA">
            <w:rPr>
              <w:noProof/>
              <w:color w:val="auto"/>
            </w:rPr>
            <w:fldChar w:fldCharType="separate"/>
          </w:r>
          <w:r w:rsidRPr="00AC7FEA">
            <w:rPr>
              <w:noProof/>
              <w:color w:val="auto"/>
            </w:rPr>
            <w:t>19</w:t>
          </w:r>
          <w:r w:rsidRPr="00AC7FEA">
            <w:rPr>
              <w:noProof/>
              <w:color w:val="auto"/>
            </w:rPr>
            <w:fldChar w:fldCharType="end"/>
          </w:r>
        </w:p>
        <w:p w14:paraId="26B40559" w14:textId="66EBD004" w:rsidR="00AC7FEA" w:rsidRPr="00AC7FEA" w:rsidRDefault="00AC7FEA">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r w:rsidRPr="00AC7FEA">
            <w:rPr>
              <w:noProof/>
              <w:color w:val="auto"/>
            </w:rPr>
            <w:t>3</w:t>
          </w:r>
          <w:r w:rsidRPr="00AC7FEA">
            <w:rPr>
              <w:rFonts w:asciiTheme="minorHAnsi" w:eastAsiaTheme="minorEastAsia" w:hAnsiTheme="minorHAnsi" w:cstheme="minorBidi"/>
              <w:b w:val="0"/>
              <w:noProof/>
              <w:color w:val="auto"/>
              <w:kern w:val="2"/>
              <w:sz w:val="24"/>
              <w:szCs w:val="24"/>
              <w:lang w:eastAsia="en-AU"/>
              <w14:ligatures w14:val="standardContextual"/>
            </w:rPr>
            <w:tab/>
          </w:r>
          <w:r w:rsidRPr="00AC7FEA">
            <w:rPr>
              <w:noProof/>
              <w:color w:val="auto"/>
            </w:rPr>
            <w:t>Tribunal’s decisions</w:t>
          </w:r>
          <w:r w:rsidRPr="00AC7FEA">
            <w:rPr>
              <w:noProof/>
              <w:color w:val="auto"/>
            </w:rPr>
            <w:tab/>
          </w:r>
          <w:r w:rsidRPr="00AC7FEA">
            <w:rPr>
              <w:noProof/>
              <w:color w:val="auto"/>
            </w:rPr>
            <w:fldChar w:fldCharType="begin"/>
          </w:r>
          <w:r w:rsidRPr="00AC7FEA">
            <w:rPr>
              <w:noProof/>
              <w:color w:val="auto"/>
            </w:rPr>
            <w:instrText xml:space="preserve"> PAGEREF _Toc170383522 \h </w:instrText>
          </w:r>
          <w:r w:rsidRPr="00AC7FEA">
            <w:rPr>
              <w:noProof/>
              <w:color w:val="auto"/>
            </w:rPr>
          </w:r>
          <w:r w:rsidRPr="00AC7FEA">
            <w:rPr>
              <w:noProof/>
              <w:color w:val="auto"/>
            </w:rPr>
            <w:fldChar w:fldCharType="separate"/>
          </w:r>
          <w:r w:rsidRPr="00AC7FEA">
            <w:rPr>
              <w:noProof/>
              <w:color w:val="auto"/>
            </w:rPr>
            <w:t>21</w:t>
          </w:r>
          <w:r w:rsidRPr="00AC7FEA">
            <w:rPr>
              <w:noProof/>
              <w:color w:val="auto"/>
            </w:rPr>
            <w:fldChar w:fldCharType="end"/>
          </w:r>
        </w:p>
        <w:p w14:paraId="633DEB37" w14:textId="0C19533F"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3.1</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Base allowance</w:t>
          </w:r>
          <w:r w:rsidRPr="00AC7FEA">
            <w:rPr>
              <w:noProof/>
              <w:color w:val="auto"/>
            </w:rPr>
            <w:tab/>
          </w:r>
          <w:r w:rsidRPr="00AC7FEA">
            <w:rPr>
              <w:noProof/>
              <w:color w:val="auto"/>
            </w:rPr>
            <w:fldChar w:fldCharType="begin"/>
          </w:r>
          <w:r w:rsidRPr="00AC7FEA">
            <w:rPr>
              <w:noProof/>
              <w:color w:val="auto"/>
            </w:rPr>
            <w:instrText xml:space="preserve"> PAGEREF _Toc170383523 \h </w:instrText>
          </w:r>
          <w:r w:rsidRPr="00AC7FEA">
            <w:rPr>
              <w:noProof/>
              <w:color w:val="auto"/>
            </w:rPr>
          </w:r>
          <w:r w:rsidRPr="00AC7FEA">
            <w:rPr>
              <w:noProof/>
              <w:color w:val="auto"/>
            </w:rPr>
            <w:fldChar w:fldCharType="separate"/>
          </w:r>
          <w:r w:rsidRPr="00AC7FEA">
            <w:rPr>
              <w:noProof/>
              <w:color w:val="auto"/>
            </w:rPr>
            <w:t>21</w:t>
          </w:r>
          <w:r w:rsidRPr="00AC7FEA">
            <w:rPr>
              <w:noProof/>
              <w:color w:val="auto"/>
            </w:rPr>
            <w:fldChar w:fldCharType="end"/>
          </w:r>
        </w:p>
        <w:p w14:paraId="59758C8C" w14:textId="55CF6310"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3.2</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Remote Area Travel Allowance</w:t>
          </w:r>
          <w:r w:rsidRPr="00AC7FEA">
            <w:rPr>
              <w:noProof/>
              <w:color w:val="auto"/>
            </w:rPr>
            <w:tab/>
          </w:r>
          <w:r w:rsidRPr="00AC7FEA">
            <w:rPr>
              <w:noProof/>
              <w:color w:val="auto"/>
            </w:rPr>
            <w:fldChar w:fldCharType="begin"/>
          </w:r>
          <w:r w:rsidRPr="00AC7FEA">
            <w:rPr>
              <w:noProof/>
              <w:color w:val="auto"/>
            </w:rPr>
            <w:instrText xml:space="preserve"> PAGEREF _Toc170383524 \h </w:instrText>
          </w:r>
          <w:r w:rsidRPr="00AC7FEA">
            <w:rPr>
              <w:noProof/>
              <w:color w:val="auto"/>
            </w:rPr>
          </w:r>
          <w:r w:rsidRPr="00AC7FEA">
            <w:rPr>
              <w:noProof/>
              <w:color w:val="auto"/>
            </w:rPr>
            <w:fldChar w:fldCharType="separate"/>
          </w:r>
          <w:r w:rsidRPr="00AC7FEA">
            <w:rPr>
              <w:noProof/>
              <w:color w:val="auto"/>
            </w:rPr>
            <w:t>22</w:t>
          </w:r>
          <w:r w:rsidRPr="00AC7FEA">
            <w:rPr>
              <w:noProof/>
              <w:color w:val="auto"/>
            </w:rPr>
            <w:fldChar w:fldCharType="end"/>
          </w:r>
        </w:p>
        <w:p w14:paraId="0D9DC276" w14:textId="351971D1"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3.3</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Conclusion</w:t>
          </w:r>
          <w:r w:rsidRPr="00AC7FEA">
            <w:rPr>
              <w:noProof/>
              <w:color w:val="auto"/>
            </w:rPr>
            <w:tab/>
          </w:r>
          <w:r w:rsidRPr="00AC7FEA">
            <w:rPr>
              <w:noProof/>
              <w:color w:val="auto"/>
            </w:rPr>
            <w:fldChar w:fldCharType="begin"/>
          </w:r>
          <w:r w:rsidRPr="00AC7FEA">
            <w:rPr>
              <w:noProof/>
              <w:color w:val="auto"/>
            </w:rPr>
            <w:instrText xml:space="preserve"> PAGEREF _Toc170383525 \h </w:instrText>
          </w:r>
          <w:r w:rsidRPr="00AC7FEA">
            <w:rPr>
              <w:noProof/>
              <w:color w:val="auto"/>
            </w:rPr>
          </w:r>
          <w:r w:rsidRPr="00AC7FEA">
            <w:rPr>
              <w:noProof/>
              <w:color w:val="auto"/>
            </w:rPr>
            <w:fldChar w:fldCharType="separate"/>
          </w:r>
          <w:r w:rsidRPr="00AC7FEA">
            <w:rPr>
              <w:noProof/>
              <w:color w:val="auto"/>
            </w:rPr>
            <w:t>22</w:t>
          </w:r>
          <w:r w:rsidRPr="00AC7FEA">
            <w:rPr>
              <w:noProof/>
              <w:color w:val="auto"/>
            </w:rPr>
            <w:fldChar w:fldCharType="end"/>
          </w:r>
        </w:p>
        <w:p w14:paraId="7839D60C" w14:textId="0D1A99C7" w:rsidR="00AC7FEA" w:rsidRPr="00AC7FEA" w:rsidRDefault="00AC7FEA">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r w:rsidRPr="00AC7FEA">
            <w:rPr>
              <w:noProof/>
              <w:color w:val="auto"/>
            </w:rPr>
            <w:t>Appendix A – Detailed economic and financial considerations</w:t>
          </w:r>
          <w:r w:rsidRPr="00AC7FEA">
            <w:rPr>
              <w:noProof/>
              <w:color w:val="auto"/>
            </w:rPr>
            <w:tab/>
          </w:r>
          <w:r w:rsidRPr="00AC7FEA">
            <w:rPr>
              <w:noProof/>
              <w:color w:val="auto"/>
            </w:rPr>
            <w:fldChar w:fldCharType="begin"/>
          </w:r>
          <w:r w:rsidRPr="00AC7FEA">
            <w:rPr>
              <w:noProof/>
              <w:color w:val="auto"/>
            </w:rPr>
            <w:instrText xml:space="preserve"> PAGEREF _Toc170383526 \h </w:instrText>
          </w:r>
          <w:r w:rsidRPr="00AC7FEA">
            <w:rPr>
              <w:noProof/>
              <w:color w:val="auto"/>
            </w:rPr>
          </w:r>
          <w:r w:rsidRPr="00AC7FEA">
            <w:rPr>
              <w:noProof/>
              <w:color w:val="auto"/>
            </w:rPr>
            <w:fldChar w:fldCharType="separate"/>
          </w:r>
          <w:r w:rsidRPr="00AC7FEA">
            <w:rPr>
              <w:noProof/>
              <w:color w:val="auto"/>
            </w:rPr>
            <w:t>23</w:t>
          </w:r>
          <w:r w:rsidRPr="00AC7FEA">
            <w:rPr>
              <w:noProof/>
              <w:color w:val="auto"/>
            </w:rPr>
            <w:fldChar w:fldCharType="end"/>
          </w:r>
        </w:p>
        <w:p w14:paraId="5DD57881" w14:textId="615F5897"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A.1</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Current economic conditions</w:t>
          </w:r>
          <w:r w:rsidRPr="00AC7FEA">
            <w:rPr>
              <w:noProof/>
              <w:color w:val="auto"/>
            </w:rPr>
            <w:tab/>
          </w:r>
          <w:r w:rsidRPr="00AC7FEA">
            <w:rPr>
              <w:noProof/>
              <w:color w:val="auto"/>
            </w:rPr>
            <w:fldChar w:fldCharType="begin"/>
          </w:r>
          <w:r w:rsidRPr="00AC7FEA">
            <w:rPr>
              <w:noProof/>
              <w:color w:val="auto"/>
            </w:rPr>
            <w:instrText xml:space="preserve"> PAGEREF _Toc170383527 \h </w:instrText>
          </w:r>
          <w:r w:rsidRPr="00AC7FEA">
            <w:rPr>
              <w:noProof/>
              <w:color w:val="auto"/>
            </w:rPr>
          </w:r>
          <w:r w:rsidRPr="00AC7FEA">
            <w:rPr>
              <w:noProof/>
              <w:color w:val="auto"/>
            </w:rPr>
            <w:fldChar w:fldCharType="separate"/>
          </w:r>
          <w:r w:rsidRPr="00AC7FEA">
            <w:rPr>
              <w:noProof/>
              <w:color w:val="auto"/>
            </w:rPr>
            <w:t>23</w:t>
          </w:r>
          <w:r w:rsidRPr="00AC7FEA">
            <w:rPr>
              <w:noProof/>
              <w:color w:val="auto"/>
            </w:rPr>
            <w:fldChar w:fldCharType="end"/>
          </w:r>
        </w:p>
        <w:p w14:paraId="617CC74D" w14:textId="0D3905C0"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A.2</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Economic outlook</w:t>
          </w:r>
          <w:r w:rsidRPr="00AC7FEA">
            <w:rPr>
              <w:noProof/>
              <w:color w:val="auto"/>
            </w:rPr>
            <w:tab/>
          </w:r>
          <w:r w:rsidRPr="00AC7FEA">
            <w:rPr>
              <w:noProof/>
              <w:color w:val="auto"/>
            </w:rPr>
            <w:fldChar w:fldCharType="begin"/>
          </w:r>
          <w:r w:rsidRPr="00AC7FEA">
            <w:rPr>
              <w:noProof/>
              <w:color w:val="auto"/>
            </w:rPr>
            <w:instrText xml:space="preserve"> PAGEREF _Toc170383528 \h </w:instrText>
          </w:r>
          <w:r w:rsidRPr="00AC7FEA">
            <w:rPr>
              <w:noProof/>
              <w:color w:val="auto"/>
            </w:rPr>
          </w:r>
          <w:r w:rsidRPr="00AC7FEA">
            <w:rPr>
              <w:noProof/>
              <w:color w:val="auto"/>
            </w:rPr>
            <w:fldChar w:fldCharType="separate"/>
          </w:r>
          <w:r w:rsidRPr="00AC7FEA">
            <w:rPr>
              <w:noProof/>
              <w:color w:val="auto"/>
            </w:rPr>
            <w:t>30</w:t>
          </w:r>
          <w:r w:rsidRPr="00AC7FEA">
            <w:rPr>
              <w:noProof/>
              <w:color w:val="auto"/>
            </w:rPr>
            <w:fldChar w:fldCharType="end"/>
          </w:r>
        </w:p>
        <w:p w14:paraId="0AF6B808" w14:textId="5866C6EC"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A.3</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Financial position and fiscal strategy of the State of Victoria</w:t>
          </w:r>
          <w:r w:rsidRPr="00AC7FEA">
            <w:rPr>
              <w:noProof/>
              <w:color w:val="auto"/>
            </w:rPr>
            <w:tab/>
          </w:r>
          <w:r w:rsidRPr="00AC7FEA">
            <w:rPr>
              <w:noProof/>
              <w:color w:val="auto"/>
            </w:rPr>
            <w:fldChar w:fldCharType="begin"/>
          </w:r>
          <w:r w:rsidRPr="00AC7FEA">
            <w:rPr>
              <w:noProof/>
              <w:color w:val="auto"/>
            </w:rPr>
            <w:instrText xml:space="preserve"> PAGEREF _Toc170383529 \h </w:instrText>
          </w:r>
          <w:r w:rsidRPr="00AC7FEA">
            <w:rPr>
              <w:noProof/>
              <w:color w:val="auto"/>
            </w:rPr>
          </w:r>
          <w:r w:rsidRPr="00AC7FEA">
            <w:rPr>
              <w:noProof/>
              <w:color w:val="auto"/>
            </w:rPr>
            <w:fldChar w:fldCharType="separate"/>
          </w:r>
          <w:r w:rsidRPr="00AC7FEA">
            <w:rPr>
              <w:noProof/>
              <w:color w:val="auto"/>
            </w:rPr>
            <w:t>35</w:t>
          </w:r>
          <w:r w:rsidRPr="00AC7FEA">
            <w:rPr>
              <w:noProof/>
              <w:color w:val="auto"/>
            </w:rPr>
            <w:fldChar w:fldCharType="end"/>
          </w:r>
        </w:p>
        <w:p w14:paraId="35FEC354" w14:textId="41E089D4" w:rsidR="00AC7FEA" w:rsidRPr="00AC7FEA" w:rsidRDefault="00AC7FEA">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r w:rsidRPr="00AC7FEA">
            <w:rPr>
              <w:noProof/>
              <w:color w:val="auto"/>
            </w:rPr>
            <w:t>A.4</w:t>
          </w:r>
          <w:r w:rsidRPr="00AC7FEA">
            <w:rPr>
              <w:rFonts w:asciiTheme="minorHAnsi" w:eastAsiaTheme="minorEastAsia" w:hAnsiTheme="minorHAnsi"/>
              <w:noProof/>
              <w:color w:val="auto"/>
              <w:kern w:val="2"/>
              <w:sz w:val="24"/>
              <w:szCs w:val="24"/>
              <w:lang w:eastAsia="en-AU"/>
              <w14:ligatures w14:val="standardContextual"/>
            </w:rPr>
            <w:tab/>
          </w:r>
          <w:r w:rsidRPr="00AC7FEA">
            <w:rPr>
              <w:noProof/>
              <w:color w:val="auto"/>
            </w:rPr>
            <w:t>Wages Policy</w:t>
          </w:r>
          <w:r w:rsidRPr="00AC7FEA">
            <w:rPr>
              <w:noProof/>
              <w:color w:val="auto"/>
            </w:rPr>
            <w:tab/>
          </w:r>
          <w:r w:rsidRPr="00AC7FEA">
            <w:rPr>
              <w:noProof/>
              <w:color w:val="auto"/>
            </w:rPr>
            <w:fldChar w:fldCharType="begin"/>
          </w:r>
          <w:r w:rsidRPr="00AC7FEA">
            <w:rPr>
              <w:noProof/>
              <w:color w:val="auto"/>
            </w:rPr>
            <w:instrText xml:space="preserve"> PAGEREF _Toc170383530 \h </w:instrText>
          </w:r>
          <w:r w:rsidRPr="00AC7FEA">
            <w:rPr>
              <w:noProof/>
              <w:color w:val="auto"/>
            </w:rPr>
          </w:r>
          <w:r w:rsidRPr="00AC7FEA">
            <w:rPr>
              <w:noProof/>
              <w:color w:val="auto"/>
            </w:rPr>
            <w:fldChar w:fldCharType="separate"/>
          </w:r>
          <w:r w:rsidRPr="00AC7FEA">
            <w:rPr>
              <w:noProof/>
              <w:color w:val="auto"/>
            </w:rPr>
            <w:t>38</w:t>
          </w:r>
          <w:r w:rsidRPr="00AC7FEA">
            <w:rPr>
              <w:noProof/>
              <w:color w:val="auto"/>
            </w:rPr>
            <w:fldChar w:fldCharType="end"/>
          </w:r>
        </w:p>
        <w:p w14:paraId="09983EBE" w14:textId="5F3138E0" w:rsidR="00AC7FEA" w:rsidRPr="00AC7FEA" w:rsidRDefault="00AC7FEA">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r w:rsidRPr="00AC7FEA">
            <w:rPr>
              <w:noProof/>
              <w:color w:val="auto"/>
            </w:rPr>
            <w:t>References</w:t>
          </w:r>
          <w:r w:rsidRPr="00AC7FEA">
            <w:rPr>
              <w:noProof/>
              <w:color w:val="auto"/>
            </w:rPr>
            <w:tab/>
          </w:r>
          <w:r w:rsidRPr="00AC7FEA">
            <w:rPr>
              <w:noProof/>
              <w:color w:val="auto"/>
            </w:rPr>
            <w:fldChar w:fldCharType="begin"/>
          </w:r>
          <w:r w:rsidRPr="00AC7FEA">
            <w:rPr>
              <w:noProof/>
              <w:color w:val="auto"/>
            </w:rPr>
            <w:instrText xml:space="preserve"> PAGEREF _Toc170383531 \h </w:instrText>
          </w:r>
          <w:r w:rsidRPr="00AC7FEA">
            <w:rPr>
              <w:noProof/>
              <w:color w:val="auto"/>
            </w:rPr>
          </w:r>
          <w:r w:rsidRPr="00AC7FEA">
            <w:rPr>
              <w:noProof/>
              <w:color w:val="auto"/>
            </w:rPr>
            <w:fldChar w:fldCharType="separate"/>
          </w:r>
          <w:r w:rsidRPr="00AC7FEA">
            <w:rPr>
              <w:noProof/>
              <w:color w:val="auto"/>
            </w:rPr>
            <w:t>40</w:t>
          </w:r>
          <w:r w:rsidRPr="00AC7FEA">
            <w:rPr>
              <w:noProof/>
              <w:color w:val="auto"/>
            </w:rPr>
            <w:fldChar w:fldCharType="end"/>
          </w:r>
        </w:p>
        <w:p w14:paraId="40DAE0C4" w14:textId="30ABAE9B" w:rsidR="003209FB" w:rsidRPr="00DF7646" w:rsidRDefault="000C1B31" w:rsidP="000C1B31">
          <w:pPr>
            <w:pStyle w:val="TOC2"/>
            <w:tabs>
              <w:tab w:val="right" w:leader="dot" w:pos="8494"/>
            </w:tabs>
            <w:rPr>
              <w:rFonts w:eastAsiaTheme="majorEastAsia" w:cs="Calibri Light"/>
              <w:color w:val="000000" w:themeColor="text1"/>
              <w:sz w:val="28"/>
              <w:szCs w:val="28"/>
              <w:lang w:val="en-US"/>
            </w:rPr>
          </w:pPr>
          <w:r w:rsidRPr="00AC7FEA">
            <w:rPr>
              <w:rFonts w:eastAsiaTheme="majorEastAsia" w:cs="Calibri Light"/>
              <w:color w:val="auto"/>
              <w:sz w:val="28"/>
              <w:szCs w:val="28"/>
              <w:highlight w:val="yellow"/>
              <w:lang w:val="en-US"/>
            </w:rPr>
            <w:fldChar w:fldCharType="end"/>
          </w:r>
        </w:p>
      </w:sdtContent>
    </w:sdt>
    <w:p w14:paraId="17587DEB" w14:textId="2432593A" w:rsidR="00C04EF6" w:rsidRDefault="00C04EF6" w:rsidP="00C04EF6">
      <w:pPr>
        <w:tabs>
          <w:tab w:val="left" w:pos="6006"/>
        </w:tabs>
        <w:rPr>
          <w:rFonts w:asciiTheme="majorHAnsi" w:eastAsiaTheme="majorEastAsia" w:hAnsiTheme="majorHAnsi" w:cstheme="majorBidi"/>
          <w:b/>
          <w:bCs/>
          <w:color w:val="000000" w:themeColor="text1"/>
          <w:sz w:val="28"/>
          <w:szCs w:val="28"/>
          <w:lang w:val="en-US"/>
        </w:rPr>
      </w:pPr>
      <w:r>
        <w:rPr>
          <w:rFonts w:asciiTheme="majorHAnsi" w:eastAsiaTheme="majorEastAsia" w:hAnsiTheme="majorHAnsi" w:cstheme="majorBidi"/>
          <w:b/>
          <w:bCs/>
          <w:color w:val="000000" w:themeColor="text1"/>
          <w:sz w:val="28"/>
          <w:szCs w:val="28"/>
          <w:lang w:val="en-US"/>
        </w:rPr>
        <w:tab/>
      </w:r>
    </w:p>
    <w:p w14:paraId="57EB8FAD" w14:textId="0392722A" w:rsidR="00C04EF6" w:rsidRPr="00C04EF6" w:rsidRDefault="00C04EF6" w:rsidP="00C04EF6">
      <w:pPr>
        <w:tabs>
          <w:tab w:val="left" w:pos="6006"/>
        </w:tabs>
        <w:rPr>
          <w:lang w:val="en-US"/>
        </w:rPr>
        <w:sectPr w:rsidR="00C04EF6" w:rsidRPr="00C04EF6" w:rsidSect="0001367F">
          <w:pgSz w:w="11906" w:h="16838"/>
          <w:pgMar w:top="1701" w:right="1701" w:bottom="1559" w:left="1701" w:header="425" w:footer="709" w:gutter="0"/>
          <w:cols w:space="282"/>
          <w:docGrid w:linePitch="360"/>
        </w:sectPr>
      </w:pPr>
      <w:r>
        <w:rPr>
          <w:lang w:val="en-US"/>
        </w:rPr>
        <w:tab/>
      </w:r>
    </w:p>
    <w:p w14:paraId="02F3BE56" w14:textId="5DA3BCC3" w:rsidR="00B1131E" w:rsidRPr="00C02C39" w:rsidRDefault="00B1131E" w:rsidP="00816A8E">
      <w:pPr>
        <w:pStyle w:val="Style4"/>
        <w:spacing w:after="360"/>
      </w:pPr>
      <w:bookmarkStart w:id="26" w:name="_Toc166014293"/>
      <w:bookmarkStart w:id="27" w:name="_Toc169172607"/>
      <w:bookmarkStart w:id="28" w:name="_Toc170383512"/>
      <w:r w:rsidRPr="00A52570">
        <w:rPr>
          <w:rStyle w:val="01ChapterheadingChar"/>
        </w:rPr>
        <w:lastRenderedPageBreak/>
        <w:t>Abbreviations and glossary</w:t>
      </w:r>
      <w:bookmarkEnd w:id="26"/>
      <w:bookmarkEnd w:id="27"/>
      <w:bookmarkEnd w:id="28"/>
      <w:r w:rsidRPr="00C02C39">
        <w:br/>
      </w:r>
      <w:r w:rsidRPr="00C02C39">
        <w:rPr>
          <w:noProof/>
        </w:rPr>
        <w:drawing>
          <wp:inline distT="0" distB="0" distL="0" distR="0" wp14:anchorId="2F342DC8" wp14:editId="7FCD262C">
            <wp:extent cx="2222500" cy="253365"/>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0">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2B99EEF1" w14:textId="77777777" w:rsidR="00B1131E" w:rsidRDefault="00B1131E" w:rsidP="00816A8E">
      <w:pPr>
        <w:pStyle w:val="Chapterheading"/>
        <w:spacing w:after="360"/>
        <w:sectPr w:rsidR="00B1131E" w:rsidSect="0001367F">
          <w:pgSz w:w="11906" w:h="16838"/>
          <w:pgMar w:top="1701" w:right="1701" w:bottom="1559" w:left="1701" w:header="425" w:footer="709" w:gutter="0"/>
          <w:cols w:space="282"/>
          <w:docGrid w:linePitch="360"/>
        </w:sectPr>
      </w:pPr>
    </w:p>
    <w:tbl>
      <w:tblPr>
        <w:tblStyle w:val="Glossary"/>
        <w:tblW w:w="8647" w:type="dxa"/>
        <w:tblLayout w:type="fixed"/>
        <w:tblLook w:val="05A0" w:firstRow="1" w:lastRow="0" w:firstColumn="1" w:lastColumn="1" w:noHBand="0" w:noVBand="1"/>
      </w:tblPr>
      <w:tblGrid>
        <w:gridCol w:w="2977"/>
        <w:gridCol w:w="5670"/>
      </w:tblGrid>
      <w:tr w:rsidR="00A33525" w:rsidRPr="006B37D9" w14:paraId="6090A2B1" w14:textId="77777777" w:rsidTr="00304D61">
        <w:trPr>
          <w:cnfStyle w:val="100000000000" w:firstRow="1" w:lastRow="0" w:firstColumn="0" w:lastColumn="0" w:oddVBand="0" w:evenVBand="0" w:oddHBand="0" w:evenHBand="0" w:firstRowFirstColumn="0" w:firstRowLastColumn="0" w:lastRowFirstColumn="0" w:lastRowLastColumn="0"/>
          <w:trHeight w:val="408"/>
          <w:tblHeader/>
        </w:trPr>
        <w:tc>
          <w:tcPr>
            <w:tcW w:w="2977" w:type="dxa"/>
            <w:vAlign w:val="center"/>
          </w:tcPr>
          <w:p w14:paraId="4857B183" w14:textId="77777777" w:rsidR="00A33525" w:rsidRPr="00D862CF" w:rsidRDefault="00A33525" w:rsidP="00673EF5">
            <w:pPr>
              <w:pStyle w:val="10Tabletext"/>
              <w:rPr>
                <w:rFonts w:ascii="Calibri" w:hAnsi="Calibri" w:cs="Calibri"/>
                <w:b w:val="0"/>
                <w:color w:val="FFFFFF" w:themeColor="background2"/>
              </w:rPr>
            </w:pPr>
            <w:r w:rsidRPr="00D862CF">
              <w:rPr>
                <w:rFonts w:ascii="Calibri" w:hAnsi="Calibri" w:cs="Calibri"/>
                <w:color w:val="FFFFFF" w:themeColor="background2"/>
              </w:rPr>
              <w:t xml:space="preserve">Term or abbreviation </w:t>
            </w:r>
          </w:p>
        </w:tc>
        <w:tc>
          <w:tcPr>
            <w:tcW w:w="5670" w:type="dxa"/>
            <w:vAlign w:val="center"/>
          </w:tcPr>
          <w:p w14:paraId="6741C0DC" w14:textId="77777777" w:rsidR="00A33525" w:rsidRPr="00D862CF" w:rsidRDefault="00A33525" w:rsidP="00673EF5">
            <w:pPr>
              <w:pStyle w:val="10Tabletext"/>
              <w:rPr>
                <w:rFonts w:ascii="Calibri" w:eastAsia="Arial Narrow" w:hAnsi="Calibri" w:cs="Calibri"/>
                <w:b w:val="0"/>
                <w:color w:val="FFFFFF" w:themeColor="background2"/>
              </w:rPr>
            </w:pPr>
            <w:r w:rsidRPr="00D862CF">
              <w:rPr>
                <w:rFonts w:ascii="Calibri" w:hAnsi="Calibri" w:cs="Calibri"/>
                <w:color w:val="FFFFFF" w:themeColor="background2"/>
              </w:rPr>
              <w:t xml:space="preserve">Definition </w:t>
            </w:r>
          </w:p>
        </w:tc>
      </w:tr>
      <w:tr w:rsidR="00655D11" w:rsidRPr="009E4C4A" w14:paraId="4B8DE7EA" w14:textId="77777777" w:rsidTr="00D862CF">
        <w:trPr>
          <w:trHeight w:val="408"/>
        </w:trPr>
        <w:tc>
          <w:tcPr>
            <w:tcW w:w="2977" w:type="dxa"/>
          </w:tcPr>
          <w:p w14:paraId="5B453549" w14:textId="1F321283" w:rsidR="00655D11" w:rsidRPr="00B81B48" w:rsidRDefault="00655D11" w:rsidP="00F75AC4">
            <w:pPr>
              <w:pStyle w:val="10Tabletext"/>
              <w:rPr>
                <w:rFonts w:cs="Calibri Light"/>
                <w:color w:val="auto"/>
              </w:rPr>
            </w:pPr>
            <w:r w:rsidRPr="00B81B48">
              <w:rPr>
                <w:rFonts w:cs="Calibri Light"/>
                <w:color w:val="auto"/>
              </w:rPr>
              <w:t>202</w:t>
            </w:r>
            <w:r w:rsidR="00B81B48" w:rsidRPr="00B81B48">
              <w:rPr>
                <w:rFonts w:cs="Calibri Light"/>
                <w:color w:val="auto"/>
              </w:rPr>
              <w:t>3</w:t>
            </w:r>
            <w:r w:rsidRPr="00B81B48">
              <w:rPr>
                <w:rFonts w:cs="Calibri Light"/>
                <w:color w:val="auto"/>
              </w:rPr>
              <w:t xml:space="preserve"> Local Government Annual Adjustment Determination</w:t>
            </w:r>
          </w:p>
        </w:tc>
        <w:tc>
          <w:tcPr>
            <w:tcW w:w="5670" w:type="dxa"/>
          </w:tcPr>
          <w:p w14:paraId="091A286F" w14:textId="5EFCDC5E" w:rsidR="00655D11" w:rsidRPr="00DF7646" w:rsidRDefault="00655D11" w:rsidP="00F75AC4">
            <w:pPr>
              <w:pStyle w:val="10Tabletext"/>
              <w:rPr>
                <w:rFonts w:cs="Calibri Light"/>
                <w:i/>
                <w:color w:val="auto"/>
              </w:rPr>
            </w:pPr>
            <w:r w:rsidRPr="00B81B48">
              <w:rPr>
                <w:rFonts w:cs="Calibri Light"/>
                <w:i/>
                <w:color w:val="auto"/>
              </w:rPr>
              <w:t>Allowance payable to Mayors, Deputy Mayors and Councillors (Victoria) Annual Adjustment Determination 202</w:t>
            </w:r>
            <w:r w:rsidR="00B81B48" w:rsidRPr="00B81B48">
              <w:rPr>
                <w:rFonts w:cs="Calibri Light"/>
                <w:i/>
                <w:color w:val="auto"/>
              </w:rPr>
              <w:t>3</w:t>
            </w:r>
          </w:p>
        </w:tc>
      </w:tr>
      <w:tr w:rsidR="00655D11" w:rsidRPr="009E4C4A" w14:paraId="6D6BF99A" w14:textId="77777777" w:rsidTr="00D862CF">
        <w:trPr>
          <w:trHeight w:val="408"/>
        </w:trPr>
        <w:tc>
          <w:tcPr>
            <w:tcW w:w="2977" w:type="dxa"/>
          </w:tcPr>
          <w:p w14:paraId="463C3035" w14:textId="09981377" w:rsidR="00655D11" w:rsidRPr="00DF7646" w:rsidRDefault="00655D11" w:rsidP="00F75AC4">
            <w:pPr>
              <w:pStyle w:val="10Tabletext"/>
              <w:rPr>
                <w:rFonts w:cs="Calibri Light"/>
                <w:color w:val="auto"/>
              </w:rPr>
            </w:pPr>
            <w:r w:rsidRPr="00DF7646">
              <w:rPr>
                <w:rFonts w:cs="Calibri Light"/>
                <w:color w:val="auto"/>
              </w:rPr>
              <w:t>202</w:t>
            </w:r>
            <w:r w:rsidR="004A0C53" w:rsidRPr="00DF7646">
              <w:rPr>
                <w:rFonts w:cs="Calibri Light"/>
                <w:color w:val="auto"/>
              </w:rPr>
              <w:t>4</w:t>
            </w:r>
            <w:r w:rsidRPr="00DF7646">
              <w:rPr>
                <w:rFonts w:cs="Calibri Light"/>
                <w:color w:val="auto"/>
              </w:rPr>
              <w:t xml:space="preserve"> Local Government Annual Adjustment Determination</w:t>
            </w:r>
          </w:p>
        </w:tc>
        <w:tc>
          <w:tcPr>
            <w:tcW w:w="5670" w:type="dxa"/>
          </w:tcPr>
          <w:p w14:paraId="0E12419E" w14:textId="7BF6A0BA" w:rsidR="00655D11" w:rsidRPr="00DF7646" w:rsidRDefault="00655D11" w:rsidP="00F75AC4">
            <w:pPr>
              <w:pStyle w:val="10Tabletext"/>
              <w:rPr>
                <w:rFonts w:cs="Calibri Light"/>
                <w:i/>
                <w:color w:val="auto"/>
              </w:rPr>
            </w:pPr>
            <w:r w:rsidRPr="00DF7646">
              <w:rPr>
                <w:rFonts w:cs="Calibri Light"/>
                <w:i/>
                <w:color w:val="auto"/>
              </w:rPr>
              <w:t>Allowance payable to Mayors, Deputy Mayors and Councillors (Victoria) Annual Adjustment Determination 202</w:t>
            </w:r>
            <w:r w:rsidR="004A0C53" w:rsidRPr="00DF7646">
              <w:rPr>
                <w:rFonts w:cs="Calibri Light"/>
                <w:i/>
                <w:color w:val="auto"/>
              </w:rPr>
              <w:t>4</w:t>
            </w:r>
          </w:p>
        </w:tc>
      </w:tr>
      <w:tr w:rsidR="00A33525" w:rsidRPr="009E4C4A" w14:paraId="5BF83A3C" w14:textId="77777777" w:rsidTr="00D862CF">
        <w:trPr>
          <w:trHeight w:val="408"/>
        </w:trPr>
        <w:tc>
          <w:tcPr>
            <w:tcW w:w="2977" w:type="dxa"/>
          </w:tcPr>
          <w:p w14:paraId="27BE5A49" w14:textId="21BB253D" w:rsidR="00A33525" w:rsidRPr="00B81B48" w:rsidRDefault="009C2607" w:rsidP="00F75AC4">
            <w:pPr>
              <w:pStyle w:val="10Tabletext"/>
              <w:rPr>
                <w:rFonts w:cs="Calibri Light"/>
                <w:color w:val="auto"/>
              </w:rPr>
            </w:pPr>
            <w:r w:rsidRPr="00B81B48">
              <w:rPr>
                <w:rFonts w:cs="Calibri Light"/>
                <w:color w:val="auto"/>
              </w:rPr>
              <w:t>ABS</w:t>
            </w:r>
          </w:p>
        </w:tc>
        <w:tc>
          <w:tcPr>
            <w:tcW w:w="5670" w:type="dxa"/>
          </w:tcPr>
          <w:p w14:paraId="4C9A7145" w14:textId="1E3DD1A3" w:rsidR="00A33525" w:rsidRPr="00B81B48" w:rsidRDefault="009C2607" w:rsidP="00F75AC4">
            <w:pPr>
              <w:pStyle w:val="10Tabletext"/>
              <w:rPr>
                <w:rFonts w:cs="Calibri Light"/>
                <w:color w:val="auto"/>
              </w:rPr>
            </w:pPr>
            <w:r w:rsidRPr="00B81B48">
              <w:rPr>
                <w:rFonts w:cs="Calibri Light"/>
                <w:color w:val="auto"/>
              </w:rPr>
              <w:t>Australian Bureau of Statistics</w:t>
            </w:r>
          </w:p>
        </w:tc>
      </w:tr>
      <w:tr w:rsidR="00304D61" w:rsidRPr="009E4C4A" w14:paraId="7DBAFFC6" w14:textId="77777777" w:rsidTr="00D862CF">
        <w:trPr>
          <w:trHeight w:val="408"/>
        </w:trPr>
        <w:tc>
          <w:tcPr>
            <w:tcW w:w="2977" w:type="dxa"/>
          </w:tcPr>
          <w:p w14:paraId="465DD1FE" w14:textId="7E35C682" w:rsidR="00304D61" w:rsidRPr="00DF7646" w:rsidRDefault="00304D61" w:rsidP="00F75AC4">
            <w:pPr>
              <w:pStyle w:val="10Tabletext"/>
              <w:rPr>
                <w:rFonts w:cs="Calibri Light"/>
                <w:color w:val="auto"/>
              </w:rPr>
            </w:pPr>
            <w:r w:rsidRPr="00DF7646">
              <w:rPr>
                <w:rFonts w:cs="Calibri Light"/>
                <w:color w:val="auto"/>
              </w:rPr>
              <w:t>Comprehensive Determination</w:t>
            </w:r>
          </w:p>
        </w:tc>
        <w:tc>
          <w:tcPr>
            <w:tcW w:w="5670" w:type="dxa"/>
          </w:tcPr>
          <w:p w14:paraId="184DDA43" w14:textId="30141320" w:rsidR="00304D61" w:rsidRPr="00DF7646" w:rsidRDefault="00304D61" w:rsidP="00F75AC4">
            <w:pPr>
              <w:pStyle w:val="10Tabletext"/>
              <w:rPr>
                <w:rFonts w:cs="Calibri Light"/>
                <w:i/>
                <w:color w:val="auto"/>
              </w:rPr>
            </w:pPr>
            <w:r w:rsidRPr="00DF7646">
              <w:rPr>
                <w:rFonts w:cs="Calibri Light"/>
                <w:i/>
                <w:color w:val="auto"/>
              </w:rPr>
              <w:t>Allowance payable to Mayors, Deputy Mayors and Councillors (Victoria) Determination No. 01/2022</w:t>
            </w:r>
          </w:p>
        </w:tc>
      </w:tr>
      <w:tr w:rsidR="00AA5825" w:rsidRPr="009E4C4A" w14:paraId="0857FF04" w14:textId="77777777" w:rsidTr="00D862CF">
        <w:trPr>
          <w:trHeight w:val="408"/>
        </w:trPr>
        <w:tc>
          <w:tcPr>
            <w:tcW w:w="2977" w:type="dxa"/>
          </w:tcPr>
          <w:p w14:paraId="0BD88C5D" w14:textId="3BD74794" w:rsidR="00AA5825" w:rsidRPr="00DF7646" w:rsidRDefault="00AA5825" w:rsidP="00F75AC4">
            <w:pPr>
              <w:pStyle w:val="10Tabletext"/>
              <w:rPr>
                <w:rFonts w:cs="Calibri Light"/>
                <w:color w:val="auto"/>
              </w:rPr>
            </w:pPr>
            <w:r w:rsidRPr="00DF7646">
              <w:rPr>
                <w:rFonts w:cs="Calibri Light"/>
                <w:color w:val="auto"/>
              </w:rPr>
              <w:t>Council member</w:t>
            </w:r>
          </w:p>
        </w:tc>
        <w:tc>
          <w:tcPr>
            <w:tcW w:w="5670" w:type="dxa"/>
          </w:tcPr>
          <w:p w14:paraId="0D8D7F44" w14:textId="6D76DC24" w:rsidR="00AA5825" w:rsidRPr="00DF7646" w:rsidRDefault="00901250" w:rsidP="00F75AC4">
            <w:pPr>
              <w:pStyle w:val="10Tabletext"/>
              <w:rPr>
                <w:rFonts w:cs="Calibri Light"/>
                <w:color w:val="auto"/>
              </w:rPr>
            </w:pPr>
            <w:r w:rsidRPr="00DF7646">
              <w:rPr>
                <w:rFonts w:cs="Calibri Light"/>
                <w:color w:val="auto"/>
              </w:rPr>
              <w:t>A Mayor, Deputy Mayor or Councillor</w:t>
            </w:r>
          </w:p>
        </w:tc>
      </w:tr>
      <w:tr w:rsidR="00A33525" w:rsidRPr="009E4C4A" w14:paraId="42333639" w14:textId="77777777" w:rsidTr="00D862CF">
        <w:trPr>
          <w:trHeight w:val="408"/>
        </w:trPr>
        <w:tc>
          <w:tcPr>
            <w:tcW w:w="2977" w:type="dxa"/>
          </w:tcPr>
          <w:p w14:paraId="431DF819" w14:textId="176C8DEF" w:rsidR="00A33525" w:rsidRPr="00B81B48" w:rsidRDefault="00517661" w:rsidP="00F75AC4">
            <w:pPr>
              <w:pStyle w:val="10Tabletext"/>
              <w:rPr>
                <w:rFonts w:cs="Calibri Light"/>
                <w:color w:val="auto"/>
              </w:rPr>
            </w:pPr>
            <w:r w:rsidRPr="00B81B48">
              <w:rPr>
                <w:rFonts w:cs="Calibri Light"/>
                <w:color w:val="auto"/>
              </w:rPr>
              <w:t>CPI</w:t>
            </w:r>
          </w:p>
        </w:tc>
        <w:tc>
          <w:tcPr>
            <w:tcW w:w="5670" w:type="dxa"/>
          </w:tcPr>
          <w:p w14:paraId="6FC3B63D" w14:textId="5482C57A" w:rsidR="00A33525" w:rsidRPr="00B81B48" w:rsidRDefault="00517661" w:rsidP="00F75AC4">
            <w:pPr>
              <w:pStyle w:val="10Tabletext"/>
              <w:rPr>
                <w:rFonts w:cs="Calibri Light"/>
                <w:color w:val="auto"/>
              </w:rPr>
            </w:pPr>
            <w:r w:rsidRPr="00B81B48">
              <w:rPr>
                <w:rFonts w:cs="Calibri Light"/>
                <w:color w:val="auto"/>
              </w:rPr>
              <w:t>Consumer Price Index</w:t>
            </w:r>
          </w:p>
        </w:tc>
      </w:tr>
      <w:tr w:rsidR="0062346F" w:rsidRPr="009E4C4A" w14:paraId="344FEE98" w14:textId="77777777" w:rsidTr="00D862CF">
        <w:trPr>
          <w:trHeight w:val="408"/>
        </w:trPr>
        <w:tc>
          <w:tcPr>
            <w:tcW w:w="2977" w:type="dxa"/>
          </w:tcPr>
          <w:p w14:paraId="5B416AAA" w14:textId="2D18213C" w:rsidR="0062346F" w:rsidRPr="00B81B48" w:rsidRDefault="0062346F" w:rsidP="00F75AC4">
            <w:pPr>
              <w:pStyle w:val="10Tabletext"/>
              <w:rPr>
                <w:rFonts w:cs="Calibri Light"/>
                <w:color w:val="auto"/>
              </w:rPr>
            </w:pPr>
            <w:r w:rsidRPr="00B81B48">
              <w:rPr>
                <w:rFonts w:cs="Calibri Light"/>
                <w:color w:val="auto"/>
              </w:rPr>
              <w:t>DTF</w:t>
            </w:r>
          </w:p>
        </w:tc>
        <w:tc>
          <w:tcPr>
            <w:tcW w:w="5670" w:type="dxa"/>
          </w:tcPr>
          <w:p w14:paraId="77A5F25E" w14:textId="6AA97043" w:rsidR="0062346F" w:rsidRPr="00B81B48" w:rsidRDefault="0062346F" w:rsidP="00F75AC4">
            <w:pPr>
              <w:pStyle w:val="10Tabletext"/>
              <w:rPr>
                <w:rFonts w:cs="Calibri Light"/>
                <w:color w:val="auto"/>
              </w:rPr>
            </w:pPr>
            <w:r w:rsidRPr="00B81B48">
              <w:rPr>
                <w:rFonts w:cs="Calibri Light"/>
                <w:color w:val="auto"/>
              </w:rPr>
              <w:t>Department of Treasury and Finance</w:t>
            </w:r>
          </w:p>
        </w:tc>
      </w:tr>
      <w:tr w:rsidR="003652B2" w:rsidRPr="009E4C4A" w14:paraId="73EAFDB2" w14:textId="77777777" w:rsidTr="00D862CF">
        <w:trPr>
          <w:trHeight w:val="408"/>
        </w:trPr>
        <w:tc>
          <w:tcPr>
            <w:tcW w:w="2977" w:type="dxa"/>
          </w:tcPr>
          <w:p w14:paraId="267D78D3" w14:textId="3E9B08C0" w:rsidR="003652B2" w:rsidRPr="00B81B48" w:rsidRDefault="003652B2" w:rsidP="00F75AC4">
            <w:pPr>
              <w:pStyle w:val="10Tabletext"/>
              <w:rPr>
                <w:rFonts w:cs="Calibri Light"/>
                <w:color w:val="auto"/>
              </w:rPr>
            </w:pPr>
            <w:r>
              <w:rPr>
                <w:rFonts w:cs="Calibri Light"/>
                <w:color w:val="auto"/>
              </w:rPr>
              <w:t>EA</w:t>
            </w:r>
          </w:p>
        </w:tc>
        <w:tc>
          <w:tcPr>
            <w:tcW w:w="5670" w:type="dxa"/>
          </w:tcPr>
          <w:p w14:paraId="36910148" w14:textId="5CAB8591" w:rsidR="003652B2" w:rsidRPr="00B81B48" w:rsidRDefault="003652B2" w:rsidP="00F75AC4">
            <w:pPr>
              <w:pStyle w:val="10Tabletext"/>
              <w:rPr>
                <w:rFonts w:cs="Calibri Light"/>
                <w:color w:val="auto"/>
              </w:rPr>
            </w:pPr>
            <w:r>
              <w:rPr>
                <w:rFonts w:cs="Calibri Light"/>
                <w:color w:val="auto"/>
              </w:rPr>
              <w:t>Enterprise Agreement</w:t>
            </w:r>
          </w:p>
        </w:tc>
      </w:tr>
      <w:tr w:rsidR="00B81B48" w:rsidRPr="009E4C4A" w14:paraId="6843F402" w14:textId="77777777" w:rsidTr="00D862CF">
        <w:trPr>
          <w:trHeight w:val="408"/>
        </w:trPr>
        <w:tc>
          <w:tcPr>
            <w:tcW w:w="2977" w:type="dxa"/>
          </w:tcPr>
          <w:p w14:paraId="2F58BB6A" w14:textId="469A312C" w:rsidR="00B81B48" w:rsidRPr="00B81B48" w:rsidRDefault="00B81B48" w:rsidP="00F75AC4">
            <w:pPr>
              <w:pStyle w:val="10Tabletext"/>
              <w:rPr>
                <w:rFonts w:cs="Calibri Light"/>
                <w:color w:val="auto"/>
              </w:rPr>
            </w:pPr>
            <w:r>
              <w:rPr>
                <w:rFonts w:cs="Calibri Light"/>
                <w:color w:val="auto"/>
              </w:rPr>
              <w:t>ESC</w:t>
            </w:r>
          </w:p>
        </w:tc>
        <w:tc>
          <w:tcPr>
            <w:tcW w:w="5670" w:type="dxa"/>
          </w:tcPr>
          <w:p w14:paraId="7A1A9145" w14:textId="5D354E2E" w:rsidR="00B81B48" w:rsidRPr="00B81B48" w:rsidRDefault="00B81B48" w:rsidP="00F75AC4">
            <w:pPr>
              <w:pStyle w:val="10Tabletext"/>
              <w:rPr>
                <w:rFonts w:cs="Calibri Light"/>
                <w:color w:val="auto"/>
              </w:rPr>
            </w:pPr>
            <w:r>
              <w:rPr>
                <w:rFonts w:cs="Calibri Light"/>
                <w:color w:val="auto"/>
              </w:rPr>
              <w:t xml:space="preserve">Essential Services Commission </w:t>
            </w:r>
          </w:p>
        </w:tc>
      </w:tr>
      <w:tr w:rsidR="00237885" w:rsidRPr="009E4C4A" w14:paraId="644D7ECC" w14:textId="77777777" w:rsidTr="00D862CF">
        <w:trPr>
          <w:trHeight w:val="408"/>
        </w:trPr>
        <w:tc>
          <w:tcPr>
            <w:tcW w:w="2977" w:type="dxa"/>
          </w:tcPr>
          <w:p w14:paraId="46C33BAB" w14:textId="7DEEFF64" w:rsidR="00237885" w:rsidRPr="00B81B48" w:rsidRDefault="00237885" w:rsidP="00F75AC4">
            <w:pPr>
              <w:pStyle w:val="10Tabletext"/>
              <w:rPr>
                <w:rFonts w:cs="Calibri Light"/>
                <w:color w:val="auto"/>
              </w:rPr>
            </w:pPr>
            <w:r w:rsidRPr="00B81B48">
              <w:rPr>
                <w:rFonts w:cs="Calibri Light"/>
                <w:color w:val="auto"/>
              </w:rPr>
              <w:t>FWC</w:t>
            </w:r>
          </w:p>
        </w:tc>
        <w:tc>
          <w:tcPr>
            <w:tcW w:w="5670" w:type="dxa"/>
          </w:tcPr>
          <w:p w14:paraId="4AD4E477" w14:textId="6BE4847C" w:rsidR="00237885" w:rsidRPr="00B81B48" w:rsidRDefault="00237885" w:rsidP="00F75AC4">
            <w:pPr>
              <w:pStyle w:val="10Tabletext"/>
              <w:rPr>
                <w:rFonts w:cs="Calibri Light"/>
                <w:color w:val="auto"/>
              </w:rPr>
            </w:pPr>
            <w:r w:rsidRPr="00B81B48">
              <w:rPr>
                <w:rFonts w:cs="Calibri Light"/>
                <w:color w:val="auto"/>
              </w:rPr>
              <w:t>Fair Work Commission</w:t>
            </w:r>
          </w:p>
        </w:tc>
      </w:tr>
      <w:tr w:rsidR="00A35026" w:rsidRPr="009E4C4A" w14:paraId="4FD24CF3" w14:textId="77777777" w:rsidTr="00D862CF">
        <w:trPr>
          <w:trHeight w:val="408"/>
        </w:trPr>
        <w:tc>
          <w:tcPr>
            <w:tcW w:w="2977" w:type="dxa"/>
          </w:tcPr>
          <w:p w14:paraId="6EB6D2C3" w14:textId="6393BCFF" w:rsidR="00A35026" w:rsidRPr="00B81B48" w:rsidRDefault="00A35026" w:rsidP="00F75AC4">
            <w:pPr>
              <w:pStyle w:val="10Tabletext"/>
              <w:rPr>
                <w:rFonts w:cs="Calibri Light"/>
                <w:color w:val="auto"/>
              </w:rPr>
            </w:pPr>
            <w:r w:rsidRPr="00B81B48">
              <w:rPr>
                <w:rFonts w:cs="Calibri Light"/>
                <w:color w:val="auto"/>
              </w:rPr>
              <w:t>GDP</w:t>
            </w:r>
          </w:p>
        </w:tc>
        <w:tc>
          <w:tcPr>
            <w:tcW w:w="5670" w:type="dxa"/>
          </w:tcPr>
          <w:p w14:paraId="76C07195" w14:textId="741BA4A3" w:rsidR="00A35026" w:rsidRPr="00B81B48" w:rsidRDefault="00A35026" w:rsidP="00F75AC4">
            <w:pPr>
              <w:pStyle w:val="10Tabletext"/>
              <w:rPr>
                <w:rFonts w:cs="Calibri Light"/>
                <w:color w:val="auto"/>
              </w:rPr>
            </w:pPr>
            <w:r w:rsidRPr="00B81B48">
              <w:rPr>
                <w:rFonts w:cs="Calibri Light"/>
                <w:color w:val="auto"/>
              </w:rPr>
              <w:t>Gross Domestic Product</w:t>
            </w:r>
          </w:p>
        </w:tc>
      </w:tr>
      <w:tr w:rsidR="003652B2" w:rsidRPr="009E4C4A" w14:paraId="6329EC8A" w14:textId="77777777" w:rsidTr="00D862CF">
        <w:trPr>
          <w:trHeight w:val="408"/>
        </w:trPr>
        <w:tc>
          <w:tcPr>
            <w:tcW w:w="2977" w:type="dxa"/>
          </w:tcPr>
          <w:p w14:paraId="20DB3F54" w14:textId="3D469DCB" w:rsidR="003652B2" w:rsidRPr="00B81B48" w:rsidRDefault="003652B2" w:rsidP="00F75AC4">
            <w:pPr>
              <w:pStyle w:val="10Tabletext"/>
              <w:rPr>
                <w:rFonts w:cs="Calibri Light"/>
                <w:color w:val="auto"/>
              </w:rPr>
            </w:pPr>
            <w:r>
              <w:rPr>
                <w:rFonts w:cs="Calibri Light"/>
                <w:color w:val="auto"/>
              </w:rPr>
              <w:t>GGS</w:t>
            </w:r>
          </w:p>
        </w:tc>
        <w:tc>
          <w:tcPr>
            <w:tcW w:w="5670" w:type="dxa"/>
          </w:tcPr>
          <w:p w14:paraId="1619499E" w14:textId="68CCAB34" w:rsidR="003652B2" w:rsidRPr="00B81B48" w:rsidRDefault="003652B2" w:rsidP="00F75AC4">
            <w:pPr>
              <w:pStyle w:val="10Tabletext"/>
              <w:rPr>
                <w:rFonts w:cs="Calibri Light"/>
                <w:color w:val="auto"/>
              </w:rPr>
            </w:pPr>
            <w:r>
              <w:rPr>
                <w:rFonts w:cs="Calibri Light"/>
                <w:color w:val="auto"/>
              </w:rPr>
              <w:t>General Government Sector</w:t>
            </w:r>
          </w:p>
        </w:tc>
      </w:tr>
      <w:tr w:rsidR="00867636" w:rsidRPr="009E4C4A" w14:paraId="1798C289" w14:textId="77777777" w:rsidTr="00D862CF">
        <w:trPr>
          <w:trHeight w:val="408"/>
        </w:trPr>
        <w:tc>
          <w:tcPr>
            <w:tcW w:w="2977" w:type="dxa"/>
          </w:tcPr>
          <w:p w14:paraId="3C18749B" w14:textId="12B95E4A" w:rsidR="00867636" w:rsidRPr="00B81B48" w:rsidRDefault="00867636" w:rsidP="00F75AC4">
            <w:pPr>
              <w:pStyle w:val="10Tabletext"/>
              <w:rPr>
                <w:rFonts w:cs="Calibri Light"/>
                <w:color w:val="auto"/>
              </w:rPr>
            </w:pPr>
            <w:r w:rsidRPr="00B81B48">
              <w:rPr>
                <w:rFonts w:cs="Calibri Light"/>
                <w:color w:val="auto"/>
              </w:rPr>
              <w:t>GSP</w:t>
            </w:r>
          </w:p>
        </w:tc>
        <w:tc>
          <w:tcPr>
            <w:tcW w:w="5670" w:type="dxa"/>
          </w:tcPr>
          <w:p w14:paraId="113E2186" w14:textId="387A42FC" w:rsidR="00867636" w:rsidRPr="00B81B48" w:rsidRDefault="00867636" w:rsidP="00F75AC4">
            <w:pPr>
              <w:pStyle w:val="10Tabletext"/>
              <w:rPr>
                <w:rFonts w:cs="Calibri Light"/>
                <w:color w:val="auto"/>
              </w:rPr>
            </w:pPr>
            <w:r w:rsidRPr="00B81B48">
              <w:rPr>
                <w:rFonts w:cs="Calibri Light"/>
                <w:color w:val="auto"/>
              </w:rPr>
              <w:t>Gross State Product</w:t>
            </w:r>
          </w:p>
        </w:tc>
      </w:tr>
      <w:tr w:rsidR="007D561D" w:rsidRPr="009E4C4A" w14:paraId="35753DB0" w14:textId="77777777" w:rsidTr="00D862CF">
        <w:trPr>
          <w:trHeight w:val="408"/>
        </w:trPr>
        <w:tc>
          <w:tcPr>
            <w:tcW w:w="2977" w:type="dxa"/>
          </w:tcPr>
          <w:p w14:paraId="69E83C6F" w14:textId="0B48A11F" w:rsidR="007D561D" w:rsidRPr="00B81B48" w:rsidRDefault="007D561D" w:rsidP="00F75AC4">
            <w:pPr>
              <w:pStyle w:val="10Tabletext"/>
              <w:rPr>
                <w:rFonts w:cs="Calibri Light"/>
                <w:color w:val="auto"/>
              </w:rPr>
            </w:pPr>
            <w:r w:rsidRPr="00B81B48">
              <w:rPr>
                <w:rFonts w:cs="Calibri Light"/>
                <w:color w:val="auto"/>
              </w:rPr>
              <w:t>MP</w:t>
            </w:r>
          </w:p>
        </w:tc>
        <w:tc>
          <w:tcPr>
            <w:tcW w:w="5670" w:type="dxa"/>
          </w:tcPr>
          <w:p w14:paraId="0D634C5D" w14:textId="3F8373D2" w:rsidR="007D561D" w:rsidRPr="00B81B48" w:rsidRDefault="007D561D" w:rsidP="00F75AC4">
            <w:pPr>
              <w:pStyle w:val="10Tabletext"/>
              <w:rPr>
                <w:rFonts w:cs="Calibri Light"/>
                <w:color w:val="auto"/>
              </w:rPr>
            </w:pPr>
            <w:r w:rsidRPr="00B81B48">
              <w:rPr>
                <w:rFonts w:cs="Calibri Light"/>
                <w:color w:val="auto"/>
              </w:rPr>
              <w:t>Member of the Parliament of Victoria</w:t>
            </w:r>
          </w:p>
        </w:tc>
      </w:tr>
      <w:tr w:rsidR="004361D2" w:rsidRPr="009E4C4A" w14:paraId="7E042714" w14:textId="77777777" w:rsidTr="00D862CF">
        <w:trPr>
          <w:trHeight w:val="408"/>
        </w:trPr>
        <w:tc>
          <w:tcPr>
            <w:tcW w:w="2977" w:type="dxa"/>
          </w:tcPr>
          <w:p w14:paraId="623530B0" w14:textId="3B1645B6" w:rsidR="004361D2" w:rsidRPr="00B81B48" w:rsidRDefault="004361D2" w:rsidP="00F75AC4">
            <w:pPr>
              <w:pStyle w:val="10Tabletext"/>
              <w:rPr>
                <w:rFonts w:cs="Calibri Light"/>
                <w:color w:val="auto"/>
              </w:rPr>
            </w:pPr>
            <w:r w:rsidRPr="00B81B48">
              <w:rPr>
                <w:rFonts w:cs="Calibri Light"/>
                <w:color w:val="auto"/>
              </w:rPr>
              <w:t>RBA</w:t>
            </w:r>
          </w:p>
        </w:tc>
        <w:tc>
          <w:tcPr>
            <w:tcW w:w="5670" w:type="dxa"/>
          </w:tcPr>
          <w:p w14:paraId="2D99BD69" w14:textId="12ADF873" w:rsidR="004361D2" w:rsidRPr="00B81B48" w:rsidRDefault="004361D2" w:rsidP="00F75AC4">
            <w:pPr>
              <w:pStyle w:val="10Tabletext"/>
              <w:rPr>
                <w:rFonts w:cs="Calibri Light"/>
                <w:color w:val="auto"/>
              </w:rPr>
            </w:pPr>
            <w:r w:rsidRPr="00B81B48">
              <w:rPr>
                <w:rFonts w:cs="Calibri Light"/>
                <w:color w:val="auto"/>
              </w:rPr>
              <w:t>Reserve Bank of Australia</w:t>
            </w:r>
          </w:p>
        </w:tc>
      </w:tr>
      <w:tr w:rsidR="001456F5" w:rsidRPr="009E4C4A" w14:paraId="4A69CC96" w14:textId="77777777" w:rsidTr="00D862CF">
        <w:trPr>
          <w:trHeight w:val="408"/>
        </w:trPr>
        <w:tc>
          <w:tcPr>
            <w:tcW w:w="2977" w:type="dxa"/>
          </w:tcPr>
          <w:p w14:paraId="05FB85AC" w14:textId="55980085" w:rsidR="001456F5" w:rsidRPr="00B81B48" w:rsidRDefault="001456F5" w:rsidP="00F75AC4">
            <w:pPr>
              <w:pStyle w:val="10Tabletext"/>
              <w:rPr>
                <w:rFonts w:cs="Calibri Light"/>
                <w:color w:val="auto"/>
              </w:rPr>
            </w:pPr>
            <w:r w:rsidRPr="00B81B48">
              <w:rPr>
                <w:rFonts w:cs="Calibri Light"/>
                <w:color w:val="auto"/>
              </w:rPr>
              <w:t>Tribunal</w:t>
            </w:r>
          </w:p>
        </w:tc>
        <w:tc>
          <w:tcPr>
            <w:tcW w:w="5670" w:type="dxa"/>
          </w:tcPr>
          <w:p w14:paraId="1D43BB01" w14:textId="74F70E22" w:rsidR="001456F5" w:rsidRPr="00B81B48" w:rsidRDefault="001456F5" w:rsidP="00F75AC4">
            <w:pPr>
              <w:pStyle w:val="10Tabletext"/>
              <w:rPr>
                <w:rFonts w:cs="Calibri Light"/>
                <w:color w:val="auto"/>
              </w:rPr>
            </w:pPr>
            <w:r w:rsidRPr="00B81B48">
              <w:rPr>
                <w:rFonts w:cs="Calibri Light"/>
                <w:color w:val="auto"/>
              </w:rPr>
              <w:t>Victorian Independent Remuneration Tribunal</w:t>
            </w:r>
          </w:p>
        </w:tc>
      </w:tr>
      <w:tr w:rsidR="00B81B48" w:rsidRPr="009E4C4A" w14:paraId="0339DEEF" w14:textId="77777777" w:rsidTr="00D862CF">
        <w:trPr>
          <w:trHeight w:val="408"/>
        </w:trPr>
        <w:tc>
          <w:tcPr>
            <w:tcW w:w="2977" w:type="dxa"/>
          </w:tcPr>
          <w:p w14:paraId="59105CB3" w14:textId="05C9CAE1" w:rsidR="00B81B48" w:rsidRPr="00B81B48" w:rsidRDefault="00B81B48" w:rsidP="00F75AC4">
            <w:pPr>
              <w:pStyle w:val="10Tabletext"/>
              <w:rPr>
                <w:rFonts w:cs="Calibri Light"/>
                <w:color w:val="auto"/>
              </w:rPr>
            </w:pPr>
            <w:r>
              <w:rPr>
                <w:rFonts w:cs="Calibri Light"/>
                <w:color w:val="auto"/>
              </w:rPr>
              <w:t>VAGO</w:t>
            </w:r>
          </w:p>
        </w:tc>
        <w:tc>
          <w:tcPr>
            <w:tcW w:w="5670" w:type="dxa"/>
          </w:tcPr>
          <w:p w14:paraId="63C121C8" w14:textId="657F2D43" w:rsidR="00B81B48" w:rsidRPr="00B81B48" w:rsidRDefault="00B81B48" w:rsidP="00F75AC4">
            <w:pPr>
              <w:pStyle w:val="10Tabletext"/>
              <w:rPr>
                <w:rFonts w:cs="Calibri Light"/>
                <w:color w:val="auto"/>
              </w:rPr>
            </w:pPr>
            <w:r>
              <w:rPr>
                <w:rFonts w:cs="Calibri Light"/>
                <w:color w:val="auto"/>
              </w:rPr>
              <w:t>Victorian Auditor-General’s Office</w:t>
            </w:r>
          </w:p>
        </w:tc>
      </w:tr>
      <w:tr w:rsidR="004C298F" w:rsidRPr="009E4C4A" w14:paraId="3D60FC9E" w14:textId="77777777" w:rsidTr="00D862CF">
        <w:trPr>
          <w:trHeight w:val="408"/>
        </w:trPr>
        <w:tc>
          <w:tcPr>
            <w:tcW w:w="2977" w:type="dxa"/>
          </w:tcPr>
          <w:p w14:paraId="37CC04B2" w14:textId="5C98023F" w:rsidR="004C298F" w:rsidRPr="00B81B48" w:rsidRDefault="004C298F" w:rsidP="00F75AC4">
            <w:pPr>
              <w:pStyle w:val="10Tabletext"/>
              <w:rPr>
                <w:rFonts w:cs="Calibri Light"/>
                <w:color w:val="auto"/>
              </w:rPr>
            </w:pPr>
            <w:r w:rsidRPr="00B81B48">
              <w:rPr>
                <w:rFonts w:cs="Calibri Light"/>
                <w:color w:val="auto"/>
              </w:rPr>
              <w:t>Victorian Budget</w:t>
            </w:r>
          </w:p>
        </w:tc>
        <w:tc>
          <w:tcPr>
            <w:tcW w:w="5670" w:type="dxa"/>
          </w:tcPr>
          <w:p w14:paraId="28DCE59A" w14:textId="56CBFA70" w:rsidR="004C298F" w:rsidRPr="00B81B48" w:rsidRDefault="004C298F" w:rsidP="00F75AC4">
            <w:pPr>
              <w:pStyle w:val="10Tabletext"/>
              <w:rPr>
                <w:rFonts w:cs="Calibri Light"/>
                <w:i/>
                <w:color w:val="auto"/>
              </w:rPr>
            </w:pPr>
            <w:r w:rsidRPr="00B81B48">
              <w:rPr>
                <w:rFonts w:cs="Calibri Light"/>
                <w:i/>
                <w:color w:val="auto"/>
              </w:rPr>
              <w:t>Victorian Budget 202</w:t>
            </w:r>
            <w:r w:rsidR="00B81B48" w:rsidRPr="00B81B48">
              <w:rPr>
                <w:rFonts w:cs="Calibri Light"/>
                <w:i/>
                <w:color w:val="auto"/>
              </w:rPr>
              <w:t>4-</w:t>
            </w:r>
            <w:r w:rsidRPr="00B81B48">
              <w:rPr>
                <w:rFonts w:cs="Calibri Light"/>
                <w:i/>
                <w:color w:val="auto"/>
              </w:rPr>
              <w:t>2</w:t>
            </w:r>
            <w:r w:rsidR="00B81B48" w:rsidRPr="00B81B48">
              <w:rPr>
                <w:rFonts w:cs="Calibri Light"/>
                <w:i/>
                <w:color w:val="auto"/>
              </w:rPr>
              <w:t>5</w:t>
            </w:r>
          </w:p>
        </w:tc>
      </w:tr>
      <w:tr w:rsidR="00816A8E" w:rsidRPr="009E4C4A" w14:paraId="7DF25845" w14:textId="77777777" w:rsidTr="00D862CF">
        <w:trPr>
          <w:trHeight w:val="408"/>
        </w:trPr>
        <w:tc>
          <w:tcPr>
            <w:tcW w:w="2977" w:type="dxa"/>
          </w:tcPr>
          <w:p w14:paraId="7957992E" w14:textId="4502D04D" w:rsidR="00816A8E" w:rsidRPr="00B81B48" w:rsidRDefault="00816A8E" w:rsidP="00F75AC4">
            <w:pPr>
              <w:pStyle w:val="10Tabletext"/>
              <w:rPr>
                <w:rFonts w:cs="Calibri Light"/>
                <w:color w:val="auto"/>
              </w:rPr>
            </w:pPr>
            <w:r>
              <w:rPr>
                <w:rFonts w:cs="Calibri Light"/>
                <w:color w:val="auto"/>
              </w:rPr>
              <w:t>VPS</w:t>
            </w:r>
          </w:p>
        </w:tc>
        <w:tc>
          <w:tcPr>
            <w:tcW w:w="5670" w:type="dxa"/>
          </w:tcPr>
          <w:p w14:paraId="309C799D" w14:textId="3967A067" w:rsidR="00816A8E" w:rsidRPr="00816A8E" w:rsidRDefault="00816A8E" w:rsidP="00F75AC4">
            <w:pPr>
              <w:pStyle w:val="10Tabletext"/>
              <w:rPr>
                <w:rFonts w:cs="Calibri Light"/>
                <w:iCs/>
                <w:color w:val="auto"/>
              </w:rPr>
            </w:pPr>
            <w:r>
              <w:rPr>
                <w:rFonts w:cs="Calibri Light"/>
                <w:iCs/>
                <w:color w:val="auto"/>
              </w:rPr>
              <w:t>Victorian Public Service</w:t>
            </w:r>
          </w:p>
        </w:tc>
      </w:tr>
      <w:tr w:rsidR="00F75AC4" w:rsidRPr="009E4C4A" w14:paraId="4455BD36" w14:textId="77777777" w:rsidTr="00D862CF">
        <w:trPr>
          <w:trHeight w:val="408"/>
        </w:trPr>
        <w:tc>
          <w:tcPr>
            <w:tcW w:w="2977" w:type="dxa"/>
          </w:tcPr>
          <w:p w14:paraId="4F84EE0C" w14:textId="3FA33DF8" w:rsidR="00F75AC4" w:rsidRPr="00B81B48" w:rsidRDefault="00517661" w:rsidP="00F75AC4">
            <w:pPr>
              <w:pStyle w:val="10Tabletext"/>
              <w:rPr>
                <w:rFonts w:cs="Calibri Light"/>
                <w:b/>
                <w:color w:val="auto"/>
              </w:rPr>
            </w:pPr>
            <w:r w:rsidRPr="00B81B48">
              <w:rPr>
                <w:rFonts w:cs="Calibri Light"/>
                <w:color w:val="auto"/>
              </w:rPr>
              <w:t>VIRTIPS Act</w:t>
            </w:r>
          </w:p>
        </w:tc>
        <w:tc>
          <w:tcPr>
            <w:tcW w:w="5670" w:type="dxa"/>
          </w:tcPr>
          <w:p w14:paraId="39AD31A1" w14:textId="506DE249" w:rsidR="00F75AC4" w:rsidRPr="00B81B48" w:rsidRDefault="00517661" w:rsidP="00F75AC4">
            <w:pPr>
              <w:pStyle w:val="10Tabletext"/>
              <w:rPr>
                <w:rFonts w:cs="Calibri Light"/>
                <w:color w:val="auto"/>
              </w:rPr>
            </w:pPr>
            <w:r w:rsidRPr="00B81B48">
              <w:rPr>
                <w:rFonts w:cs="Calibri Light"/>
                <w:i/>
                <w:color w:val="auto"/>
              </w:rPr>
              <w:t>Victorian Independent Remuneration Tribunal and Improving Parliamentary Standards Act 2019</w:t>
            </w:r>
            <w:r w:rsidRPr="00B81B48">
              <w:rPr>
                <w:rFonts w:cs="Calibri Light"/>
                <w:color w:val="auto"/>
              </w:rPr>
              <w:t xml:space="preserve"> (Vic)</w:t>
            </w:r>
          </w:p>
        </w:tc>
      </w:tr>
      <w:tr w:rsidR="00113D4F" w:rsidRPr="009E4C4A" w14:paraId="41A0000D" w14:textId="77777777" w:rsidTr="00D862CF">
        <w:trPr>
          <w:trHeight w:val="408"/>
        </w:trPr>
        <w:tc>
          <w:tcPr>
            <w:tcW w:w="2977" w:type="dxa"/>
          </w:tcPr>
          <w:p w14:paraId="4FD9C6E8" w14:textId="6E0F0B8C" w:rsidR="00113D4F" w:rsidRPr="00B81B48" w:rsidRDefault="00113D4F" w:rsidP="00F75AC4">
            <w:pPr>
              <w:pStyle w:val="10Tabletext"/>
              <w:rPr>
                <w:rFonts w:cs="Calibri Light"/>
                <w:color w:val="auto"/>
              </w:rPr>
            </w:pPr>
            <w:r w:rsidRPr="00B81B48">
              <w:rPr>
                <w:rFonts w:cs="Calibri Light"/>
                <w:color w:val="auto"/>
              </w:rPr>
              <w:t>Wages Policy</w:t>
            </w:r>
          </w:p>
        </w:tc>
        <w:tc>
          <w:tcPr>
            <w:tcW w:w="5670" w:type="dxa"/>
          </w:tcPr>
          <w:p w14:paraId="70B0970F" w14:textId="1A6FB658" w:rsidR="00113D4F" w:rsidRPr="00D745B0" w:rsidRDefault="00D745B0" w:rsidP="00F75AC4">
            <w:pPr>
              <w:pStyle w:val="10Tabletext"/>
              <w:rPr>
                <w:rFonts w:cs="Calibri Light"/>
                <w:i/>
                <w:color w:val="auto"/>
              </w:rPr>
            </w:pPr>
            <w:r w:rsidRPr="00D745B0">
              <w:rPr>
                <w:rFonts w:cs="Calibri Light"/>
                <w:i/>
                <w:iCs/>
                <w:color w:val="auto"/>
              </w:rPr>
              <w:t>Wages Policy and the Enterprise Bargaining Framework</w:t>
            </w:r>
            <w:r>
              <w:rPr>
                <w:rFonts w:cs="Calibri Light"/>
                <w:i/>
                <w:iCs/>
                <w:color w:val="auto"/>
              </w:rPr>
              <w:t xml:space="preserve"> </w:t>
            </w:r>
          </w:p>
        </w:tc>
      </w:tr>
      <w:tr w:rsidR="00525100" w:rsidRPr="003B161C" w14:paraId="384B819E" w14:textId="77777777" w:rsidTr="00D862CF">
        <w:trPr>
          <w:trHeight w:val="408"/>
        </w:trPr>
        <w:tc>
          <w:tcPr>
            <w:tcW w:w="2977" w:type="dxa"/>
          </w:tcPr>
          <w:p w14:paraId="434EB0E4" w14:textId="729418DD" w:rsidR="00525100" w:rsidRPr="00B81B48" w:rsidRDefault="00525100" w:rsidP="00F75AC4">
            <w:pPr>
              <w:pStyle w:val="10Tabletext"/>
              <w:rPr>
                <w:rFonts w:cs="Calibri Light"/>
                <w:color w:val="auto"/>
              </w:rPr>
            </w:pPr>
            <w:r w:rsidRPr="00B81B48">
              <w:rPr>
                <w:rFonts w:cs="Calibri Light"/>
                <w:color w:val="auto"/>
              </w:rPr>
              <w:t>WPI</w:t>
            </w:r>
          </w:p>
        </w:tc>
        <w:tc>
          <w:tcPr>
            <w:tcW w:w="5670" w:type="dxa"/>
          </w:tcPr>
          <w:p w14:paraId="3CE5005B" w14:textId="48027FFF" w:rsidR="00525100" w:rsidRPr="00DF7646" w:rsidRDefault="00525100" w:rsidP="00F75AC4">
            <w:pPr>
              <w:pStyle w:val="10Tabletext"/>
              <w:rPr>
                <w:rFonts w:cs="Calibri Light"/>
                <w:color w:val="auto"/>
              </w:rPr>
            </w:pPr>
            <w:r w:rsidRPr="00B81B48">
              <w:rPr>
                <w:rFonts w:cs="Calibri Light"/>
                <w:color w:val="auto"/>
              </w:rPr>
              <w:t>Wage Price Index</w:t>
            </w:r>
          </w:p>
        </w:tc>
      </w:tr>
    </w:tbl>
    <w:p w14:paraId="0B5D9181" w14:textId="691BCC8B" w:rsidR="00680617" w:rsidRDefault="00680617" w:rsidP="003A788D">
      <w:pPr>
        <w:pStyle w:val="Tabletext"/>
        <w:sectPr w:rsidR="00680617" w:rsidSect="0001367F">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701" w:right="1701" w:bottom="1559" w:left="1701" w:header="708" w:footer="708" w:gutter="0"/>
          <w:cols w:space="708"/>
          <w:titlePg/>
          <w:docGrid w:linePitch="360"/>
        </w:sectPr>
      </w:pPr>
    </w:p>
    <w:p w14:paraId="4463765D" w14:textId="17D49DCD" w:rsidR="00553A6E" w:rsidRDefault="003D7870" w:rsidP="000C1B31">
      <w:pPr>
        <w:pStyle w:val="Style4"/>
      </w:pPr>
      <w:bookmarkStart w:id="29" w:name="_Toc166014294"/>
      <w:bookmarkStart w:id="30" w:name="_Toc169172608"/>
      <w:bookmarkStart w:id="31" w:name="_Toc170383513"/>
      <w:r w:rsidRPr="000C1B31">
        <w:rPr>
          <w:rStyle w:val="01ChapterheadingChar"/>
        </w:rPr>
        <w:lastRenderedPageBreak/>
        <w:t>Summary</w:t>
      </w:r>
      <w:bookmarkEnd w:id="29"/>
      <w:bookmarkEnd w:id="30"/>
      <w:bookmarkEnd w:id="31"/>
      <w:r w:rsidR="00AF4A6A" w:rsidRPr="00127B45">
        <w:br/>
      </w:r>
      <w:r w:rsidR="00553A6E" w:rsidRPr="00C02C39">
        <w:rPr>
          <w:noProof/>
        </w:rPr>
        <w:drawing>
          <wp:inline distT="0" distB="0" distL="0" distR="0" wp14:anchorId="49E5460B" wp14:editId="7BBCE763">
            <wp:extent cx="2222500" cy="2533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0">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296B25B9" w14:textId="7FD867AE" w:rsidR="00C01692" w:rsidRPr="00DF7646" w:rsidRDefault="00E2373E" w:rsidP="00E2373E">
      <w:pPr>
        <w:pStyle w:val="05Paragraph"/>
        <w:rPr>
          <w:rFonts w:cs="Calibri Light"/>
        </w:rPr>
      </w:pPr>
      <w:r w:rsidRPr="00DF7646">
        <w:rPr>
          <w:rFonts w:cs="Calibri Light"/>
        </w:rPr>
        <w:t xml:space="preserve">The Victorian Independent Remuneration Tribunal </w:t>
      </w:r>
      <w:r w:rsidR="00BF6E8B" w:rsidRPr="00DF7646">
        <w:rPr>
          <w:rFonts w:cs="Calibri Light"/>
        </w:rPr>
        <w:t>has made</w:t>
      </w:r>
      <w:r w:rsidRPr="00DF7646">
        <w:rPr>
          <w:rFonts w:cs="Calibri Light"/>
        </w:rPr>
        <w:t xml:space="preserve"> a Determination providing for an annual adjustment to the values of the allowances payable to Mayors, Deputy Mayors and Councillors (Council members).</w:t>
      </w:r>
      <w:r w:rsidR="00B44D05" w:rsidRPr="00DF7646">
        <w:rPr>
          <w:rFonts w:cs="Calibri Light"/>
        </w:rPr>
        <w:t xml:space="preserve"> </w:t>
      </w:r>
    </w:p>
    <w:p w14:paraId="258E4062" w14:textId="10348C14" w:rsidR="00EA6DE7" w:rsidRPr="00DF7646" w:rsidRDefault="00BF6E8B" w:rsidP="00EA6DE7">
      <w:pPr>
        <w:spacing w:before="180" w:after="120" w:line="276" w:lineRule="auto"/>
        <w:jc w:val="both"/>
        <w:rPr>
          <w:rFonts w:ascii="Calibri Light" w:hAnsi="Calibri Light" w:cs="Calibri Light"/>
          <w:color w:val="000000" w:themeColor="text1"/>
          <w:sz w:val="26"/>
          <w:szCs w:val="20"/>
          <w:lang w:val="en-US"/>
        </w:rPr>
      </w:pPr>
      <w:r w:rsidRPr="00DF7646">
        <w:rPr>
          <w:rFonts w:ascii="Calibri Light" w:hAnsi="Calibri Light" w:cs="Calibri Light"/>
          <w:color w:val="000000" w:themeColor="text1"/>
          <w:sz w:val="26"/>
          <w:szCs w:val="20"/>
          <w:lang w:val="en-US"/>
        </w:rPr>
        <w:t>The Tribunal</w:t>
      </w:r>
      <w:r w:rsidR="00B67D42">
        <w:rPr>
          <w:rFonts w:ascii="Calibri Light" w:hAnsi="Calibri Light" w:cs="Calibri Light"/>
          <w:color w:val="000000" w:themeColor="text1"/>
          <w:sz w:val="26"/>
          <w:szCs w:val="20"/>
          <w:lang w:val="en-US"/>
        </w:rPr>
        <w:t>’s</w:t>
      </w:r>
      <w:r w:rsidRPr="00DF7646">
        <w:rPr>
          <w:rFonts w:ascii="Calibri Light" w:hAnsi="Calibri Light" w:cs="Calibri Light"/>
          <w:color w:val="000000" w:themeColor="text1"/>
          <w:sz w:val="26"/>
          <w:szCs w:val="20"/>
          <w:lang w:val="en-US"/>
        </w:rPr>
        <w:t xml:space="preserve"> </w:t>
      </w:r>
      <w:r w:rsidR="00B67D42">
        <w:rPr>
          <w:rFonts w:ascii="Calibri Light" w:hAnsi="Calibri Light" w:cs="Calibri Light"/>
          <w:color w:val="000000" w:themeColor="text1"/>
          <w:sz w:val="26"/>
          <w:szCs w:val="20"/>
          <w:lang w:val="en-US"/>
        </w:rPr>
        <w:t>determination</w:t>
      </w:r>
      <w:r w:rsidRPr="00DF7646">
        <w:rPr>
          <w:rFonts w:ascii="Calibri Light" w:hAnsi="Calibri Light" w:cs="Calibri Light"/>
          <w:color w:val="000000" w:themeColor="text1"/>
          <w:sz w:val="26"/>
          <w:szCs w:val="20"/>
          <w:lang w:val="en-US"/>
        </w:rPr>
        <w:t xml:space="preserve"> increase</w:t>
      </w:r>
      <w:r w:rsidR="00B67D42">
        <w:rPr>
          <w:rFonts w:ascii="Calibri Light" w:hAnsi="Calibri Light" w:cs="Calibri Light"/>
          <w:color w:val="000000" w:themeColor="text1"/>
          <w:sz w:val="26"/>
          <w:szCs w:val="20"/>
          <w:lang w:val="en-US"/>
        </w:rPr>
        <w:t>s</w:t>
      </w:r>
      <w:r w:rsidRPr="00DF7646">
        <w:rPr>
          <w:rFonts w:ascii="Calibri Light" w:hAnsi="Calibri Light" w:cs="Calibri Light"/>
          <w:color w:val="000000" w:themeColor="text1"/>
          <w:sz w:val="26"/>
          <w:szCs w:val="20"/>
          <w:lang w:val="en-US"/>
        </w:rPr>
        <w:t xml:space="preserve"> the base allowance payable to each Council member by </w:t>
      </w:r>
      <w:r w:rsidR="00ED562F" w:rsidRPr="00DF7646">
        <w:rPr>
          <w:rFonts w:ascii="Calibri Light" w:hAnsi="Calibri Light" w:cs="Calibri Light"/>
          <w:color w:val="000000" w:themeColor="text1"/>
          <w:sz w:val="26"/>
          <w:szCs w:val="20"/>
          <w:lang w:val="en-US"/>
        </w:rPr>
        <w:t>3.5</w:t>
      </w:r>
      <w:r w:rsidRPr="00DF7646">
        <w:rPr>
          <w:rFonts w:ascii="Calibri Light" w:hAnsi="Calibri Light" w:cs="Calibri Light"/>
          <w:color w:val="000000" w:themeColor="text1"/>
          <w:sz w:val="26"/>
          <w:szCs w:val="20"/>
          <w:lang w:val="en-US"/>
        </w:rPr>
        <w:t xml:space="preserve"> per cent from 1 July 202</w:t>
      </w:r>
      <w:r w:rsidR="003E6F3F" w:rsidRPr="00DF7646">
        <w:rPr>
          <w:rFonts w:ascii="Calibri Light" w:hAnsi="Calibri Light" w:cs="Calibri Light"/>
          <w:color w:val="000000" w:themeColor="text1"/>
          <w:sz w:val="26"/>
          <w:szCs w:val="20"/>
          <w:lang w:val="en-US"/>
        </w:rPr>
        <w:t>4</w:t>
      </w:r>
      <w:r w:rsidR="00143354">
        <w:rPr>
          <w:rFonts w:ascii="Calibri Light" w:hAnsi="Calibri Light" w:cs="Calibri Light"/>
          <w:color w:val="000000" w:themeColor="text1"/>
          <w:sz w:val="26"/>
          <w:szCs w:val="20"/>
          <w:lang w:val="en-US"/>
        </w:rPr>
        <w:t xml:space="preserve"> as</w:t>
      </w:r>
      <w:r w:rsidR="00EA6DE7" w:rsidRPr="00DF7646">
        <w:rPr>
          <w:rFonts w:ascii="Calibri Light" w:hAnsi="Calibri Light" w:cs="Calibri Light"/>
          <w:color w:val="000000" w:themeColor="text1"/>
          <w:sz w:val="26"/>
          <w:szCs w:val="20"/>
          <w:lang w:val="en-US"/>
        </w:rPr>
        <w:t xml:space="preserve"> set out below:</w:t>
      </w:r>
    </w:p>
    <w:tbl>
      <w:tblPr>
        <w:tblStyle w:val="ListTable3-Accent21"/>
        <w:tblW w:w="8500" w:type="dxa"/>
        <w:tblInd w:w="5" w:type="dxa"/>
        <w:tblLayout w:type="fixed"/>
        <w:tblLook w:val="04A0" w:firstRow="1" w:lastRow="0" w:firstColumn="1" w:lastColumn="0" w:noHBand="0" w:noVBand="1"/>
      </w:tblPr>
      <w:tblGrid>
        <w:gridCol w:w="2972"/>
        <w:gridCol w:w="1843"/>
        <w:gridCol w:w="1984"/>
        <w:gridCol w:w="1701"/>
      </w:tblGrid>
      <w:tr w:rsidR="00EA6DE7" w:rsidRPr="00EA6DE7" w14:paraId="552D430B" w14:textId="77777777" w:rsidTr="00C524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vMerge w:val="restart"/>
          </w:tcPr>
          <w:p w14:paraId="5D48C039" w14:textId="77777777" w:rsidR="00EA6DE7" w:rsidRPr="006263A2" w:rsidRDefault="00EA6DE7" w:rsidP="00281710">
            <w:pPr>
              <w:spacing w:after="0"/>
              <w:rPr>
                <w:rFonts w:ascii="Calibri Light" w:eastAsiaTheme="minorHAnsi" w:hAnsi="Calibri Light"/>
                <w:color w:val="FFFFFF" w:themeColor="background1"/>
                <w:sz w:val="22"/>
              </w:rPr>
            </w:pPr>
            <w:r w:rsidRPr="006263A2">
              <w:rPr>
                <w:rFonts w:ascii="Calibri Light" w:eastAsiaTheme="minorHAnsi" w:hAnsi="Calibri Light"/>
                <w:color w:val="FFFFFF" w:themeColor="background1"/>
                <w:sz w:val="22"/>
              </w:rPr>
              <w:t>Allowance Category</w:t>
            </w:r>
          </w:p>
        </w:tc>
        <w:tc>
          <w:tcPr>
            <w:tcW w:w="5528" w:type="dxa"/>
            <w:gridSpan w:val="3"/>
          </w:tcPr>
          <w:p w14:paraId="4B0335A1" w14:textId="6A5BB633" w:rsidR="00EA6DE7" w:rsidRPr="006263A2" w:rsidRDefault="00EA6DE7" w:rsidP="00281710">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olor w:val="FFFFFF" w:themeColor="background1"/>
                <w:sz w:val="22"/>
                <w:vertAlign w:val="superscript"/>
              </w:rPr>
            </w:pPr>
            <w:r w:rsidRPr="006263A2">
              <w:rPr>
                <w:rFonts w:ascii="Calibri Light" w:eastAsiaTheme="minorHAnsi" w:hAnsi="Calibri Light"/>
                <w:color w:val="FFFFFF" w:themeColor="background1"/>
                <w:sz w:val="22"/>
              </w:rPr>
              <w:t>Value of base allowance from 1 July 202</w:t>
            </w:r>
            <w:r w:rsidR="00661B7B" w:rsidRPr="006263A2">
              <w:rPr>
                <w:rFonts w:ascii="Calibri Light" w:eastAsiaTheme="minorHAnsi" w:hAnsi="Calibri Light"/>
                <w:color w:val="FFFFFF" w:themeColor="background1"/>
                <w:sz w:val="22"/>
              </w:rPr>
              <w:t>4</w:t>
            </w:r>
            <w:r w:rsidRPr="006263A2">
              <w:rPr>
                <w:rFonts w:ascii="Calibri Light" w:eastAsiaTheme="minorHAnsi" w:hAnsi="Calibri Light"/>
                <w:color w:val="FFFFFF" w:themeColor="background1"/>
                <w:sz w:val="22"/>
              </w:rPr>
              <w:t xml:space="preserve"> ($ p.a</w:t>
            </w:r>
            <w:r w:rsidR="00896531">
              <w:rPr>
                <w:rFonts w:ascii="Calibri Light" w:eastAsiaTheme="minorHAnsi" w:hAnsi="Calibri Light"/>
                <w:color w:val="FFFFFF" w:themeColor="background1"/>
                <w:sz w:val="22"/>
              </w:rPr>
              <w:t>.</w:t>
            </w:r>
            <w:r w:rsidRPr="006263A2">
              <w:rPr>
                <w:rFonts w:ascii="Calibri Light" w:eastAsiaTheme="minorHAnsi" w:hAnsi="Calibri Light"/>
                <w:color w:val="FFFFFF" w:themeColor="background1"/>
                <w:sz w:val="22"/>
              </w:rPr>
              <w:t>)</w:t>
            </w:r>
          </w:p>
        </w:tc>
      </w:tr>
      <w:tr w:rsidR="00EA6DE7" w:rsidRPr="00EA6DE7" w14:paraId="380A7D23" w14:textId="77777777" w:rsidTr="00FE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148A5D" w:themeFill="accent2"/>
          </w:tcPr>
          <w:p w14:paraId="4471E9DE" w14:textId="77777777" w:rsidR="00EA6DE7" w:rsidRPr="00C71CCB" w:rsidRDefault="00EA6DE7" w:rsidP="00281710">
            <w:pPr>
              <w:spacing w:after="0"/>
              <w:rPr>
                <w:rFonts w:ascii="Calibri" w:eastAsiaTheme="minorHAnsi" w:hAnsi="Calibri" w:cs="Calibri"/>
                <w:b/>
                <w:color w:val="FFFFFF" w:themeColor="background1"/>
                <w:sz w:val="22"/>
              </w:rPr>
            </w:pPr>
          </w:p>
        </w:tc>
        <w:tc>
          <w:tcPr>
            <w:tcW w:w="1843" w:type="dxa"/>
            <w:shd w:val="clear" w:color="auto" w:fill="148A5D" w:themeFill="accent2"/>
          </w:tcPr>
          <w:p w14:paraId="6125C090" w14:textId="77777777" w:rsidR="00EA6DE7" w:rsidRPr="00231ECA" w:rsidRDefault="00EA6DE7" w:rsidP="0028171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b/>
                <w:color w:val="FFFFFF" w:themeColor="background1"/>
                <w:sz w:val="22"/>
              </w:rPr>
            </w:pPr>
            <w:r w:rsidRPr="00231ECA">
              <w:rPr>
                <w:rFonts w:ascii="Calibri Light" w:eastAsiaTheme="minorHAnsi" w:hAnsi="Calibri Light" w:cs="Calibri Light"/>
                <w:b/>
                <w:color w:val="FFFFFF" w:themeColor="background1"/>
                <w:sz w:val="22"/>
              </w:rPr>
              <w:t>Mayor</w:t>
            </w:r>
          </w:p>
        </w:tc>
        <w:tc>
          <w:tcPr>
            <w:tcW w:w="1984" w:type="dxa"/>
            <w:shd w:val="clear" w:color="auto" w:fill="148A5D" w:themeFill="accent2"/>
          </w:tcPr>
          <w:p w14:paraId="00594921" w14:textId="77777777" w:rsidR="00EA6DE7" w:rsidRPr="00231ECA" w:rsidRDefault="00EA6DE7" w:rsidP="0028171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b/>
                <w:color w:val="FFFFFF" w:themeColor="background1"/>
                <w:sz w:val="22"/>
              </w:rPr>
            </w:pPr>
            <w:r w:rsidRPr="00231ECA">
              <w:rPr>
                <w:rFonts w:ascii="Calibri Light" w:eastAsiaTheme="minorHAnsi" w:hAnsi="Calibri Light" w:cs="Calibri Light"/>
                <w:b/>
                <w:color w:val="FFFFFF" w:themeColor="background1"/>
                <w:sz w:val="22"/>
              </w:rPr>
              <w:t>Deputy Mayor</w:t>
            </w:r>
          </w:p>
        </w:tc>
        <w:tc>
          <w:tcPr>
            <w:tcW w:w="1701" w:type="dxa"/>
            <w:shd w:val="clear" w:color="auto" w:fill="148A5D" w:themeFill="accent2"/>
          </w:tcPr>
          <w:p w14:paraId="7C573147" w14:textId="77777777" w:rsidR="00EA6DE7" w:rsidRPr="00231ECA" w:rsidRDefault="00EA6DE7" w:rsidP="0028171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b/>
                <w:color w:val="FFFFFF" w:themeColor="background1"/>
                <w:sz w:val="22"/>
              </w:rPr>
            </w:pPr>
            <w:r w:rsidRPr="00231ECA">
              <w:rPr>
                <w:rFonts w:ascii="Calibri Light" w:eastAsiaTheme="minorHAnsi" w:hAnsi="Calibri Light" w:cs="Calibri Light"/>
                <w:b/>
                <w:color w:val="FFFFFF" w:themeColor="background1"/>
                <w:sz w:val="22"/>
              </w:rPr>
              <w:t>Councillor</w:t>
            </w:r>
          </w:p>
        </w:tc>
      </w:tr>
      <w:tr w:rsidR="00FC083D" w:rsidRPr="00EA6DE7" w14:paraId="464C8A23" w14:textId="77777777">
        <w:tc>
          <w:tcPr>
            <w:cnfStyle w:val="001000000000" w:firstRow="0" w:lastRow="0" w:firstColumn="1" w:lastColumn="0" w:oddVBand="0" w:evenVBand="0" w:oddHBand="0" w:evenHBand="0" w:firstRowFirstColumn="0" w:firstRowLastColumn="0" w:lastRowFirstColumn="0" w:lastRowLastColumn="0"/>
            <w:tcW w:w="2972" w:type="dxa"/>
          </w:tcPr>
          <w:p w14:paraId="056F71D3" w14:textId="77777777" w:rsidR="00FC083D" w:rsidRPr="00DF7646" w:rsidRDefault="00FC083D" w:rsidP="00281710">
            <w:pPr>
              <w:spacing w:after="0"/>
              <w:rPr>
                <w:rFonts w:ascii="Calibri Light" w:eastAsiaTheme="minorHAnsi" w:hAnsi="Calibri Light" w:cs="Calibri Light"/>
                <w:color w:val="000000" w:themeColor="text1"/>
                <w:sz w:val="22"/>
              </w:rPr>
            </w:pPr>
            <w:r w:rsidRPr="00DF7646">
              <w:rPr>
                <w:rFonts w:ascii="Calibri Light" w:eastAsiaTheme="minorHAnsi" w:hAnsi="Calibri Light" w:cs="Calibri Light"/>
                <w:color w:val="000000" w:themeColor="text1"/>
                <w:sz w:val="22"/>
              </w:rPr>
              <w:t>Category 1</w:t>
            </w:r>
          </w:p>
        </w:tc>
        <w:tc>
          <w:tcPr>
            <w:tcW w:w="1843" w:type="dxa"/>
            <w:vAlign w:val="bottom"/>
          </w:tcPr>
          <w:p w14:paraId="1F6E516B" w14:textId="2CEBD0E8" w:rsidR="00FC083D" w:rsidRPr="00DF7646" w:rsidRDefault="00FC083D" w:rsidP="0028171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sz w:val="22"/>
                <w:highlight w:val="yellow"/>
              </w:rPr>
            </w:pPr>
            <w:r w:rsidRPr="00DF7646">
              <w:rPr>
                <w:rFonts w:ascii="Calibri Light" w:hAnsi="Calibri Light" w:cs="Calibri Light"/>
                <w:color w:val="000000"/>
                <w:sz w:val="22"/>
              </w:rPr>
              <w:t xml:space="preserve">                    84,498</w:t>
            </w:r>
          </w:p>
        </w:tc>
        <w:tc>
          <w:tcPr>
            <w:tcW w:w="1984" w:type="dxa"/>
            <w:vAlign w:val="bottom"/>
          </w:tcPr>
          <w:p w14:paraId="66363E53" w14:textId="7450B8D3" w:rsidR="00FC083D" w:rsidRPr="00DF7646" w:rsidRDefault="00FC083D" w:rsidP="0028171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sz w:val="22"/>
                <w:highlight w:val="yellow"/>
              </w:rPr>
            </w:pPr>
            <w:r w:rsidRPr="00DF7646">
              <w:rPr>
                <w:rFonts w:ascii="Calibri Light" w:hAnsi="Calibri Light" w:cs="Calibri Light"/>
                <w:color w:val="000000"/>
                <w:sz w:val="22"/>
              </w:rPr>
              <w:t xml:space="preserve">                    42,248</w:t>
            </w:r>
          </w:p>
        </w:tc>
        <w:tc>
          <w:tcPr>
            <w:tcW w:w="1701" w:type="dxa"/>
          </w:tcPr>
          <w:p w14:paraId="4A01E8CB" w14:textId="57CF737B" w:rsidR="00FC083D" w:rsidRPr="00DF7646" w:rsidRDefault="00FC083D" w:rsidP="0028171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sz w:val="22"/>
              </w:rPr>
            </w:pPr>
            <w:r w:rsidRPr="00DF7646">
              <w:rPr>
                <w:rFonts w:ascii="Calibri Light" w:eastAsiaTheme="minorHAnsi" w:hAnsi="Calibri Light" w:cs="Calibri Light"/>
                <w:color w:val="000000" w:themeColor="text1"/>
                <w:sz w:val="22"/>
              </w:rPr>
              <w:t xml:space="preserve"> </w:t>
            </w:r>
            <w:r w:rsidR="003511FA" w:rsidRPr="00DF7646">
              <w:rPr>
                <w:rFonts w:ascii="Calibri Light" w:eastAsiaTheme="minorHAnsi" w:hAnsi="Calibri Light" w:cs="Calibri Light"/>
                <w:color w:val="000000" w:themeColor="text1"/>
                <w:sz w:val="22"/>
              </w:rPr>
              <w:t>27,</w:t>
            </w:r>
            <w:r w:rsidR="00695313" w:rsidRPr="00DF7646">
              <w:rPr>
                <w:rFonts w:ascii="Calibri Light" w:eastAsiaTheme="minorHAnsi" w:hAnsi="Calibri Light" w:cs="Calibri Light"/>
                <w:color w:val="000000" w:themeColor="text1"/>
                <w:sz w:val="22"/>
              </w:rPr>
              <w:t>291</w:t>
            </w:r>
          </w:p>
        </w:tc>
      </w:tr>
      <w:tr w:rsidR="00FC083D" w:rsidRPr="00EA6DE7" w14:paraId="7B80F7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5C4B1E" w14:textId="77777777" w:rsidR="00FC083D" w:rsidRPr="00DF7646" w:rsidRDefault="00FC083D" w:rsidP="00281710">
            <w:pPr>
              <w:spacing w:after="0"/>
              <w:rPr>
                <w:rFonts w:ascii="Calibri Light" w:eastAsiaTheme="minorHAnsi" w:hAnsi="Calibri Light" w:cs="Calibri Light"/>
                <w:color w:val="000000" w:themeColor="text1"/>
                <w:sz w:val="22"/>
              </w:rPr>
            </w:pPr>
            <w:r w:rsidRPr="00DF7646">
              <w:rPr>
                <w:rFonts w:ascii="Calibri Light" w:eastAsiaTheme="minorHAnsi" w:hAnsi="Calibri Light" w:cs="Calibri Light"/>
                <w:color w:val="000000" w:themeColor="text1"/>
                <w:sz w:val="22"/>
              </w:rPr>
              <w:t>Category 2</w:t>
            </w:r>
          </w:p>
        </w:tc>
        <w:tc>
          <w:tcPr>
            <w:tcW w:w="1843" w:type="dxa"/>
            <w:vAlign w:val="bottom"/>
          </w:tcPr>
          <w:p w14:paraId="4CBA6EAD" w14:textId="3B0CC437" w:rsidR="00FC083D" w:rsidRPr="00DF7646" w:rsidRDefault="00FC083D" w:rsidP="0028171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sz w:val="22"/>
                <w:highlight w:val="yellow"/>
              </w:rPr>
            </w:pPr>
            <w:r w:rsidRPr="00DF7646">
              <w:rPr>
                <w:rFonts w:ascii="Calibri Light" w:hAnsi="Calibri Light" w:cs="Calibri Light"/>
                <w:color w:val="000000"/>
                <w:sz w:val="22"/>
              </w:rPr>
              <w:t xml:space="preserve">                  109,114</w:t>
            </w:r>
          </w:p>
        </w:tc>
        <w:tc>
          <w:tcPr>
            <w:tcW w:w="1984" w:type="dxa"/>
            <w:vAlign w:val="bottom"/>
          </w:tcPr>
          <w:p w14:paraId="2734C635" w14:textId="534E0CDF" w:rsidR="00FC083D" w:rsidRPr="00DF7646" w:rsidRDefault="00FC083D" w:rsidP="0028171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sz w:val="22"/>
                <w:highlight w:val="yellow"/>
              </w:rPr>
            </w:pPr>
            <w:r w:rsidRPr="00DF7646">
              <w:rPr>
                <w:rFonts w:ascii="Calibri Light" w:hAnsi="Calibri Light" w:cs="Calibri Light"/>
                <w:color w:val="000000"/>
                <w:sz w:val="22"/>
              </w:rPr>
              <w:t xml:space="preserve">                    54,558</w:t>
            </w:r>
          </w:p>
        </w:tc>
        <w:tc>
          <w:tcPr>
            <w:tcW w:w="1701" w:type="dxa"/>
          </w:tcPr>
          <w:p w14:paraId="2EA498A6" w14:textId="4C8E2733" w:rsidR="00FC083D" w:rsidRPr="00DF7646" w:rsidRDefault="00695313" w:rsidP="0028171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sz w:val="22"/>
              </w:rPr>
            </w:pPr>
            <w:r w:rsidRPr="00DF7646">
              <w:rPr>
                <w:rFonts w:ascii="Calibri Light" w:eastAsiaTheme="minorHAnsi" w:hAnsi="Calibri Light" w:cs="Calibri Light"/>
                <w:color w:val="000000" w:themeColor="text1"/>
                <w:sz w:val="22"/>
              </w:rPr>
              <w:t>34,028</w:t>
            </w:r>
          </w:p>
        </w:tc>
      </w:tr>
      <w:tr w:rsidR="00FC083D" w:rsidRPr="00EA6DE7" w14:paraId="2BAB98B6" w14:textId="77777777">
        <w:tc>
          <w:tcPr>
            <w:cnfStyle w:val="001000000000" w:firstRow="0" w:lastRow="0" w:firstColumn="1" w:lastColumn="0" w:oddVBand="0" w:evenVBand="0" w:oddHBand="0" w:evenHBand="0" w:firstRowFirstColumn="0" w:firstRowLastColumn="0" w:lastRowFirstColumn="0" w:lastRowLastColumn="0"/>
            <w:tcW w:w="2972" w:type="dxa"/>
          </w:tcPr>
          <w:p w14:paraId="1D9F7E10" w14:textId="77777777" w:rsidR="00FC083D" w:rsidRPr="00DF7646" w:rsidRDefault="00FC083D" w:rsidP="00281710">
            <w:pPr>
              <w:spacing w:after="0"/>
              <w:rPr>
                <w:rFonts w:ascii="Calibri Light" w:eastAsiaTheme="minorHAnsi" w:hAnsi="Calibri Light" w:cs="Calibri Light"/>
                <w:color w:val="000000" w:themeColor="text1"/>
                <w:sz w:val="22"/>
              </w:rPr>
            </w:pPr>
            <w:r w:rsidRPr="00DF7646">
              <w:rPr>
                <w:rFonts w:ascii="Calibri Light" w:eastAsiaTheme="minorHAnsi" w:hAnsi="Calibri Light" w:cs="Calibri Light"/>
                <w:color w:val="000000" w:themeColor="text1"/>
                <w:sz w:val="22"/>
              </w:rPr>
              <w:t>Category 3</w:t>
            </w:r>
          </w:p>
        </w:tc>
        <w:tc>
          <w:tcPr>
            <w:tcW w:w="1843" w:type="dxa"/>
            <w:vAlign w:val="bottom"/>
          </w:tcPr>
          <w:p w14:paraId="0AB3F146" w14:textId="73D057CE" w:rsidR="00FC083D" w:rsidRPr="00DF7646" w:rsidRDefault="00FC083D" w:rsidP="0028171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sz w:val="22"/>
                <w:highlight w:val="yellow"/>
              </w:rPr>
            </w:pPr>
            <w:r w:rsidRPr="00DF7646">
              <w:rPr>
                <w:rFonts w:ascii="Calibri Light" w:hAnsi="Calibri Light" w:cs="Calibri Light"/>
                <w:color w:val="000000"/>
                <w:sz w:val="22"/>
              </w:rPr>
              <w:t xml:space="preserve">                  134,954</w:t>
            </w:r>
          </w:p>
        </w:tc>
        <w:tc>
          <w:tcPr>
            <w:tcW w:w="1984" w:type="dxa"/>
            <w:vAlign w:val="bottom"/>
          </w:tcPr>
          <w:p w14:paraId="343BCC84" w14:textId="7EC47F21" w:rsidR="00FC083D" w:rsidRPr="00DF7646" w:rsidRDefault="00FC083D" w:rsidP="0028171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sz w:val="22"/>
                <w:highlight w:val="yellow"/>
              </w:rPr>
            </w:pPr>
            <w:r w:rsidRPr="00DF7646">
              <w:rPr>
                <w:rFonts w:ascii="Calibri Light" w:hAnsi="Calibri Light" w:cs="Calibri Light"/>
                <w:color w:val="000000"/>
                <w:sz w:val="22"/>
              </w:rPr>
              <w:t xml:space="preserve">                    67,477</w:t>
            </w:r>
          </w:p>
        </w:tc>
        <w:tc>
          <w:tcPr>
            <w:tcW w:w="1701" w:type="dxa"/>
          </w:tcPr>
          <w:p w14:paraId="7521C5BB" w14:textId="0482B07D" w:rsidR="00FC083D" w:rsidRPr="00DF7646" w:rsidRDefault="00FC083D" w:rsidP="0028171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sz w:val="22"/>
              </w:rPr>
            </w:pPr>
            <w:r w:rsidRPr="00DF7646">
              <w:rPr>
                <w:rFonts w:ascii="Calibri Light" w:eastAsiaTheme="minorHAnsi" w:hAnsi="Calibri Light" w:cs="Calibri Light"/>
                <w:color w:val="000000" w:themeColor="text1"/>
                <w:sz w:val="22"/>
              </w:rPr>
              <w:t xml:space="preserve"> </w:t>
            </w:r>
            <w:r w:rsidR="00695313" w:rsidRPr="00DF7646">
              <w:rPr>
                <w:rFonts w:ascii="Calibri Light" w:eastAsiaTheme="minorHAnsi" w:hAnsi="Calibri Light" w:cs="Calibri Light"/>
                <w:color w:val="000000" w:themeColor="text1"/>
                <w:sz w:val="22"/>
              </w:rPr>
              <w:t>40,769</w:t>
            </w:r>
          </w:p>
        </w:tc>
      </w:tr>
      <w:tr w:rsidR="00FC083D" w:rsidRPr="00EA6DE7" w14:paraId="37EEE5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0E48AB" w14:textId="77777777" w:rsidR="00FC083D" w:rsidRPr="00DF7646" w:rsidRDefault="00FC083D" w:rsidP="00281710">
            <w:pPr>
              <w:spacing w:after="0"/>
              <w:rPr>
                <w:rFonts w:ascii="Calibri Light" w:eastAsiaTheme="minorHAnsi" w:hAnsi="Calibri Light" w:cs="Calibri Light"/>
                <w:color w:val="000000" w:themeColor="text1"/>
                <w:sz w:val="22"/>
              </w:rPr>
            </w:pPr>
            <w:r w:rsidRPr="00DF7646">
              <w:rPr>
                <w:rFonts w:ascii="Calibri Light" w:eastAsiaTheme="minorHAnsi" w:hAnsi="Calibri Light" w:cs="Calibri Light"/>
                <w:color w:val="000000" w:themeColor="text1"/>
                <w:sz w:val="22"/>
              </w:rPr>
              <w:t>Category 4</w:t>
            </w:r>
          </w:p>
        </w:tc>
        <w:tc>
          <w:tcPr>
            <w:tcW w:w="1843" w:type="dxa"/>
            <w:vAlign w:val="bottom"/>
          </w:tcPr>
          <w:p w14:paraId="4C06BE0F" w14:textId="268EA985" w:rsidR="00FC083D" w:rsidRPr="00DF7646" w:rsidRDefault="00FC083D" w:rsidP="0028171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sz w:val="22"/>
                <w:highlight w:val="yellow"/>
              </w:rPr>
            </w:pPr>
            <w:r w:rsidRPr="00DF7646">
              <w:rPr>
                <w:rFonts w:ascii="Calibri Light" w:hAnsi="Calibri Light" w:cs="Calibri Light"/>
                <w:color w:val="000000"/>
                <w:sz w:val="22"/>
              </w:rPr>
              <w:t xml:space="preserve">                  269,909</w:t>
            </w:r>
          </w:p>
        </w:tc>
        <w:tc>
          <w:tcPr>
            <w:tcW w:w="1984" w:type="dxa"/>
            <w:vAlign w:val="bottom"/>
          </w:tcPr>
          <w:p w14:paraId="39B61BB1" w14:textId="4A0A0DE9" w:rsidR="00FC083D" w:rsidRPr="00DF7646" w:rsidRDefault="00FC083D" w:rsidP="0028171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sz w:val="22"/>
                <w:highlight w:val="yellow"/>
              </w:rPr>
            </w:pPr>
            <w:r w:rsidRPr="00DF7646">
              <w:rPr>
                <w:rFonts w:ascii="Calibri Light" w:hAnsi="Calibri Light" w:cs="Calibri Light"/>
                <w:color w:val="000000"/>
                <w:sz w:val="22"/>
              </w:rPr>
              <w:t xml:space="preserve">                  134,955</w:t>
            </w:r>
          </w:p>
        </w:tc>
        <w:tc>
          <w:tcPr>
            <w:tcW w:w="1701" w:type="dxa"/>
          </w:tcPr>
          <w:p w14:paraId="1A5131C4" w14:textId="24B96089" w:rsidR="00FC083D" w:rsidRPr="00DF7646" w:rsidRDefault="00FC083D" w:rsidP="0028171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sz w:val="22"/>
              </w:rPr>
            </w:pPr>
            <w:r w:rsidRPr="00DF7646">
              <w:rPr>
                <w:rFonts w:ascii="Calibri Light" w:eastAsiaTheme="minorHAnsi" w:hAnsi="Calibri Light" w:cs="Calibri Light"/>
                <w:color w:val="000000" w:themeColor="text1"/>
                <w:sz w:val="22"/>
              </w:rPr>
              <w:t xml:space="preserve"> </w:t>
            </w:r>
            <w:r w:rsidR="00D636C1" w:rsidRPr="00DF7646">
              <w:rPr>
                <w:rFonts w:ascii="Calibri Light" w:eastAsiaTheme="minorHAnsi" w:hAnsi="Calibri Light" w:cs="Calibri Light"/>
                <w:color w:val="000000" w:themeColor="text1"/>
                <w:sz w:val="22"/>
              </w:rPr>
              <w:t>61,153</w:t>
            </w:r>
          </w:p>
        </w:tc>
      </w:tr>
    </w:tbl>
    <w:p w14:paraId="1E7AFF45" w14:textId="6BE22D11" w:rsidR="004E378B" w:rsidRDefault="004E378B" w:rsidP="004E378B">
      <w:pPr>
        <w:pStyle w:val="05Paragraph"/>
        <w:rPr>
          <w:rFonts w:cs="Calibri Light"/>
          <w:lang w:val="en-US"/>
        </w:rPr>
      </w:pPr>
      <w:r w:rsidRPr="00FC120E">
        <w:rPr>
          <w:rFonts w:cs="Calibri Light"/>
        </w:rPr>
        <w:t xml:space="preserve">The Determination also </w:t>
      </w:r>
      <w:r w:rsidRPr="006263A2">
        <w:rPr>
          <w:rFonts w:cs="Calibri Light"/>
        </w:rPr>
        <w:t>applies to the future phase-in of increases to the base allowances for Mayors and Deputy Mayors, which will apply from 18 December 2024 and 18 December 2025.</w:t>
      </w:r>
    </w:p>
    <w:p w14:paraId="3598282B" w14:textId="6E80181B" w:rsidR="00EA6DE7" w:rsidRPr="00DF18F4" w:rsidRDefault="00EA6DE7" w:rsidP="00EA6DE7">
      <w:pPr>
        <w:spacing w:before="180" w:after="0" w:line="276" w:lineRule="auto"/>
        <w:jc w:val="both"/>
        <w:rPr>
          <w:rFonts w:ascii="Calibri Light" w:hAnsi="Calibri Light" w:cs="Calibri Light"/>
          <w:color w:val="000000" w:themeColor="text1"/>
          <w:sz w:val="26"/>
          <w:szCs w:val="20"/>
          <w:lang w:val="en-US"/>
        </w:rPr>
      </w:pPr>
      <w:r w:rsidRPr="00DF18F4">
        <w:rPr>
          <w:rFonts w:ascii="Calibri Light" w:hAnsi="Calibri Light" w:cs="Calibri Light"/>
          <w:color w:val="000000" w:themeColor="text1"/>
          <w:sz w:val="26"/>
          <w:szCs w:val="20"/>
          <w:lang w:val="en-US"/>
        </w:rPr>
        <w:t xml:space="preserve">The Tribunal has also decided to increase the value of the Remote Area Travel Allowance by </w:t>
      </w:r>
      <w:r w:rsidR="00D636C1" w:rsidRPr="00DF18F4">
        <w:rPr>
          <w:rFonts w:ascii="Calibri Light" w:hAnsi="Calibri Light" w:cs="Calibri Light"/>
          <w:color w:val="000000" w:themeColor="text1"/>
          <w:sz w:val="26"/>
          <w:szCs w:val="20"/>
          <w:lang w:val="en-US"/>
        </w:rPr>
        <w:t>3.5</w:t>
      </w:r>
      <w:r w:rsidRPr="00DF18F4">
        <w:rPr>
          <w:rFonts w:ascii="Calibri Light" w:hAnsi="Calibri Light" w:cs="Calibri Light"/>
          <w:color w:val="000000" w:themeColor="text1"/>
          <w:sz w:val="26"/>
          <w:szCs w:val="20"/>
          <w:lang w:val="en-US"/>
        </w:rPr>
        <w:t xml:space="preserve"> per cent. </w:t>
      </w:r>
      <w:r w:rsidR="00291F4A">
        <w:rPr>
          <w:rFonts w:ascii="Calibri Light" w:hAnsi="Calibri Light" w:cs="Calibri Light"/>
          <w:color w:val="000000" w:themeColor="text1"/>
          <w:sz w:val="26"/>
          <w:szCs w:val="20"/>
          <w:lang w:val="en-US"/>
        </w:rPr>
        <w:t>This</w:t>
      </w:r>
      <w:r w:rsidR="004E378B">
        <w:rPr>
          <w:rFonts w:ascii="Calibri Light" w:hAnsi="Calibri Light" w:cs="Calibri Light"/>
          <w:color w:val="000000" w:themeColor="text1"/>
          <w:sz w:val="26"/>
          <w:szCs w:val="20"/>
          <w:lang w:val="en-US"/>
        </w:rPr>
        <w:t xml:space="preserve"> allowance</w:t>
      </w:r>
      <w:r w:rsidR="00291F4A">
        <w:rPr>
          <w:rFonts w:ascii="Calibri Light" w:hAnsi="Calibri Light" w:cs="Calibri Light"/>
          <w:color w:val="000000" w:themeColor="text1"/>
          <w:sz w:val="26"/>
          <w:szCs w:val="20"/>
          <w:lang w:val="en-US"/>
        </w:rPr>
        <w:t xml:space="preserve"> compensates</w:t>
      </w:r>
      <w:r w:rsidR="00F45A67">
        <w:rPr>
          <w:rFonts w:ascii="Calibri Light" w:hAnsi="Calibri Light" w:cs="Calibri Light"/>
          <w:color w:val="000000" w:themeColor="text1"/>
          <w:sz w:val="26"/>
          <w:szCs w:val="20"/>
          <w:lang w:val="en-US"/>
        </w:rPr>
        <w:t xml:space="preserve"> eligible Council members</w:t>
      </w:r>
      <w:r w:rsidR="00291F4A">
        <w:rPr>
          <w:rFonts w:ascii="Calibri Light" w:hAnsi="Calibri Light" w:cs="Calibri Light"/>
          <w:color w:val="000000" w:themeColor="text1"/>
          <w:sz w:val="26"/>
          <w:szCs w:val="20"/>
          <w:lang w:val="en-US"/>
        </w:rPr>
        <w:t xml:space="preserve"> </w:t>
      </w:r>
      <w:r w:rsidR="00F45A67" w:rsidRPr="00F45A67">
        <w:rPr>
          <w:rFonts w:ascii="Calibri Light" w:hAnsi="Calibri Light" w:cs="Calibri Light"/>
          <w:color w:val="000000" w:themeColor="text1"/>
          <w:sz w:val="26"/>
          <w:szCs w:val="20"/>
          <w:lang w:val="en-US"/>
        </w:rPr>
        <w:t>for time spent on long distance travel</w:t>
      </w:r>
      <w:r w:rsidR="000A75A6">
        <w:rPr>
          <w:rFonts w:ascii="Calibri Light" w:hAnsi="Calibri Light" w:cs="Calibri Light"/>
          <w:color w:val="000000" w:themeColor="text1"/>
          <w:sz w:val="26"/>
          <w:szCs w:val="20"/>
          <w:lang w:val="en-US"/>
        </w:rPr>
        <w:t xml:space="preserve"> to Council meetings or functions</w:t>
      </w:r>
      <w:r w:rsidR="00F45A67">
        <w:rPr>
          <w:rFonts w:ascii="Calibri Light" w:hAnsi="Calibri Light" w:cs="Calibri Light"/>
          <w:color w:val="000000" w:themeColor="text1"/>
          <w:sz w:val="26"/>
          <w:szCs w:val="20"/>
          <w:lang w:val="en-US"/>
        </w:rPr>
        <w:t>.</w:t>
      </w:r>
      <w:r w:rsidR="00B67748">
        <w:rPr>
          <w:rFonts w:ascii="Calibri Light" w:hAnsi="Calibri Light" w:cs="Calibri Light"/>
          <w:color w:val="000000" w:themeColor="text1"/>
          <w:sz w:val="26"/>
          <w:szCs w:val="20"/>
          <w:lang w:val="en-US"/>
        </w:rPr>
        <w:t xml:space="preserve"> </w:t>
      </w:r>
      <w:r w:rsidRPr="00DF18F4">
        <w:rPr>
          <w:rFonts w:ascii="Calibri Light" w:hAnsi="Calibri Light" w:cs="Calibri Light"/>
          <w:color w:val="000000" w:themeColor="text1"/>
          <w:sz w:val="26"/>
          <w:szCs w:val="20"/>
          <w:lang w:val="en-US"/>
        </w:rPr>
        <w:t>From 1</w:t>
      </w:r>
      <w:r w:rsidR="004E378B">
        <w:rPr>
          <w:rFonts w:ascii="Calibri Light" w:hAnsi="Calibri Light" w:cs="Calibri Light"/>
          <w:color w:val="000000" w:themeColor="text1"/>
          <w:sz w:val="26"/>
          <w:szCs w:val="20"/>
          <w:lang w:val="en-US"/>
        </w:rPr>
        <w:t> </w:t>
      </w:r>
      <w:r w:rsidRPr="00DF18F4">
        <w:rPr>
          <w:rFonts w:ascii="Calibri Light" w:hAnsi="Calibri Light" w:cs="Calibri Light"/>
          <w:color w:val="000000" w:themeColor="text1"/>
          <w:sz w:val="26"/>
          <w:szCs w:val="20"/>
          <w:lang w:val="en-US"/>
        </w:rPr>
        <w:t>July 202</w:t>
      </w:r>
      <w:r w:rsidR="00133BFF" w:rsidRPr="00DF18F4">
        <w:rPr>
          <w:rFonts w:ascii="Calibri Light" w:hAnsi="Calibri Light" w:cs="Calibri Light"/>
          <w:color w:val="000000" w:themeColor="text1"/>
          <w:sz w:val="26"/>
          <w:szCs w:val="20"/>
          <w:lang w:val="en-US"/>
        </w:rPr>
        <w:t>4</w:t>
      </w:r>
      <w:r w:rsidRPr="00DF18F4">
        <w:rPr>
          <w:rFonts w:ascii="Calibri Light" w:hAnsi="Calibri Light" w:cs="Calibri Light"/>
          <w:color w:val="000000" w:themeColor="text1"/>
          <w:sz w:val="26"/>
          <w:szCs w:val="20"/>
          <w:lang w:val="en-US"/>
        </w:rPr>
        <w:t>, the Remote Area Travel Allowance will be $4</w:t>
      </w:r>
      <w:r w:rsidR="00865031" w:rsidRPr="00DF18F4">
        <w:rPr>
          <w:rFonts w:ascii="Calibri Light" w:hAnsi="Calibri Light" w:cs="Calibri Light"/>
          <w:color w:val="000000" w:themeColor="text1"/>
          <w:sz w:val="26"/>
          <w:szCs w:val="20"/>
          <w:lang w:val="en-US"/>
        </w:rPr>
        <w:t>7</w:t>
      </w:r>
      <w:r w:rsidRPr="00DF18F4">
        <w:rPr>
          <w:rFonts w:ascii="Calibri Light" w:hAnsi="Calibri Light" w:cs="Calibri Light"/>
          <w:color w:val="000000" w:themeColor="text1"/>
          <w:sz w:val="26"/>
          <w:szCs w:val="20"/>
          <w:lang w:val="en-US"/>
        </w:rPr>
        <w:t>.</w:t>
      </w:r>
      <w:r w:rsidR="00865031" w:rsidRPr="00DF18F4">
        <w:rPr>
          <w:rFonts w:ascii="Calibri Light" w:hAnsi="Calibri Light" w:cs="Calibri Light"/>
          <w:color w:val="000000" w:themeColor="text1"/>
          <w:sz w:val="26"/>
          <w:szCs w:val="20"/>
          <w:lang w:val="en-US"/>
        </w:rPr>
        <w:t>5</w:t>
      </w:r>
      <w:r w:rsidRPr="00DF18F4">
        <w:rPr>
          <w:rFonts w:ascii="Calibri Light" w:hAnsi="Calibri Light" w:cs="Calibri Light"/>
          <w:color w:val="000000" w:themeColor="text1"/>
          <w:sz w:val="26"/>
          <w:szCs w:val="20"/>
          <w:lang w:val="en-US"/>
        </w:rPr>
        <w:t>0 per day for eligible Council members, up to a maximum of $5,</w:t>
      </w:r>
      <w:r w:rsidR="00865031" w:rsidRPr="00DF18F4">
        <w:rPr>
          <w:rFonts w:ascii="Calibri Light" w:hAnsi="Calibri Light" w:cs="Calibri Light"/>
          <w:color w:val="000000" w:themeColor="text1"/>
          <w:sz w:val="26"/>
          <w:szCs w:val="20"/>
          <w:lang w:val="en-US"/>
        </w:rPr>
        <w:t>937.</w:t>
      </w:r>
      <w:r w:rsidR="00A46709" w:rsidRPr="00DF18F4">
        <w:rPr>
          <w:rFonts w:ascii="Calibri Light" w:hAnsi="Calibri Light" w:cs="Calibri Light"/>
          <w:color w:val="000000" w:themeColor="text1"/>
          <w:sz w:val="26"/>
          <w:szCs w:val="20"/>
          <w:lang w:val="en-US"/>
        </w:rPr>
        <w:t>50</w:t>
      </w:r>
      <w:r w:rsidRPr="00DF18F4">
        <w:rPr>
          <w:rFonts w:ascii="Calibri Light" w:hAnsi="Calibri Light" w:cs="Calibri Light"/>
          <w:color w:val="000000" w:themeColor="text1"/>
          <w:sz w:val="26"/>
          <w:szCs w:val="20"/>
          <w:lang w:val="en-US"/>
        </w:rPr>
        <w:t> per annum.</w:t>
      </w:r>
    </w:p>
    <w:p w14:paraId="4B8E2056" w14:textId="10F45E9D" w:rsidR="00A95867" w:rsidRPr="00DF18F4" w:rsidRDefault="00842335" w:rsidP="00E2373E">
      <w:pPr>
        <w:pStyle w:val="05Paragraph"/>
        <w:rPr>
          <w:rFonts w:cs="Calibri Light"/>
        </w:rPr>
      </w:pPr>
      <w:r>
        <w:rPr>
          <w:rFonts w:cs="Calibri Light"/>
        </w:rPr>
        <w:t>Th</w:t>
      </w:r>
      <w:r w:rsidR="004E378B">
        <w:rPr>
          <w:rFonts w:cs="Calibri Light"/>
        </w:rPr>
        <w:t>is</w:t>
      </w:r>
      <w:r>
        <w:rPr>
          <w:rFonts w:cs="Calibri Light"/>
        </w:rPr>
        <w:t xml:space="preserve"> Statement of Reasons outlines </w:t>
      </w:r>
      <w:r w:rsidR="009E5ED2">
        <w:rPr>
          <w:rFonts w:cs="Calibri Light"/>
        </w:rPr>
        <w:t xml:space="preserve">the </w:t>
      </w:r>
      <w:r>
        <w:rPr>
          <w:rFonts w:cs="Calibri Light"/>
        </w:rPr>
        <w:t>Tribunal</w:t>
      </w:r>
      <w:r w:rsidR="009E5ED2">
        <w:rPr>
          <w:rFonts w:cs="Calibri Light"/>
        </w:rPr>
        <w:t>’s</w:t>
      </w:r>
      <w:r>
        <w:rPr>
          <w:rFonts w:cs="Calibri Light"/>
        </w:rPr>
        <w:t xml:space="preserve"> consider</w:t>
      </w:r>
      <w:r w:rsidR="009E5ED2">
        <w:rPr>
          <w:rFonts w:cs="Calibri Light"/>
        </w:rPr>
        <w:t>ation of</w:t>
      </w:r>
      <w:r>
        <w:rPr>
          <w:rFonts w:cs="Calibri Light"/>
        </w:rPr>
        <w:t xml:space="preserve"> the following</w:t>
      </w:r>
      <w:r w:rsidR="00607232">
        <w:rPr>
          <w:rFonts w:cs="Calibri Light"/>
        </w:rPr>
        <w:t xml:space="preserve"> </w:t>
      </w:r>
      <w:r w:rsidR="001701CD">
        <w:rPr>
          <w:rFonts w:cs="Calibri Light"/>
        </w:rPr>
        <w:t>factors</w:t>
      </w:r>
      <w:r w:rsidR="006F6BED">
        <w:rPr>
          <w:rFonts w:cs="Calibri Light"/>
        </w:rPr>
        <w:t xml:space="preserve"> set out in</w:t>
      </w:r>
      <w:r w:rsidR="001701CD">
        <w:rPr>
          <w:rFonts w:cs="Calibri Light"/>
        </w:rPr>
        <w:t xml:space="preserve"> legislation</w:t>
      </w:r>
      <w:r w:rsidR="00A95867" w:rsidRPr="00DF18F4">
        <w:rPr>
          <w:rFonts w:cs="Calibri Light"/>
        </w:rPr>
        <w:t>:</w:t>
      </w:r>
    </w:p>
    <w:p w14:paraId="5A09915B" w14:textId="4A03B6B3" w:rsidR="00A95867" w:rsidRPr="00DF18F4" w:rsidRDefault="00A95867" w:rsidP="00A95867">
      <w:pPr>
        <w:pStyle w:val="06VIRTBulletpoints"/>
        <w:rPr>
          <w:rFonts w:cs="Calibri Light"/>
        </w:rPr>
      </w:pPr>
      <w:r w:rsidRPr="00DF18F4">
        <w:rPr>
          <w:rFonts w:cs="Calibri Light"/>
        </w:rPr>
        <w:t xml:space="preserve">the Victorian Government’s </w:t>
      </w:r>
      <w:r w:rsidR="00BC147F" w:rsidRPr="00DF18F4">
        <w:rPr>
          <w:rFonts w:cs="Calibri Light"/>
        </w:rPr>
        <w:t>w</w:t>
      </w:r>
      <w:r w:rsidRPr="00DF18F4">
        <w:rPr>
          <w:rFonts w:cs="Calibri Light"/>
        </w:rPr>
        <w:t xml:space="preserve">ages </w:t>
      </w:r>
      <w:r w:rsidR="00BC147F" w:rsidRPr="00DF18F4">
        <w:rPr>
          <w:rFonts w:cs="Calibri Light"/>
        </w:rPr>
        <w:t>p</w:t>
      </w:r>
      <w:r w:rsidRPr="00DF18F4">
        <w:rPr>
          <w:rFonts w:cs="Calibri Light"/>
        </w:rPr>
        <w:t>olicy</w:t>
      </w:r>
    </w:p>
    <w:p w14:paraId="64EA8613" w14:textId="77777777" w:rsidR="00DB48D0" w:rsidRPr="00DF18F4" w:rsidRDefault="00A95867" w:rsidP="00A95867">
      <w:pPr>
        <w:pStyle w:val="06VIRTBulletpoints"/>
        <w:rPr>
          <w:rFonts w:cs="Calibri Light"/>
        </w:rPr>
      </w:pPr>
      <w:r w:rsidRPr="00DF18F4">
        <w:rPr>
          <w:rFonts w:cs="Calibri Light"/>
        </w:rPr>
        <w:t xml:space="preserve">the financial position </w:t>
      </w:r>
      <w:r w:rsidR="00DB48D0" w:rsidRPr="00DF18F4">
        <w:rPr>
          <w:rFonts w:cs="Calibri Light"/>
        </w:rPr>
        <w:t>and fiscal strategy of the State of Victoria</w:t>
      </w:r>
    </w:p>
    <w:p w14:paraId="0532F5F4" w14:textId="2730900B" w:rsidR="00DB48D0" w:rsidRPr="00DF18F4" w:rsidRDefault="00DB48D0" w:rsidP="00A95867">
      <w:pPr>
        <w:pStyle w:val="06VIRTBulletpoints"/>
        <w:rPr>
          <w:rFonts w:cs="Calibri Light"/>
        </w:rPr>
      </w:pPr>
      <w:r w:rsidRPr="00DF18F4">
        <w:rPr>
          <w:rFonts w:cs="Calibri Light"/>
        </w:rPr>
        <w:t>current and projected economic conditions and trends</w:t>
      </w:r>
    </w:p>
    <w:p w14:paraId="02267689" w14:textId="14F59E19" w:rsidR="00DB48D0" w:rsidRPr="00DF18F4" w:rsidRDefault="00DB48D0" w:rsidP="00A95867">
      <w:pPr>
        <w:pStyle w:val="06VIRTBulletpoints"/>
        <w:rPr>
          <w:rFonts w:cs="Calibri Light"/>
        </w:rPr>
      </w:pPr>
      <w:r w:rsidRPr="00DF18F4">
        <w:rPr>
          <w:rFonts w:cs="Calibri Light"/>
        </w:rPr>
        <w:t>submissions received in relation to the proposed Determination.</w:t>
      </w:r>
    </w:p>
    <w:p w14:paraId="17A6B43D" w14:textId="13280E49" w:rsidR="00400A82" w:rsidRDefault="006F6BED" w:rsidP="00DB48D0">
      <w:pPr>
        <w:pStyle w:val="05Paragraph"/>
        <w:rPr>
          <w:rFonts w:cs="Calibri Light"/>
        </w:rPr>
      </w:pPr>
      <w:r>
        <w:rPr>
          <w:rFonts w:cs="Calibri Light"/>
        </w:rPr>
        <w:t>The Tribunal noted r</w:t>
      </w:r>
      <w:r w:rsidR="00400A82">
        <w:rPr>
          <w:rFonts w:cs="Calibri Light"/>
        </w:rPr>
        <w:t>ecent economic data</w:t>
      </w:r>
      <w:r>
        <w:rPr>
          <w:rFonts w:cs="Calibri Light"/>
        </w:rPr>
        <w:t xml:space="preserve"> that</w:t>
      </w:r>
      <w:r w:rsidR="00400A82">
        <w:rPr>
          <w:rFonts w:cs="Calibri Light"/>
        </w:rPr>
        <w:t xml:space="preserve"> show</w:t>
      </w:r>
      <w:r>
        <w:rPr>
          <w:rFonts w:cs="Calibri Light"/>
        </w:rPr>
        <w:t>ed</w:t>
      </w:r>
      <w:r w:rsidR="00400A82">
        <w:rPr>
          <w:rFonts w:cs="Calibri Light"/>
        </w:rPr>
        <w:t xml:space="preserve"> subdued economic growth rates, although nominal wages growth has picked up in response to tight labour market conditions</w:t>
      </w:r>
      <w:r w:rsidR="00231ECA">
        <w:rPr>
          <w:rFonts w:cs="Calibri Light"/>
        </w:rPr>
        <w:t xml:space="preserve"> and high inflation</w:t>
      </w:r>
      <w:r w:rsidR="00400A82">
        <w:rPr>
          <w:rFonts w:cs="Calibri Light"/>
        </w:rPr>
        <w:t xml:space="preserve">. </w:t>
      </w:r>
      <w:r w:rsidR="00727407">
        <w:rPr>
          <w:rFonts w:cs="Calibri Light"/>
        </w:rPr>
        <w:t>Despite a mixed economic outlook,</w:t>
      </w:r>
      <w:r w:rsidR="00400A82">
        <w:rPr>
          <w:rFonts w:cs="Calibri Light"/>
        </w:rPr>
        <w:t xml:space="preserve"> </w:t>
      </w:r>
      <w:r w:rsidR="00327B0A">
        <w:rPr>
          <w:rFonts w:cs="Calibri Light"/>
        </w:rPr>
        <w:t>several</w:t>
      </w:r>
      <w:r w:rsidR="00400A82">
        <w:rPr>
          <w:rFonts w:cs="Calibri Light"/>
        </w:rPr>
        <w:t xml:space="preserve"> </w:t>
      </w:r>
      <w:r w:rsidR="00400A82">
        <w:rPr>
          <w:rFonts w:cs="Calibri Light"/>
        </w:rPr>
        <w:lastRenderedPageBreak/>
        <w:t xml:space="preserve">indicators suggest </w:t>
      </w:r>
      <w:r w:rsidR="008700A2" w:rsidRPr="008700A2">
        <w:rPr>
          <w:rFonts w:cs="Calibri Light"/>
        </w:rPr>
        <w:t>an improved outlook for</w:t>
      </w:r>
      <w:r w:rsidR="00400A82">
        <w:rPr>
          <w:rFonts w:cs="Calibri Light"/>
        </w:rPr>
        <w:t xml:space="preserve"> economic growth and growth in real wages.</w:t>
      </w:r>
      <w:r w:rsidR="006D2BC5">
        <w:rPr>
          <w:rFonts w:cs="Calibri Light"/>
        </w:rPr>
        <w:t xml:space="preserve"> While not directly relevant to Council members, the Tribunal noted the</w:t>
      </w:r>
      <w:r w:rsidR="006D2BC5" w:rsidRPr="006D2BC5">
        <w:rPr>
          <w:rFonts w:cs="Calibri Light"/>
        </w:rPr>
        <w:t xml:space="preserve"> Fair Work Commission’s 2024 decision to increase the National Minimum Wage and </w:t>
      </w:r>
      <w:r w:rsidR="00231ECA">
        <w:rPr>
          <w:rFonts w:cs="Calibri Light"/>
        </w:rPr>
        <w:t xml:space="preserve">modern </w:t>
      </w:r>
      <w:r w:rsidR="006D2BC5" w:rsidRPr="006D2BC5">
        <w:rPr>
          <w:rFonts w:cs="Calibri Light"/>
        </w:rPr>
        <w:t xml:space="preserve">award minimum wages by 3.75 per cent. </w:t>
      </w:r>
    </w:p>
    <w:p w14:paraId="56E9FCF1" w14:textId="0E2B6361" w:rsidR="00E0560D" w:rsidRDefault="00E0560D" w:rsidP="00DB48D0">
      <w:pPr>
        <w:pStyle w:val="05Paragraph"/>
        <w:rPr>
          <w:rFonts w:cs="Calibri Light"/>
        </w:rPr>
      </w:pPr>
      <w:r>
        <w:rPr>
          <w:rFonts w:cs="Calibri Light"/>
        </w:rPr>
        <w:t xml:space="preserve">The Tribunal </w:t>
      </w:r>
      <w:r w:rsidR="00BE5F70">
        <w:rPr>
          <w:rFonts w:cs="Calibri Light"/>
        </w:rPr>
        <w:t>considered</w:t>
      </w:r>
      <w:r>
        <w:rPr>
          <w:rFonts w:cs="Calibri Light"/>
        </w:rPr>
        <w:t xml:space="preserve"> the </w:t>
      </w:r>
      <w:r w:rsidR="003279A5">
        <w:rPr>
          <w:rFonts w:cs="Calibri Light"/>
        </w:rPr>
        <w:t xml:space="preserve">current </w:t>
      </w:r>
      <w:r w:rsidR="00350CF6" w:rsidRPr="003279A5">
        <w:rPr>
          <w:rFonts w:cs="Calibri Light"/>
          <w:i/>
        </w:rPr>
        <w:t>W</w:t>
      </w:r>
      <w:r w:rsidRPr="003279A5">
        <w:rPr>
          <w:rFonts w:cs="Calibri Light"/>
          <w:i/>
        </w:rPr>
        <w:t xml:space="preserve">ages </w:t>
      </w:r>
      <w:r w:rsidR="00350CF6" w:rsidRPr="003279A5">
        <w:rPr>
          <w:rFonts w:cs="Calibri Light"/>
          <w:i/>
        </w:rPr>
        <w:t>P</w:t>
      </w:r>
      <w:r w:rsidRPr="003279A5">
        <w:rPr>
          <w:rFonts w:cs="Calibri Light"/>
          <w:i/>
        </w:rPr>
        <w:t xml:space="preserve">olicy </w:t>
      </w:r>
      <w:r w:rsidR="005E5F43" w:rsidRPr="003279A5">
        <w:rPr>
          <w:rFonts w:cs="Calibri Light"/>
          <w:i/>
          <w:iCs/>
        </w:rPr>
        <w:t>and the Enterprise Bargaining Framework</w:t>
      </w:r>
      <w:r w:rsidR="005E5F43" w:rsidRPr="005E5F43">
        <w:rPr>
          <w:rFonts w:cs="Calibri Light"/>
        </w:rPr>
        <w:t xml:space="preserve"> </w:t>
      </w:r>
      <w:r w:rsidR="003279A5">
        <w:rPr>
          <w:rFonts w:cs="Calibri Light"/>
        </w:rPr>
        <w:t>(</w:t>
      </w:r>
      <w:r w:rsidR="00350CF6" w:rsidRPr="002C710B">
        <w:rPr>
          <w:rFonts w:cs="Calibri Light"/>
        </w:rPr>
        <w:t>W</w:t>
      </w:r>
      <w:r>
        <w:rPr>
          <w:rFonts w:cs="Calibri Light"/>
        </w:rPr>
        <w:t xml:space="preserve">ages </w:t>
      </w:r>
      <w:r w:rsidR="00350CF6">
        <w:rPr>
          <w:rFonts w:cs="Calibri Light"/>
        </w:rPr>
        <w:t>P</w:t>
      </w:r>
      <w:r>
        <w:rPr>
          <w:rFonts w:cs="Calibri Light"/>
        </w:rPr>
        <w:t>olicy</w:t>
      </w:r>
      <w:r w:rsidR="003279A5">
        <w:rPr>
          <w:rFonts w:cs="Calibri Light"/>
        </w:rPr>
        <w:t>)</w:t>
      </w:r>
      <w:r>
        <w:rPr>
          <w:rFonts w:cs="Calibri Light"/>
        </w:rPr>
        <w:t xml:space="preserve"> in light of the current fiscal circumstances of the State of Victoria</w:t>
      </w:r>
      <w:r w:rsidR="005F58FA">
        <w:rPr>
          <w:rFonts w:cs="Calibri Light"/>
        </w:rPr>
        <w:t xml:space="preserve">, but notes that the policy does not apply to local </w:t>
      </w:r>
      <w:r w:rsidR="00231ECA">
        <w:rPr>
          <w:rFonts w:cs="Calibri Light"/>
        </w:rPr>
        <w:t>Council</w:t>
      </w:r>
      <w:r w:rsidR="005F58FA">
        <w:rPr>
          <w:rFonts w:cs="Calibri Light"/>
        </w:rPr>
        <w:t>s</w:t>
      </w:r>
      <w:r>
        <w:rPr>
          <w:rFonts w:cs="Calibri Light"/>
        </w:rPr>
        <w:t xml:space="preserve">.  </w:t>
      </w:r>
    </w:p>
    <w:p w14:paraId="114E3D8C" w14:textId="078555E0" w:rsidR="00DA0894" w:rsidRDefault="00DA0894" w:rsidP="00DB48D0">
      <w:pPr>
        <w:pStyle w:val="05Paragraph"/>
        <w:rPr>
          <w:rFonts w:cs="Calibri Light"/>
        </w:rPr>
      </w:pPr>
      <w:r>
        <w:rPr>
          <w:rFonts w:cs="Calibri Light"/>
        </w:rPr>
        <w:t xml:space="preserve">Several submissions </w:t>
      </w:r>
      <w:r w:rsidR="00B67D42">
        <w:rPr>
          <w:rFonts w:cs="Calibri Light"/>
        </w:rPr>
        <w:t>received by the Tribunal</w:t>
      </w:r>
      <w:r>
        <w:rPr>
          <w:rFonts w:cs="Calibri Light"/>
        </w:rPr>
        <w:t xml:space="preserve"> called for substantive increases to Councillor allowances to reflect the work and time commitment of Councillors and </w:t>
      </w:r>
      <w:r w:rsidR="00B67D42">
        <w:rPr>
          <w:rFonts w:cs="Calibri Light"/>
        </w:rPr>
        <w:t xml:space="preserve">to </w:t>
      </w:r>
      <w:r>
        <w:rPr>
          <w:rFonts w:cs="Calibri Light"/>
        </w:rPr>
        <w:t>attract high-quality candidates</w:t>
      </w:r>
      <w:r w:rsidR="00544C95">
        <w:rPr>
          <w:rFonts w:cs="Calibri Light"/>
        </w:rPr>
        <w:t>. One submission called for no increase to allowances given the additional benefits available</w:t>
      </w:r>
      <w:r w:rsidR="00544C95" w:rsidDel="00B67D42">
        <w:rPr>
          <w:rFonts w:cs="Calibri Light"/>
        </w:rPr>
        <w:t xml:space="preserve"> </w:t>
      </w:r>
      <w:r w:rsidR="00544C95">
        <w:rPr>
          <w:rFonts w:cs="Calibri Light"/>
        </w:rPr>
        <w:t>and the non-monetary benefits of Council service.</w:t>
      </w:r>
    </w:p>
    <w:p w14:paraId="5933F93E" w14:textId="3F4A1224" w:rsidR="008D13D9" w:rsidRPr="00DF18F4" w:rsidRDefault="00DB48D0" w:rsidP="00DB48D0">
      <w:pPr>
        <w:pStyle w:val="05Paragraph"/>
        <w:rPr>
          <w:rFonts w:cs="Calibri Light"/>
        </w:rPr>
      </w:pPr>
      <w:r w:rsidRPr="00DF18F4">
        <w:rPr>
          <w:rFonts w:cs="Calibri Light"/>
        </w:rPr>
        <w:t xml:space="preserve">The Tribunal </w:t>
      </w:r>
      <w:r w:rsidR="008D13D9" w:rsidRPr="00DF18F4">
        <w:rPr>
          <w:rFonts w:cs="Calibri Light"/>
        </w:rPr>
        <w:t>was also mindful of:</w:t>
      </w:r>
    </w:p>
    <w:p w14:paraId="122526F7" w14:textId="06AF1E8D" w:rsidR="00932A94" w:rsidRPr="00DF18F4" w:rsidRDefault="00954436" w:rsidP="00932A94">
      <w:pPr>
        <w:pStyle w:val="06VIRTBulletpoints"/>
        <w:rPr>
          <w:rFonts w:cs="Calibri Light"/>
        </w:rPr>
      </w:pPr>
      <w:r w:rsidRPr="00DF18F4">
        <w:rPr>
          <w:rFonts w:cs="Calibri Light"/>
        </w:rPr>
        <w:t>recent</w:t>
      </w:r>
      <w:r w:rsidR="00544C95">
        <w:rPr>
          <w:rFonts w:cs="Calibri Light"/>
        </w:rPr>
        <w:t xml:space="preserve"> annual</w:t>
      </w:r>
      <w:r w:rsidRPr="00DF18F4">
        <w:rPr>
          <w:rFonts w:cs="Calibri Light"/>
        </w:rPr>
        <w:t xml:space="preserve"> remuneration adjustment</w:t>
      </w:r>
      <w:r w:rsidR="00395011" w:rsidRPr="00DF18F4">
        <w:rPr>
          <w:rFonts w:cs="Calibri Light"/>
        </w:rPr>
        <w:t>s for comparable</w:t>
      </w:r>
      <w:r w:rsidR="00E43631" w:rsidRPr="00DF18F4">
        <w:rPr>
          <w:rFonts w:cs="Calibri Light"/>
        </w:rPr>
        <w:t xml:space="preserve"> local government</w:t>
      </w:r>
      <w:r w:rsidR="00395011" w:rsidRPr="00DF18F4">
        <w:rPr>
          <w:rFonts w:cs="Calibri Light"/>
        </w:rPr>
        <w:t xml:space="preserve"> roles in other Australian jurisd</w:t>
      </w:r>
      <w:r w:rsidR="00932A94" w:rsidRPr="00DF18F4">
        <w:rPr>
          <w:rFonts w:cs="Calibri Light"/>
        </w:rPr>
        <w:t>ictions</w:t>
      </w:r>
      <w:r w:rsidR="00544C95">
        <w:rPr>
          <w:rFonts w:cs="Calibri Light"/>
        </w:rPr>
        <w:t>, ranging from 2.5 per cent to 5 per cent</w:t>
      </w:r>
    </w:p>
    <w:p w14:paraId="1DF5E2F2" w14:textId="5D133E42" w:rsidR="0068771E" w:rsidRPr="00DF18F4" w:rsidRDefault="0068771E" w:rsidP="0068771E">
      <w:pPr>
        <w:pStyle w:val="06VIRTBulletpoints"/>
        <w:rPr>
          <w:rFonts w:cs="Calibri Light"/>
        </w:rPr>
      </w:pPr>
      <w:r w:rsidRPr="00DF18F4">
        <w:rPr>
          <w:rFonts w:cs="Calibri Light"/>
        </w:rPr>
        <w:t xml:space="preserve">the Victorian Government’s rate cap of 2.75 per cent for all Councils </w:t>
      </w:r>
      <w:r w:rsidR="00DA3F7B" w:rsidRPr="00DF18F4">
        <w:rPr>
          <w:rFonts w:cs="Calibri Light"/>
        </w:rPr>
        <w:t>in</w:t>
      </w:r>
      <w:r w:rsidRPr="00DF18F4">
        <w:rPr>
          <w:rFonts w:cs="Calibri Light"/>
        </w:rPr>
        <w:t xml:space="preserve"> 2024</w:t>
      </w:r>
      <w:r w:rsidRPr="00DF18F4">
        <w:rPr>
          <w:rFonts w:cs="Calibri Light"/>
        </w:rPr>
        <w:noBreakHyphen/>
        <w:t>25</w:t>
      </w:r>
    </w:p>
    <w:p w14:paraId="0BAD772A" w14:textId="74EB8CDB" w:rsidR="00B53D52" w:rsidRPr="00DF18F4" w:rsidRDefault="00544C95" w:rsidP="00B53D52">
      <w:pPr>
        <w:pStyle w:val="06VIRTBulletpoints"/>
        <w:rPr>
          <w:rFonts w:cs="Calibri Light"/>
        </w:rPr>
      </w:pPr>
      <w:r w:rsidRPr="00DF18F4">
        <w:rPr>
          <w:rFonts w:cs="Calibri Light"/>
        </w:rPr>
        <w:t xml:space="preserve">its 2024 Annual Adjustment Determination of salaries and allowances for Members of the Parliament of Victoria (MPs), </w:t>
      </w:r>
      <w:r>
        <w:rPr>
          <w:rFonts w:cs="Calibri Light"/>
        </w:rPr>
        <w:t xml:space="preserve">where the Tribunal determined to increase MP salaries by </w:t>
      </w:r>
      <w:r w:rsidRPr="00DF18F4">
        <w:rPr>
          <w:rFonts w:cs="Calibri Light"/>
        </w:rPr>
        <w:t xml:space="preserve">3.5 per cent </w:t>
      </w:r>
    </w:p>
    <w:p w14:paraId="5564FAB1" w14:textId="0CB75BAC" w:rsidR="00B53D52" w:rsidRPr="00544C95" w:rsidRDefault="00B53D52" w:rsidP="00B53D52">
      <w:pPr>
        <w:pStyle w:val="06VIRTBulletpoints"/>
        <w:rPr>
          <w:rFonts w:cs="Calibri Light"/>
        </w:rPr>
      </w:pPr>
      <w:r w:rsidRPr="00B53D52">
        <w:t xml:space="preserve">the overall financial performance of local </w:t>
      </w:r>
      <w:r w:rsidR="00231ECA">
        <w:t>Council</w:t>
      </w:r>
      <w:r w:rsidRPr="00B53D52">
        <w:t>s reflected in the most recent audit of the local government sector by the Victorian Auditor</w:t>
      </w:r>
      <w:r w:rsidR="00D71215">
        <w:noBreakHyphen/>
      </w:r>
      <w:r w:rsidRPr="00B53D52">
        <w:t>General’s Office (VAGO), which observed that Councils</w:t>
      </w:r>
      <w:r w:rsidR="00B67D42">
        <w:t>’</w:t>
      </w:r>
      <w:r w:rsidRPr="00B53D52">
        <w:t xml:space="preserve"> balance sheets remain strong and that their financial health is sound over the short</w:t>
      </w:r>
      <w:r w:rsidR="00D71215">
        <w:noBreakHyphen/>
      </w:r>
      <w:r w:rsidRPr="00B53D52">
        <w:t>term.</w:t>
      </w:r>
    </w:p>
    <w:p w14:paraId="01AC240F" w14:textId="752FE324" w:rsidR="00896531" w:rsidRPr="00544C95" w:rsidRDefault="00896531" w:rsidP="00896531">
      <w:pPr>
        <w:pStyle w:val="05Paragraph"/>
      </w:pPr>
      <w:r w:rsidRPr="00911A44">
        <w:rPr>
          <w:rFonts w:cs="Calibri Light"/>
        </w:rPr>
        <w:t>For ease of reference, the Tribunal has also published on its website a consolidated version of the Comprehensive Determination, incorporating changes made by the 2022, 2023 and 2024 annual adjustments.</w:t>
      </w:r>
    </w:p>
    <w:p w14:paraId="0CF9E0DD" w14:textId="77777777" w:rsidR="003652B2" w:rsidRPr="00D86144" w:rsidRDefault="003652B2" w:rsidP="00896531">
      <w:pPr>
        <w:pStyle w:val="05Paragraph"/>
        <w:rPr>
          <w:rFonts w:ascii="Rockwell" w:hAnsi="Rockwell" w:cs="Calibri Light"/>
          <w:color w:val="26664E" w:themeColor="accent1"/>
          <w:sz w:val="72"/>
        </w:rPr>
      </w:pPr>
      <w:r w:rsidRPr="00D86144">
        <w:rPr>
          <w:rFonts w:cs="Calibri Light"/>
        </w:rPr>
        <w:br w:type="page"/>
      </w:r>
    </w:p>
    <w:p w14:paraId="5E668115" w14:textId="21AB1F43" w:rsidR="002D4A56" w:rsidRDefault="00BB0137" w:rsidP="000C1B31">
      <w:pPr>
        <w:pStyle w:val="Style4"/>
      </w:pPr>
      <w:bookmarkStart w:id="32" w:name="_Toc166014295"/>
      <w:bookmarkStart w:id="33" w:name="_Toc170383514"/>
      <w:r w:rsidRPr="000C1B31">
        <w:rPr>
          <w:rStyle w:val="01ChapterheadingChar"/>
        </w:rPr>
        <w:lastRenderedPageBreak/>
        <w:t>1</w:t>
      </w:r>
      <w:r w:rsidRPr="000C1B31">
        <w:rPr>
          <w:rStyle w:val="01ChapterheadingChar"/>
        </w:rPr>
        <w:tab/>
      </w:r>
      <w:r w:rsidR="002829D0" w:rsidRPr="000C1B31">
        <w:rPr>
          <w:rStyle w:val="01ChapterheadingChar"/>
        </w:rPr>
        <w:t>Context</w:t>
      </w:r>
      <w:bookmarkEnd w:id="32"/>
      <w:bookmarkEnd w:id="33"/>
      <w:r w:rsidR="002D4A56">
        <w:br/>
      </w:r>
      <w:r w:rsidR="336BCEF6">
        <w:rPr>
          <w:noProof/>
        </w:rPr>
        <w:drawing>
          <wp:inline distT="0" distB="0" distL="0" distR="0" wp14:anchorId="785456D9" wp14:editId="6FA4574F">
            <wp:extent cx="2212975" cy="255905"/>
            <wp:effectExtent l="0" t="0" r="0" b="0"/>
            <wp:docPr id="1761793384" name="Picture 176179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6">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0"/>
      <w:bookmarkEnd w:id="1"/>
      <w:bookmarkEnd w:id="2"/>
      <w:bookmarkEnd w:id="3"/>
    </w:p>
    <w:p w14:paraId="1BDB01FB" w14:textId="2ECC41EF" w:rsidR="00D00D28" w:rsidRPr="00DF18F4" w:rsidRDefault="00001D42" w:rsidP="002229FF">
      <w:pPr>
        <w:pStyle w:val="05Paragraph"/>
        <w:rPr>
          <w:rFonts w:cs="Calibri Light"/>
        </w:rPr>
      </w:pPr>
      <w:bookmarkStart w:id="34" w:name="_Toc344541"/>
      <w:bookmarkStart w:id="35" w:name="_Toc5783357"/>
      <w:r w:rsidRPr="00DF18F4">
        <w:rPr>
          <w:rFonts w:cs="Calibri Light"/>
        </w:rPr>
        <w:t>T</w:t>
      </w:r>
      <w:r w:rsidR="00E74A52" w:rsidRPr="00DF18F4">
        <w:rPr>
          <w:rFonts w:cs="Calibri Light"/>
        </w:rPr>
        <w:t>he</w:t>
      </w:r>
      <w:r w:rsidR="00D00D28" w:rsidRPr="00DF18F4">
        <w:rPr>
          <w:rFonts w:cs="Calibri Light"/>
        </w:rPr>
        <w:t xml:space="preserve"> Tribunal is required to </w:t>
      </w:r>
      <w:r w:rsidRPr="00DF18F4">
        <w:rPr>
          <w:rFonts w:cs="Calibri Light"/>
        </w:rPr>
        <w:t>make an annual adjustment to</w:t>
      </w:r>
      <w:r w:rsidR="00BD3F8C" w:rsidRPr="00DF18F4">
        <w:rPr>
          <w:rFonts w:cs="Calibri Light"/>
        </w:rPr>
        <w:t xml:space="preserve"> the values of the allowances payable to </w:t>
      </w:r>
      <w:r w:rsidR="009706CA" w:rsidRPr="00DF18F4">
        <w:rPr>
          <w:rFonts w:cs="Calibri Light"/>
        </w:rPr>
        <w:t xml:space="preserve">Council members </w:t>
      </w:r>
      <w:r w:rsidRPr="00DF18F4">
        <w:rPr>
          <w:rFonts w:cs="Calibri Light"/>
        </w:rPr>
        <w:t xml:space="preserve">set in a Determination </w:t>
      </w:r>
      <w:r w:rsidR="003B0D4A" w:rsidRPr="00DF18F4">
        <w:rPr>
          <w:rFonts w:cs="Calibri Light"/>
        </w:rPr>
        <w:t xml:space="preserve">under the </w:t>
      </w:r>
      <w:r w:rsidR="003B0D4A" w:rsidRPr="00DF18F4">
        <w:rPr>
          <w:rFonts w:cs="Calibri Light"/>
          <w:i/>
        </w:rPr>
        <w:t>Victorian Independent Remuneration Tribunal and Improving Parliamentary Standards Act 2019</w:t>
      </w:r>
      <w:r w:rsidR="003B0D4A" w:rsidRPr="00DF18F4">
        <w:rPr>
          <w:rFonts w:cs="Calibri Light"/>
        </w:rPr>
        <w:t xml:space="preserve"> (Vic) (VIRTIPS Act).</w:t>
      </w:r>
      <w:r w:rsidR="00EB76B7" w:rsidRPr="00DF18F4">
        <w:rPr>
          <w:rStyle w:val="FootnoteReference"/>
          <w:rFonts w:cs="Calibri Light"/>
        </w:rPr>
        <w:footnoteReference w:id="2"/>
      </w:r>
    </w:p>
    <w:p w14:paraId="3D61A7E7" w14:textId="60A92B51" w:rsidR="0051565E" w:rsidRPr="00DF18F4" w:rsidRDefault="0051565E" w:rsidP="002229FF">
      <w:pPr>
        <w:pStyle w:val="05Paragraph"/>
        <w:rPr>
          <w:rFonts w:cs="Calibri Light"/>
        </w:rPr>
      </w:pPr>
      <w:r w:rsidRPr="00911A44">
        <w:rPr>
          <w:rFonts w:cs="Calibri Light"/>
        </w:rPr>
        <w:t>In performing its functions and exercising its powers, the Tribunal must act independently and impartially and is not subject to the control or direction of any person, including the Minister</w:t>
      </w:r>
      <w:r>
        <w:rPr>
          <w:rFonts w:cs="Calibri Light"/>
        </w:rPr>
        <w:t xml:space="preserve"> responsible for the Tribunal</w:t>
      </w:r>
      <w:r w:rsidRPr="00911A44">
        <w:rPr>
          <w:rFonts w:cs="Calibri Light"/>
        </w:rPr>
        <w:t>.</w:t>
      </w:r>
      <w:r w:rsidRPr="00911A44">
        <w:rPr>
          <w:rStyle w:val="FootnoteReference"/>
          <w:rFonts w:cs="Calibri Light"/>
        </w:rPr>
        <w:footnoteReference w:id="3"/>
      </w:r>
    </w:p>
    <w:p w14:paraId="7E3B8AF7" w14:textId="7CF1ECF6" w:rsidR="00E35067" w:rsidRPr="00DF18F4" w:rsidRDefault="003B0D4A" w:rsidP="002229FF">
      <w:pPr>
        <w:pStyle w:val="05Paragraph"/>
        <w:rPr>
          <w:rFonts w:cs="Calibri Light"/>
        </w:rPr>
      </w:pPr>
      <w:r w:rsidRPr="00DF18F4">
        <w:rPr>
          <w:rFonts w:cs="Calibri Light"/>
        </w:rPr>
        <w:t>The Determination in effect is the</w:t>
      </w:r>
      <w:r w:rsidR="0037118C" w:rsidRPr="00DF18F4">
        <w:rPr>
          <w:rFonts w:cs="Calibri Light"/>
        </w:rPr>
        <w:t xml:space="preserve"> </w:t>
      </w:r>
      <w:r w:rsidR="001E5575" w:rsidRPr="00DF18F4">
        <w:rPr>
          <w:rFonts w:cs="Calibri Light"/>
          <w:i/>
        </w:rPr>
        <w:t>Allowance payable to Mayors, Deputy Mayors and Councillors</w:t>
      </w:r>
      <w:r w:rsidR="0037118C" w:rsidRPr="00DF18F4">
        <w:rPr>
          <w:rFonts w:cs="Calibri Light"/>
          <w:i/>
        </w:rPr>
        <w:t xml:space="preserve"> (Victoria) Determination No. 01/202</w:t>
      </w:r>
      <w:r w:rsidR="001E5575" w:rsidRPr="00DF18F4">
        <w:rPr>
          <w:rFonts w:cs="Calibri Light"/>
          <w:i/>
        </w:rPr>
        <w:t>2</w:t>
      </w:r>
      <w:r w:rsidR="0037118C" w:rsidRPr="00DF18F4">
        <w:rPr>
          <w:rFonts w:cs="Calibri Light"/>
        </w:rPr>
        <w:t xml:space="preserve"> (Comprehensive Determination</w:t>
      </w:r>
      <w:r w:rsidRPr="00DF18F4">
        <w:rPr>
          <w:rFonts w:cs="Calibri Light"/>
        </w:rPr>
        <w:t xml:space="preserve">), </w:t>
      </w:r>
      <w:r w:rsidR="0071016B" w:rsidRPr="00DF18F4">
        <w:rPr>
          <w:rFonts w:cs="Calibri Light"/>
        </w:rPr>
        <w:t xml:space="preserve">which was </w:t>
      </w:r>
      <w:r w:rsidRPr="00DF18F4">
        <w:rPr>
          <w:rFonts w:cs="Calibri Light"/>
        </w:rPr>
        <w:t>made in March 2022</w:t>
      </w:r>
      <w:r w:rsidR="00442DE2" w:rsidRPr="00DF18F4">
        <w:rPr>
          <w:rFonts w:cs="Calibri Light"/>
        </w:rPr>
        <w:t>.</w:t>
      </w:r>
      <w:r w:rsidR="00F01996" w:rsidRPr="00DF18F4">
        <w:rPr>
          <w:rStyle w:val="FootnoteReference"/>
          <w:rFonts w:cs="Calibri Light"/>
        </w:rPr>
        <w:footnoteReference w:id="4"/>
      </w:r>
      <w:r w:rsidR="00B52966" w:rsidRPr="00DF18F4">
        <w:rPr>
          <w:rFonts w:cs="Calibri Light"/>
        </w:rPr>
        <w:t xml:space="preserve"> </w:t>
      </w:r>
      <w:r w:rsidR="00E35067" w:rsidRPr="00DF18F4">
        <w:rPr>
          <w:rFonts w:cs="Calibri Light"/>
        </w:rPr>
        <w:t xml:space="preserve">The Comprehensive Determination set a base allowance for every Council member in Victoria, the value of which varies according to role (Mayor, Deputy Mayor or Councillor) and the allowance category to which a Council has been assigned. </w:t>
      </w:r>
      <w:r w:rsidR="00FE68F0">
        <w:rPr>
          <w:rFonts w:cs="Calibri Light"/>
        </w:rPr>
        <w:t>It</w:t>
      </w:r>
      <w:r w:rsidR="00E35067" w:rsidRPr="00DF18F4">
        <w:rPr>
          <w:rFonts w:cs="Calibri Light"/>
        </w:rPr>
        <w:t xml:space="preserve"> also </w:t>
      </w:r>
      <w:r w:rsidR="00F746E8">
        <w:rPr>
          <w:rFonts w:cs="Calibri Light"/>
        </w:rPr>
        <w:t>set the eligibility criteria for, and value of</w:t>
      </w:r>
      <w:r w:rsidR="00032D92">
        <w:rPr>
          <w:rFonts w:cs="Calibri Light"/>
        </w:rPr>
        <w:t xml:space="preserve">, </w:t>
      </w:r>
      <w:r w:rsidR="00E35067" w:rsidRPr="00DF18F4">
        <w:rPr>
          <w:rFonts w:cs="Calibri Light"/>
        </w:rPr>
        <w:t>a Remote Area Travel Allowance</w:t>
      </w:r>
      <w:r w:rsidR="00992672">
        <w:rPr>
          <w:rFonts w:cs="Calibri Light"/>
        </w:rPr>
        <w:t xml:space="preserve"> </w:t>
      </w:r>
      <w:r w:rsidR="00032D92">
        <w:rPr>
          <w:rFonts w:cs="Calibri Light"/>
        </w:rPr>
        <w:t xml:space="preserve">payable </w:t>
      </w:r>
      <w:r w:rsidR="00992672">
        <w:rPr>
          <w:rFonts w:cs="Calibri Light"/>
        </w:rPr>
        <w:t>to</w:t>
      </w:r>
      <w:r w:rsidR="00BA5C64">
        <w:rPr>
          <w:rFonts w:cs="Calibri Light"/>
        </w:rPr>
        <w:t xml:space="preserve"> </w:t>
      </w:r>
      <w:r w:rsidR="0025052D">
        <w:rPr>
          <w:rFonts w:cs="Calibri Light"/>
        </w:rPr>
        <w:t xml:space="preserve">Council members </w:t>
      </w:r>
      <w:r w:rsidR="00992672">
        <w:rPr>
          <w:rFonts w:cs="Calibri Light"/>
        </w:rPr>
        <w:t xml:space="preserve">for the time </w:t>
      </w:r>
      <w:r w:rsidR="00BA5C64">
        <w:rPr>
          <w:rFonts w:cs="Calibri Light"/>
        </w:rPr>
        <w:t>spent</w:t>
      </w:r>
      <w:r w:rsidR="00992672">
        <w:rPr>
          <w:rFonts w:cs="Calibri Light"/>
        </w:rPr>
        <w:t xml:space="preserve"> travelling </w:t>
      </w:r>
      <w:r w:rsidR="00BA5C64">
        <w:rPr>
          <w:rFonts w:cs="Calibri Light"/>
        </w:rPr>
        <w:t>for</w:t>
      </w:r>
      <w:r w:rsidR="00992672">
        <w:rPr>
          <w:rFonts w:cs="Calibri Light"/>
        </w:rPr>
        <w:t xml:space="preserve"> </w:t>
      </w:r>
      <w:r w:rsidR="0025052D">
        <w:rPr>
          <w:rFonts w:cs="Calibri Light"/>
        </w:rPr>
        <w:t>C</w:t>
      </w:r>
      <w:r w:rsidR="00992672">
        <w:rPr>
          <w:rFonts w:cs="Calibri Light"/>
        </w:rPr>
        <w:t>ouncil meetings or functions</w:t>
      </w:r>
      <w:r w:rsidR="00E35067" w:rsidRPr="00DF18F4">
        <w:rPr>
          <w:rFonts w:cs="Calibri Light"/>
        </w:rPr>
        <w:t>.</w:t>
      </w:r>
    </w:p>
    <w:p w14:paraId="5B8B64AC" w14:textId="2B9EB624" w:rsidR="001E251B" w:rsidRDefault="003D2D4D" w:rsidP="001E251B">
      <w:pPr>
        <w:pStyle w:val="05Paragraph"/>
        <w:rPr>
          <w:rFonts w:cs="Calibri Light"/>
        </w:rPr>
      </w:pPr>
      <w:r w:rsidRPr="00DF18F4">
        <w:rPr>
          <w:rFonts w:cs="Calibri Light"/>
          <w:spacing w:val="-2"/>
        </w:rPr>
        <w:t xml:space="preserve">The Tribunal has </w:t>
      </w:r>
      <w:r w:rsidR="00D27659" w:rsidRPr="00DF18F4">
        <w:rPr>
          <w:rFonts w:cs="Calibri Light"/>
          <w:spacing w:val="-2"/>
        </w:rPr>
        <w:t>made</w:t>
      </w:r>
      <w:r w:rsidRPr="00DF18F4">
        <w:rPr>
          <w:rFonts w:cs="Calibri Light"/>
          <w:spacing w:val="-2"/>
        </w:rPr>
        <w:t xml:space="preserve"> two subsequent </w:t>
      </w:r>
      <w:r w:rsidR="00D27659" w:rsidRPr="00DF18F4">
        <w:rPr>
          <w:rFonts w:cs="Calibri Light"/>
          <w:spacing w:val="-2"/>
        </w:rPr>
        <w:t>annual adjustments to the values set in the Comprehensive Determination</w:t>
      </w:r>
      <w:r w:rsidR="00CD7DE8" w:rsidRPr="00DF18F4">
        <w:rPr>
          <w:rFonts w:cs="Calibri Light"/>
          <w:spacing w:val="-2"/>
        </w:rPr>
        <w:t xml:space="preserve"> in </w:t>
      </w:r>
      <w:r w:rsidR="00402540" w:rsidRPr="00DF18F4">
        <w:rPr>
          <w:rFonts w:cs="Calibri Light"/>
          <w:spacing w:val="-2"/>
        </w:rPr>
        <w:t xml:space="preserve">December 2022 and June 2023. </w:t>
      </w:r>
      <w:r w:rsidR="001E251B" w:rsidRPr="00DF18F4">
        <w:rPr>
          <w:rFonts w:cs="Calibri Light"/>
          <w:spacing w:val="-2"/>
        </w:rPr>
        <w:t xml:space="preserve">The Tribunal </w:t>
      </w:r>
      <w:r w:rsidR="001E251B">
        <w:rPr>
          <w:rFonts w:cs="Calibri Light"/>
          <w:spacing w:val="-2"/>
        </w:rPr>
        <w:t xml:space="preserve">also </w:t>
      </w:r>
      <w:r w:rsidR="001E251B" w:rsidRPr="00DF18F4">
        <w:rPr>
          <w:rFonts w:cs="Calibri Light"/>
          <w:spacing w:val="-2"/>
        </w:rPr>
        <w:t xml:space="preserve">decided in </w:t>
      </w:r>
      <w:r w:rsidR="00284241">
        <w:rPr>
          <w:rFonts w:cs="Calibri Light"/>
          <w:spacing w:val="-2"/>
        </w:rPr>
        <w:t xml:space="preserve">the </w:t>
      </w:r>
      <w:r w:rsidR="00284241" w:rsidRPr="00284241">
        <w:rPr>
          <w:rFonts w:cs="Calibri Light"/>
          <w:i/>
          <w:iCs/>
          <w:spacing w:val="-2"/>
        </w:rPr>
        <w:t>Allowance payable to Mayors, Deputy Mayors and Councillors (Victoria) Annual Adjustment Determination 2023</w:t>
      </w:r>
      <w:r w:rsidR="00284241" w:rsidRPr="00284241">
        <w:rPr>
          <w:rFonts w:cs="Calibri Light"/>
          <w:spacing w:val="-2"/>
        </w:rPr>
        <w:t xml:space="preserve"> </w:t>
      </w:r>
      <w:r w:rsidR="00284241">
        <w:rPr>
          <w:rFonts w:cs="Calibri Light"/>
          <w:spacing w:val="-2"/>
        </w:rPr>
        <w:t>(</w:t>
      </w:r>
      <w:r w:rsidR="001E251B" w:rsidRPr="00DF18F4">
        <w:rPr>
          <w:rFonts w:cs="Calibri Light"/>
          <w:spacing w:val="-2"/>
        </w:rPr>
        <w:t xml:space="preserve">2023 </w:t>
      </w:r>
      <w:r w:rsidR="001E251B">
        <w:rPr>
          <w:rFonts w:cs="Calibri Light"/>
          <w:spacing w:val="-2"/>
        </w:rPr>
        <w:t>Local Government Annual Adjustment Determination</w:t>
      </w:r>
      <w:r w:rsidR="00284241">
        <w:rPr>
          <w:rFonts w:cs="Calibri Light"/>
          <w:spacing w:val="-2"/>
        </w:rPr>
        <w:t>)</w:t>
      </w:r>
      <w:r w:rsidR="001E251B" w:rsidRPr="00DF18F4">
        <w:rPr>
          <w:rFonts w:cs="Calibri Light"/>
          <w:spacing w:val="-2"/>
        </w:rPr>
        <w:t xml:space="preserve"> that future annual adjustments should commence at the same time as Determinations made by the Tribunal for other groups.</w:t>
      </w:r>
      <w:r w:rsidR="001E251B">
        <w:rPr>
          <w:rStyle w:val="FootnoteReference"/>
          <w:rFonts w:cs="Calibri Light"/>
          <w:spacing w:val="-2"/>
        </w:rPr>
        <w:footnoteReference w:id="5"/>
      </w:r>
      <w:r w:rsidR="001E251B" w:rsidRPr="00DF18F4">
        <w:rPr>
          <w:rFonts w:cs="Calibri Light"/>
        </w:rPr>
        <w:t xml:space="preserve"> </w:t>
      </w:r>
    </w:p>
    <w:p w14:paraId="36732D15" w14:textId="0C8345CB" w:rsidR="006536F9" w:rsidRPr="00DF18F4" w:rsidRDefault="00D87B6D" w:rsidP="002229FF">
      <w:pPr>
        <w:pStyle w:val="05Paragraph"/>
        <w:rPr>
          <w:rFonts w:cs="Calibri Light"/>
        </w:rPr>
      </w:pPr>
      <w:r w:rsidRPr="00DF18F4">
        <w:rPr>
          <w:rFonts w:cs="Calibri Light"/>
        </w:rPr>
        <w:t>The Tribunal is required to include a statement of reasons in a Determination.</w:t>
      </w:r>
      <w:r w:rsidRPr="00DF18F4">
        <w:rPr>
          <w:rStyle w:val="FootnoteReference"/>
          <w:rFonts w:cs="Calibri Light"/>
        </w:rPr>
        <w:footnoteReference w:id="6"/>
      </w:r>
      <w:r w:rsidR="006536F9" w:rsidRPr="00DF18F4">
        <w:rPr>
          <w:rFonts w:cs="Calibri Light"/>
        </w:rPr>
        <w:t xml:space="preserve"> </w:t>
      </w:r>
      <w:r w:rsidR="00EF047A" w:rsidRPr="00DF18F4">
        <w:rPr>
          <w:rFonts w:cs="Calibri Light"/>
        </w:rPr>
        <w:t xml:space="preserve">This </w:t>
      </w:r>
      <w:r w:rsidR="006536F9" w:rsidRPr="00DF18F4">
        <w:rPr>
          <w:rFonts w:cs="Calibri Light"/>
        </w:rPr>
        <w:t xml:space="preserve">Statement of Reasons relates to the </w:t>
      </w:r>
      <w:r w:rsidR="00EF047A" w:rsidRPr="00DF18F4">
        <w:rPr>
          <w:rFonts w:cs="Calibri Light"/>
          <w:i/>
        </w:rPr>
        <w:t>Allowance payable to Mayors, Deputy Mayors and Councillors (Victoria) Annual Adjustment Determination 202</w:t>
      </w:r>
      <w:r w:rsidR="00CA1C0B" w:rsidRPr="00DF18F4">
        <w:rPr>
          <w:rFonts w:cs="Calibri Light"/>
          <w:i/>
        </w:rPr>
        <w:t>4</w:t>
      </w:r>
      <w:r w:rsidR="00EF047A" w:rsidRPr="00DF18F4">
        <w:rPr>
          <w:rFonts w:cs="Calibri Light"/>
        </w:rPr>
        <w:t xml:space="preserve"> (202</w:t>
      </w:r>
      <w:r w:rsidR="00CA1C0B" w:rsidRPr="00DF18F4">
        <w:rPr>
          <w:rFonts w:cs="Calibri Light"/>
        </w:rPr>
        <w:t>4</w:t>
      </w:r>
      <w:r w:rsidR="00345CD0" w:rsidRPr="00DF18F4">
        <w:rPr>
          <w:rFonts w:cs="Calibri Light"/>
        </w:rPr>
        <w:t> </w:t>
      </w:r>
      <w:r w:rsidR="00244F4E" w:rsidRPr="00DF18F4">
        <w:rPr>
          <w:rFonts w:cs="Calibri Light"/>
        </w:rPr>
        <w:t xml:space="preserve">Local Government </w:t>
      </w:r>
      <w:r w:rsidR="007C7A8F" w:rsidRPr="00DF18F4">
        <w:rPr>
          <w:rFonts w:cs="Calibri Light"/>
        </w:rPr>
        <w:t>A</w:t>
      </w:r>
      <w:r w:rsidR="00EF047A" w:rsidRPr="00DF18F4">
        <w:rPr>
          <w:rFonts w:cs="Calibri Light"/>
        </w:rPr>
        <w:t xml:space="preserve">nnual </w:t>
      </w:r>
      <w:r w:rsidR="007C7A8F" w:rsidRPr="00DF18F4">
        <w:rPr>
          <w:rFonts w:cs="Calibri Light"/>
        </w:rPr>
        <w:t>A</w:t>
      </w:r>
      <w:r w:rsidR="00EF047A" w:rsidRPr="00DF18F4">
        <w:rPr>
          <w:rFonts w:cs="Calibri Light"/>
        </w:rPr>
        <w:t>djustment Determination</w:t>
      </w:r>
      <w:r w:rsidR="006536F9" w:rsidRPr="00DF18F4">
        <w:rPr>
          <w:rFonts w:cs="Calibri Light"/>
        </w:rPr>
        <w:t>).</w:t>
      </w:r>
    </w:p>
    <w:p w14:paraId="1C8F3DAD" w14:textId="001A589E" w:rsidR="00D26879" w:rsidRPr="00911A44" w:rsidRDefault="001701CD" w:rsidP="002229FF">
      <w:pPr>
        <w:pStyle w:val="05Paragraph"/>
        <w:rPr>
          <w:rFonts w:cs="Calibri Light"/>
        </w:rPr>
      </w:pPr>
      <w:r>
        <w:rPr>
          <w:rFonts w:cs="Calibri Light"/>
        </w:rPr>
        <w:t>This</w:t>
      </w:r>
      <w:r w:rsidR="006536F9" w:rsidRPr="00DF18F4">
        <w:rPr>
          <w:rFonts w:cs="Calibri Light"/>
        </w:rPr>
        <w:t xml:space="preserve"> Determination takes effect</w:t>
      </w:r>
      <w:r w:rsidR="00EF047A" w:rsidRPr="00DF18F4">
        <w:rPr>
          <w:rFonts w:cs="Calibri Light"/>
        </w:rPr>
        <w:t xml:space="preserve"> </w:t>
      </w:r>
      <w:r w:rsidR="006536F9" w:rsidRPr="00DF18F4">
        <w:rPr>
          <w:rFonts w:cs="Calibri Light"/>
        </w:rPr>
        <w:t>on</w:t>
      </w:r>
      <w:r w:rsidR="004C665E" w:rsidRPr="00DF18F4">
        <w:rPr>
          <w:rFonts w:cs="Calibri Light"/>
        </w:rPr>
        <w:t> </w:t>
      </w:r>
      <w:r w:rsidR="00EF047A" w:rsidRPr="00DF18F4">
        <w:rPr>
          <w:rFonts w:cs="Calibri Light"/>
        </w:rPr>
        <w:t>1</w:t>
      </w:r>
      <w:r w:rsidR="004C665E" w:rsidRPr="00DF18F4">
        <w:rPr>
          <w:rFonts w:cs="Calibri Light"/>
        </w:rPr>
        <w:t> </w:t>
      </w:r>
      <w:r w:rsidR="00EF047A" w:rsidRPr="00DF18F4">
        <w:rPr>
          <w:rFonts w:cs="Calibri Light"/>
        </w:rPr>
        <w:t>July 202</w:t>
      </w:r>
      <w:r w:rsidR="00CA1C0B" w:rsidRPr="00DF18F4">
        <w:rPr>
          <w:rFonts w:cs="Calibri Light"/>
        </w:rPr>
        <w:t>4</w:t>
      </w:r>
      <w:r w:rsidR="00EF047A" w:rsidRPr="00DF18F4">
        <w:rPr>
          <w:rFonts w:cs="Calibri Light"/>
        </w:rPr>
        <w:t>.</w:t>
      </w:r>
      <w:r w:rsidR="00834BE1" w:rsidRPr="00DF18F4">
        <w:rPr>
          <w:rFonts w:cs="Calibri Light"/>
        </w:rPr>
        <w:t xml:space="preserve"> </w:t>
      </w:r>
    </w:p>
    <w:p w14:paraId="1A9B7091" w14:textId="6A6847EE" w:rsidR="002D4A56" w:rsidRPr="003961B8" w:rsidRDefault="009E5ED2" w:rsidP="00B74B02">
      <w:pPr>
        <w:pStyle w:val="02VIRTHeading2"/>
        <w:numPr>
          <w:ilvl w:val="1"/>
          <w:numId w:val="50"/>
        </w:numPr>
      </w:pPr>
      <w:bookmarkStart w:id="36" w:name="_Toc166014296"/>
      <w:bookmarkStart w:id="37" w:name="_Toc169172609"/>
      <w:bookmarkStart w:id="38" w:name="_Toc170383515"/>
      <w:bookmarkStart w:id="39" w:name="_Hlk100061804"/>
      <w:r>
        <w:t>The Tribunal’s approach</w:t>
      </w:r>
      <w:bookmarkEnd w:id="36"/>
      <w:bookmarkEnd w:id="37"/>
      <w:bookmarkEnd w:id="38"/>
    </w:p>
    <w:p w14:paraId="5752F558" w14:textId="2A62867A" w:rsidR="00BC4D7D" w:rsidRPr="00911A44" w:rsidRDefault="00BC4D7D" w:rsidP="002229FF">
      <w:pPr>
        <w:pStyle w:val="05Paragraph"/>
        <w:rPr>
          <w:rFonts w:cs="Calibri Light"/>
        </w:rPr>
      </w:pPr>
      <w:bookmarkStart w:id="40" w:name="_Toc19554265"/>
      <w:bookmarkStart w:id="41" w:name="_Toc20323438"/>
      <w:bookmarkStart w:id="42" w:name="_Toc33609445"/>
      <w:bookmarkStart w:id="43" w:name="_Toc35006363"/>
      <w:bookmarkStart w:id="44" w:name="_Toc45015314"/>
      <w:bookmarkStart w:id="45" w:name="_Toc59090123"/>
      <w:bookmarkEnd w:id="39"/>
      <w:r w:rsidRPr="00911A44">
        <w:rPr>
          <w:rFonts w:cs="Calibri Light"/>
        </w:rPr>
        <w:t>Before making a Determination, the VIRTIPS Act requires the Tribunal to:</w:t>
      </w:r>
      <w:r w:rsidR="000C54C0" w:rsidRPr="00911A44">
        <w:rPr>
          <w:rStyle w:val="FootnoteReference"/>
          <w:rFonts w:cs="Calibri Light"/>
        </w:rPr>
        <w:footnoteReference w:id="7"/>
      </w:r>
    </w:p>
    <w:p w14:paraId="249B1BE5" w14:textId="21E5CAF9" w:rsidR="00BC4D7D" w:rsidRPr="00911A44" w:rsidRDefault="00BC4D7D" w:rsidP="002229FF">
      <w:pPr>
        <w:pStyle w:val="06VIRTBulletpoints"/>
        <w:rPr>
          <w:rFonts w:cs="Calibri Light"/>
        </w:rPr>
      </w:pPr>
      <w:r w:rsidRPr="00911A44">
        <w:rPr>
          <w:rFonts w:cs="Calibri Light"/>
        </w:rPr>
        <w:t>publish notice of its intention to make a Determination</w:t>
      </w:r>
    </w:p>
    <w:p w14:paraId="6D89DB62" w14:textId="07A87406" w:rsidR="00BC4D7D" w:rsidRPr="00911A44" w:rsidRDefault="00BC4D7D" w:rsidP="002229FF">
      <w:pPr>
        <w:pStyle w:val="06VIRTBulletpoints"/>
        <w:rPr>
          <w:rFonts w:cs="Calibri Light"/>
        </w:rPr>
      </w:pPr>
      <w:r w:rsidRPr="00911A44">
        <w:rPr>
          <w:rFonts w:cs="Calibri Light"/>
        </w:rPr>
        <w:t xml:space="preserve">include details about the proposed Determination in the public notice </w:t>
      </w:r>
    </w:p>
    <w:p w14:paraId="5CB22B79" w14:textId="298D3CCE" w:rsidR="00BC4D7D" w:rsidRPr="00911A44" w:rsidRDefault="00BC4D7D" w:rsidP="002229FF">
      <w:pPr>
        <w:pStyle w:val="06VIRTBulletpoints"/>
        <w:rPr>
          <w:rFonts w:cs="Calibri Light"/>
        </w:rPr>
      </w:pPr>
      <w:r w:rsidRPr="00911A44">
        <w:rPr>
          <w:rFonts w:cs="Calibri Light"/>
        </w:rPr>
        <w:t>give any affected person or class of persons a reasonable opportunity to make a submission in relation to the proposed Determination.</w:t>
      </w:r>
    </w:p>
    <w:p w14:paraId="7B817895" w14:textId="720E2EFB" w:rsidR="006E2BCF" w:rsidRPr="00911A44" w:rsidRDefault="006E2BCF" w:rsidP="006E2BCF">
      <w:pPr>
        <w:pStyle w:val="05Paragraph"/>
        <w:rPr>
          <w:rFonts w:cs="Calibri Light"/>
        </w:rPr>
      </w:pPr>
      <w:r w:rsidRPr="00911A44">
        <w:rPr>
          <w:rFonts w:cs="Calibri Light"/>
        </w:rPr>
        <w:t>The Tribunal published notice of its intention to make a Determination</w:t>
      </w:r>
      <w:r w:rsidRPr="00911A44" w:rsidDel="00A42BDD">
        <w:rPr>
          <w:rFonts w:cs="Calibri Light"/>
        </w:rPr>
        <w:t xml:space="preserve"> on its website</w:t>
      </w:r>
      <w:r w:rsidR="00666314" w:rsidRPr="00911A44">
        <w:rPr>
          <w:rFonts w:cs="Calibri Light"/>
        </w:rPr>
        <w:t xml:space="preserve"> </w:t>
      </w:r>
      <w:r w:rsidR="00666314">
        <w:rPr>
          <w:rFonts w:cs="Calibri Light"/>
        </w:rPr>
        <w:t>in March 2024</w:t>
      </w:r>
      <w:r w:rsidR="00A56DAE">
        <w:rPr>
          <w:rFonts w:cs="Calibri Light"/>
        </w:rPr>
        <w:t xml:space="preserve">, </w:t>
      </w:r>
      <w:r w:rsidR="005801FE">
        <w:rPr>
          <w:rFonts w:cs="Calibri Light"/>
        </w:rPr>
        <w:t>and</w:t>
      </w:r>
      <w:r w:rsidR="006A3016">
        <w:rPr>
          <w:rFonts w:cs="Calibri Light"/>
        </w:rPr>
        <w:t xml:space="preserve"> subsequently on</w:t>
      </w:r>
      <w:r w:rsidR="00A56DAE" w:rsidRPr="00911A44">
        <w:rPr>
          <w:rFonts w:cs="Calibri Light"/>
        </w:rPr>
        <w:t xml:space="preserve"> </w:t>
      </w:r>
      <w:r w:rsidR="007C05DC" w:rsidRPr="00911A44">
        <w:rPr>
          <w:rFonts w:cs="Calibri Light"/>
        </w:rPr>
        <w:t xml:space="preserve">the </w:t>
      </w:r>
      <w:r w:rsidR="0036741B" w:rsidRPr="002B7A38">
        <w:rPr>
          <w:rFonts w:cs="Calibri Light"/>
        </w:rPr>
        <w:t>Victorian P</w:t>
      </w:r>
      <w:r w:rsidR="00A56DAE" w:rsidRPr="002B7A38">
        <w:rPr>
          <w:rFonts w:cs="Calibri Light"/>
        </w:rPr>
        <w:t>ub</w:t>
      </w:r>
      <w:r w:rsidR="007C05DC" w:rsidRPr="002B7A38">
        <w:rPr>
          <w:rFonts w:cs="Calibri Light"/>
        </w:rPr>
        <w:t xml:space="preserve">lic </w:t>
      </w:r>
      <w:r w:rsidR="0036741B" w:rsidRPr="002B7A38">
        <w:rPr>
          <w:rFonts w:cs="Calibri Light"/>
        </w:rPr>
        <w:t>N</w:t>
      </w:r>
      <w:r w:rsidR="007C05DC" w:rsidRPr="002B7A38">
        <w:rPr>
          <w:rFonts w:cs="Calibri Light"/>
        </w:rPr>
        <w:t>otices</w:t>
      </w:r>
      <w:r w:rsidR="007C05DC" w:rsidRPr="00911A44">
        <w:rPr>
          <w:rFonts w:cs="Calibri Light"/>
        </w:rPr>
        <w:t xml:space="preserve"> website</w:t>
      </w:r>
      <w:r w:rsidR="006A3016">
        <w:rPr>
          <w:rFonts w:cs="Calibri Light"/>
        </w:rPr>
        <w:t xml:space="preserve">. </w:t>
      </w:r>
      <w:r w:rsidR="00014ED5">
        <w:rPr>
          <w:rFonts w:cs="Calibri Light"/>
        </w:rPr>
        <w:t>Local Government Victoria</w:t>
      </w:r>
      <w:r w:rsidR="00A023C9">
        <w:rPr>
          <w:rFonts w:cs="Calibri Light"/>
        </w:rPr>
        <w:t xml:space="preserve">, </w:t>
      </w:r>
      <w:r w:rsidR="007A3BC2">
        <w:rPr>
          <w:rFonts w:cs="Calibri Light"/>
        </w:rPr>
        <w:t>part of</w:t>
      </w:r>
      <w:r w:rsidR="00A023C9" w:rsidRPr="00A023C9">
        <w:rPr>
          <w:rFonts w:cs="Calibri Light"/>
        </w:rPr>
        <w:t xml:space="preserve"> the Department of </w:t>
      </w:r>
      <w:r w:rsidR="00350CF6">
        <w:rPr>
          <w:rFonts w:cs="Calibri Light"/>
        </w:rPr>
        <w:t>Government Services</w:t>
      </w:r>
      <w:r w:rsidR="00A023C9">
        <w:rPr>
          <w:rFonts w:cs="Calibri Light"/>
        </w:rPr>
        <w:t xml:space="preserve">, sent a </w:t>
      </w:r>
      <w:r w:rsidR="00666314">
        <w:rPr>
          <w:rFonts w:cs="Calibri Light"/>
        </w:rPr>
        <w:t xml:space="preserve">bulletin </w:t>
      </w:r>
      <w:r w:rsidR="00A023C9">
        <w:rPr>
          <w:rFonts w:cs="Calibri Light"/>
        </w:rPr>
        <w:t xml:space="preserve">to all </w:t>
      </w:r>
      <w:r w:rsidR="00231ECA">
        <w:rPr>
          <w:rFonts w:cs="Calibri Light"/>
        </w:rPr>
        <w:t>Council</w:t>
      </w:r>
      <w:r w:rsidR="00A023C9">
        <w:rPr>
          <w:rFonts w:cs="Calibri Light"/>
        </w:rPr>
        <w:t xml:space="preserve">s </w:t>
      </w:r>
      <w:r w:rsidR="005C0BAA">
        <w:rPr>
          <w:rFonts w:cs="Calibri Light"/>
        </w:rPr>
        <w:t>advising</w:t>
      </w:r>
      <w:r w:rsidR="00F52010">
        <w:rPr>
          <w:rFonts w:cs="Calibri Light"/>
        </w:rPr>
        <w:t xml:space="preserve"> of the notice. </w:t>
      </w:r>
      <w:r w:rsidRPr="00911A44">
        <w:rPr>
          <w:rFonts w:cs="Calibri Light"/>
        </w:rPr>
        <w:t xml:space="preserve">The </w:t>
      </w:r>
      <w:r w:rsidRPr="00911A44" w:rsidDel="00974D5C">
        <w:rPr>
          <w:rFonts w:cs="Calibri Light"/>
        </w:rPr>
        <w:t xml:space="preserve">notice </w:t>
      </w:r>
      <w:r w:rsidRPr="00911A44">
        <w:rPr>
          <w:rFonts w:cs="Calibri Light"/>
        </w:rPr>
        <w:t>contained a summary of the matters the Tribunal was required to consider and called for submissions by 24 April 2024.</w:t>
      </w:r>
      <w:r w:rsidR="006A3016">
        <w:rPr>
          <w:rFonts w:cs="Calibri Light"/>
        </w:rPr>
        <w:t xml:space="preserve"> </w:t>
      </w:r>
    </w:p>
    <w:p w14:paraId="3A3A97F3" w14:textId="570091BF" w:rsidR="00BC4D7D" w:rsidRPr="00911A44" w:rsidRDefault="009E5ED2" w:rsidP="002229FF">
      <w:pPr>
        <w:pStyle w:val="05Paragraph"/>
        <w:rPr>
          <w:rFonts w:cs="Calibri Light"/>
        </w:rPr>
      </w:pPr>
      <w:r>
        <w:rPr>
          <w:rFonts w:cs="Calibri Light"/>
        </w:rPr>
        <w:t>Chapter 2 of the Statement of Reasons sets out how the Tribunal considered legislative matters, namely</w:t>
      </w:r>
      <w:r w:rsidR="00BC4D7D" w:rsidRPr="00911A44">
        <w:rPr>
          <w:rFonts w:cs="Calibri Light"/>
        </w:rPr>
        <w:t>:</w:t>
      </w:r>
      <w:r w:rsidR="000C54C0" w:rsidRPr="00911A44">
        <w:rPr>
          <w:rStyle w:val="FootnoteReference"/>
          <w:rFonts w:cs="Calibri Light"/>
        </w:rPr>
        <w:footnoteReference w:id="8"/>
      </w:r>
    </w:p>
    <w:p w14:paraId="74E41AB1" w14:textId="501A4554" w:rsidR="00BC4D7D" w:rsidRPr="00911A44" w:rsidRDefault="00BC4D7D" w:rsidP="002229FF">
      <w:pPr>
        <w:pStyle w:val="06VIRTBulletpoints"/>
        <w:rPr>
          <w:rFonts w:cs="Calibri Light"/>
        </w:rPr>
      </w:pPr>
      <w:r w:rsidRPr="00911A44">
        <w:rPr>
          <w:rFonts w:cs="Calibri Light"/>
        </w:rPr>
        <w:t>any statement or policy issued by the Government of Victoria which is in force with respect to its wages policy (or equivalent) and the remuneration and allowances of any specified occupational group</w:t>
      </w:r>
    </w:p>
    <w:p w14:paraId="6DE0FB33" w14:textId="25F3D219" w:rsidR="00BC4D7D" w:rsidRPr="00911A44" w:rsidRDefault="00BC4D7D" w:rsidP="002229FF">
      <w:pPr>
        <w:pStyle w:val="06VIRTBulletpoints"/>
        <w:rPr>
          <w:rFonts w:cs="Calibri Light"/>
        </w:rPr>
      </w:pPr>
      <w:r w:rsidRPr="00911A44">
        <w:rPr>
          <w:rFonts w:cs="Calibri Light"/>
        </w:rPr>
        <w:t xml:space="preserve">the financial position and fiscal strategy of the State of Victoria </w:t>
      </w:r>
    </w:p>
    <w:p w14:paraId="6B11B9F4" w14:textId="606735C1" w:rsidR="00BC4D7D" w:rsidRPr="00911A44" w:rsidRDefault="00BC4D7D" w:rsidP="002229FF">
      <w:pPr>
        <w:pStyle w:val="06VIRTBulletpoints"/>
        <w:rPr>
          <w:rFonts w:cs="Calibri Light"/>
        </w:rPr>
      </w:pPr>
      <w:r w:rsidRPr="00911A44">
        <w:rPr>
          <w:rFonts w:cs="Calibri Light"/>
        </w:rPr>
        <w:t>current and projected economic conditions and trends</w:t>
      </w:r>
    </w:p>
    <w:p w14:paraId="7F6CB45E" w14:textId="3BD94E3C" w:rsidR="00FE69CA" w:rsidRDefault="00BC4D7D" w:rsidP="002229FF">
      <w:pPr>
        <w:pStyle w:val="06VIRTBulletpoints"/>
        <w:rPr>
          <w:rFonts w:cs="Calibri Light"/>
        </w:rPr>
      </w:pPr>
      <w:r w:rsidRPr="00911A44">
        <w:rPr>
          <w:rFonts w:cs="Calibri Light"/>
        </w:rPr>
        <w:t>submissions received in relation to the proposed Determination</w:t>
      </w:r>
      <w:r w:rsidR="009E5ED2">
        <w:rPr>
          <w:rFonts w:cs="Calibri Light"/>
        </w:rPr>
        <w:t>.</w:t>
      </w:r>
    </w:p>
    <w:p w14:paraId="232FA0B2" w14:textId="33C6C9DA" w:rsidR="0051565E" w:rsidRDefault="009E5ED2" w:rsidP="0051565E">
      <w:pPr>
        <w:pStyle w:val="05Paragraph"/>
        <w:rPr>
          <w:rFonts w:cs="Calibri Light"/>
        </w:rPr>
      </w:pPr>
      <w:r>
        <w:rPr>
          <w:rFonts w:cs="Calibri Light"/>
        </w:rPr>
        <w:t>Chapter 3 contains the Tribunal’s decision and conclusions.</w:t>
      </w:r>
    </w:p>
    <w:p w14:paraId="7DA566F1" w14:textId="77777777" w:rsidR="0051565E" w:rsidRPr="00911A44" w:rsidRDefault="0051565E" w:rsidP="0051565E">
      <w:pPr>
        <w:pStyle w:val="06VIRTBulletpoints"/>
        <w:numPr>
          <w:ilvl w:val="0"/>
          <w:numId w:val="0"/>
        </w:numPr>
        <w:ind w:left="502" w:hanging="360"/>
        <w:rPr>
          <w:rFonts w:cs="Calibri Light"/>
        </w:rPr>
      </w:pPr>
    </w:p>
    <w:bookmarkEnd w:id="4"/>
    <w:bookmarkEnd w:id="34"/>
    <w:bookmarkEnd w:id="35"/>
    <w:bookmarkEnd w:id="40"/>
    <w:bookmarkEnd w:id="41"/>
    <w:bookmarkEnd w:id="42"/>
    <w:bookmarkEnd w:id="43"/>
    <w:bookmarkEnd w:id="44"/>
    <w:bookmarkEnd w:id="45"/>
    <w:p w14:paraId="4C870D29" w14:textId="28FD7B0E" w:rsidR="006E2BCF" w:rsidRPr="0088525E" w:rsidRDefault="006E2BCF" w:rsidP="002E3B57">
      <w:pPr>
        <w:pStyle w:val="02VIRTHeading2"/>
        <w:sectPr w:rsidR="006E2BCF" w:rsidRPr="0088525E" w:rsidSect="0001367F">
          <w:pgSz w:w="11906" w:h="16838"/>
          <w:pgMar w:top="1701" w:right="1701" w:bottom="1559" w:left="1701" w:header="708" w:footer="708" w:gutter="0"/>
          <w:cols w:space="708"/>
          <w:titlePg/>
          <w:docGrid w:linePitch="360"/>
        </w:sectPr>
      </w:pPr>
    </w:p>
    <w:p w14:paraId="2151F6AE" w14:textId="33AA0F69" w:rsidR="00E32580" w:rsidRPr="004B4961" w:rsidRDefault="00F379CB" w:rsidP="000C1B31">
      <w:pPr>
        <w:pStyle w:val="Style4"/>
      </w:pPr>
      <w:bookmarkStart w:id="46" w:name="_Toc166014297"/>
      <w:bookmarkStart w:id="47" w:name="_Toc169172610"/>
      <w:bookmarkStart w:id="48" w:name="_Toc170383516"/>
      <w:r w:rsidRPr="004B4961">
        <w:rPr>
          <w:rStyle w:val="01ChapterheadingChar"/>
        </w:rPr>
        <w:t>2</w:t>
      </w:r>
      <w:r w:rsidR="00E32580" w:rsidRPr="004B4961">
        <w:rPr>
          <w:rStyle w:val="01ChapterheadingChar"/>
        </w:rPr>
        <w:tab/>
      </w:r>
      <w:r w:rsidR="000B60FC">
        <w:rPr>
          <w:rStyle w:val="01ChapterheadingChar"/>
        </w:rPr>
        <w:t>Factors</w:t>
      </w:r>
      <w:r w:rsidR="00E30202">
        <w:rPr>
          <w:rStyle w:val="01ChapterheadingChar"/>
        </w:rPr>
        <w:t xml:space="preserve"> considered</w:t>
      </w:r>
      <w:bookmarkEnd w:id="46"/>
      <w:bookmarkEnd w:id="47"/>
      <w:bookmarkEnd w:id="48"/>
      <w:r w:rsidR="00E32580" w:rsidRPr="004B4961">
        <w:br/>
      </w:r>
      <w:r w:rsidR="00E32580" w:rsidRPr="004B4961">
        <w:rPr>
          <w:noProof/>
        </w:rPr>
        <w:drawing>
          <wp:inline distT="0" distB="0" distL="0" distR="0" wp14:anchorId="1B9F277C" wp14:editId="43BA8B5A">
            <wp:extent cx="2212975"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6">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00465579" w14:textId="20DC7110" w:rsidR="006A3016" w:rsidRDefault="006A3016" w:rsidP="006A3016">
      <w:pPr>
        <w:pStyle w:val="05Paragraph"/>
        <w:rPr>
          <w:rStyle w:val="cf01"/>
          <w:rFonts w:ascii="Calibri Light" w:hAnsi="Calibri Light" w:cs="Calibri"/>
          <w:color w:val="000000" w:themeColor="text1"/>
          <w:sz w:val="26"/>
          <w:szCs w:val="20"/>
        </w:rPr>
      </w:pPr>
      <w:bookmarkStart w:id="49" w:name="_Toc166014298"/>
      <w:r w:rsidRPr="006A3016">
        <w:rPr>
          <w:rStyle w:val="cf01"/>
          <w:rFonts w:ascii="Calibri Light" w:hAnsi="Calibri Light" w:cs="Calibri"/>
          <w:color w:val="000000" w:themeColor="text1"/>
          <w:sz w:val="26"/>
          <w:szCs w:val="20"/>
        </w:rPr>
        <w:t xml:space="preserve">This chapter summarises </w:t>
      </w:r>
      <w:r w:rsidR="002E2A15">
        <w:rPr>
          <w:rStyle w:val="cf01"/>
          <w:rFonts w:ascii="Calibri Light" w:hAnsi="Calibri Light" w:cs="Calibri"/>
          <w:color w:val="000000" w:themeColor="text1"/>
          <w:sz w:val="26"/>
          <w:szCs w:val="20"/>
        </w:rPr>
        <w:t xml:space="preserve">the </w:t>
      </w:r>
      <w:r w:rsidRPr="006A3016">
        <w:rPr>
          <w:rStyle w:val="cf01"/>
          <w:rFonts w:ascii="Calibri Light" w:hAnsi="Calibri Light" w:cs="Calibri"/>
          <w:color w:val="000000" w:themeColor="text1"/>
          <w:sz w:val="26"/>
          <w:szCs w:val="20"/>
        </w:rPr>
        <w:t xml:space="preserve">legislative and other factors </w:t>
      </w:r>
      <w:r w:rsidR="002E2A15">
        <w:rPr>
          <w:rStyle w:val="cf01"/>
          <w:rFonts w:ascii="Calibri Light" w:hAnsi="Calibri Light" w:cs="Calibri"/>
          <w:color w:val="000000" w:themeColor="text1"/>
          <w:sz w:val="26"/>
          <w:szCs w:val="20"/>
        </w:rPr>
        <w:t xml:space="preserve">that </w:t>
      </w:r>
      <w:r w:rsidRPr="006A3016">
        <w:rPr>
          <w:rStyle w:val="cf01"/>
          <w:rFonts w:ascii="Calibri Light" w:hAnsi="Calibri Light" w:cs="Calibri"/>
          <w:color w:val="000000" w:themeColor="text1"/>
          <w:sz w:val="26"/>
          <w:szCs w:val="20"/>
        </w:rPr>
        <w:t xml:space="preserve">the Tribunal has considered in </w:t>
      </w:r>
      <w:r w:rsidR="002E2A15">
        <w:rPr>
          <w:rStyle w:val="cf01"/>
          <w:rFonts w:ascii="Calibri Light" w:hAnsi="Calibri Light" w:cs="Calibri"/>
          <w:color w:val="000000" w:themeColor="text1"/>
          <w:sz w:val="26"/>
          <w:szCs w:val="20"/>
        </w:rPr>
        <w:t>d</w:t>
      </w:r>
      <w:r w:rsidRPr="006A3016">
        <w:rPr>
          <w:rStyle w:val="cf01"/>
          <w:rFonts w:ascii="Calibri Light" w:hAnsi="Calibri Light" w:cs="Calibri"/>
          <w:color w:val="000000" w:themeColor="text1"/>
          <w:sz w:val="26"/>
          <w:szCs w:val="20"/>
        </w:rPr>
        <w:t>etermi</w:t>
      </w:r>
      <w:r>
        <w:rPr>
          <w:rStyle w:val="cf01"/>
          <w:rFonts w:ascii="Calibri Light" w:hAnsi="Calibri Light" w:cs="Calibri"/>
          <w:color w:val="000000" w:themeColor="text1"/>
          <w:sz w:val="26"/>
          <w:szCs w:val="20"/>
        </w:rPr>
        <w:t>ning its adjustment to allowances payable to Council members</w:t>
      </w:r>
      <w:r w:rsidRPr="006A3016">
        <w:rPr>
          <w:rStyle w:val="cf01"/>
          <w:rFonts w:ascii="Calibri Light" w:hAnsi="Calibri Light" w:cs="Calibri"/>
          <w:color w:val="000000" w:themeColor="text1"/>
          <w:sz w:val="26"/>
          <w:szCs w:val="20"/>
        </w:rPr>
        <w:t xml:space="preserve">. </w:t>
      </w:r>
    </w:p>
    <w:p w14:paraId="5AE2BF18" w14:textId="4FB0FCF6" w:rsidR="00231ECA" w:rsidRPr="006A3016" w:rsidRDefault="00231ECA" w:rsidP="006A3016">
      <w:pPr>
        <w:pStyle w:val="05Paragraph"/>
      </w:pPr>
      <w:r w:rsidRPr="001D2483">
        <w:rPr>
          <w:rFonts w:cs="Calibri Light"/>
        </w:rPr>
        <w:t xml:space="preserve">Detailed analysis of current and projected economic conditions, the Victorian Government’s financial position and </w:t>
      </w:r>
      <w:r w:rsidR="009A1853">
        <w:rPr>
          <w:rFonts w:cs="Calibri Light"/>
        </w:rPr>
        <w:t>W</w:t>
      </w:r>
      <w:r w:rsidRPr="001D2483">
        <w:rPr>
          <w:rFonts w:cs="Calibri Light"/>
        </w:rPr>
        <w:t xml:space="preserve">ages </w:t>
      </w:r>
      <w:r w:rsidR="009A1853">
        <w:rPr>
          <w:rFonts w:cs="Calibri Light"/>
        </w:rPr>
        <w:t>P</w:t>
      </w:r>
      <w:r w:rsidRPr="001D2483">
        <w:rPr>
          <w:rFonts w:cs="Calibri Light"/>
        </w:rPr>
        <w:t>olicy are set out in</w:t>
      </w:r>
      <w:r w:rsidR="00254C62">
        <w:rPr>
          <w:rFonts w:cs="Calibri Light"/>
        </w:rPr>
        <w:t xml:space="preserve"> </w:t>
      </w:r>
      <w:r w:rsidRPr="001D2483">
        <w:rPr>
          <w:rFonts w:cs="Calibri Light"/>
        </w:rPr>
        <w:t>Appendix A.</w:t>
      </w:r>
    </w:p>
    <w:p w14:paraId="399BB4AB" w14:textId="2863BDC8" w:rsidR="00C36887" w:rsidRDefault="00F379CB" w:rsidP="00C36887">
      <w:pPr>
        <w:pStyle w:val="02VIRTHeading2"/>
      </w:pPr>
      <w:bookmarkStart w:id="50" w:name="_Toc169172611"/>
      <w:bookmarkStart w:id="51" w:name="_Toc170383517"/>
      <w:r w:rsidRPr="001D7502">
        <w:t>2</w:t>
      </w:r>
      <w:r w:rsidR="00C36887" w:rsidRPr="001D7502">
        <w:t>.</w:t>
      </w:r>
      <w:r w:rsidR="00DC2233">
        <w:t>1</w:t>
      </w:r>
      <w:r w:rsidR="00C36887" w:rsidRPr="001D7502">
        <w:tab/>
      </w:r>
      <w:r w:rsidR="001D7502" w:rsidRPr="001D7502">
        <w:t>Current and projected economic conditions and trends</w:t>
      </w:r>
      <w:bookmarkEnd w:id="49"/>
      <w:bookmarkEnd w:id="50"/>
      <w:bookmarkEnd w:id="51"/>
    </w:p>
    <w:p w14:paraId="395765B0" w14:textId="41508A9E" w:rsidR="00CC4488" w:rsidRPr="00182559" w:rsidRDefault="00CC4488" w:rsidP="00CC4488">
      <w:pPr>
        <w:pStyle w:val="05Paragraph"/>
        <w:rPr>
          <w:rFonts w:cs="Calibri Light"/>
        </w:rPr>
      </w:pPr>
      <w:bookmarkStart w:id="52" w:name="_Hlk169706340"/>
      <w:r w:rsidRPr="00182559">
        <w:rPr>
          <w:rFonts w:cs="Calibri Light"/>
        </w:rPr>
        <w:t xml:space="preserve">The Tribunal’s </w:t>
      </w:r>
      <w:r w:rsidR="00587CE7">
        <w:rPr>
          <w:rFonts w:cs="Calibri Light"/>
        </w:rPr>
        <w:t>discussion</w:t>
      </w:r>
      <w:r w:rsidRPr="00182559">
        <w:rPr>
          <w:rFonts w:cs="Calibri Light"/>
        </w:rPr>
        <w:t xml:space="preserve"> of current </w:t>
      </w:r>
      <w:r w:rsidR="002B23CE">
        <w:rPr>
          <w:rFonts w:cs="Calibri Light"/>
        </w:rPr>
        <w:t xml:space="preserve">and projected </w:t>
      </w:r>
      <w:r w:rsidRPr="00182559">
        <w:rPr>
          <w:rFonts w:cs="Calibri Light"/>
        </w:rPr>
        <w:t>economic conditions has been informed by a range of sources, including:</w:t>
      </w:r>
    </w:p>
    <w:p w14:paraId="701F3F88" w14:textId="77777777" w:rsidR="00CC4488" w:rsidRPr="00182559" w:rsidRDefault="00CC4488" w:rsidP="00CC4488">
      <w:pPr>
        <w:pStyle w:val="06VIRTBulletpoints"/>
        <w:rPr>
          <w:rFonts w:cs="Calibri Light"/>
        </w:rPr>
      </w:pPr>
      <w:r w:rsidRPr="00182559">
        <w:rPr>
          <w:rFonts w:cs="Calibri Light"/>
        </w:rPr>
        <w:t>the latest data on key economic indicators published by the Australian Bureau of Statistics (ABS)</w:t>
      </w:r>
    </w:p>
    <w:p w14:paraId="19A1AEE7" w14:textId="77777777" w:rsidR="00CC4488" w:rsidRPr="00182559" w:rsidRDefault="00CC4488" w:rsidP="00CC4488">
      <w:pPr>
        <w:pStyle w:val="06VIRTBulletpoints"/>
        <w:rPr>
          <w:rFonts w:cs="Calibri Light"/>
        </w:rPr>
      </w:pPr>
      <w:r w:rsidRPr="00182559">
        <w:rPr>
          <w:rFonts w:cs="Calibri Light"/>
        </w:rPr>
        <w:t>statements by the Reserve Bank of Australia (RBA)</w:t>
      </w:r>
    </w:p>
    <w:p w14:paraId="6DDCF310" w14:textId="70FAFE13" w:rsidR="00CC4488" w:rsidRPr="00182559" w:rsidRDefault="00CC4488" w:rsidP="00CC4488">
      <w:pPr>
        <w:pStyle w:val="06VIRTBulletpoints"/>
        <w:rPr>
          <w:rFonts w:cs="Calibri Light"/>
        </w:rPr>
      </w:pPr>
      <w:r w:rsidRPr="00182559">
        <w:rPr>
          <w:rFonts w:cs="Calibri Light"/>
        </w:rPr>
        <w:t xml:space="preserve">the </w:t>
      </w:r>
      <w:r w:rsidR="00C12C9A">
        <w:rPr>
          <w:rFonts w:cs="Calibri Light"/>
        </w:rPr>
        <w:t xml:space="preserve">latest </w:t>
      </w:r>
      <w:r w:rsidR="00A27D86">
        <w:rPr>
          <w:rFonts w:cs="Calibri Light"/>
        </w:rPr>
        <w:t>Commonwealth</w:t>
      </w:r>
      <w:r w:rsidR="00C12C9A">
        <w:rPr>
          <w:rFonts w:cs="Calibri Light"/>
        </w:rPr>
        <w:t xml:space="preserve"> and </w:t>
      </w:r>
      <w:r w:rsidRPr="00182559">
        <w:rPr>
          <w:rFonts w:cs="Calibri Light"/>
        </w:rPr>
        <w:t xml:space="preserve">Victorian </w:t>
      </w:r>
      <w:r w:rsidR="00C12C9A">
        <w:rPr>
          <w:rFonts w:cs="Calibri Light"/>
        </w:rPr>
        <w:t>b</w:t>
      </w:r>
      <w:r w:rsidRPr="00182559">
        <w:rPr>
          <w:rFonts w:cs="Calibri Light"/>
        </w:rPr>
        <w:t>udget</w:t>
      </w:r>
      <w:r w:rsidR="00C12C9A">
        <w:rPr>
          <w:rFonts w:cs="Calibri Light"/>
        </w:rPr>
        <w:t>s</w:t>
      </w:r>
      <w:r w:rsidRPr="00182559">
        <w:rPr>
          <w:rFonts w:cs="Calibri Light"/>
        </w:rPr>
        <w:t>.</w:t>
      </w:r>
    </w:p>
    <w:p w14:paraId="06038210" w14:textId="6F73A088" w:rsidR="00CA4CC7" w:rsidRDefault="00CA4CC7" w:rsidP="006C5013">
      <w:pPr>
        <w:pStyle w:val="03VIRTHeading3"/>
      </w:pPr>
      <w:r>
        <w:t xml:space="preserve">Economic growth </w:t>
      </w:r>
      <w:r w:rsidR="00A74FA1">
        <w:t>is</w:t>
      </w:r>
      <w:r>
        <w:t xml:space="preserve"> subdued</w:t>
      </w:r>
      <w:r w:rsidR="006C5013">
        <w:t>,</w:t>
      </w:r>
      <w:r>
        <w:t xml:space="preserve"> as cost-of-living pressures weigh on household consumption</w:t>
      </w:r>
    </w:p>
    <w:p w14:paraId="360DBE50" w14:textId="6B0CE45D" w:rsidR="00CB375C" w:rsidRPr="00182559" w:rsidRDefault="00506056" w:rsidP="00CB375C">
      <w:pPr>
        <w:pStyle w:val="05Paragraph"/>
        <w:rPr>
          <w:rFonts w:cs="Calibri Light"/>
        </w:rPr>
      </w:pPr>
      <w:r w:rsidRPr="00182559">
        <w:rPr>
          <w:rFonts w:cs="Calibri Light"/>
        </w:rPr>
        <w:t xml:space="preserve">Economic growth has slowed in Australia and Victoria </w:t>
      </w:r>
      <w:r w:rsidR="0025052D">
        <w:rPr>
          <w:rFonts w:cs="Calibri Light"/>
        </w:rPr>
        <w:t>in recent years</w:t>
      </w:r>
      <w:r w:rsidRPr="00182559">
        <w:rPr>
          <w:rFonts w:cs="Calibri Light"/>
        </w:rPr>
        <w:t xml:space="preserve"> </w:t>
      </w:r>
      <w:r w:rsidR="00A74FA1">
        <w:rPr>
          <w:rFonts w:cs="Calibri Light"/>
        </w:rPr>
        <w:t xml:space="preserve">and remains below </w:t>
      </w:r>
      <w:r w:rsidR="00231ECA">
        <w:rPr>
          <w:rFonts w:cs="Calibri Light"/>
        </w:rPr>
        <w:t xml:space="preserve">its </w:t>
      </w:r>
      <w:r w:rsidR="00363D83">
        <w:rPr>
          <w:rFonts w:cs="Calibri Light"/>
        </w:rPr>
        <w:t>long-run average</w:t>
      </w:r>
      <w:r w:rsidR="00E46733" w:rsidRPr="00182559">
        <w:rPr>
          <w:rFonts w:cs="Calibri Light"/>
        </w:rPr>
        <w:t xml:space="preserve">. </w:t>
      </w:r>
      <w:r w:rsidR="001701CD">
        <w:rPr>
          <w:rFonts w:cs="Calibri Light"/>
        </w:rPr>
        <w:t>In the year to March 2024</w:t>
      </w:r>
      <w:r w:rsidR="00E46733" w:rsidRPr="00182559">
        <w:rPr>
          <w:rFonts w:cs="Calibri Light"/>
        </w:rPr>
        <w:t xml:space="preserve">, </w:t>
      </w:r>
      <w:r w:rsidR="0074248F">
        <w:rPr>
          <w:rFonts w:cs="Calibri Light"/>
        </w:rPr>
        <w:t xml:space="preserve">growth in </w:t>
      </w:r>
      <w:r w:rsidR="00A36F72" w:rsidRPr="00182559">
        <w:rPr>
          <w:rFonts w:cs="Calibri Light"/>
        </w:rPr>
        <w:t xml:space="preserve">Australian </w:t>
      </w:r>
      <w:r w:rsidR="00E46733" w:rsidRPr="00182559">
        <w:rPr>
          <w:rFonts w:cs="Calibri Light"/>
        </w:rPr>
        <w:t xml:space="preserve">real </w:t>
      </w:r>
      <w:r w:rsidR="004F30F6">
        <w:rPr>
          <w:rFonts w:cs="Calibri Light"/>
        </w:rPr>
        <w:t>Gross Domestic Product (</w:t>
      </w:r>
      <w:r w:rsidR="00E46733" w:rsidRPr="00182559">
        <w:rPr>
          <w:rFonts w:cs="Calibri Light"/>
        </w:rPr>
        <w:t>GDP</w:t>
      </w:r>
      <w:r w:rsidR="004F30F6">
        <w:rPr>
          <w:rFonts w:cs="Calibri Light"/>
        </w:rPr>
        <w:t>)</w:t>
      </w:r>
      <w:r w:rsidR="00E46733" w:rsidRPr="00182559">
        <w:rPr>
          <w:rFonts w:cs="Calibri Light"/>
        </w:rPr>
        <w:t xml:space="preserve"> </w:t>
      </w:r>
      <w:r w:rsidR="001701CD">
        <w:rPr>
          <w:rFonts w:cs="Calibri Light"/>
        </w:rPr>
        <w:t>was 1.1 per cent, while growth in</w:t>
      </w:r>
      <w:r w:rsidR="00E46733" w:rsidRPr="00182559">
        <w:rPr>
          <w:rFonts w:cs="Calibri Light"/>
        </w:rPr>
        <w:t xml:space="preserve"> </w:t>
      </w:r>
      <w:r w:rsidR="00A36F72" w:rsidRPr="00182559">
        <w:rPr>
          <w:rFonts w:cs="Calibri Light"/>
        </w:rPr>
        <w:t xml:space="preserve">Victorian </w:t>
      </w:r>
      <w:r w:rsidR="00E46733" w:rsidRPr="00182559">
        <w:rPr>
          <w:rFonts w:cs="Calibri Light"/>
        </w:rPr>
        <w:t xml:space="preserve">State Final Demand </w:t>
      </w:r>
      <w:r w:rsidR="0074248F">
        <w:rPr>
          <w:rFonts w:cs="Calibri Light"/>
        </w:rPr>
        <w:t>was</w:t>
      </w:r>
      <w:r w:rsidR="00E46733" w:rsidRPr="00182559">
        <w:rPr>
          <w:rFonts w:cs="Calibri Light"/>
        </w:rPr>
        <w:t xml:space="preserve"> 1.</w:t>
      </w:r>
      <w:r w:rsidR="00527B86" w:rsidRPr="00182559">
        <w:rPr>
          <w:rFonts w:cs="Calibri Light"/>
        </w:rPr>
        <w:t>5</w:t>
      </w:r>
      <w:r w:rsidR="00E46733" w:rsidRPr="00182559">
        <w:rPr>
          <w:rFonts w:cs="Calibri Light"/>
        </w:rPr>
        <w:t xml:space="preserve"> per cent.</w:t>
      </w:r>
      <w:r w:rsidR="00633676">
        <w:rPr>
          <w:rFonts w:cs="Calibri Light"/>
        </w:rPr>
        <w:t xml:space="preserve"> </w:t>
      </w:r>
      <w:r w:rsidR="009E5ED2">
        <w:rPr>
          <w:rFonts w:cs="Calibri Light"/>
        </w:rPr>
        <w:t>GDP</w:t>
      </w:r>
      <w:r w:rsidR="00337766">
        <w:rPr>
          <w:rFonts w:cs="Calibri Light"/>
        </w:rPr>
        <w:t xml:space="preserve"> growth </w:t>
      </w:r>
      <w:r w:rsidR="00231ECA">
        <w:rPr>
          <w:rFonts w:cs="Calibri Light"/>
        </w:rPr>
        <w:t>in the March quarter 2024 was</w:t>
      </w:r>
      <w:r w:rsidR="00337766">
        <w:rPr>
          <w:rFonts w:cs="Calibri Light"/>
        </w:rPr>
        <w:t xml:space="preserve"> driven by consumption,</w:t>
      </w:r>
      <w:r w:rsidR="004F7E6F">
        <w:rPr>
          <w:rStyle w:val="FootnoteReference"/>
          <w:rFonts w:cs="Calibri Light"/>
        </w:rPr>
        <w:footnoteReference w:id="9"/>
      </w:r>
      <w:r w:rsidR="00337766">
        <w:rPr>
          <w:rFonts w:cs="Calibri Light"/>
        </w:rPr>
        <w:t xml:space="preserve"> while Victorian </w:t>
      </w:r>
      <w:r w:rsidR="004F7E6F">
        <w:rPr>
          <w:rFonts w:cs="Calibri Light"/>
        </w:rPr>
        <w:t>economic activity</w:t>
      </w:r>
      <w:r w:rsidR="00337766">
        <w:rPr>
          <w:rFonts w:cs="Calibri Light"/>
        </w:rPr>
        <w:t xml:space="preserve"> has been </w:t>
      </w:r>
      <w:r w:rsidR="00231ECA">
        <w:rPr>
          <w:rFonts w:cs="Calibri Light"/>
        </w:rPr>
        <w:t>supported</w:t>
      </w:r>
      <w:r w:rsidR="00337766">
        <w:rPr>
          <w:rFonts w:cs="Calibri Light"/>
        </w:rPr>
        <w:t xml:space="preserve"> by business investment and population growth.</w:t>
      </w:r>
      <w:r w:rsidR="00CB375C" w:rsidRPr="00182559">
        <w:rPr>
          <w:rStyle w:val="FootnoteReference"/>
          <w:rFonts w:cs="Calibri Light"/>
        </w:rPr>
        <w:footnoteReference w:id="10"/>
      </w:r>
    </w:p>
    <w:p w14:paraId="383433A2" w14:textId="392C3D10" w:rsidR="00493C06" w:rsidRPr="00182559" w:rsidRDefault="00727815" w:rsidP="008C034B">
      <w:pPr>
        <w:pStyle w:val="05Paragraph"/>
        <w:rPr>
          <w:rFonts w:cs="Calibri Light"/>
        </w:rPr>
      </w:pPr>
      <w:r w:rsidRPr="00182559">
        <w:rPr>
          <w:rFonts w:cs="Calibri Light"/>
        </w:rPr>
        <w:t xml:space="preserve">The RBA expects </w:t>
      </w:r>
      <w:r w:rsidR="00A41E25">
        <w:rPr>
          <w:rFonts w:cs="Calibri Light"/>
        </w:rPr>
        <w:t>Australia</w:t>
      </w:r>
      <w:r w:rsidR="009E5ED2">
        <w:rPr>
          <w:rFonts w:cs="Calibri Light"/>
        </w:rPr>
        <w:t>n GDP growth</w:t>
      </w:r>
      <w:r w:rsidR="00A41E25">
        <w:rPr>
          <w:rFonts w:cs="Calibri Light"/>
        </w:rPr>
        <w:t xml:space="preserve"> </w:t>
      </w:r>
      <w:r w:rsidRPr="00182559">
        <w:rPr>
          <w:rFonts w:cs="Calibri Light"/>
        </w:rPr>
        <w:t>to pick up from late 2024</w:t>
      </w:r>
      <w:r w:rsidR="0025052D">
        <w:rPr>
          <w:rFonts w:cs="Calibri Light"/>
        </w:rPr>
        <w:t xml:space="preserve">, </w:t>
      </w:r>
      <w:r w:rsidR="001C3F94">
        <w:rPr>
          <w:rFonts w:cs="Calibri Light"/>
        </w:rPr>
        <w:t>but</w:t>
      </w:r>
      <w:r w:rsidR="00493C06" w:rsidRPr="00182559">
        <w:rPr>
          <w:rFonts w:cs="Calibri Light"/>
        </w:rPr>
        <w:t xml:space="preserve"> to remain below </w:t>
      </w:r>
      <w:r w:rsidR="00231ECA">
        <w:rPr>
          <w:rFonts w:cs="Calibri Light"/>
        </w:rPr>
        <w:t>its</w:t>
      </w:r>
      <w:r w:rsidR="00493C06" w:rsidRPr="00182559">
        <w:rPr>
          <w:rFonts w:cs="Calibri Light"/>
        </w:rPr>
        <w:t xml:space="preserve"> long</w:t>
      </w:r>
      <w:r w:rsidR="00493C06" w:rsidRPr="00182559">
        <w:rPr>
          <w:rFonts w:cs="Calibri Light"/>
        </w:rPr>
        <w:noBreakHyphen/>
        <w:t>run (excluding the pandemic) average of 2.9 per cent.</w:t>
      </w:r>
      <w:r w:rsidR="004F7E6F">
        <w:rPr>
          <w:rStyle w:val="FootnoteReference"/>
          <w:rFonts w:cs="Calibri Light"/>
        </w:rPr>
        <w:footnoteReference w:id="11"/>
      </w:r>
      <w:r w:rsidR="001C44C3">
        <w:rPr>
          <w:rFonts w:cs="Calibri Light"/>
        </w:rPr>
        <w:t xml:space="preserve"> Similarly, </w:t>
      </w:r>
      <w:r w:rsidR="00692F0E">
        <w:rPr>
          <w:rFonts w:cs="Calibri Light"/>
        </w:rPr>
        <w:t xml:space="preserve">growth in </w:t>
      </w:r>
      <w:r w:rsidR="001C44C3">
        <w:rPr>
          <w:rFonts w:cs="Calibri Light"/>
        </w:rPr>
        <w:t>Victoria is expected to pick up</w:t>
      </w:r>
      <w:r w:rsidR="00231ECA">
        <w:rPr>
          <w:rFonts w:cs="Calibri Light"/>
        </w:rPr>
        <w:t>,</w:t>
      </w:r>
      <w:r w:rsidR="001C44C3">
        <w:rPr>
          <w:rFonts w:cs="Calibri Light"/>
        </w:rPr>
        <w:t xml:space="preserve"> </w:t>
      </w:r>
      <w:r w:rsidR="00692F0E">
        <w:rPr>
          <w:rFonts w:cs="Calibri Light"/>
        </w:rPr>
        <w:t xml:space="preserve">with Gross State Product (GSP) </w:t>
      </w:r>
      <w:r w:rsidR="00A63797">
        <w:rPr>
          <w:rFonts w:cs="Calibri Light"/>
        </w:rPr>
        <w:t xml:space="preserve">projected </w:t>
      </w:r>
      <w:r w:rsidR="001C44C3">
        <w:rPr>
          <w:rFonts w:cs="Calibri Light"/>
        </w:rPr>
        <w:t xml:space="preserve">to </w:t>
      </w:r>
      <w:r w:rsidR="00A63797">
        <w:rPr>
          <w:rFonts w:cs="Calibri Light"/>
        </w:rPr>
        <w:t xml:space="preserve">increase by </w:t>
      </w:r>
      <w:r w:rsidR="001C44C3">
        <w:rPr>
          <w:rFonts w:cs="Calibri Light"/>
        </w:rPr>
        <w:t>2.5 per cent in 2024-25.</w:t>
      </w:r>
      <w:r w:rsidR="00797D5D">
        <w:rPr>
          <w:rStyle w:val="FootnoteReference"/>
          <w:rFonts w:cs="Calibri Light"/>
        </w:rPr>
        <w:footnoteReference w:id="12"/>
      </w:r>
    </w:p>
    <w:p w14:paraId="457837E3" w14:textId="13A85B3B" w:rsidR="005C0A6C" w:rsidRDefault="00BA6C52" w:rsidP="006C5013">
      <w:pPr>
        <w:pStyle w:val="03VIRTHeading3"/>
      </w:pPr>
      <w:r>
        <w:t>Infla</w:t>
      </w:r>
      <w:r w:rsidR="00B47178">
        <w:t xml:space="preserve">tion </w:t>
      </w:r>
      <w:r w:rsidR="00BD3F50">
        <w:t xml:space="preserve">has </w:t>
      </w:r>
      <w:r w:rsidR="00B47178">
        <w:t>moderat</w:t>
      </w:r>
      <w:r w:rsidR="00BD3F50">
        <w:t>ed</w:t>
      </w:r>
      <w:r w:rsidR="00B47178">
        <w:t>, but remains above the RBA’s target</w:t>
      </w:r>
      <w:r w:rsidR="006F4BD6">
        <w:t xml:space="preserve"> </w:t>
      </w:r>
    </w:p>
    <w:p w14:paraId="70EBC433" w14:textId="4249599D" w:rsidR="009C60AC" w:rsidRPr="00182559" w:rsidRDefault="007215DB" w:rsidP="005C0A6C">
      <w:pPr>
        <w:pStyle w:val="05Paragraph"/>
        <w:rPr>
          <w:rFonts w:cs="Calibri Light"/>
        </w:rPr>
      </w:pPr>
      <w:r w:rsidRPr="00182559">
        <w:rPr>
          <w:rFonts w:cs="Calibri Light"/>
        </w:rPr>
        <w:t>Headline i</w:t>
      </w:r>
      <w:r w:rsidR="008C2102" w:rsidRPr="00182559">
        <w:rPr>
          <w:rFonts w:cs="Calibri Light"/>
        </w:rPr>
        <w:t xml:space="preserve">nflation outcomes in </w:t>
      </w:r>
      <w:r w:rsidR="009B6FF7" w:rsidRPr="00182559">
        <w:rPr>
          <w:rFonts w:cs="Calibri Light"/>
        </w:rPr>
        <w:t xml:space="preserve">Australia and Victoria have recently moderated, </w:t>
      </w:r>
      <w:r w:rsidR="00E46733" w:rsidRPr="00182559">
        <w:rPr>
          <w:rFonts w:cs="Calibri Light"/>
        </w:rPr>
        <w:t xml:space="preserve">with </w:t>
      </w:r>
      <w:r w:rsidR="00387AD7">
        <w:rPr>
          <w:rFonts w:cs="Calibri Light"/>
        </w:rPr>
        <w:t xml:space="preserve">the </w:t>
      </w:r>
      <w:r w:rsidR="00E46733" w:rsidRPr="00182559">
        <w:rPr>
          <w:rFonts w:cs="Calibri Light"/>
        </w:rPr>
        <w:t>All</w:t>
      </w:r>
      <w:r w:rsidR="00231ECA">
        <w:rPr>
          <w:rFonts w:cs="Calibri Light"/>
        </w:rPr>
        <w:t xml:space="preserve"> </w:t>
      </w:r>
      <w:r w:rsidR="00E46733" w:rsidRPr="00182559">
        <w:rPr>
          <w:rFonts w:cs="Calibri Light"/>
        </w:rPr>
        <w:t xml:space="preserve">Groups Consumer Price Index (CPI) for </w:t>
      </w:r>
      <w:r w:rsidR="00254C62">
        <w:rPr>
          <w:rFonts w:cs="Calibri Light"/>
        </w:rPr>
        <w:t>Australia</w:t>
      </w:r>
      <w:r w:rsidR="00E46733" w:rsidRPr="00182559">
        <w:rPr>
          <w:rFonts w:cs="Calibri Light"/>
        </w:rPr>
        <w:t xml:space="preserve"> and </w:t>
      </w:r>
      <w:r w:rsidR="00254C62">
        <w:rPr>
          <w:rFonts w:cs="Calibri Light"/>
        </w:rPr>
        <w:t>Melbourne</w:t>
      </w:r>
      <w:r w:rsidR="00E46733" w:rsidRPr="00182559">
        <w:rPr>
          <w:rFonts w:cs="Calibri Light"/>
        </w:rPr>
        <w:t xml:space="preserve"> </w:t>
      </w:r>
      <w:r w:rsidR="00E11BBC">
        <w:rPr>
          <w:rFonts w:cs="Calibri Light"/>
        </w:rPr>
        <w:t xml:space="preserve">both increasing by </w:t>
      </w:r>
      <w:r w:rsidR="00E46733" w:rsidRPr="00182559">
        <w:rPr>
          <w:rFonts w:cs="Calibri Light"/>
        </w:rPr>
        <w:t xml:space="preserve">3.6 per cent </w:t>
      </w:r>
      <w:r w:rsidR="00E11BBC">
        <w:rPr>
          <w:rFonts w:cs="Calibri Light"/>
        </w:rPr>
        <w:t xml:space="preserve">in the year </w:t>
      </w:r>
      <w:r w:rsidR="00E46733" w:rsidRPr="00182559">
        <w:rPr>
          <w:rFonts w:cs="Calibri Light"/>
        </w:rPr>
        <w:t>to March 2024</w:t>
      </w:r>
      <w:r w:rsidR="00C457F1">
        <w:rPr>
          <w:rFonts w:cs="Calibri Light"/>
        </w:rPr>
        <w:t>,</w:t>
      </w:r>
      <w:r w:rsidR="00E46733" w:rsidRPr="00182559">
        <w:rPr>
          <w:rFonts w:cs="Calibri Light"/>
        </w:rPr>
        <w:t xml:space="preserve"> </w:t>
      </w:r>
      <w:r w:rsidR="001640BF" w:rsidRPr="00182559">
        <w:rPr>
          <w:rFonts w:cs="Calibri Light"/>
        </w:rPr>
        <w:t>largely due to slower growth in the prices of goods</w:t>
      </w:r>
      <w:r w:rsidR="001C44C3">
        <w:rPr>
          <w:rFonts w:cs="Calibri Light"/>
        </w:rPr>
        <w:t>.</w:t>
      </w:r>
      <w:r w:rsidR="00797D5D">
        <w:rPr>
          <w:rStyle w:val="FootnoteReference"/>
          <w:rFonts w:cs="Calibri Light"/>
        </w:rPr>
        <w:footnoteReference w:id="13"/>
      </w:r>
      <w:r w:rsidR="001C44C3">
        <w:rPr>
          <w:rFonts w:cs="Calibri Light"/>
        </w:rPr>
        <w:t xml:space="preserve"> </w:t>
      </w:r>
    </w:p>
    <w:p w14:paraId="22D49FBF" w14:textId="5E56FD5B" w:rsidR="00385930" w:rsidRPr="00182559" w:rsidRDefault="00533E42" w:rsidP="000C54AF">
      <w:pPr>
        <w:pStyle w:val="05Paragraph"/>
        <w:rPr>
          <w:rFonts w:cs="Calibri Light"/>
        </w:rPr>
      </w:pPr>
      <w:r>
        <w:rPr>
          <w:rFonts w:cs="Calibri Light"/>
        </w:rPr>
        <w:t xml:space="preserve">Both the RBA and Commonwealth Treasury expect inflation to moderate and return to the </w:t>
      </w:r>
      <w:r w:rsidR="0044066F">
        <w:rPr>
          <w:rFonts w:cs="Calibri Light"/>
        </w:rPr>
        <w:t xml:space="preserve">RBA’s </w:t>
      </w:r>
      <w:r>
        <w:rPr>
          <w:rFonts w:cs="Calibri Light"/>
        </w:rPr>
        <w:t>target range of 2</w:t>
      </w:r>
      <w:r w:rsidR="004F7E6F">
        <w:rPr>
          <w:rFonts w:cs="Calibri Light"/>
        </w:rPr>
        <w:t xml:space="preserve"> to </w:t>
      </w:r>
      <w:r>
        <w:rPr>
          <w:rFonts w:cs="Calibri Light"/>
        </w:rPr>
        <w:t>3</w:t>
      </w:r>
      <w:r w:rsidR="0044066F">
        <w:rPr>
          <w:rFonts w:cs="Calibri Light"/>
        </w:rPr>
        <w:t xml:space="preserve"> per cent</w:t>
      </w:r>
      <w:r>
        <w:rPr>
          <w:rFonts w:cs="Calibri Light"/>
        </w:rPr>
        <w:t xml:space="preserve"> in coming years, with Commonwealth Treasury expecting this to occur sooner owing to measures announced in the </w:t>
      </w:r>
      <w:r w:rsidR="007A04A2">
        <w:rPr>
          <w:rFonts w:cs="Calibri Light"/>
        </w:rPr>
        <w:t>Commonwealth</w:t>
      </w:r>
      <w:r>
        <w:rPr>
          <w:rFonts w:cs="Calibri Light"/>
        </w:rPr>
        <w:t xml:space="preserve"> budget.</w:t>
      </w:r>
      <w:r w:rsidR="005171F9">
        <w:rPr>
          <w:rStyle w:val="FootnoteReference"/>
          <w:rFonts w:cs="Calibri Light"/>
        </w:rPr>
        <w:footnoteReference w:id="14"/>
      </w:r>
      <w:r w:rsidR="002A7733" w:rsidDel="00533E42">
        <w:rPr>
          <w:rFonts w:cs="Calibri Light"/>
        </w:rPr>
        <w:t xml:space="preserve"> </w:t>
      </w:r>
      <w:r>
        <w:rPr>
          <w:rFonts w:cs="Calibri Light"/>
        </w:rPr>
        <w:t xml:space="preserve">The </w:t>
      </w:r>
      <w:r w:rsidRPr="00B70287">
        <w:rPr>
          <w:i/>
        </w:rPr>
        <w:t xml:space="preserve">Victorian Budget </w:t>
      </w:r>
      <w:r w:rsidR="00254C62" w:rsidRPr="00B70287">
        <w:rPr>
          <w:i/>
          <w:iCs/>
        </w:rPr>
        <w:t>2024-25</w:t>
      </w:r>
      <w:r w:rsidR="00254C62">
        <w:rPr>
          <w:i/>
          <w:iCs/>
        </w:rPr>
        <w:t xml:space="preserve"> </w:t>
      </w:r>
      <w:r w:rsidR="00254C62">
        <w:t>(</w:t>
      </w:r>
      <w:r>
        <w:rPr>
          <w:rFonts w:cs="Calibri Light"/>
        </w:rPr>
        <w:t>Victorian Budget</w:t>
      </w:r>
      <w:r w:rsidR="00254C62">
        <w:rPr>
          <w:rFonts w:cs="Calibri Light"/>
        </w:rPr>
        <w:t>)</w:t>
      </w:r>
      <w:r>
        <w:rPr>
          <w:rFonts w:cs="Calibri Light"/>
        </w:rPr>
        <w:t xml:space="preserve"> forecast Melbourne CPI </w:t>
      </w:r>
      <w:r w:rsidR="000C2821">
        <w:rPr>
          <w:rFonts w:cs="Calibri Light"/>
        </w:rPr>
        <w:t xml:space="preserve">growth will slow </w:t>
      </w:r>
      <w:r w:rsidDel="000C2821">
        <w:rPr>
          <w:rFonts w:cs="Calibri Light"/>
        </w:rPr>
        <w:t xml:space="preserve">to </w:t>
      </w:r>
      <w:r>
        <w:rPr>
          <w:rFonts w:cs="Calibri Light"/>
        </w:rPr>
        <w:t>2.75 per cent in 2024-25.</w:t>
      </w:r>
      <w:r w:rsidR="00797D5D">
        <w:rPr>
          <w:rStyle w:val="FootnoteReference"/>
          <w:rFonts w:cs="Calibri Light"/>
        </w:rPr>
        <w:footnoteReference w:id="15"/>
      </w:r>
    </w:p>
    <w:p w14:paraId="7CBF32BA" w14:textId="0AE8347A" w:rsidR="007D402C" w:rsidRDefault="007D402C" w:rsidP="006C5013">
      <w:pPr>
        <w:pStyle w:val="03VIRTHeading3"/>
      </w:pPr>
      <w:r>
        <w:t>Nominal wages growth has picked up</w:t>
      </w:r>
      <w:r w:rsidR="006C5013">
        <w:t>,</w:t>
      </w:r>
      <w:r>
        <w:t xml:space="preserve"> </w:t>
      </w:r>
      <w:r w:rsidR="00447C65">
        <w:t>whil</w:t>
      </w:r>
      <w:r w:rsidR="00B92410">
        <w:t>e</w:t>
      </w:r>
      <w:r w:rsidR="00447C65">
        <w:t xml:space="preserve"> </w:t>
      </w:r>
      <w:r w:rsidR="007D1001">
        <w:t>r</w:t>
      </w:r>
      <w:r w:rsidR="00745D01">
        <w:t xml:space="preserve">eal wages </w:t>
      </w:r>
      <w:r w:rsidR="006C5013">
        <w:t>growth is low</w:t>
      </w:r>
    </w:p>
    <w:p w14:paraId="1DFB1456" w14:textId="0D7AE357" w:rsidR="00126221" w:rsidRDefault="00F96691" w:rsidP="0096336A">
      <w:pPr>
        <w:pStyle w:val="05Paragraph"/>
        <w:rPr>
          <w:rFonts w:cs="Calibri Light"/>
        </w:rPr>
      </w:pPr>
      <w:r w:rsidRPr="00182559">
        <w:rPr>
          <w:rFonts w:cs="Calibri Light"/>
        </w:rPr>
        <w:t xml:space="preserve">Nominal wages growth </w:t>
      </w:r>
      <w:r w:rsidR="00DE6243" w:rsidRPr="00182559">
        <w:rPr>
          <w:rFonts w:cs="Calibri Light"/>
        </w:rPr>
        <w:t>has</w:t>
      </w:r>
      <w:r w:rsidRPr="00182559">
        <w:rPr>
          <w:rFonts w:cs="Calibri Light"/>
        </w:rPr>
        <w:t xml:space="preserve"> picked up </w:t>
      </w:r>
      <w:r w:rsidR="00AA24EB">
        <w:rPr>
          <w:rFonts w:cs="Calibri Light"/>
        </w:rPr>
        <w:t xml:space="preserve">due to a tight labour market and </w:t>
      </w:r>
      <w:r w:rsidR="00231ECA">
        <w:rPr>
          <w:rFonts w:cs="Calibri Light"/>
        </w:rPr>
        <w:t xml:space="preserve">high inflation </w:t>
      </w:r>
      <w:r w:rsidR="00AA24EB">
        <w:rPr>
          <w:rFonts w:cs="Calibri Light"/>
        </w:rPr>
        <w:t xml:space="preserve">and </w:t>
      </w:r>
      <w:r w:rsidR="004D453C">
        <w:rPr>
          <w:rFonts w:cs="Calibri Light"/>
        </w:rPr>
        <w:t xml:space="preserve">is </w:t>
      </w:r>
      <w:r w:rsidR="0031600A" w:rsidRPr="00182559">
        <w:rPr>
          <w:rFonts w:cs="Calibri Light"/>
        </w:rPr>
        <w:t>around its highest level in over a decade</w:t>
      </w:r>
      <w:r w:rsidR="00230C56" w:rsidRPr="00182559">
        <w:rPr>
          <w:rFonts w:cs="Calibri Light"/>
        </w:rPr>
        <w:t>,</w:t>
      </w:r>
      <w:r w:rsidR="00DE6243" w:rsidRPr="00182559">
        <w:rPr>
          <w:rFonts w:cs="Calibri Light"/>
        </w:rPr>
        <w:t xml:space="preserve"> with the </w:t>
      </w:r>
      <w:r w:rsidR="007D1D6A">
        <w:rPr>
          <w:rFonts w:cs="Calibri Light"/>
        </w:rPr>
        <w:t>Australian</w:t>
      </w:r>
      <w:r w:rsidR="00DE6243" w:rsidRPr="00182559">
        <w:rPr>
          <w:rFonts w:cs="Calibri Light"/>
        </w:rPr>
        <w:t xml:space="preserve"> Wage Price Index (WPI) </w:t>
      </w:r>
      <w:r w:rsidR="00126221">
        <w:rPr>
          <w:rFonts w:cs="Calibri Light"/>
        </w:rPr>
        <w:t>increasing by</w:t>
      </w:r>
      <w:r w:rsidR="00DE6243" w:rsidRPr="00182559">
        <w:rPr>
          <w:rFonts w:cs="Calibri Light"/>
        </w:rPr>
        <w:t xml:space="preserve"> 4.</w:t>
      </w:r>
      <w:r w:rsidR="00633676">
        <w:rPr>
          <w:rFonts w:cs="Calibri Light"/>
        </w:rPr>
        <w:t>1</w:t>
      </w:r>
      <w:r w:rsidR="00DE6243" w:rsidRPr="00182559">
        <w:rPr>
          <w:rFonts w:cs="Calibri Light"/>
        </w:rPr>
        <w:t xml:space="preserve"> per cent</w:t>
      </w:r>
      <w:r w:rsidR="00633676">
        <w:rPr>
          <w:rFonts w:cs="Calibri Light"/>
        </w:rPr>
        <w:t xml:space="preserve"> in the year to March 2024.</w:t>
      </w:r>
      <w:r w:rsidR="00797D5D">
        <w:rPr>
          <w:rStyle w:val="FootnoteReference"/>
          <w:rFonts w:cs="Calibri Light"/>
        </w:rPr>
        <w:footnoteReference w:id="16"/>
      </w:r>
      <w:r w:rsidR="00633676">
        <w:rPr>
          <w:rFonts w:cs="Calibri Light"/>
        </w:rPr>
        <w:t xml:space="preserve"> </w:t>
      </w:r>
    </w:p>
    <w:p w14:paraId="4453C93A" w14:textId="1FFA4986" w:rsidR="0040616C" w:rsidRDefault="004503E5" w:rsidP="0096336A">
      <w:pPr>
        <w:pStyle w:val="05Paragraph"/>
        <w:rPr>
          <w:rFonts w:cs="Calibri Light"/>
        </w:rPr>
      </w:pPr>
      <w:r w:rsidRPr="00182559">
        <w:rPr>
          <w:rFonts w:cs="Calibri Light"/>
        </w:rPr>
        <w:t>Wages growth has also picked up in Victoria</w:t>
      </w:r>
      <w:r w:rsidR="004303CF">
        <w:rPr>
          <w:rFonts w:cs="Calibri Light"/>
        </w:rPr>
        <w:t>,</w:t>
      </w:r>
      <w:r w:rsidRPr="00182559">
        <w:rPr>
          <w:rFonts w:cs="Calibri Light"/>
        </w:rPr>
        <w:t xml:space="preserve"> </w:t>
      </w:r>
      <w:r w:rsidR="004303CF" w:rsidRPr="00182559">
        <w:rPr>
          <w:rFonts w:cs="Calibri Light"/>
        </w:rPr>
        <w:t>with</w:t>
      </w:r>
      <w:r w:rsidRPr="00182559">
        <w:rPr>
          <w:rFonts w:cs="Calibri Light"/>
        </w:rPr>
        <w:t xml:space="preserve"> WPI </w:t>
      </w:r>
      <w:r w:rsidR="00725B56">
        <w:rPr>
          <w:rFonts w:cs="Calibri Light"/>
        </w:rPr>
        <w:t xml:space="preserve">increasing </w:t>
      </w:r>
      <w:r w:rsidR="00A36F72" w:rsidRPr="00182559">
        <w:rPr>
          <w:rFonts w:cs="Calibri Light"/>
        </w:rPr>
        <w:t>at</w:t>
      </w:r>
      <w:r w:rsidRPr="00182559">
        <w:rPr>
          <w:rFonts w:cs="Calibri Light"/>
        </w:rPr>
        <w:t xml:space="preserve"> </w:t>
      </w:r>
      <w:r w:rsidR="0021296B">
        <w:rPr>
          <w:rFonts w:cs="Calibri Light"/>
        </w:rPr>
        <w:t xml:space="preserve">an annual rate of </w:t>
      </w:r>
      <w:r w:rsidRPr="00182559">
        <w:rPr>
          <w:rFonts w:cs="Calibri Light"/>
        </w:rPr>
        <w:t xml:space="preserve">3.6 per cent, </w:t>
      </w:r>
      <w:r w:rsidR="0025052D">
        <w:rPr>
          <w:rFonts w:cs="Calibri Light"/>
        </w:rPr>
        <w:t xml:space="preserve">although this is </w:t>
      </w:r>
      <w:r w:rsidRPr="00182559">
        <w:rPr>
          <w:rFonts w:cs="Calibri Light"/>
        </w:rPr>
        <w:t xml:space="preserve">the lowest among the </w:t>
      </w:r>
      <w:r w:rsidR="002F2755">
        <w:rPr>
          <w:rFonts w:cs="Calibri Light"/>
        </w:rPr>
        <w:t>s</w:t>
      </w:r>
      <w:r w:rsidRPr="00182559">
        <w:rPr>
          <w:rFonts w:cs="Calibri Light"/>
        </w:rPr>
        <w:t>tates.</w:t>
      </w:r>
      <w:r w:rsidR="008D73A7">
        <w:rPr>
          <w:rStyle w:val="FootnoteReference"/>
          <w:rFonts w:cs="Calibri Light"/>
        </w:rPr>
        <w:footnoteReference w:id="17"/>
      </w:r>
      <w:r w:rsidR="00205313">
        <w:rPr>
          <w:rFonts w:cs="Calibri Light"/>
        </w:rPr>
        <w:t xml:space="preserve"> </w:t>
      </w:r>
      <w:r w:rsidR="00797D5D">
        <w:rPr>
          <w:rFonts w:cs="Calibri Light"/>
        </w:rPr>
        <w:t>T</w:t>
      </w:r>
      <w:r w:rsidR="003652B2">
        <w:rPr>
          <w:rFonts w:cs="Calibri Light"/>
        </w:rPr>
        <w:t>he</w:t>
      </w:r>
      <w:r w:rsidR="00205313">
        <w:rPr>
          <w:rFonts w:cs="Calibri Light"/>
        </w:rPr>
        <w:t xml:space="preserve"> </w:t>
      </w:r>
      <w:r w:rsidR="00633676">
        <w:rPr>
          <w:rFonts w:cs="Calibri Light"/>
        </w:rPr>
        <w:t>public sector</w:t>
      </w:r>
      <w:r w:rsidR="00205313">
        <w:rPr>
          <w:rFonts w:cs="Calibri Light"/>
        </w:rPr>
        <w:t xml:space="preserve"> </w:t>
      </w:r>
      <w:r w:rsidR="00E82128">
        <w:rPr>
          <w:rFonts w:cs="Calibri Light"/>
        </w:rPr>
        <w:t xml:space="preserve">WPI </w:t>
      </w:r>
      <w:r w:rsidR="00633676">
        <w:rPr>
          <w:rFonts w:cs="Calibri Light"/>
        </w:rPr>
        <w:t xml:space="preserve">has </w:t>
      </w:r>
      <w:r w:rsidR="001B20C2">
        <w:rPr>
          <w:rFonts w:cs="Calibri Light"/>
        </w:rPr>
        <w:t xml:space="preserve">increased more slowly </w:t>
      </w:r>
      <w:r w:rsidR="00633676">
        <w:rPr>
          <w:rFonts w:cs="Calibri Light"/>
        </w:rPr>
        <w:t>than the private sector</w:t>
      </w:r>
      <w:r w:rsidR="00502751">
        <w:rPr>
          <w:rFonts w:cs="Calibri Light"/>
        </w:rPr>
        <w:t xml:space="preserve"> </w:t>
      </w:r>
      <w:r w:rsidR="00A1517B">
        <w:rPr>
          <w:rFonts w:cs="Calibri Light"/>
        </w:rPr>
        <w:t xml:space="preserve">WPI </w:t>
      </w:r>
      <w:r w:rsidR="00502751">
        <w:rPr>
          <w:rFonts w:cs="Calibri Light"/>
        </w:rPr>
        <w:t>in Victoria</w:t>
      </w:r>
      <w:r w:rsidR="00633676">
        <w:rPr>
          <w:rFonts w:cs="Calibri Light"/>
        </w:rPr>
        <w:t xml:space="preserve"> </w:t>
      </w:r>
      <w:r w:rsidR="00A1517B">
        <w:rPr>
          <w:rFonts w:cs="Calibri Light"/>
        </w:rPr>
        <w:t>(</w:t>
      </w:r>
      <w:r w:rsidR="00633676">
        <w:rPr>
          <w:rFonts w:cs="Calibri Light"/>
        </w:rPr>
        <w:t>2.5 per cent compared to 3.9 per cent</w:t>
      </w:r>
      <w:r w:rsidR="007E4455">
        <w:rPr>
          <w:rFonts w:cs="Calibri Light"/>
        </w:rPr>
        <w:t xml:space="preserve"> for the year to March 2024</w:t>
      </w:r>
      <w:r w:rsidR="003652B2">
        <w:rPr>
          <w:rFonts w:cs="Calibri Light"/>
        </w:rPr>
        <w:t>)</w:t>
      </w:r>
      <w:r w:rsidR="00205313">
        <w:rPr>
          <w:rFonts w:cs="Calibri Light"/>
        </w:rPr>
        <w:t>.</w:t>
      </w:r>
      <w:r w:rsidR="00797D5D">
        <w:rPr>
          <w:rStyle w:val="FootnoteReference"/>
          <w:rFonts w:cs="Calibri Light"/>
        </w:rPr>
        <w:footnoteReference w:id="18"/>
      </w:r>
      <w:r w:rsidR="0040616C">
        <w:rPr>
          <w:rFonts w:cs="Calibri Light"/>
        </w:rPr>
        <w:t xml:space="preserve"> </w:t>
      </w:r>
    </w:p>
    <w:p w14:paraId="06902BA0" w14:textId="6CB2293B" w:rsidR="00725B56" w:rsidRDefault="003D5CC0" w:rsidP="00D26978">
      <w:pPr>
        <w:pStyle w:val="05Paragraph"/>
        <w:rPr>
          <w:rFonts w:cs="Calibri Light"/>
        </w:rPr>
      </w:pPr>
      <w:r>
        <w:rPr>
          <w:rFonts w:cs="Calibri Light"/>
        </w:rPr>
        <w:t>R</w:t>
      </w:r>
      <w:r w:rsidR="0096336A" w:rsidRPr="00182559">
        <w:rPr>
          <w:rFonts w:cs="Calibri Light"/>
        </w:rPr>
        <w:t xml:space="preserve">eal wages grew by 0.5 per cent over the </w:t>
      </w:r>
      <w:r w:rsidR="00633676">
        <w:rPr>
          <w:rFonts w:cs="Calibri Light"/>
        </w:rPr>
        <w:t>year</w:t>
      </w:r>
      <w:r w:rsidR="0096336A" w:rsidRPr="00182559">
        <w:rPr>
          <w:rFonts w:cs="Calibri Light"/>
        </w:rPr>
        <w:t xml:space="preserve"> to March 2024</w:t>
      </w:r>
      <w:r>
        <w:rPr>
          <w:rFonts w:cs="Calibri Light"/>
        </w:rPr>
        <w:t xml:space="preserve"> in Australia</w:t>
      </w:r>
      <w:r w:rsidR="00205313">
        <w:rPr>
          <w:rFonts w:cs="Calibri Light"/>
        </w:rPr>
        <w:t>, whilst remain</w:t>
      </w:r>
      <w:r w:rsidR="004303CF">
        <w:rPr>
          <w:rFonts w:cs="Calibri Light"/>
        </w:rPr>
        <w:t>ing</w:t>
      </w:r>
      <w:r w:rsidR="0096336A" w:rsidRPr="00182559">
        <w:rPr>
          <w:rFonts w:cs="Calibri Light"/>
        </w:rPr>
        <w:t xml:space="preserve"> unchanged </w:t>
      </w:r>
      <w:r w:rsidR="00205313">
        <w:rPr>
          <w:rFonts w:cs="Calibri Light"/>
        </w:rPr>
        <w:t xml:space="preserve">for </w:t>
      </w:r>
      <w:r w:rsidR="0096336A" w:rsidRPr="00182559">
        <w:rPr>
          <w:rFonts w:cs="Calibri Light"/>
        </w:rPr>
        <w:t>Victoria over the same period</w:t>
      </w:r>
      <w:r w:rsidR="00DC28DA" w:rsidRPr="00182559">
        <w:rPr>
          <w:rFonts w:cs="Calibri Light"/>
        </w:rPr>
        <w:t>.</w:t>
      </w:r>
      <w:r w:rsidR="00DF2C34">
        <w:rPr>
          <w:rStyle w:val="FootnoteReference"/>
          <w:rFonts w:cs="Calibri Light"/>
        </w:rPr>
        <w:footnoteReference w:id="19"/>
      </w:r>
      <w:r w:rsidR="00C457F1">
        <w:rPr>
          <w:rFonts w:cs="Calibri Light"/>
        </w:rPr>
        <w:t xml:space="preserve"> </w:t>
      </w:r>
    </w:p>
    <w:p w14:paraId="221298FC" w14:textId="53E50C0D" w:rsidR="00D26978" w:rsidRPr="00182559" w:rsidRDefault="00874B74" w:rsidP="00D26978">
      <w:pPr>
        <w:pStyle w:val="05Paragraph"/>
        <w:rPr>
          <w:rFonts w:cs="Calibri Light"/>
        </w:rPr>
      </w:pPr>
      <w:r w:rsidRPr="00182559">
        <w:rPr>
          <w:rFonts w:cs="Calibri Light"/>
        </w:rPr>
        <w:t>The RBA forecasts</w:t>
      </w:r>
      <w:r w:rsidR="007E1CF1" w:rsidRPr="00182559">
        <w:rPr>
          <w:rFonts w:cs="Calibri Light"/>
        </w:rPr>
        <w:t xml:space="preserve"> </w:t>
      </w:r>
      <w:r w:rsidR="00B25945">
        <w:rPr>
          <w:rFonts w:cs="Calibri Light"/>
        </w:rPr>
        <w:t>Australian</w:t>
      </w:r>
      <w:r w:rsidR="00C768D9" w:rsidRPr="00182559">
        <w:rPr>
          <w:rFonts w:cs="Calibri Light"/>
        </w:rPr>
        <w:t xml:space="preserve"> WPI </w:t>
      </w:r>
      <w:r w:rsidR="00976017">
        <w:rPr>
          <w:rFonts w:cs="Calibri Light"/>
        </w:rPr>
        <w:t xml:space="preserve">growth </w:t>
      </w:r>
      <w:r w:rsidR="00C768D9" w:rsidRPr="00182559">
        <w:rPr>
          <w:rFonts w:cs="Calibri Light"/>
        </w:rPr>
        <w:t xml:space="preserve">to </w:t>
      </w:r>
      <w:r w:rsidR="00976017">
        <w:rPr>
          <w:rFonts w:cs="Calibri Light"/>
        </w:rPr>
        <w:t>slow</w:t>
      </w:r>
      <w:r w:rsidR="00C768D9" w:rsidRPr="00182559">
        <w:rPr>
          <w:rFonts w:cs="Calibri Light"/>
        </w:rPr>
        <w:t xml:space="preserve"> to 3.6 per cent by June 2025</w:t>
      </w:r>
      <w:r w:rsidR="001E251B">
        <w:rPr>
          <w:rFonts w:cs="Calibri Light"/>
        </w:rPr>
        <w:t>.</w:t>
      </w:r>
      <w:r w:rsidR="00C768D9" w:rsidRPr="00182559">
        <w:rPr>
          <w:rFonts w:cs="Calibri Light"/>
        </w:rPr>
        <w:t xml:space="preserve"> </w:t>
      </w:r>
      <w:r w:rsidR="001E251B">
        <w:rPr>
          <w:rFonts w:cs="Calibri Light"/>
        </w:rPr>
        <w:t>R</w:t>
      </w:r>
      <w:r w:rsidR="00B2491E" w:rsidRPr="00182559">
        <w:rPr>
          <w:rFonts w:cs="Calibri Light"/>
        </w:rPr>
        <w:t xml:space="preserve">eal wages </w:t>
      </w:r>
      <w:r w:rsidR="00B2491E">
        <w:rPr>
          <w:rFonts w:cs="Calibri Light"/>
        </w:rPr>
        <w:t>are expected</w:t>
      </w:r>
      <w:r w:rsidR="00B2491E" w:rsidRPr="00182559">
        <w:rPr>
          <w:rFonts w:cs="Calibri Light"/>
        </w:rPr>
        <w:t xml:space="preserve"> to grow in both Victoria and Australia, as nominal wages growth </w:t>
      </w:r>
      <w:r w:rsidR="005171F9">
        <w:rPr>
          <w:rFonts w:cs="Calibri Light"/>
        </w:rPr>
        <w:t>outpaces</w:t>
      </w:r>
      <w:r w:rsidR="00B2491E" w:rsidRPr="00182559">
        <w:rPr>
          <w:rFonts w:cs="Calibri Light"/>
        </w:rPr>
        <w:t xml:space="preserve"> inflation.</w:t>
      </w:r>
      <w:r w:rsidR="00DF2C34" w:rsidRPr="00182559">
        <w:rPr>
          <w:rStyle w:val="FootnoteReference"/>
          <w:rFonts w:cs="Calibri Light"/>
        </w:rPr>
        <w:footnoteReference w:id="20"/>
      </w:r>
    </w:p>
    <w:p w14:paraId="2B25BB02" w14:textId="43DE9273" w:rsidR="00C36887" w:rsidRDefault="00F379CB" w:rsidP="00C36887">
      <w:pPr>
        <w:pStyle w:val="02VIRTHeading2"/>
      </w:pPr>
      <w:bookmarkStart w:id="53" w:name="_Toc166014299"/>
      <w:bookmarkStart w:id="54" w:name="_Toc169172612"/>
      <w:bookmarkStart w:id="55" w:name="_Toc170383518"/>
      <w:r w:rsidRPr="000F1881">
        <w:t>2</w:t>
      </w:r>
      <w:r w:rsidR="00C36887" w:rsidRPr="000F1881">
        <w:t>.</w:t>
      </w:r>
      <w:r w:rsidR="00DC2233">
        <w:t>2</w:t>
      </w:r>
      <w:r w:rsidR="00C36887" w:rsidRPr="000F1881">
        <w:tab/>
      </w:r>
      <w:r w:rsidR="000F1881" w:rsidRPr="000F1881">
        <w:t>Financial position and fiscal strategy of the State of Victoria</w:t>
      </w:r>
      <w:bookmarkEnd w:id="53"/>
      <w:bookmarkEnd w:id="54"/>
      <w:bookmarkEnd w:id="55"/>
    </w:p>
    <w:p w14:paraId="3161ABC0" w14:textId="193CC6EF" w:rsidR="00DA28F7" w:rsidRDefault="009D2128" w:rsidP="00B92410">
      <w:pPr>
        <w:pStyle w:val="05Paragraph"/>
      </w:pPr>
      <w:bookmarkStart w:id="56" w:name="_Hlk169599641"/>
      <w:r>
        <w:rPr>
          <w:rFonts w:cs="Calibri Light"/>
        </w:rPr>
        <w:t>In t</w:t>
      </w:r>
      <w:r w:rsidR="00B92410" w:rsidRPr="00182559">
        <w:rPr>
          <w:rFonts w:cs="Calibri Light"/>
        </w:rPr>
        <w:t xml:space="preserve">he </w:t>
      </w:r>
      <w:r w:rsidR="00514EAE" w:rsidRPr="001F26E1">
        <w:rPr>
          <w:rFonts w:cs="Calibri Light"/>
        </w:rPr>
        <w:t>Victorian</w:t>
      </w:r>
      <w:r w:rsidR="00B92410" w:rsidRPr="001F26E1">
        <w:rPr>
          <w:rFonts w:cs="Calibri Light"/>
        </w:rPr>
        <w:t xml:space="preserve"> Budget</w:t>
      </w:r>
      <w:r>
        <w:rPr>
          <w:rFonts w:cs="Calibri Light"/>
        </w:rPr>
        <w:t xml:space="preserve">, the Victorian Government announced a range </w:t>
      </w:r>
      <w:r>
        <w:t xml:space="preserve">of strategies to improve the State’s financial position. </w:t>
      </w:r>
    </w:p>
    <w:p w14:paraId="36651EC0" w14:textId="5214CD23" w:rsidR="007E771A" w:rsidRPr="009D2128" w:rsidRDefault="00265FE4" w:rsidP="00B92410">
      <w:pPr>
        <w:pStyle w:val="05Paragraph"/>
      </w:pPr>
      <w:r>
        <w:t xml:space="preserve">The </w:t>
      </w:r>
      <w:r w:rsidR="009D2128">
        <w:t xml:space="preserve">Victorian Government </w:t>
      </w:r>
      <w:r w:rsidR="00045161">
        <w:t xml:space="preserve">reiterated its existing </w:t>
      </w:r>
      <w:r w:rsidR="009D2128">
        <w:t>fiscal strategy</w:t>
      </w:r>
      <w:r w:rsidR="00045161">
        <w:t xml:space="preserve"> and added a new </w:t>
      </w:r>
      <w:r w:rsidR="00894A08">
        <w:t>step</w:t>
      </w:r>
      <w:r w:rsidR="00AD52D4">
        <w:t xml:space="preserve"> 5</w:t>
      </w:r>
      <w:r w:rsidR="007E771A">
        <w:rPr>
          <w:rFonts w:cs="Calibri Light"/>
        </w:rPr>
        <w:t>:</w:t>
      </w:r>
    </w:p>
    <w:p w14:paraId="19996289" w14:textId="77777777" w:rsidR="007E771A" w:rsidRPr="007E771A" w:rsidRDefault="007E771A" w:rsidP="007E771A">
      <w:pPr>
        <w:pStyle w:val="06VIRTBulletpoints"/>
      </w:pPr>
      <w:r w:rsidRPr="007E771A">
        <w:t>Step 1 – Creating jobs, reducing unemployment and restoring economic growth</w:t>
      </w:r>
    </w:p>
    <w:p w14:paraId="2C65F1CB" w14:textId="635C8403" w:rsidR="007E771A" w:rsidRPr="007E771A" w:rsidRDefault="007E771A" w:rsidP="007E771A">
      <w:pPr>
        <w:pStyle w:val="06VIRTBulletpoints"/>
      </w:pPr>
      <w:r w:rsidRPr="007E771A">
        <w:t>Step 2 – Returning to an operating cash surplus</w:t>
      </w:r>
    </w:p>
    <w:p w14:paraId="5DF9D249" w14:textId="77777777" w:rsidR="007E771A" w:rsidRPr="007E771A" w:rsidRDefault="007E771A" w:rsidP="007E771A">
      <w:pPr>
        <w:pStyle w:val="06VIRTBulletpoints"/>
      </w:pPr>
      <w:r w:rsidRPr="007E771A">
        <w:t>Step 3 – Returning to operating surpluses</w:t>
      </w:r>
    </w:p>
    <w:p w14:paraId="540516AE" w14:textId="77777777" w:rsidR="007E771A" w:rsidRPr="007E771A" w:rsidRDefault="007E771A" w:rsidP="007E771A">
      <w:pPr>
        <w:pStyle w:val="06VIRTBulletpoints"/>
      </w:pPr>
      <w:r w:rsidRPr="007E771A">
        <w:t>Step 4 – Stabilising debt levels</w:t>
      </w:r>
    </w:p>
    <w:p w14:paraId="1A51207A" w14:textId="0E631175" w:rsidR="007E771A" w:rsidRPr="007E771A" w:rsidRDefault="007E771A" w:rsidP="00B92410">
      <w:pPr>
        <w:pStyle w:val="06VIRTBulletpoints"/>
      </w:pPr>
      <w:r w:rsidRPr="007E771A">
        <w:t>Step 5 – Reducing net debt as a proportion of GSP.</w:t>
      </w:r>
    </w:p>
    <w:p w14:paraId="2ED5DC93" w14:textId="16189304" w:rsidR="00F52DB7" w:rsidRDefault="00AE4C73" w:rsidP="00CA3AA2">
      <w:pPr>
        <w:pStyle w:val="05Paragraph"/>
        <w:rPr>
          <w:rFonts w:cs="Calibri Light"/>
        </w:rPr>
      </w:pPr>
      <w:r w:rsidRPr="00182559">
        <w:rPr>
          <w:rFonts w:cs="Calibri Light"/>
        </w:rPr>
        <w:t>T</w:t>
      </w:r>
      <w:r w:rsidR="000D2953" w:rsidRPr="00182559">
        <w:rPr>
          <w:rFonts w:cs="Calibri Light"/>
        </w:rPr>
        <w:t>he general government sector (GGS) record</w:t>
      </w:r>
      <w:r w:rsidRPr="00182559">
        <w:rPr>
          <w:rFonts w:cs="Calibri Light"/>
        </w:rPr>
        <w:t>ed</w:t>
      </w:r>
      <w:r w:rsidR="000D2953" w:rsidRPr="00182559">
        <w:rPr>
          <w:rFonts w:cs="Calibri Light"/>
        </w:rPr>
        <w:t xml:space="preserve"> an operating cash surplus of $4.2 billion</w:t>
      </w:r>
      <w:r w:rsidRPr="00182559">
        <w:rPr>
          <w:rFonts w:cs="Calibri Light"/>
        </w:rPr>
        <w:t xml:space="preserve"> in 2022-23</w:t>
      </w:r>
      <w:r w:rsidR="007E771A">
        <w:rPr>
          <w:rFonts w:cs="Calibri Light"/>
        </w:rPr>
        <w:t xml:space="preserve"> and</w:t>
      </w:r>
      <w:r w:rsidR="000D2953" w:rsidRPr="00182559">
        <w:rPr>
          <w:rFonts w:cs="Calibri Light"/>
        </w:rPr>
        <w:t xml:space="preserve"> </w:t>
      </w:r>
      <w:r w:rsidR="00FD7005">
        <w:rPr>
          <w:rFonts w:cs="Calibri Light"/>
        </w:rPr>
        <w:t xml:space="preserve">the Government </w:t>
      </w:r>
      <w:r w:rsidR="000D2953" w:rsidRPr="00182559">
        <w:rPr>
          <w:rFonts w:cs="Calibri Light"/>
        </w:rPr>
        <w:t xml:space="preserve">is </w:t>
      </w:r>
      <w:r w:rsidR="007E771A">
        <w:rPr>
          <w:rFonts w:cs="Calibri Light"/>
        </w:rPr>
        <w:t>expecting a return to an operating</w:t>
      </w:r>
      <w:r w:rsidR="00BB11DD" w:rsidRPr="00182559">
        <w:rPr>
          <w:rFonts w:cs="Calibri Light"/>
        </w:rPr>
        <w:t xml:space="preserve"> surplus in 2025</w:t>
      </w:r>
      <w:r w:rsidR="00BB11DD" w:rsidRPr="00182559">
        <w:rPr>
          <w:rFonts w:cs="Calibri Light"/>
        </w:rPr>
        <w:noBreakHyphen/>
        <w:t>26</w:t>
      </w:r>
      <w:r w:rsidR="00A64905">
        <w:rPr>
          <w:rFonts w:cs="Calibri Light"/>
        </w:rPr>
        <w:t xml:space="preserve"> (</w:t>
      </w:r>
      <w:r w:rsidR="00753A71">
        <w:rPr>
          <w:rFonts w:cs="Calibri Light"/>
        </w:rPr>
        <w:t>consistent with s</w:t>
      </w:r>
      <w:r w:rsidR="00A64905">
        <w:rPr>
          <w:rFonts w:cs="Calibri Light"/>
        </w:rPr>
        <w:t xml:space="preserve">teps </w:t>
      </w:r>
      <w:r w:rsidR="00D4170F">
        <w:rPr>
          <w:rFonts w:cs="Calibri Light"/>
        </w:rPr>
        <w:t>2 and 3)</w:t>
      </w:r>
      <w:r w:rsidR="00BB11DD" w:rsidRPr="00182559">
        <w:rPr>
          <w:rFonts w:cs="Calibri Light"/>
        </w:rPr>
        <w:t>.</w:t>
      </w:r>
      <w:r w:rsidR="00DF2C34">
        <w:rPr>
          <w:rStyle w:val="FootnoteReference"/>
          <w:rFonts w:cs="Calibri Light"/>
        </w:rPr>
        <w:footnoteReference w:id="21"/>
      </w:r>
      <w:r w:rsidR="009D2128">
        <w:rPr>
          <w:rFonts w:cs="Calibri Light"/>
        </w:rPr>
        <w:t xml:space="preserve"> </w:t>
      </w:r>
    </w:p>
    <w:p w14:paraId="414EBBC4" w14:textId="4D111A96" w:rsidR="00CA3AA2" w:rsidRPr="00182559" w:rsidRDefault="0086721F" w:rsidP="00CA3AA2">
      <w:pPr>
        <w:pStyle w:val="05Paragraph"/>
        <w:rPr>
          <w:rFonts w:cs="Calibri Light"/>
        </w:rPr>
      </w:pPr>
      <w:r w:rsidRPr="00182559">
        <w:rPr>
          <w:rFonts w:cs="Calibri Light"/>
        </w:rPr>
        <w:t>Net debt for the GGS was $115 billion at 30 June 2023, and is forecast to be around $1</w:t>
      </w:r>
      <w:r w:rsidR="007E771A">
        <w:rPr>
          <w:rFonts w:cs="Calibri Light"/>
        </w:rPr>
        <w:t>88</w:t>
      </w:r>
      <w:r w:rsidRPr="00182559">
        <w:rPr>
          <w:rFonts w:cs="Calibri Light"/>
        </w:rPr>
        <w:t xml:space="preserve"> billion </w:t>
      </w:r>
      <w:r w:rsidR="007E771A">
        <w:rPr>
          <w:rFonts w:cs="Calibri Light"/>
        </w:rPr>
        <w:t xml:space="preserve">by </w:t>
      </w:r>
      <w:r w:rsidRPr="00182559">
        <w:rPr>
          <w:rFonts w:cs="Calibri Light"/>
        </w:rPr>
        <w:t xml:space="preserve">30 June </w:t>
      </w:r>
      <w:r w:rsidR="007E771A">
        <w:rPr>
          <w:rFonts w:cs="Calibri Light"/>
        </w:rPr>
        <w:t>2027</w:t>
      </w:r>
      <w:r w:rsidRPr="00182559">
        <w:rPr>
          <w:rFonts w:cs="Calibri Light"/>
        </w:rPr>
        <w:t>.</w:t>
      </w:r>
      <w:r w:rsidR="00FA1871" w:rsidRPr="00182559">
        <w:rPr>
          <w:rFonts w:cs="Calibri Light"/>
        </w:rPr>
        <w:t xml:space="preserve"> </w:t>
      </w:r>
      <w:r w:rsidR="009D2128">
        <w:rPr>
          <w:rFonts w:cs="Calibri Light"/>
        </w:rPr>
        <w:t>However, n</w:t>
      </w:r>
      <w:r w:rsidR="00FA1871" w:rsidRPr="00182559">
        <w:rPr>
          <w:rFonts w:cs="Calibri Light"/>
        </w:rPr>
        <w:t xml:space="preserve">et debt as a proportion of GSP is expected to stabilise at around 25 per cent from June 2026 </w:t>
      </w:r>
      <w:r w:rsidR="003652B2">
        <w:rPr>
          <w:rFonts w:cs="Calibri Light"/>
        </w:rPr>
        <w:t>(</w:t>
      </w:r>
      <w:r w:rsidR="007E771A">
        <w:rPr>
          <w:rFonts w:cs="Calibri Light"/>
        </w:rPr>
        <w:t>consistent with steps</w:t>
      </w:r>
      <w:r w:rsidR="000107CE">
        <w:rPr>
          <w:rFonts w:cs="Calibri Light"/>
        </w:rPr>
        <w:t> </w:t>
      </w:r>
      <w:r w:rsidR="007E771A">
        <w:rPr>
          <w:rFonts w:cs="Calibri Light"/>
        </w:rPr>
        <w:t>4 and 5</w:t>
      </w:r>
      <w:r w:rsidR="003652B2">
        <w:rPr>
          <w:rFonts w:cs="Calibri Light"/>
        </w:rPr>
        <w:t>)</w:t>
      </w:r>
      <w:r w:rsidR="007E771A">
        <w:rPr>
          <w:rFonts w:cs="Calibri Light"/>
        </w:rPr>
        <w:t>.</w:t>
      </w:r>
      <w:r w:rsidR="00DF2C34">
        <w:rPr>
          <w:rStyle w:val="FootnoteReference"/>
          <w:rFonts w:cs="Calibri Light"/>
        </w:rPr>
        <w:footnoteReference w:id="22"/>
      </w:r>
    </w:p>
    <w:p w14:paraId="04E93BC7" w14:textId="20ABBCFA" w:rsidR="009B4296" w:rsidRDefault="00F379CB" w:rsidP="00B0425A">
      <w:pPr>
        <w:pStyle w:val="02VIRTHeading2"/>
      </w:pPr>
      <w:bookmarkStart w:id="57" w:name="_Toc166014300"/>
      <w:bookmarkStart w:id="58" w:name="_Toc169172613"/>
      <w:bookmarkStart w:id="59" w:name="_Toc170383519"/>
      <w:bookmarkEnd w:id="56"/>
      <w:r w:rsidRPr="000F1881">
        <w:t>2</w:t>
      </w:r>
      <w:r w:rsidR="009B4296" w:rsidRPr="000F1881">
        <w:t>.</w:t>
      </w:r>
      <w:r w:rsidR="00DC2233">
        <w:t>3</w:t>
      </w:r>
      <w:r w:rsidR="009B4296" w:rsidRPr="000F1881">
        <w:tab/>
      </w:r>
      <w:r w:rsidR="000F1881" w:rsidRPr="000F1881">
        <w:t xml:space="preserve">Wages </w:t>
      </w:r>
      <w:bookmarkEnd w:id="57"/>
      <w:bookmarkEnd w:id="58"/>
      <w:r w:rsidR="007E71DB">
        <w:t>P</w:t>
      </w:r>
      <w:r w:rsidR="000F1881" w:rsidRPr="000F1881">
        <w:t>olicy</w:t>
      </w:r>
      <w:bookmarkEnd w:id="59"/>
    </w:p>
    <w:p w14:paraId="656980F6" w14:textId="0F733A7A" w:rsidR="00F15404" w:rsidRPr="00CA4E2B" w:rsidRDefault="00F15404" w:rsidP="00F15404">
      <w:pPr>
        <w:pStyle w:val="05Paragraph"/>
      </w:pPr>
      <w:bookmarkStart w:id="60" w:name="_Hlk169599675"/>
      <w:r>
        <w:t>The Tribunal is required by the VIRTIPS Act to consider the State Government’s Wages Policy, but notes that it does not apply to local governments</w:t>
      </w:r>
      <w:r w:rsidR="00DB2B5F">
        <w:t>,</w:t>
      </w:r>
      <w:r>
        <w:t xml:space="preserve"> which have the ability to negotiate their own </w:t>
      </w:r>
      <w:r w:rsidR="00231ECA">
        <w:t>enterprise agreements</w:t>
      </w:r>
      <w:r>
        <w:t xml:space="preserve"> </w:t>
      </w:r>
      <w:r w:rsidR="00231ECA">
        <w:t>(</w:t>
      </w:r>
      <w:r>
        <w:t>EAs</w:t>
      </w:r>
      <w:r w:rsidR="00231ECA">
        <w:t>)</w:t>
      </w:r>
      <w:r>
        <w:t>.</w:t>
      </w:r>
    </w:p>
    <w:p w14:paraId="5C1BFDD6" w14:textId="15F2F3FC" w:rsidR="007B4D57" w:rsidRPr="00CA4E2B" w:rsidRDefault="007B4D57" w:rsidP="00114290">
      <w:pPr>
        <w:pStyle w:val="05Paragraph"/>
        <w:rPr>
          <w:rFonts w:cs="Calibri Light"/>
          <w:spacing w:val="-4"/>
        </w:rPr>
      </w:pPr>
      <w:r w:rsidRPr="00CA4E2B">
        <w:rPr>
          <w:rFonts w:cs="Calibri Light"/>
        </w:rPr>
        <w:t>In April 2023, the Treasurer of Victoria announced the introduction of a new Wages Policy</w:t>
      </w:r>
      <w:r w:rsidR="00E968DA" w:rsidRPr="00CA4E2B">
        <w:rPr>
          <w:rFonts w:cs="Calibri Light"/>
        </w:rPr>
        <w:t xml:space="preserve">, which provides for increases to wages and conditions under public sector </w:t>
      </w:r>
      <w:r w:rsidR="005171F9">
        <w:rPr>
          <w:rFonts w:cs="Calibri Light"/>
        </w:rPr>
        <w:t>EAs</w:t>
      </w:r>
      <w:r w:rsidRPr="00CA4E2B">
        <w:rPr>
          <w:rFonts w:cs="Calibri Light"/>
        </w:rPr>
        <w:t>.</w:t>
      </w:r>
      <w:r w:rsidR="00114290" w:rsidRPr="00CA4E2B">
        <w:rPr>
          <w:rFonts w:cs="Calibri Light"/>
        </w:rPr>
        <w:t xml:space="preserve"> </w:t>
      </w:r>
      <w:r w:rsidRPr="00CA4E2B">
        <w:rPr>
          <w:rFonts w:cs="Calibri Light"/>
          <w:spacing w:val="-4"/>
        </w:rPr>
        <w:t xml:space="preserve">In particular, the Wages Policy </w:t>
      </w:r>
      <w:r w:rsidR="009650E9" w:rsidRPr="00CA4E2B">
        <w:rPr>
          <w:rFonts w:cs="Calibri Light"/>
          <w:spacing w:val="-4"/>
        </w:rPr>
        <w:t>stipulates</w:t>
      </w:r>
      <w:r w:rsidRPr="00CA4E2B">
        <w:rPr>
          <w:rFonts w:cs="Calibri Light"/>
          <w:spacing w:val="-4"/>
        </w:rPr>
        <w:t xml:space="preserve"> that:</w:t>
      </w:r>
      <w:r w:rsidR="006F4FD4" w:rsidRPr="00CA4E2B">
        <w:rPr>
          <w:rStyle w:val="FootnoteReference"/>
          <w:rFonts w:cs="Calibri Light"/>
        </w:rPr>
        <w:footnoteReference w:id="23"/>
      </w:r>
    </w:p>
    <w:p w14:paraId="38E5E092" w14:textId="77777777" w:rsidR="007B4D57" w:rsidRPr="00CA4E2B" w:rsidRDefault="007B4D57" w:rsidP="007B4D57">
      <w:pPr>
        <w:pStyle w:val="06VIRTBulletpoints"/>
        <w:rPr>
          <w:rFonts w:cs="Calibri Light"/>
          <w:spacing w:val="-4"/>
        </w:rPr>
      </w:pPr>
      <w:r w:rsidRPr="00CA4E2B">
        <w:rPr>
          <w:rFonts w:cs="Calibri Light"/>
          <w:spacing w:val="-4"/>
        </w:rPr>
        <w:t>increases in wages and conditions will be funded at a rate of growth of 3 per cent per annum over the life of the agreement</w:t>
      </w:r>
    </w:p>
    <w:p w14:paraId="4FF66849" w14:textId="5767AFFF" w:rsidR="007B4D57" w:rsidRPr="00E52B6C" w:rsidRDefault="007B4D57" w:rsidP="000E4B2B">
      <w:pPr>
        <w:pStyle w:val="06VIRTBulletpoints"/>
        <w:rPr>
          <w:spacing w:val="-4"/>
        </w:rPr>
      </w:pPr>
      <w:r w:rsidRPr="00E52B6C">
        <w:rPr>
          <w:spacing w:val="-4"/>
        </w:rPr>
        <w:t>in addition to annual wage increases, a separate lump sum cash payment will be available, equivalent to an additional 0.5 per cent of overall agreement costs.</w:t>
      </w:r>
    </w:p>
    <w:p w14:paraId="340A53F1" w14:textId="6090366D" w:rsidR="005171F9" w:rsidRPr="00E214FE" w:rsidRDefault="005171F9" w:rsidP="004D7986">
      <w:pPr>
        <w:pStyle w:val="05Paragraph"/>
      </w:pPr>
      <w:bookmarkStart w:id="61" w:name="_Hlk169167397"/>
      <w:r w:rsidRPr="00E214FE">
        <w:t xml:space="preserve">The Government </w:t>
      </w:r>
      <w:r w:rsidR="00231ECA">
        <w:t>and the Community and Public Sector Union have</w:t>
      </w:r>
      <w:r w:rsidRPr="00E214FE">
        <w:t xml:space="preserve"> reached in</w:t>
      </w:r>
      <w:r w:rsidR="00896531">
        <w:noBreakHyphen/>
      </w:r>
      <w:r w:rsidRPr="00E214FE">
        <w:t>principle</w:t>
      </w:r>
      <w:r w:rsidR="00E214FE" w:rsidRPr="00E214FE">
        <w:t xml:space="preserve"> agreement on a new</w:t>
      </w:r>
      <w:r w:rsidR="00703D1D" w:rsidRPr="00E214FE">
        <w:t xml:space="preserve"> </w:t>
      </w:r>
      <w:r w:rsidR="00703D1D">
        <w:t>2024</w:t>
      </w:r>
      <w:r w:rsidR="003F560F">
        <w:t xml:space="preserve"> </w:t>
      </w:r>
      <w:r w:rsidR="003F560F" w:rsidRPr="00E214FE">
        <w:t>V</w:t>
      </w:r>
      <w:r w:rsidR="003F560F">
        <w:t xml:space="preserve">ictorian </w:t>
      </w:r>
      <w:r w:rsidR="003F560F" w:rsidRPr="00E214FE">
        <w:t>P</w:t>
      </w:r>
      <w:r w:rsidR="003F560F">
        <w:t xml:space="preserve">ublic </w:t>
      </w:r>
      <w:r w:rsidR="003F560F" w:rsidRPr="00E214FE">
        <w:t>S</w:t>
      </w:r>
      <w:r w:rsidR="003F560F">
        <w:t>ervice</w:t>
      </w:r>
      <w:r w:rsidR="003F560F" w:rsidRPr="00E214FE">
        <w:t xml:space="preserve"> </w:t>
      </w:r>
      <w:r w:rsidR="00091F3D">
        <w:t>(VPS)</w:t>
      </w:r>
      <w:r w:rsidR="003F560F" w:rsidRPr="00E214FE">
        <w:t xml:space="preserve"> EA</w:t>
      </w:r>
      <w:r w:rsidR="00703D1D" w:rsidRPr="00E214FE">
        <w:t>, under the framework provided by</w:t>
      </w:r>
      <w:r w:rsidR="003F560F" w:rsidRPr="00E214FE">
        <w:t xml:space="preserve"> the </w:t>
      </w:r>
      <w:r w:rsidR="00231ECA">
        <w:t>G</w:t>
      </w:r>
      <w:r w:rsidR="00E214FE" w:rsidRPr="00E214FE">
        <w:t>overnment</w:t>
      </w:r>
      <w:r w:rsidR="00587CE7">
        <w:t>’</w:t>
      </w:r>
      <w:r w:rsidR="00E214FE" w:rsidRPr="00E214FE">
        <w:t>s Wages Policy. This EA provides for:</w:t>
      </w:r>
    </w:p>
    <w:p w14:paraId="5C096B7C" w14:textId="77777777" w:rsidR="00E214FE" w:rsidRDefault="00091187" w:rsidP="00CE201F">
      <w:pPr>
        <w:pStyle w:val="06VIRTBulletpoints"/>
      </w:pPr>
      <w:r>
        <w:t>annual</w:t>
      </w:r>
      <w:r w:rsidR="00703D1D">
        <w:t xml:space="preserve"> </w:t>
      </w:r>
      <w:r w:rsidR="00E214FE">
        <w:t xml:space="preserve">salary increases of </w:t>
      </w:r>
      <w:r w:rsidR="003F560F">
        <w:t xml:space="preserve">3 per cent </w:t>
      </w:r>
      <w:r>
        <w:t>over the life of the agreement</w:t>
      </w:r>
    </w:p>
    <w:p w14:paraId="706D498A" w14:textId="77777777" w:rsidR="00E214FE" w:rsidRDefault="00E214FE" w:rsidP="00CE201F">
      <w:pPr>
        <w:pStyle w:val="06VIRTBulletpoints"/>
      </w:pPr>
      <w:r>
        <w:t>a once</w:t>
      </w:r>
      <w:r w:rsidR="001026EF">
        <w:t>-off</w:t>
      </w:r>
      <w:r w:rsidR="003F560F">
        <w:t xml:space="preserve"> lump sum payment of $5,600</w:t>
      </w:r>
      <w:r>
        <w:t xml:space="preserve"> (pro-rata for part-time and eligible casual employees) for all non-executive employees</w:t>
      </w:r>
    </w:p>
    <w:p w14:paraId="2BAB16A4" w14:textId="32DB114A" w:rsidR="00E214FE" w:rsidRPr="00E52B6C" w:rsidRDefault="00E214FE" w:rsidP="00E05DC2">
      <w:pPr>
        <w:pStyle w:val="06VIRTBulletpoints"/>
        <w:rPr>
          <w:spacing w:val="-4"/>
        </w:rPr>
      </w:pPr>
      <w:r w:rsidRPr="00E52B6C">
        <w:rPr>
          <w:spacing w:val="-4"/>
        </w:rPr>
        <w:t xml:space="preserve">an additional once-off payment of $1,000 </w:t>
      </w:r>
      <w:r w:rsidR="00E05DC2" w:rsidRPr="00E52B6C">
        <w:rPr>
          <w:spacing w:val="-4"/>
        </w:rPr>
        <w:t xml:space="preserve">is </w:t>
      </w:r>
      <w:r w:rsidRPr="00E52B6C">
        <w:rPr>
          <w:spacing w:val="-4"/>
        </w:rPr>
        <w:t xml:space="preserve">also payable to eligible shift workers </w:t>
      </w:r>
    </w:p>
    <w:p w14:paraId="630C3BDA" w14:textId="7C8A9FA7" w:rsidR="003F560F" w:rsidRDefault="00E214FE" w:rsidP="00E214FE">
      <w:pPr>
        <w:pStyle w:val="06VIRTBulletpoints"/>
      </w:pPr>
      <w:r>
        <w:t xml:space="preserve">an increase in the lump sum payment </w:t>
      </w:r>
      <w:r w:rsidR="00E05DC2">
        <w:t xml:space="preserve">(from 1 per cent </w:t>
      </w:r>
      <w:r>
        <w:t>to 1.5 per cent of base salary</w:t>
      </w:r>
      <w:r w:rsidR="00E05DC2">
        <w:t>)</w:t>
      </w:r>
      <w:r>
        <w:t xml:space="preserve"> paid to employees at the top of their grade who have met their progression criteria</w:t>
      </w:r>
      <w:r w:rsidR="00E65439" w:rsidRPr="00E214FE">
        <w:t>.</w:t>
      </w:r>
    </w:p>
    <w:p w14:paraId="4C97C669" w14:textId="3924C37B" w:rsidR="00DC2233" w:rsidRDefault="00DC2233" w:rsidP="00DC2233">
      <w:pPr>
        <w:pStyle w:val="02VIRTHeading2"/>
      </w:pPr>
      <w:bookmarkStart w:id="62" w:name="_Toc166014301"/>
      <w:bookmarkStart w:id="63" w:name="_Toc169172614"/>
      <w:bookmarkStart w:id="64" w:name="_Toc170383520"/>
      <w:bookmarkEnd w:id="52"/>
      <w:bookmarkEnd w:id="60"/>
      <w:bookmarkEnd w:id="61"/>
      <w:r w:rsidRPr="001D7502">
        <w:t>2.</w:t>
      </w:r>
      <w:r>
        <w:t>4</w:t>
      </w:r>
      <w:r w:rsidRPr="001D7502">
        <w:tab/>
      </w:r>
      <w:bookmarkEnd w:id="62"/>
      <w:bookmarkEnd w:id="63"/>
      <w:r w:rsidR="00B53D52">
        <w:t>Matters raised in submissions</w:t>
      </w:r>
      <w:bookmarkEnd w:id="64"/>
    </w:p>
    <w:p w14:paraId="5F6CAEF3" w14:textId="39C32163" w:rsidR="00C74B8C" w:rsidRPr="00CA4E2B" w:rsidRDefault="00E15B44" w:rsidP="00C74B8C">
      <w:pPr>
        <w:pStyle w:val="05Paragraph"/>
        <w:rPr>
          <w:rFonts w:cs="Calibri Light"/>
        </w:rPr>
      </w:pPr>
      <w:r w:rsidRPr="00CA4E2B">
        <w:rPr>
          <w:rFonts w:cs="Calibri Light"/>
        </w:rPr>
        <w:t xml:space="preserve">The Tribunal received five </w:t>
      </w:r>
      <w:r w:rsidR="00323477" w:rsidRPr="00CA4E2B">
        <w:rPr>
          <w:rFonts w:cs="Calibri Light"/>
        </w:rPr>
        <w:t xml:space="preserve">written </w:t>
      </w:r>
      <w:r w:rsidRPr="00CA4E2B">
        <w:rPr>
          <w:rFonts w:cs="Calibri Light"/>
        </w:rPr>
        <w:t>submissions, which have been published on the Tribunal’s website</w:t>
      </w:r>
      <w:r w:rsidR="00D63EF1">
        <w:rPr>
          <w:rFonts w:cs="Calibri Light"/>
        </w:rPr>
        <w:t xml:space="preserve"> </w:t>
      </w:r>
      <w:r w:rsidR="00B53D52">
        <w:rPr>
          <w:rFonts w:cs="Calibri Light"/>
        </w:rPr>
        <w:t>in line with its submission policy</w:t>
      </w:r>
      <w:r w:rsidR="00F31184" w:rsidRPr="00CA4E2B">
        <w:rPr>
          <w:rFonts w:cs="Calibri Light"/>
        </w:rPr>
        <w:t>.</w:t>
      </w:r>
    </w:p>
    <w:p w14:paraId="6B96987F" w14:textId="5B05C53F" w:rsidR="00FF6D76" w:rsidRPr="00CA4E2B" w:rsidRDefault="00C74B8C" w:rsidP="00E15B44">
      <w:pPr>
        <w:pStyle w:val="05Paragraph"/>
        <w:rPr>
          <w:rFonts w:cs="Calibri Light"/>
        </w:rPr>
      </w:pPr>
      <w:r w:rsidRPr="00CA4E2B">
        <w:rPr>
          <w:rFonts w:cs="Calibri Light"/>
        </w:rPr>
        <w:t>Two submissions were from current Councillors</w:t>
      </w:r>
      <w:r w:rsidR="00F115CA" w:rsidRPr="00CA4E2B">
        <w:rPr>
          <w:rFonts w:cs="Calibri Light"/>
        </w:rPr>
        <w:t xml:space="preserve">, </w:t>
      </w:r>
      <w:r w:rsidRPr="00CA4E2B">
        <w:rPr>
          <w:rFonts w:cs="Calibri Light"/>
        </w:rPr>
        <w:t xml:space="preserve">one </w:t>
      </w:r>
      <w:r w:rsidR="008746E9" w:rsidRPr="00CA4E2B">
        <w:rPr>
          <w:rFonts w:cs="Calibri Light"/>
        </w:rPr>
        <w:t xml:space="preserve">submission </w:t>
      </w:r>
      <w:r w:rsidRPr="00CA4E2B">
        <w:rPr>
          <w:rFonts w:cs="Calibri Light"/>
        </w:rPr>
        <w:t xml:space="preserve">was from Mount Alexander Shire Council on behalf of the </w:t>
      </w:r>
      <w:r w:rsidR="00231ECA">
        <w:rPr>
          <w:rFonts w:cs="Calibri Light"/>
        </w:rPr>
        <w:t>Council</w:t>
      </w:r>
      <w:r w:rsidR="00F15F80" w:rsidRPr="00CA4E2B">
        <w:rPr>
          <w:rFonts w:cs="Calibri Light"/>
        </w:rPr>
        <w:t>lor group</w:t>
      </w:r>
      <w:r w:rsidR="00F115CA" w:rsidRPr="00CA4E2B">
        <w:rPr>
          <w:rFonts w:cs="Calibri Light"/>
        </w:rPr>
        <w:t>, and t</w:t>
      </w:r>
      <w:r w:rsidRPr="00CA4E2B">
        <w:rPr>
          <w:rFonts w:cs="Calibri Light"/>
        </w:rPr>
        <w:t>he remaining two submissions were from members of the public</w:t>
      </w:r>
      <w:r w:rsidR="00F31184" w:rsidRPr="00CA4E2B">
        <w:rPr>
          <w:rFonts w:cs="Calibri Light"/>
        </w:rPr>
        <w:t xml:space="preserve"> </w:t>
      </w:r>
      <w:r w:rsidR="00FC21D5">
        <w:rPr>
          <w:rFonts w:cs="Calibri Light"/>
        </w:rPr>
        <w:t>who</w:t>
      </w:r>
      <w:r w:rsidR="00F31184" w:rsidRPr="00CA4E2B">
        <w:rPr>
          <w:rFonts w:cs="Calibri Light"/>
        </w:rPr>
        <w:t xml:space="preserve"> </w:t>
      </w:r>
      <w:r w:rsidR="00587CE7">
        <w:rPr>
          <w:rFonts w:cs="Calibri Light"/>
        </w:rPr>
        <w:t>asked</w:t>
      </w:r>
      <w:r w:rsidR="00F31184" w:rsidRPr="00CA4E2B">
        <w:rPr>
          <w:rFonts w:cs="Calibri Light"/>
        </w:rPr>
        <w:t xml:space="preserve"> </w:t>
      </w:r>
      <w:r w:rsidR="00FC21D5">
        <w:rPr>
          <w:rFonts w:cs="Calibri Light"/>
        </w:rPr>
        <w:t xml:space="preserve">not </w:t>
      </w:r>
      <w:r w:rsidR="00F31184" w:rsidRPr="00CA4E2B">
        <w:rPr>
          <w:rFonts w:cs="Calibri Light"/>
        </w:rPr>
        <w:t>to be identified</w:t>
      </w:r>
      <w:r w:rsidRPr="00CA4E2B">
        <w:rPr>
          <w:rFonts w:cs="Calibri Light"/>
        </w:rPr>
        <w:t>.</w:t>
      </w:r>
      <w:r w:rsidR="00F115CA" w:rsidRPr="00CA4E2B">
        <w:rPr>
          <w:rFonts w:cs="Calibri Light"/>
        </w:rPr>
        <w:t xml:space="preserve"> </w:t>
      </w:r>
    </w:p>
    <w:p w14:paraId="76D638B2" w14:textId="07AA5052" w:rsidR="002266C8" w:rsidRPr="00CA4E2B" w:rsidRDefault="002266C8" w:rsidP="00AA1945">
      <w:pPr>
        <w:pStyle w:val="05Paragraph"/>
        <w:keepNext/>
        <w:rPr>
          <w:rFonts w:cs="Calibri Light"/>
        </w:rPr>
      </w:pPr>
      <w:r w:rsidRPr="00CA4E2B">
        <w:rPr>
          <w:rFonts w:cs="Calibri Light"/>
        </w:rPr>
        <w:t>Four submissions called for substantive increases to Councillor allowances to reflect the amount of work undertaken</w:t>
      </w:r>
      <w:r w:rsidR="007B50B1">
        <w:rPr>
          <w:rFonts w:cs="Calibri Light"/>
        </w:rPr>
        <w:t xml:space="preserve"> </w:t>
      </w:r>
      <w:r w:rsidR="00025456">
        <w:rPr>
          <w:rFonts w:cs="Calibri Light"/>
        </w:rPr>
        <w:t xml:space="preserve">by, </w:t>
      </w:r>
      <w:r w:rsidR="007B50B1">
        <w:rPr>
          <w:rFonts w:cs="Calibri Light"/>
        </w:rPr>
        <w:t xml:space="preserve">and </w:t>
      </w:r>
      <w:r>
        <w:rPr>
          <w:rFonts w:cs="Calibri Light"/>
        </w:rPr>
        <w:t xml:space="preserve">time commitment </w:t>
      </w:r>
      <w:r w:rsidR="007B50B1">
        <w:rPr>
          <w:rFonts w:cs="Calibri Light"/>
        </w:rPr>
        <w:t>of</w:t>
      </w:r>
      <w:r w:rsidR="00025456">
        <w:rPr>
          <w:rFonts w:cs="Calibri Light"/>
        </w:rPr>
        <w:t>,</w:t>
      </w:r>
      <w:r w:rsidR="007B50B1">
        <w:rPr>
          <w:rFonts w:cs="Calibri Light"/>
        </w:rPr>
        <w:t xml:space="preserve"> </w:t>
      </w:r>
      <w:r w:rsidR="00231ECA">
        <w:rPr>
          <w:rFonts w:cs="Calibri Light"/>
        </w:rPr>
        <w:t>Council</w:t>
      </w:r>
      <w:r w:rsidR="0094328A">
        <w:rPr>
          <w:rFonts w:cs="Calibri Light"/>
        </w:rPr>
        <w:t>lors</w:t>
      </w:r>
      <w:r w:rsidR="00025456">
        <w:rPr>
          <w:rFonts w:cs="Calibri Light"/>
        </w:rPr>
        <w:t xml:space="preserve"> </w:t>
      </w:r>
      <w:r w:rsidRPr="00CA4E2B">
        <w:rPr>
          <w:rFonts w:cs="Calibri Light"/>
        </w:rPr>
        <w:t>and to attract high calibre candidates.</w:t>
      </w:r>
      <w:r w:rsidR="00EC1854">
        <w:rPr>
          <w:rFonts w:cs="Calibri Light"/>
        </w:rPr>
        <w:t xml:space="preserve"> For example, </w:t>
      </w:r>
      <w:r w:rsidRPr="00CA4E2B">
        <w:rPr>
          <w:rFonts w:cs="Calibri Light"/>
        </w:rPr>
        <w:t xml:space="preserve">Mount Alexander Shire Council </w:t>
      </w:r>
      <w:r w:rsidR="00711080">
        <w:rPr>
          <w:rFonts w:cs="Calibri Light"/>
        </w:rPr>
        <w:t>considered</w:t>
      </w:r>
      <w:r w:rsidRPr="00CA4E2B">
        <w:rPr>
          <w:rFonts w:cs="Calibri Light"/>
        </w:rPr>
        <w:t xml:space="preserve"> that increasing Councillor allowances would improve diversity:</w:t>
      </w:r>
    </w:p>
    <w:p w14:paraId="134A02EC" w14:textId="77777777" w:rsidR="002266C8" w:rsidRPr="002266C8" w:rsidRDefault="002266C8" w:rsidP="002266C8">
      <w:pPr>
        <w:pStyle w:val="07VIRTBreakouttext"/>
      </w:pPr>
      <w:r w:rsidRPr="002266C8">
        <w:t xml:space="preserve">Our Councillors believe that to better encourage diversity, women, parents, younger people and high calibre candidates to run for Council, the base rate should be increased markedly. </w:t>
      </w:r>
    </w:p>
    <w:p w14:paraId="195ECDC3" w14:textId="6568774D" w:rsidR="002266C8" w:rsidRPr="00CA4E2B" w:rsidRDefault="002266C8" w:rsidP="002266C8">
      <w:pPr>
        <w:pStyle w:val="05Paragraph"/>
        <w:rPr>
          <w:rFonts w:cs="Calibri Light"/>
        </w:rPr>
      </w:pPr>
      <w:r w:rsidRPr="00CA4E2B">
        <w:rPr>
          <w:rFonts w:cs="Calibri Light"/>
        </w:rPr>
        <w:t xml:space="preserve">Of the submissions supporting increases to Councillor allowances, one submission also called for Mayoral and Deputy Mayoral allowances to be either frozen or linked to wage increases for </w:t>
      </w:r>
      <w:r w:rsidR="005426AE" w:rsidRPr="00CA4E2B">
        <w:rPr>
          <w:rFonts w:cs="Calibri Light"/>
        </w:rPr>
        <w:t>C</w:t>
      </w:r>
      <w:r w:rsidRPr="00CA4E2B">
        <w:rPr>
          <w:rFonts w:cs="Calibri Light"/>
        </w:rPr>
        <w:t xml:space="preserve">ouncil workers, and another submission proposed a reduction in these allowances. These submissions </w:t>
      </w:r>
      <w:r w:rsidR="004C1119">
        <w:rPr>
          <w:rFonts w:cs="Calibri Light"/>
        </w:rPr>
        <w:t>considered</w:t>
      </w:r>
      <w:r w:rsidRPr="00CA4E2B">
        <w:rPr>
          <w:rFonts w:cs="Calibri Light"/>
        </w:rPr>
        <w:t xml:space="preserve"> the current value</w:t>
      </w:r>
      <w:r w:rsidR="007035C3">
        <w:rPr>
          <w:rFonts w:cs="Calibri Light"/>
        </w:rPr>
        <w:t>s</w:t>
      </w:r>
      <w:r w:rsidRPr="00CA4E2B">
        <w:rPr>
          <w:rFonts w:cs="Calibri Light"/>
        </w:rPr>
        <w:t xml:space="preserve"> of the allowances for Mayors and Deputy Mayors </w:t>
      </w:r>
      <w:r w:rsidR="004C1119">
        <w:rPr>
          <w:rFonts w:cs="Calibri Light"/>
        </w:rPr>
        <w:t>were</w:t>
      </w:r>
      <w:r w:rsidR="00102274" w:rsidRPr="00CA4E2B">
        <w:rPr>
          <w:rFonts w:cs="Calibri Light"/>
        </w:rPr>
        <w:t xml:space="preserve"> too high compared</w:t>
      </w:r>
      <w:r w:rsidR="00D8246C" w:rsidRPr="00CA4E2B">
        <w:rPr>
          <w:rFonts w:cs="Calibri Light"/>
        </w:rPr>
        <w:t xml:space="preserve"> to</w:t>
      </w:r>
      <w:r w:rsidRPr="00CA4E2B">
        <w:rPr>
          <w:rFonts w:cs="Calibri Light"/>
        </w:rPr>
        <w:t xml:space="preserve"> Councillor allowances. </w:t>
      </w:r>
    </w:p>
    <w:p w14:paraId="774BBEF0" w14:textId="112E5A09" w:rsidR="00CF34D3" w:rsidRPr="00CA4E2B" w:rsidRDefault="002D173D" w:rsidP="000619C8">
      <w:pPr>
        <w:pStyle w:val="05Paragraph"/>
        <w:rPr>
          <w:rFonts w:cs="Calibri Light"/>
        </w:rPr>
      </w:pPr>
      <w:r>
        <w:rPr>
          <w:rFonts w:cs="Calibri Light"/>
        </w:rPr>
        <w:t xml:space="preserve">One </w:t>
      </w:r>
      <w:r w:rsidR="00231ECA">
        <w:rPr>
          <w:rFonts w:cs="Calibri Light"/>
        </w:rPr>
        <w:t>Council</w:t>
      </w:r>
      <w:r w:rsidR="00CF34D3" w:rsidRPr="00CA4E2B">
        <w:rPr>
          <w:rFonts w:cs="Calibri Light"/>
        </w:rPr>
        <w:t xml:space="preserve">lor suggested that there should be no increase to the allowances for Mayors, Deputy Mayors and Councillors because of the additional benefits available outside of the allowance, including reimbursement of expenses. </w:t>
      </w:r>
      <w:r>
        <w:rPr>
          <w:rFonts w:cs="Calibri Light"/>
        </w:rPr>
        <w:t xml:space="preserve">The </w:t>
      </w:r>
      <w:r w:rsidR="00231ECA">
        <w:rPr>
          <w:rFonts w:cs="Calibri Light"/>
        </w:rPr>
        <w:t>Council</w:t>
      </w:r>
      <w:r w:rsidR="000C3EA9">
        <w:rPr>
          <w:rFonts w:cs="Calibri Light"/>
        </w:rPr>
        <w:t>lor</w:t>
      </w:r>
      <w:r w:rsidR="00CF34D3" w:rsidRPr="00CA4E2B">
        <w:rPr>
          <w:rFonts w:cs="Calibri Light"/>
        </w:rPr>
        <w:t xml:space="preserve"> also spoke to the non-monetary benefits of being a Councillor, noting:</w:t>
      </w:r>
    </w:p>
    <w:p w14:paraId="2FE8E2DE" w14:textId="77777777" w:rsidR="00CF34D3" w:rsidRPr="00EA798D" w:rsidRDefault="00CF34D3" w:rsidP="00EA798D">
      <w:pPr>
        <w:pStyle w:val="07VIRTBreakouttext"/>
        <w:rPr>
          <w:lang w:val="en-GB"/>
        </w:rPr>
      </w:pPr>
      <w:r w:rsidRPr="00EA798D">
        <w:rPr>
          <w:lang w:val="en-GB"/>
        </w:rPr>
        <w:t xml:space="preserve">After all you are not forced to be a Councillor it’s a position that you want to do to help your community. </w:t>
      </w:r>
    </w:p>
    <w:p w14:paraId="696CC505" w14:textId="3FE81407" w:rsidR="00557FFC" w:rsidRPr="00CA4E2B" w:rsidRDefault="00EC1854" w:rsidP="000619C8">
      <w:pPr>
        <w:pStyle w:val="05Paragraph"/>
        <w:rPr>
          <w:rFonts w:cs="Calibri Light"/>
        </w:rPr>
      </w:pPr>
      <w:r>
        <w:rPr>
          <w:rFonts w:cs="Calibri Light"/>
        </w:rPr>
        <w:t xml:space="preserve">The submission from </w:t>
      </w:r>
      <w:r w:rsidR="002D173D">
        <w:rPr>
          <w:rFonts w:cs="Calibri Light"/>
        </w:rPr>
        <w:t xml:space="preserve">another </w:t>
      </w:r>
      <w:r w:rsidR="00231ECA">
        <w:rPr>
          <w:rFonts w:cs="Calibri Light"/>
        </w:rPr>
        <w:t>Council</w:t>
      </w:r>
      <w:r w:rsidR="000C3EA9">
        <w:rPr>
          <w:rFonts w:cs="Calibri Light"/>
        </w:rPr>
        <w:t>lor</w:t>
      </w:r>
      <w:r w:rsidR="00CF34D3" w:rsidRPr="00CA4E2B">
        <w:rPr>
          <w:rFonts w:cs="Calibri Light"/>
        </w:rPr>
        <w:t xml:space="preserve"> </w:t>
      </w:r>
      <w:r>
        <w:rPr>
          <w:rFonts w:cs="Calibri Light"/>
        </w:rPr>
        <w:t>noted</w:t>
      </w:r>
      <w:r w:rsidR="00CF34D3" w:rsidRPr="00CA4E2B">
        <w:rPr>
          <w:rFonts w:cs="Calibri Light"/>
        </w:rPr>
        <w:t xml:space="preserve"> the differences between rural and metro</w:t>
      </w:r>
      <w:r w:rsidR="00587CE7">
        <w:rPr>
          <w:rFonts w:cs="Calibri Light"/>
        </w:rPr>
        <w:t>politan</w:t>
      </w:r>
      <w:r w:rsidR="00CF34D3" w:rsidRPr="00CA4E2B">
        <w:rPr>
          <w:rFonts w:cs="Calibri Light"/>
        </w:rPr>
        <w:t xml:space="preserve"> </w:t>
      </w:r>
      <w:r w:rsidR="00231ECA">
        <w:rPr>
          <w:rFonts w:cs="Calibri Light"/>
        </w:rPr>
        <w:t>Council</w:t>
      </w:r>
      <w:r w:rsidR="00CF34D3" w:rsidRPr="00CA4E2B">
        <w:rPr>
          <w:rFonts w:cs="Calibri Light"/>
        </w:rPr>
        <w:t xml:space="preserve">s, including differences in the geographic size of </w:t>
      </w:r>
      <w:r w:rsidR="00231ECA">
        <w:rPr>
          <w:rFonts w:cs="Calibri Light"/>
        </w:rPr>
        <w:t>Council</w:t>
      </w:r>
      <w:r w:rsidR="00CF34D3" w:rsidRPr="00CA4E2B">
        <w:rPr>
          <w:rFonts w:cs="Calibri Light"/>
        </w:rPr>
        <w:t xml:space="preserve">s and the associated time commitment for Councillors, and the </w:t>
      </w:r>
      <w:r w:rsidR="00C471EF">
        <w:rPr>
          <w:rFonts w:cs="Calibri Light"/>
        </w:rPr>
        <w:t>larger</w:t>
      </w:r>
      <w:r w:rsidR="00CF34D3" w:rsidRPr="00CA4E2B">
        <w:rPr>
          <w:rFonts w:cs="Calibri Light"/>
        </w:rPr>
        <w:t xml:space="preserve"> role rural </w:t>
      </w:r>
      <w:r w:rsidR="00231ECA">
        <w:rPr>
          <w:rFonts w:cs="Calibri Light"/>
        </w:rPr>
        <w:t>Council</w:t>
      </w:r>
      <w:r w:rsidR="00CF34D3" w:rsidRPr="00CA4E2B">
        <w:rPr>
          <w:rFonts w:cs="Calibri Light"/>
        </w:rPr>
        <w:t xml:space="preserve">s have in the community as an employer and service provider. </w:t>
      </w:r>
      <w:r>
        <w:rPr>
          <w:rFonts w:cs="Calibri Light"/>
        </w:rPr>
        <w:t>The</w:t>
      </w:r>
      <w:r w:rsidR="00CF34D3" w:rsidRPr="00CA4E2B">
        <w:rPr>
          <w:rFonts w:cs="Calibri Light"/>
        </w:rPr>
        <w:t xml:space="preserve"> </w:t>
      </w:r>
      <w:r>
        <w:rPr>
          <w:rFonts w:cs="Calibri Light"/>
        </w:rPr>
        <w:t>submission</w:t>
      </w:r>
      <w:r w:rsidR="00CF34D3" w:rsidRPr="00CA4E2B">
        <w:rPr>
          <w:rFonts w:cs="Calibri Light"/>
        </w:rPr>
        <w:t xml:space="preserve"> suggested there be a maximum of three </w:t>
      </w:r>
      <w:r w:rsidR="00557FFC" w:rsidRPr="00CA4E2B">
        <w:rPr>
          <w:rFonts w:cs="Calibri Light"/>
        </w:rPr>
        <w:t>C</w:t>
      </w:r>
      <w:r w:rsidR="00CF34D3" w:rsidRPr="00CA4E2B">
        <w:rPr>
          <w:rFonts w:cs="Calibri Light"/>
        </w:rPr>
        <w:t xml:space="preserve">ouncil categories and a substantive increase in allowances for Category 1 Councillors. </w:t>
      </w:r>
    </w:p>
    <w:p w14:paraId="2757CA28" w14:textId="3231F5BE" w:rsidR="007E4B3A" w:rsidRPr="00CA4E2B" w:rsidRDefault="00587CE7" w:rsidP="00AD2551">
      <w:pPr>
        <w:pStyle w:val="05Paragraph"/>
        <w:rPr>
          <w:rFonts w:cs="Calibri Light"/>
        </w:rPr>
      </w:pPr>
      <w:r>
        <w:rPr>
          <w:rFonts w:cs="Calibri Light"/>
        </w:rPr>
        <w:t>In response to this submission</w:t>
      </w:r>
      <w:r w:rsidR="00E05DC2">
        <w:rPr>
          <w:rFonts w:cs="Calibri Light"/>
        </w:rPr>
        <w:t>,</w:t>
      </w:r>
      <w:r>
        <w:rPr>
          <w:rFonts w:cs="Calibri Light"/>
        </w:rPr>
        <w:t xml:space="preserve"> and without commenting on its merit or otherwise, the</w:t>
      </w:r>
      <w:r w:rsidR="00D228A4">
        <w:rPr>
          <w:rFonts w:cs="Calibri Light"/>
        </w:rPr>
        <w:t xml:space="preserve"> Tribunal </w:t>
      </w:r>
      <w:r>
        <w:rPr>
          <w:rFonts w:cs="Calibri Light"/>
        </w:rPr>
        <w:t>notes</w:t>
      </w:r>
      <w:r w:rsidR="00D228A4">
        <w:rPr>
          <w:rFonts w:cs="Calibri Light"/>
        </w:rPr>
        <w:t xml:space="preserve"> that </w:t>
      </w:r>
      <w:r>
        <w:rPr>
          <w:rFonts w:cs="Calibri Light"/>
        </w:rPr>
        <w:t xml:space="preserve">an </w:t>
      </w:r>
      <w:r w:rsidR="00730BDE">
        <w:rPr>
          <w:rFonts w:cs="Calibri Light"/>
        </w:rPr>
        <w:t>examination of</w:t>
      </w:r>
      <w:r w:rsidR="00AD2551" w:rsidRPr="00CA4E2B" w:rsidDel="00730BDE">
        <w:rPr>
          <w:rFonts w:cs="Calibri Light"/>
        </w:rPr>
        <w:t xml:space="preserve"> </w:t>
      </w:r>
      <w:r w:rsidR="00AD2551" w:rsidRPr="00CA4E2B">
        <w:rPr>
          <w:rFonts w:cs="Calibri Light"/>
        </w:rPr>
        <w:t>relativities</w:t>
      </w:r>
      <w:r w:rsidR="00897537" w:rsidRPr="00CA4E2B">
        <w:rPr>
          <w:rFonts w:cs="Calibri Light"/>
        </w:rPr>
        <w:t xml:space="preserve"> </w:t>
      </w:r>
      <w:r w:rsidR="00730BDE">
        <w:rPr>
          <w:rFonts w:cs="Calibri Light"/>
        </w:rPr>
        <w:t>across allowances for different types of Council members</w:t>
      </w:r>
      <w:r w:rsidR="00897537" w:rsidRPr="00CA4E2B">
        <w:rPr>
          <w:rFonts w:cs="Calibri Light"/>
        </w:rPr>
        <w:t xml:space="preserve"> </w:t>
      </w:r>
      <w:r>
        <w:rPr>
          <w:rFonts w:cs="Calibri Light"/>
        </w:rPr>
        <w:t>is not appropriate in the context of</w:t>
      </w:r>
      <w:r w:rsidR="00EC1854">
        <w:rPr>
          <w:rFonts w:cs="Calibri Light"/>
        </w:rPr>
        <w:t xml:space="preserve"> an annual adjustment Determinatio</w:t>
      </w:r>
      <w:r w:rsidR="00730BDE">
        <w:rPr>
          <w:rFonts w:cs="Calibri Light"/>
        </w:rPr>
        <w:t>n. Rather,</w:t>
      </w:r>
      <w:r w:rsidR="00AD2551" w:rsidRPr="00CA4E2B">
        <w:rPr>
          <w:rFonts w:cs="Calibri Light"/>
        </w:rPr>
        <w:t xml:space="preserve"> relativities</w:t>
      </w:r>
      <w:r w:rsidR="00897537" w:rsidRPr="00CA4E2B">
        <w:rPr>
          <w:rFonts w:cs="Calibri Light"/>
        </w:rPr>
        <w:t xml:space="preserve"> </w:t>
      </w:r>
      <w:r w:rsidR="006B1744">
        <w:rPr>
          <w:rFonts w:cs="Calibri Light"/>
        </w:rPr>
        <w:t>are best</w:t>
      </w:r>
      <w:r w:rsidR="00AD2551">
        <w:rPr>
          <w:rFonts w:cs="Calibri Light"/>
        </w:rPr>
        <w:t xml:space="preserve"> </w:t>
      </w:r>
      <w:r w:rsidR="00AD2551" w:rsidRPr="00CA4E2B">
        <w:rPr>
          <w:rFonts w:cs="Calibri Light"/>
        </w:rPr>
        <w:t>considered in the next comprehensive Determination</w:t>
      </w:r>
      <w:r w:rsidR="002376F4">
        <w:rPr>
          <w:rFonts w:cs="Calibri Light"/>
        </w:rPr>
        <w:t xml:space="preserve"> of </w:t>
      </w:r>
      <w:r w:rsidR="00CD7325">
        <w:rPr>
          <w:rFonts w:cs="Calibri Light"/>
        </w:rPr>
        <w:t>C</w:t>
      </w:r>
      <w:r w:rsidR="002376F4">
        <w:rPr>
          <w:rFonts w:cs="Calibri Light"/>
        </w:rPr>
        <w:t xml:space="preserve">ouncil </w:t>
      </w:r>
      <w:r w:rsidR="00CD7325">
        <w:rPr>
          <w:rFonts w:cs="Calibri Light"/>
        </w:rPr>
        <w:t>m</w:t>
      </w:r>
      <w:r w:rsidR="002376F4">
        <w:rPr>
          <w:rFonts w:cs="Calibri Light"/>
        </w:rPr>
        <w:t>ember allowances</w:t>
      </w:r>
      <w:r w:rsidR="00730BDE">
        <w:rPr>
          <w:rFonts w:cs="Calibri Light"/>
        </w:rPr>
        <w:t xml:space="preserve">, </w:t>
      </w:r>
      <w:r>
        <w:rPr>
          <w:rFonts w:cs="Calibri Light"/>
        </w:rPr>
        <w:t>at which time</w:t>
      </w:r>
      <w:r w:rsidR="00730BDE">
        <w:rPr>
          <w:rFonts w:cs="Calibri Light"/>
        </w:rPr>
        <w:t xml:space="preserve"> the Tribunal will be required to conduct </w:t>
      </w:r>
      <w:r w:rsidR="00EC1854">
        <w:rPr>
          <w:rFonts w:cs="Calibri Light"/>
        </w:rPr>
        <w:t xml:space="preserve">a </w:t>
      </w:r>
      <w:r w:rsidR="00730BDE">
        <w:rPr>
          <w:rFonts w:cs="Calibri Light"/>
        </w:rPr>
        <w:t>review</w:t>
      </w:r>
      <w:r w:rsidR="00EC1854">
        <w:rPr>
          <w:rFonts w:cs="Calibri Light"/>
        </w:rPr>
        <w:t xml:space="preserve"> of the roles and responsibilities of Council members</w:t>
      </w:r>
      <w:r w:rsidR="00AD2551" w:rsidRPr="00CA4E2B">
        <w:rPr>
          <w:rFonts w:cs="Calibri Light"/>
        </w:rPr>
        <w:t>.</w:t>
      </w:r>
    </w:p>
    <w:p w14:paraId="59572CF1" w14:textId="31F7E1D7" w:rsidR="00CF34D3" w:rsidRPr="00CA4E2B" w:rsidRDefault="00CF34D3" w:rsidP="000619C8">
      <w:pPr>
        <w:pStyle w:val="05Paragraph"/>
        <w:rPr>
          <w:rFonts w:cs="Calibri Light"/>
        </w:rPr>
      </w:pPr>
      <w:r w:rsidRPr="00CA4E2B">
        <w:rPr>
          <w:rFonts w:cs="Calibri Light"/>
        </w:rPr>
        <w:t xml:space="preserve">Two submitters proposed that community satisfaction with the performance of local </w:t>
      </w:r>
      <w:r w:rsidR="00231ECA">
        <w:rPr>
          <w:rFonts w:cs="Calibri Light"/>
        </w:rPr>
        <w:t>Council</w:t>
      </w:r>
      <w:r w:rsidRPr="00CA4E2B">
        <w:rPr>
          <w:rFonts w:cs="Calibri Light"/>
        </w:rPr>
        <w:t xml:space="preserve">s be a consideration in setting allowances. The Tribunal </w:t>
      </w:r>
      <w:r w:rsidR="00807953" w:rsidRPr="00CA4E2B">
        <w:rPr>
          <w:rFonts w:cs="Calibri Light"/>
        </w:rPr>
        <w:t>does not assess the performance of any individual Council member or group of Council members when making its Determinations</w:t>
      </w:r>
      <w:r w:rsidR="00FA1713">
        <w:rPr>
          <w:rFonts w:cs="Calibri Light"/>
        </w:rPr>
        <w:t xml:space="preserve">. The Tribunal’s </w:t>
      </w:r>
      <w:r w:rsidR="001D7B21">
        <w:rPr>
          <w:rFonts w:cs="Calibri Light"/>
        </w:rPr>
        <w:t xml:space="preserve">Comprehensive </w:t>
      </w:r>
      <w:r w:rsidR="00FA1713">
        <w:rPr>
          <w:rFonts w:cs="Calibri Light"/>
        </w:rPr>
        <w:t>Determination</w:t>
      </w:r>
      <w:r w:rsidR="003E238C" w:rsidRPr="00CA4E2B">
        <w:rPr>
          <w:rFonts w:cs="Calibri Light"/>
        </w:rPr>
        <w:t xml:space="preserve"> </w:t>
      </w:r>
      <w:r w:rsidR="00FA1713">
        <w:rPr>
          <w:rFonts w:cs="Calibri Light"/>
        </w:rPr>
        <w:t>noted</w:t>
      </w:r>
      <w:r w:rsidRPr="00CA4E2B">
        <w:rPr>
          <w:rFonts w:cs="Calibri Light"/>
        </w:rPr>
        <w:t xml:space="preserve"> that issue</w:t>
      </w:r>
      <w:r w:rsidR="005848BB" w:rsidRPr="00CA4E2B">
        <w:rPr>
          <w:rFonts w:cs="Calibri Light"/>
        </w:rPr>
        <w:t xml:space="preserve">s of </w:t>
      </w:r>
      <w:r w:rsidR="002048E1" w:rsidRPr="00CA4E2B">
        <w:rPr>
          <w:rFonts w:cs="Calibri Light"/>
        </w:rPr>
        <w:t>performance are</w:t>
      </w:r>
      <w:r w:rsidRPr="00CA4E2B">
        <w:rPr>
          <w:rFonts w:cs="Calibri Light"/>
        </w:rPr>
        <w:t xml:space="preserve"> mo</w:t>
      </w:r>
      <w:r w:rsidR="002048E1" w:rsidRPr="00CA4E2B">
        <w:rPr>
          <w:rFonts w:cs="Calibri Light"/>
        </w:rPr>
        <w:t>re</w:t>
      </w:r>
      <w:r w:rsidRPr="00CA4E2B">
        <w:rPr>
          <w:rFonts w:cs="Calibri Light"/>
        </w:rPr>
        <w:t xml:space="preserve"> appropriately considered via the electoral system</w:t>
      </w:r>
      <w:r w:rsidR="00FA1713">
        <w:rPr>
          <w:rFonts w:cs="Calibri Light"/>
        </w:rPr>
        <w:t>, given that</w:t>
      </w:r>
      <w:r w:rsidR="00CF5764" w:rsidRPr="00E36199">
        <w:rPr>
          <w:rFonts w:cs="Calibri Light"/>
        </w:rPr>
        <w:t>:</w:t>
      </w:r>
      <w:r w:rsidR="00E36199" w:rsidRPr="00E36199">
        <w:rPr>
          <w:rStyle w:val="FootnoteReference"/>
        </w:rPr>
        <w:footnoteReference w:id="24"/>
      </w:r>
    </w:p>
    <w:p w14:paraId="3B265C2B" w14:textId="6164CCBC" w:rsidR="00CF5764" w:rsidRPr="00FC3461" w:rsidRDefault="00B912B8" w:rsidP="00B912B8">
      <w:pPr>
        <w:pStyle w:val="07VIRTBreakouttext"/>
      </w:pPr>
      <w:r>
        <w:t xml:space="preserve">The cycle of four-yearly </w:t>
      </w:r>
      <w:r w:rsidR="00FA1713">
        <w:t xml:space="preserve">[local government] </w:t>
      </w:r>
      <w:r>
        <w:t>elections provides a mechanism for voters to hold Council members to account for their performance.</w:t>
      </w:r>
    </w:p>
    <w:p w14:paraId="7DB39BD8" w14:textId="2E4D46B3" w:rsidR="0012644B" w:rsidRDefault="00C4190F" w:rsidP="00E27003">
      <w:pPr>
        <w:pStyle w:val="05Paragraph"/>
        <w:jc w:val="left"/>
        <w:rPr>
          <w:rFonts w:cs="Calibri Light"/>
        </w:rPr>
      </w:pPr>
      <w:r w:rsidRPr="00CA4E2B">
        <w:rPr>
          <w:rFonts w:cs="Calibri Light"/>
        </w:rPr>
        <w:t>One</w:t>
      </w:r>
      <w:r w:rsidR="00CF34D3" w:rsidRPr="00CA4E2B">
        <w:rPr>
          <w:rFonts w:cs="Calibri Light"/>
        </w:rPr>
        <w:t xml:space="preserve"> submission suggested the Tribunal should consider EA</w:t>
      </w:r>
      <w:r w:rsidR="00E05DC2">
        <w:rPr>
          <w:rFonts w:cs="Calibri Light"/>
        </w:rPr>
        <w:t>s</w:t>
      </w:r>
      <w:r w:rsidR="00CF34D3" w:rsidRPr="00CA4E2B">
        <w:rPr>
          <w:rFonts w:cs="Calibri Light"/>
        </w:rPr>
        <w:t xml:space="preserve"> reached by </w:t>
      </w:r>
      <w:r w:rsidR="00231ECA">
        <w:rPr>
          <w:rFonts w:cs="Calibri Light"/>
        </w:rPr>
        <w:t>Council</w:t>
      </w:r>
      <w:r w:rsidR="00CF34D3" w:rsidRPr="00CA4E2B">
        <w:rPr>
          <w:rFonts w:cs="Calibri Light"/>
        </w:rPr>
        <w:t xml:space="preserve">s and the average budgetary position of each </w:t>
      </w:r>
      <w:r w:rsidR="00231ECA">
        <w:rPr>
          <w:rFonts w:cs="Calibri Light"/>
        </w:rPr>
        <w:t>Council</w:t>
      </w:r>
      <w:r w:rsidR="00CF34D3" w:rsidRPr="00CA4E2B">
        <w:rPr>
          <w:rFonts w:cs="Calibri Light"/>
        </w:rPr>
        <w:t xml:space="preserve"> when </w:t>
      </w:r>
      <w:r w:rsidR="00395B08" w:rsidRPr="00CA4E2B">
        <w:rPr>
          <w:rFonts w:cs="Calibri Light"/>
        </w:rPr>
        <w:t>adjusting</w:t>
      </w:r>
      <w:r w:rsidR="00CF34D3" w:rsidRPr="00CA4E2B">
        <w:rPr>
          <w:rFonts w:cs="Calibri Light"/>
        </w:rPr>
        <w:t xml:space="preserve"> allowance</w:t>
      </w:r>
      <w:r w:rsidR="00395B08" w:rsidRPr="00CA4E2B">
        <w:rPr>
          <w:rFonts w:cs="Calibri Light"/>
        </w:rPr>
        <w:t>s</w:t>
      </w:r>
      <w:r w:rsidR="00CF34D3" w:rsidRPr="00CA4E2B">
        <w:rPr>
          <w:rFonts w:cs="Calibri Light"/>
        </w:rPr>
        <w:t xml:space="preserve">. </w:t>
      </w:r>
    </w:p>
    <w:p w14:paraId="340FB3C1" w14:textId="01ECBB07" w:rsidR="0091409E" w:rsidRDefault="00FB7457" w:rsidP="00545A21">
      <w:pPr>
        <w:pStyle w:val="05Paragraph"/>
      </w:pPr>
      <w:r>
        <w:t xml:space="preserve">The </w:t>
      </w:r>
      <w:r w:rsidR="001A7C70">
        <w:t xml:space="preserve">existing category structure </w:t>
      </w:r>
      <w:r w:rsidR="009224E0">
        <w:t xml:space="preserve">enables allowances to be set </w:t>
      </w:r>
      <w:r w:rsidR="00886BFB">
        <w:t xml:space="preserve">with reference to </w:t>
      </w:r>
      <w:r w:rsidR="00655A2D">
        <w:t>the</w:t>
      </w:r>
      <w:r w:rsidR="00435458">
        <w:t xml:space="preserve"> </w:t>
      </w:r>
      <w:r w:rsidR="00F90754">
        <w:t xml:space="preserve">variation in </w:t>
      </w:r>
      <w:r w:rsidR="00B73A6B">
        <w:t>Councils</w:t>
      </w:r>
      <w:r w:rsidR="000B44E3">
        <w:t>’</w:t>
      </w:r>
      <w:r w:rsidR="00B73A6B">
        <w:t xml:space="preserve"> circumstances.</w:t>
      </w:r>
      <w:r w:rsidR="00655A2D">
        <w:t xml:space="preserve"> </w:t>
      </w:r>
      <w:r w:rsidR="00FE68F0">
        <w:t>W</w:t>
      </w:r>
      <w:r w:rsidR="007B6DD7">
        <w:t xml:space="preserve">hile </w:t>
      </w:r>
      <w:r w:rsidR="00B44F30">
        <w:t xml:space="preserve">further </w:t>
      </w:r>
      <w:r w:rsidR="00FE68F0">
        <w:t>tailoring</w:t>
      </w:r>
      <w:r w:rsidR="007B6DD7">
        <w:t xml:space="preserve"> </w:t>
      </w:r>
      <w:r w:rsidR="001D7B21">
        <w:t xml:space="preserve">might </w:t>
      </w:r>
      <w:r w:rsidR="007B6DD7">
        <w:t xml:space="preserve">better reflect </w:t>
      </w:r>
      <w:r w:rsidR="00EC5AA0">
        <w:t xml:space="preserve">an </w:t>
      </w:r>
      <w:r w:rsidR="007B6DD7">
        <w:t xml:space="preserve">individual Councils’ financial </w:t>
      </w:r>
      <w:r w:rsidR="00796F9B">
        <w:t>posi</w:t>
      </w:r>
      <w:r w:rsidR="00003CEA">
        <w:t>ti</w:t>
      </w:r>
      <w:r w:rsidR="00796F9B">
        <w:t>on</w:t>
      </w:r>
      <w:r w:rsidR="007B6DD7">
        <w:t>, it would also introduce additional complexity to a system of allowances that makes up a</w:t>
      </w:r>
      <w:r w:rsidR="00FE68F0">
        <w:t xml:space="preserve"> relatively</w:t>
      </w:r>
      <w:r w:rsidR="007B6DD7">
        <w:t xml:space="preserve"> low proportion of Council expenditure. </w:t>
      </w:r>
      <w:bookmarkStart w:id="65" w:name="_Toc166014302"/>
      <w:bookmarkStart w:id="66" w:name="_Toc169172615"/>
    </w:p>
    <w:p w14:paraId="30ED1084" w14:textId="4643DA04" w:rsidR="008218F4" w:rsidRPr="000E4B2B" w:rsidRDefault="000F1881" w:rsidP="000F1881">
      <w:pPr>
        <w:pStyle w:val="02VIRTHeading2"/>
      </w:pPr>
      <w:bookmarkStart w:id="67" w:name="_Toc170383521"/>
      <w:r w:rsidRPr="000E4B2B">
        <w:t>2.5</w:t>
      </w:r>
      <w:r w:rsidRPr="000E4B2B">
        <w:tab/>
      </w:r>
      <w:r w:rsidR="000E4B2B" w:rsidRPr="000E4B2B">
        <w:t>Other relevant considerations</w:t>
      </w:r>
      <w:bookmarkEnd w:id="65"/>
      <w:bookmarkEnd w:id="66"/>
      <w:bookmarkEnd w:id="67"/>
    </w:p>
    <w:p w14:paraId="0F53D152" w14:textId="780E4998" w:rsidR="000E4B2B" w:rsidRPr="00302AF5" w:rsidRDefault="000E4B2B" w:rsidP="000E4B2B">
      <w:pPr>
        <w:pStyle w:val="03VIRTHeading3"/>
      </w:pPr>
      <w:r w:rsidRPr="00302AF5">
        <w:t>Adjustments to allowances in other jurisdictions</w:t>
      </w:r>
    </w:p>
    <w:p w14:paraId="018A5EBF" w14:textId="29EDEF9A" w:rsidR="000E4B2B" w:rsidRPr="002F0C3E" w:rsidRDefault="000E4B2B" w:rsidP="008C0756">
      <w:pPr>
        <w:pStyle w:val="05Paragraph"/>
        <w:rPr>
          <w:rFonts w:cs="Calibri Light"/>
          <w:highlight w:val="yellow"/>
        </w:rPr>
      </w:pPr>
      <w:r w:rsidRPr="002F0C3E">
        <w:rPr>
          <w:rFonts w:cs="Calibri Light"/>
        </w:rPr>
        <w:t>Table </w:t>
      </w:r>
      <w:r w:rsidR="000C0F59">
        <w:rPr>
          <w:rFonts w:cs="Calibri Light"/>
        </w:rPr>
        <w:t>2.1</w:t>
      </w:r>
      <w:r w:rsidR="003605FF" w:rsidRPr="002F0C3E">
        <w:rPr>
          <w:rFonts w:cs="Calibri Light"/>
        </w:rPr>
        <w:t xml:space="preserve"> </w:t>
      </w:r>
      <w:r w:rsidRPr="002F0C3E">
        <w:rPr>
          <w:rFonts w:cs="Calibri Light"/>
        </w:rPr>
        <w:t>summarises the adjustments that have been made to allowances for Council members in other Australian jurisdictions in 202</w:t>
      </w:r>
      <w:r w:rsidR="006D16AB" w:rsidRPr="002F0C3E">
        <w:rPr>
          <w:rFonts w:cs="Calibri Light"/>
        </w:rPr>
        <w:t>4</w:t>
      </w:r>
      <w:r w:rsidRPr="002F0C3E">
        <w:rPr>
          <w:rFonts w:cs="Calibri Light"/>
        </w:rPr>
        <w:t xml:space="preserve">, where available. </w:t>
      </w:r>
      <w:r w:rsidR="001D2483">
        <w:rPr>
          <w:rFonts w:cs="Calibri Light"/>
        </w:rPr>
        <w:t xml:space="preserve">Adjustments range from 2.5 per cent in the Northern Territory to up to 5 per cent for some Queensland </w:t>
      </w:r>
      <w:r w:rsidR="00231ECA">
        <w:rPr>
          <w:rFonts w:cs="Calibri Light"/>
        </w:rPr>
        <w:t>Council</w:t>
      </w:r>
      <w:r w:rsidR="001D2483">
        <w:rPr>
          <w:rFonts w:cs="Calibri Light"/>
        </w:rPr>
        <w:t>s.</w:t>
      </w:r>
      <w:r w:rsidRPr="002F0C3E">
        <w:rPr>
          <w:rFonts w:cs="Calibri Light"/>
        </w:rPr>
        <w:t xml:space="preserve"> </w:t>
      </w:r>
    </w:p>
    <w:p w14:paraId="34616768" w14:textId="1A924F5E" w:rsidR="000E4B2B" w:rsidRPr="006D16AB" w:rsidRDefault="000E4B2B" w:rsidP="000E4B2B">
      <w:pPr>
        <w:pStyle w:val="08Figuretableboxheading"/>
      </w:pPr>
      <w:r w:rsidRPr="006D16AB">
        <w:t xml:space="preserve">Table </w:t>
      </w:r>
      <w:r w:rsidR="000C0F59">
        <w:t>2.1</w:t>
      </w:r>
      <w:r w:rsidRPr="006D16AB">
        <w:t>: Adjustments to allowances for Council members in other Australian jurisdictions</w:t>
      </w:r>
    </w:p>
    <w:tbl>
      <w:tblPr>
        <w:tblStyle w:val="ListTable3-Accent21"/>
        <w:tblW w:w="8500" w:type="dxa"/>
        <w:tblInd w:w="5" w:type="dxa"/>
        <w:tblLook w:val="04A0" w:firstRow="1" w:lastRow="0" w:firstColumn="1" w:lastColumn="0" w:noHBand="0" w:noVBand="1"/>
      </w:tblPr>
      <w:tblGrid>
        <w:gridCol w:w="2880"/>
        <w:gridCol w:w="5620"/>
      </w:tblGrid>
      <w:tr w:rsidR="000E4B2B" w:rsidRPr="0015410C" w14:paraId="7DEC7CD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14:paraId="17C8C618" w14:textId="77777777" w:rsidR="000E4B2B" w:rsidRPr="006263A2" w:rsidRDefault="000E4B2B">
            <w:pPr>
              <w:pStyle w:val="10Tabletext"/>
              <w:rPr>
                <w:color w:val="FFFFFF" w:themeColor="background1"/>
                <w:vertAlign w:val="superscript"/>
              </w:rPr>
            </w:pPr>
            <w:r w:rsidRPr="006263A2">
              <w:rPr>
                <w:color w:val="FFFFFF" w:themeColor="background1"/>
              </w:rPr>
              <w:t>Jurisdiction</w:t>
            </w:r>
          </w:p>
        </w:tc>
        <w:tc>
          <w:tcPr>
            <w:tcW w:w="5620" w:type="dxa"/>
          </w:tcPr>
          <w:p w14:paraId="0C644660" w14:textId="6B0A7C42" w:rsidR="000E4B2B" w:rsidRPr="006263A2" w:rsidRDefault="000E4B2B">
            <w:pPr>
              <w:pStyle w:val="10Table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263A2">
              <w:rPr>
                <w:color w:val="FFFFFF" w:themeColor="background1"/>
              </w:rPr>
              <w:t>Adjustment from 1 July 202</w:t>
            </w:r>
            <w:r w:rsidR="006D16AB" w:rsidRPr="006263A2">
              <w:rPr>
                <w:color w:val="FFFFFF" w:themeColor="background1"/>
              </w:rPr>
              <w:t>4</w:t>
            </w:r>
            <w:r w:rsidRPr="006263A2">
              <w:rPr>
                <w:color w:val="FFFFFF" w:themeColor="background1"/>
              </w:rPr>
              <w:t xml:space="preserve"> (unless otherwise stated) (%)</w:t>
            </w:r>
          </w:p>
        </w:tc>
      </w:tr>
      <w:tr w:rsidR="000E4B2B" w:rsidRPr="0015410C" w14:paraId="55EC14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747D5F5D" w14:textId="77777777" w:rsidR="000E4B2B" w:rsidRPr="002F0C3E" w:rsidRDefault="000E4B2B">
            <w:pPr>
              <w:pStyle w:val="10Tabletext"/>
              <w:rPr>
                <w:rFonts w:cs="Calibri Light"/>
              </w:rPr>
            </w:pPr>
            <w:r w:rsidRPr="002F0C3E">
              <w:rPr>
                <w:rFonts w:cs="Calibri Light"/>
              </w:rPr>
              <w:t>New South Wales</w:t>
            </w:r>
          </w:p>
        </w:tc>
        <w:tc>
          <w:tcPr>
            <w:tcW w:w="5620" w:type="dxa"/>
            <w:vAlign w:val="center"/>
          </w:tcPr>
          <w:p w14:paraId="08C05791" w14:textId="7C5DD657" w:rsidR="000E4B2B" w:rsidRPr="002F0C3E" w:rsidRDefault="00D85A69">
            <w:pPr>
              <w:pStyle w:val="10Tabletext"/>
              <w:jc w:val="center"/>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F0C3E">
              <w:rPr>
                <w:rFonts w:cs="Calibri Light"/>
              </w:rPr>
              <w:t>3.75</w:t>
            </w:r>
          </w:p>
        </w:tc>
      </w:tr>
      <w:tr w:rsidR="000E4B2B" w:rsidRPr="0015410C" w14:paraId="532E6166" w14:textId="77777777">
        <w:tc>
          <w:tcPr>
            <w:cnfStyle w:val="001000000000" w:firstRow="0" w:lastRow="0" w:firstColumn="1" w:lastColumn="0" w:oddVBand="0" w:evenVBand="0" w:oddHBand="0" w:evenHBand="0" w:firstRowFirstColumn="0" w:firstRowLastColumn="0" w:lastRowFirstColumn="0" w:lastRowLastColumn="0"/>
            <w:tcW w:w="2880" w:type="dxa"/>
            <w:vAlign w:val="center"/>
          </w:tcPr>
          <w:p w14:paraId="5CEE1A68" w14:textId="77777777" w:rsidR="000E4B2B" w:rsidRPr="002F0C3E" w:rsidRDefault="000E4B2B">
            <w:pPr>
              <w:pStyle w:val="10Tabletext"/>
              <w:rPr>
                <w:rFonts w:cs="Calibri Light"/>
              </w:rPr>
            </w:pPr>
            <w:r w:rsidRPr="002F0C3E">
              <w:rPr>
                <w:rFonts w:cs="Calibri Light"/>
              </w:rPr>
              <w:t>Queensland</w:t>
            </w:r>
          </w:p>
        </w:tc>
        <w:tc>
          <w:tcPr>
            <w:tcW w:w="5620" w:type="dxa"/>
            <w:vAlign w:val="center"/>
          </w:tcPr>
          <w:p w14:paraId="3577E238" w14:textId="0CB6A89E" w:rsidR="000E4B2B" w:rsidRPr="002F0C3E" w:rsidRDefault="000E4B2B">
            <w:pPr>
              <w:pStyle w:val="10Tabletext"/>
              <w:jc w:val="center"/>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F0C3E">
              <w:rPr>
                <w:rFonts w:cs="Calibri Light"/>
              </w:rPr>
              <w:t xml:space="preserve">3 – </w:t>
            </w:r>
            <w:r w:rsidR="00BA5BB0" w:rsidRPr="002F0C3E">
              <w:rPr>
                <w:rFonts w:cs="Calibri Light"/>
              </w:rPr>
              <w:t>5</w:t>
            </w:r>
            <w:r w:rsidRPr="002F0C3E">
              <w:rPr>
                <w:rFonts w:cs="Calibri Light"/>
                <w:vertAlign w:val="superscript"/>
              </w:rPr>
              <w:t>(a)</w:t>
            </w:r>
          </w:p>
        </w:tc>
      </w:tr>
      <w:tr w:rsidR="000E4B2B" w:rsidRPr="0015410C" w14:paraId="236135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355B64D7" w14:textId="77777777" w:rsidR="000E4B2B" w:rsidRPr="002F0C3E" w:rsidRDefault="000E4B2B">
            <w:pPr>
              <w:pStyle w:val="10Tabletext"/>
              <w:rPr>
                <w:rFonts w:cs="Calibri Light"/>
              </w:rPr>
            </w:pPr>
            <w:r w:rsidRPr="002F0C3E">
              <w:rPr>
                <w:rFonts w:cs="Calibri Light"/>
              </w:rPr>
              <w:t>South Australia</w:t>
            </w:r>
          </w:p>
        </w:tc>
        <w:tc>
          <w:tcPr>
            <w:tcW w:w="5620" w:type="dxa"/>
            <w:vAlign w:val="center"/>
          </w:tcPr>
          <w:p w14:paraId="0E385D55" w14:textId="77777777" w:rsidR="000E4B2B" w:rsidRPr="002F0C3E" w:rsidRDefault="000E4B2B">
            <w:pPr>
              <w:pStyle w:val="10Tabletext"/>
              <w:jc w:val="center"/>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F0C3E">
              <w:rPr>
                <w:rFonts w:cs="Calibri Light"/>
              </w:rPr>
              <w:t>TBA</w:t>
            </w:r>
            <w:r w:rsidRPr="002F0C3E">
              <w:rPr>
                <w:rFonts w:cs="Calibri Light"/>
                <w:vertAlign w:val="superscript"/>
              </w:rPr>
              <w:t>(b)</w:t>
            </w:r>
          </w:p>
        </w:tc>
      </w:tr>
      <w:tr w:rsidR="000E4B2B" w:rsidRPr="0015410C" w14:paraId="5A6327D5" w14:textId="77777777">
        <w:tc>
          <w:tcPr>
            <w:cnfStyle w:val="001000000000" w:firstRow="0" w:lastRow="0" w:firstColumn="1" w:lastColumn="0" w:oddVBand="0" w:evenVBand="0" w:oddHBand="0" w:evenHBand="0" w:firstRowFirstColumn="0" w:firstRowLastColumn="0" w:lastRowFirstColumn="0" w:lastRowLastColumn="0"/>
            <w:tcW w:w="2880" w:type="dxa"/>
            <w:vAlign w:val="center"/>
          </w:tcPr>
          <w:p w14:paraId="634CB074" w14:textId="77777777" w:rsidR="000E4B2B" w:rsidRPr="002F0C3E" w:rsidRDefault="000E4B2B">
            <w:pPr>
              <w:pStyle w:val="10Tabletext"/>
              <w:rPr>
                <w:rFonts w:cs="Calibri Light"/>
              </w:rPr>
            </w:pPr>
            <w:r w:rsidRPr="002F0C3E">
              <w:rPr>
                <w:rFonts w:cs="Calibri Light"/>
              </w:rPr>
              <w:t>Western Australia</w:t>
            </w:r>
          </w:p>
        </w:tc>
        <w:tc>
          <w:tcPr>
            <w:tcW w:w="5620" w:type="dxa"/>
            <w:vAlign w:val="center"/>
          </w:tcPr>
          <w:p w14:paraId="101A4203" w14:textId="39B8A7E5" w:rsidR="000E4B2B" w:rsidRPr="002F0C3E" w:rsidRDefault="00BA5BB0">
            <w:pPr>
              <w:pStyle w:val="10Tabletext"/>
              <w:jc w:val="center"/>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F0C3E">
              <w:rPr>
                <w:rFonts w:cs="Calibri Light"/>
              </w:rPr>
              <w:t>4</w:t>
            </w:r>
          </w:p>
        </w:tc>
      </w:tr>
      <w:tr w:rsidR="000E4B2B" w:rsidRPr="0015410C" w14:paraId="6EFB8A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28FBFFCE" w14:textId="77777777" w:rsidR="000E4B2B" w:rsidRPr="002F0C3E" w:rsidRDefault="000E4B2B">
            <w:pPr>
              <w:pStyle w:val="10Tabletext"/>
              <w:rPr>
                <w:rFonts w:cs="Calibri Light"/>
              </w:rPr>
            </w:pPr>
            <w:r w:rsidRPr="002F0C3E">
              <w:rPr>
                <w:rFonts w:cs="Calibri Light"/>
              </w:rPr>
              <w:t>Tasmania</w:t>
            </w:r>
          </w:p>
        </w:tc>
        <w:tc>
          <w:tcPr>
            <w:tcW w:w="5620" w:type="dxa"/>
            <w:vAlign w:val="center"/>
          </w:tcPr>
          <w:p w14:paraId="66914B1D" w14:textId="77777777" w:rsidR="000E4B2B" w:rsidRPr="002F0C3E" w:rsidRDefault="000E4B2B">
            <w:pPr>
              <w:pStyle w:val="10Tabletext"/>
              <w:jc w:val="center"/>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F0C3E">
              <w:rPr>
                <w:rFonts w:cs="Calibri Light"/>
              </w:rPr>
              <w:t>TBA</w:t>
            </w:r>
            <w:r w:rsidRPr="002F0C3E">
              <w:rPr>
                <w:rFonts w:cs="Calibri Light"/>
                <w:vertAlign w:val="superscript"/>
              </w:rPr>
              <w:t>(c)</w:t>
            </w:r>
          </w:p>
        </w:tc>
      </w:tr>
      <w:tr w:rsidR="000E4B2B" w:rsidRPr="0015410C" w14:paraId="2428D564" w14:textId="77777777">
        <w:tc>
          <w:tcPr>
            <w:cnfStyle w:val="001000000000" w:firstRow="0" w:lastRow="0" w:firstColumn="1" w:lastColumn="0" w:oddVBand="0" w:evenVBand="0" w:oddHBand="0" w:evenHBand="0" w:firstRowFirstColumn="0" w:firstRowLastColumn="0" w:lastRowFirstColumn="0" w:lastRowLastColumn="0"/>
            <w:tcW w:w="2880" w:type="dxa"/>
            <w:vAlign w:val="center"/>
          </w:tcPr>
          <w:p w14:paraId="42EDD6DF" w14:textId="77777777" w:rsidR="000E4B2B" w:rsidRPr="002F0C3E" w:rsidRDefault="000E4B2B">
            <w:pPr>
              <w:pStyle w:val="10Tabletext"/>
              <w:rPr>
                <w:rFonts w:cs="Calibri Light"/>
              </w:rPr>
            </w:pPr>
            <w:r w:rsidRPr="002F0C3E">
              <w:rPr>
                <w:rFonts w:cs="Calibri Light"/>
              </w:rPr>
              <w:t>Northern Territory</w:t>
            </w:r>
          </w:p>
        </w:tc>
        <w:tc>
          <w:tcPr>
            <w:tcW w:w="5620" w:type="dxa"/>
            <w:vAlign w:val="center"/>
          </w:tcPr>
          <w:p w14:paraId="3958F12B" w14:textId="1D06DD63" w:rsidR="000E4B2B" w:rsidRPr="002F0C3E" w:rsidRDefault="00BA5BB0">
            <w:pPr>
              <w:pStyle w:val="10Tabletext"/>
              <w:jc w:val="center"/>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F0C3E">
              <w:rPr>
                <w:rFonts w:cs="Calibri Light"/>
              </w:rPr>
              <w:t>2.5</w:t>
            </w:r>
          </w:p>
        </w:tc>
      </w:tr>
    </w:tbl>
    <w:p w14:paraId="4D8F1DD7" w14:textId="211D1F12" w:rsidR="000E4B2B" w:rsidRPr="002F0C3E" w:rsidRDefault="000E4B2B" w:rsidP="000E4B2B">
      <w:pPr>
        <w:spacing w:before="60" w:after="0"/>
        <w:jc w:val="both"/>
        <w:rPr>
          <w:rFonts w:ascii="Calibri Light" w:eastAsia="+mn-ea" w:hAnsi="Calibri Light" w:cs="Calibri Light"/>
          <w:color w:val="000000"/>
          <w:kern w:val="24"/>
          <w:sz w:val="18"/>
          <w:szCs w:val="18"/>
          <w:lang w:eastAsia="en-AU"/>
        </w:rPr>
      </w:pPr>
      <w:r w:rsidRPr="002F0C3E">
        <w:rPr>
          <w:rFonts w:ascii="Calibri Light" w:eastAsia="+mn-ea" w:hAnsi="Calibri Light" w:cs="Calibri Light"/>
          <w:color w:val="000000"/>
          <w:kern w:val="24"/>
          <w:sz w:val="18"/>
          <w:szCs w:val="18"/>
          <w:shd w:val="clear" w:color="auto" w:fill="FFFFFF" w:themeFill="background1"/>
          <w:lang w:eastAsia="en-AU"/>
        </w:rPr>
        <w:t xml:space="preserve">Notes: (a) </w:t>
      </w:r>
      <w:r w:rsidR="00C02A77" w:rsidRPr="002F0C3E">
        <w:rPr>
          <w:rStyle w:val="normaltextrun"/>
          <w:rFonts w:ascii="Calibri Light" w:hAnsi="Calibri Light" w:cs="Calibri Light"/>
          <w:color w:val="000000"/>
          <w:sz w:val="18"/>
          <w:szCs w:val="18"/>
          <w:shd w:val="clear" w:color="auto" w:fill="FFFFFF" w:themeFill="background1"/>
        </w:rPr>
        <w:t>The Local Government Remuneration Commission undertook a review of Council remuneration categories in 2023, which resulted in a new category structure which will take effect on 1 July 2024. The Commission observed that, in most cases, maximum remuneration levels increased by 3-5</w:t>
      </w:r>
      <w:r w:rsidR="0091409E">
        <w:rPr>
          <w:rStyle w:val="normaltextrun"/>
          <w:rFonts w:ascii="Calibri Light" w:hAnsi="Calibri Light" w:cs="Calibri Light"/>
          <w:color w:val="000000"/>
          <w:sz w:val="18"/>
          <w:szCs w:val="18"/>
          <w:shd w:val="clear" w:color="auto" w:fill="FFFFFF" w:themeFill="background1"/>
        </w:rPr>
        <w:t xml:space="preserve"> per cent</w:t>
      </w:r>
      <w:r w:rsidR="00C02A77" w:rsidRPr="002F0C3E">
        <w:rPr>
          <w:rStyle w:val="normaltextrun"/>
          <w:rFonts w:ascii="Calibri Light" w:hAnsi="Calibri Light" w:cs="Calibri Light"/>
          <w:color w:val="000000"/>
          <w:sz w:val="18"/>
          <w:szCs w:val="18"/>
          <w:shd w:val="clear" w:color="auto" w:fill="FFFFFF" w:themeFill="background1"/>
        </w:rPr>
        <w:t xml:space="preserve"> compared to existing levels, with regional and rural Councils receiving larger increases than metropolitan Councils</w:t>
      </w:r>
      <w:r w:rsidRPr="002F0C3E">
        <w:rPr>
          <w:rFonts w:ascii="Calibri Light" w:eastAsia="+mn-ea" w:hAnsi="Calibri Light" w:cs="Calibri Light"/>
          <w:color w:val="000000"/>
          <w:kern w:val="24"/>
          <w:sz w:val="18"/>
          <w:szCs w:val="18"/>
          <w:shd w:val="clear" w:color="auto" w:fill="FFFFFF" w:themeFill="background1"/>
          <w:lang w:eastAsia="en-AU"/>
        </w:rPr>
        <w:t>. (b</w:t>
      </w:r>
      <w:r w:rsidRPr="002F0C3E">
        <w:rPr>
          <w:rFonts w:ascii="Calibri Light" w:eastAsia="+mn-ea" w:hAnsi="Calibri Light" w:cs="Calibri Light"/>
          <w:color w:val="000000"/>
          <w:kern w:val="24"/>
          <w:sz w:val="18"/>
          <w:szCs w:val="18"/>
          <w:lang w:eastAsia="en-AU"/>
        </w:rPr>
        <w:t>) Allowances are automatically indexed on the first, second and third anniversaries of the relevant periodic local government elections to reflect changes in the Adelaide</w:t>
      </w:r>
      <w:r w:rsidR="00545A21">
        <w:rPr>
          <w:rFonts w:ascii="Calibri Light" w:eastAsia="+mn-ea" w:hAnsi="Calibri Light" w:cs="Calibri Light"/>
          <w:color w:val="000000"/>
          <w:kern w:val="24"/>
          <w:sz w:val="18"/>
          <w:szCs w:val="18"/>
          <w:lang w:eastAsia="en-AU"/>
        </w:rPr>
        <w:t xml:space="preserve"> CPI</w:t>
      </w:r>
      <w:r w:rsidRPr="002F0C3E">
        <w:rPr>
          <w:rFonts w:ascii="Calibri Light" w:eastAsia="+mn-ea" w:hAnsi="Calibri Light" w:cs="Calibri Light"/>
          <w:color w:val="000000"/>
          <w:kern w:val="24"/>
          <w:sz w:val="18"/>
          <w:szCs w:val="18"/>
          <w:lang w:eastAsia="en-AU"/>
        </w:rPr>
        <w:t xml:space="preserve">. </w:t>
      </w:r>
      <w:r w:rsidR="00B942BF" w:rsidRPr="002F0C3E">
        <w:rPr>
          <w:rFonts w:ascii="Calibri Light" w:eastAsia="+mn-ea" w:hAnsi="Calibri Light" w:cs="Calibri Light"/>
          <w:color w:val="000000"/>
          <w:kern w:val="24"/>
          <w:sz w:val="18"/>
          <w:szCs w:val="18"/>
          <w:lang w:eastAsia="en-AU"/>
        </w:rPr>
        <w:t>The next adjustment will be effect</w:t>
      </w:r>
      <w:r w:rsidR="00B36A61" w:rsidRPr="002F0C3E">
        <w:rPr>
          <w:rFonts w:ascii="Calibri Light" w:eastAsia="+mn-ea" w:hAnsi="Calibri Light" w:cs="Calibri Light"/>
          <w:color w:val="000000"/>
          <w:kern w:val="24"/>
          <w:sz w:val="18"/>
          <w:szCs w:val="18"/>
          <w:lang w:eastAsia="en-AU"/>
        </w:rPr>
        <w:t>ive</w:t>
      </w:r>
      <w:r w:rsidR="00B942BF" w:rsidRPr="002F0C3E">
        <w:rPr>
          <w:rFonts w:ascii="Calibri Light" w:eastAsia="+mn-ea" w:hAnsi="Calibri Light" w:cs="Calibri Light"/>
          <w:color w:val="000000"/>
          <w:kern w:val="24"/>
          <w:sz w:val="18"/>
          <w:szCs w:val="18"/>
          <w:lang w:eastAsia="en-AU"/>
        </w:rPr>
        <w:t xml:space="preserve"> from November 2024. As an indicator, over the year to the March quarter 2024</w:t>
      </w:r>
      <w:r w:rsidR="00E05DC2">
        <w:rPr>
          <w:rFonts w:ascii="Calibri Light" w:eastAsia="+mn-ea" w:hAnsi="Calibri Light" w:cs="Calibri Light"/>
          <w:color w:val="000000"/>
          <w:kern w:val="24"/>
          <w:sz w:val="18"/>
          <w:szCs w:val="18"/>
          <w:lang w:eastAsia="en-AU"/>
        </w:rPr>
        <w:t>, the Adelaide</w:t>
      </w:r>
      <w:r w:rsidR="00B942BF" w:rsidRPr="002F0C3E">
        <w:rPr>
          <w:rFonts w:ascii="Calibri Light" w:eastAsia="+mn-ea" w:hAnsi="Calibri Light" w:cs="Calibri Light"/>
          <w:color w:val="000000"/>
          <w:kern w:val="24"/>
          <w:sz w:val="18"/>
          <w:szCs w:val="18"/>
          <w:lang w:eastAsia="en-AU"/>
        </w:rPr>
        <w:t xml:space="preserve"> CPI rose by </w:t>
      </w:r>
      <w:r w:rsidR="00E05DC2">
        <w:rPr>
          <w:rFonts w:ascii="Calibri Light" w:eastAsia="+mn-ea" w:hAnsi="Calibri Light" w:cs="Calibri Light"/>
          <w:color w:val="000000"/>
          <w:kern w:val="24"/>
          <w:sz w:val="18"/>
          <w:szCs w:val="18"/>
          <w:lang w:eastAsia="en-AU"/>
        </w:rPr>
        <w:t>4.</w:t>
      </w:r>
      <w:r w:rsidR="00B942BF" w:rsidRPr="002F0C3E">
        <w:rPr>
          <w:rFonts w:ascii="Calibri Light" w:eastAsia="+mn-ea" w:hAnsi="Calibri Light" w:cs="Calibri Light"/>
          <w:color w:val="000000"/>
          <w:kern w:val="24"/>
          <w:sz w:val="18"/>
          <w:szCs w:val="18"/>
          <w:lang w:eastAsia="en-AU"/>
        </w:rPr>
        <w:t>3</w:t>
      </w:r>
      <w:r w:rsidR="0091409E">
        <w:rPr>
          <w:rFonts w:ascii="Calibri Light" w:eastAsia="+mn-ea" w:hAnsi="Calibri Light" w:cs="Calibri Light"/>
          <w:color w:val="000000"/>
          <w:kern w:val="24"/>
          <w:sz w:val="18"/>
          <w:szCs w:val="18"/>
          <w:lang w:eastAsia="en-AU"/>
        </w:rPr>
        <w:t xml:space="preserve"> per cent</w:t>
      </w:r>
      <w:r w:rsidR="00B36A61" w:rsidRPr="002F0C3E">
        <w:rPr>
          <w:rFonts w:ascii="Calibri Light" w:eastAsia="+mn-ea" w:hAnsi="Calibri Light" w:cs="Calibri Light"/>
          <w:color w:val="000000"/>
          <w:kern w:val="24"/>
          <w:sz w:val="18"/>
          <w:szCs w:val="18"/>
          <w:lang w:eastAsia="en-AU"/>
        </w:rPr>
        <w:t>.</w:t>
      </w:r>
      <w:r w:rsidRPr="002F0C3E">
        <w:rPr>
          <w:rFonts w:ascii="Calibri Light" w:eastAsia="+mn-ea" w:hAnsi="Calibri Light" w:cs="Calibri Light"/>
          <w:color w:val="000000"/>
          <w:kern w:val="24"/>
          <w:sz w:val="18"/>
          <w:szCs w:val="18"/>
          <w:lang w:eastAsia="en-AU"/>
        </w:rPr>
        <w:t xml:space="preserve"> (c) Allowances are automatically indexed on 1 November each year in line with the annual change in the W</w:t>
      </w:r>
      <w:r w:rsidR="00B36A61" w:rsidRPr="002F0C3E">
        <w:rPr>
          <w:rFonts w:ascii="Calibri Light" w:eastAsia="+mn-ea" w:hAnsi="Calibri Light" w:cs="Calibri Light"/>
          <w:color w:val="000000"/>
          <w:kern w:val="24"/>
          <w:sz w:val="18"/>
          <w:szCs w:val="18"/>
          <w:lang w:eastAsia="en-AU"/>
        </w:rPr>
        <w:t xml:space="preserve">age </w:t>
      </w:r>
      <w:r w:rsidRPr="002F0C3E">
        <w:rPr>
          <w:rFonts w:ascii="Calibri Light" w:eastAsia="+mn-ea" w:hAnsi="Calibri Light" w:cs="Calibri Light"/>
          <w:color w:val="000000"/>
          <w:kern w:val="24"/>
          <w:sz w:val="18"/>
          <w:szCs w:val="18"/>
          <w:lang w:eastAsia="en-AU"/>
        </w:rPr>
        <w:t>P</w:t>
      </w:r>
      <w:r w:rsidR="00B36A61" w:rsidRPr="002F0C3E">
        <w:rPr>
          <w:rFonts w:ascii="Calibri Light" w:eastAsia="+mn-ea" w:hAnsi="Calibri Light" w:cs="Calibri Light"/>
          <w:color w:val="000000"/>
          <w:kern w:val="24"/>
          <w:sz w:val="18"/>
          <w:szCs w:val="18"/>
          <w:lang w:eastAsia="en-AU"/>
        </w:rPr>
        <w:t xml:space="preserve">rice </w:t>
      </w:r>
      <w:r w:rsidRPr="002F0C3E">
        <w:rPr>
          <w:rFonts w:ascii="Calibri Light" w:eastAsia="+mn-ea" w:hAnsi="Calibri Light" w:cs="Calibri Light"/>
          <w:color w:val="000000"/>
          <w:kern w:val="24"/>
          <w:sz w:val="18"/>
          <w:szCs w:val="18"/>
          <w:lang w:eastAsia="en-AU"/>
        </w:rPr>
        <w:t>I</w:t>
      </w:r>
      <w:r w:rsidR="00B36A61" w:rsidRPr="002F0C3E">
        <w:rPr>
          <w:rFonts w:ascii="Calibri Light" w:eastAsia="+mn-ea" w:hAnsi="Calibri Light" w:cs="Calibri Light"/>
          <w:color w:val="000000"/>
          <w:kern w:val="24"/>
          <w:sz w:val="18"/>
          <w:szCs w:val="18"/>
          <w:lang w:eastAsia="en-AU"/>
        </w:rPr>
        <w:t>ndex</w:t>
      </w:r>
      <w:r w:rsidRPr="002F0C3E">
        <w:rPr>
          <w:rFonts w:ascii="Calibri Light" w:eastAsia="+mn-ea" w:hAnsi="Calibri Light" w:cs="Calibri Light"/>
          <w:color w:val="000000"/>
          <w:kern w:val="24"/>
          <w:sz w:val="18"/>
          <w:szCs w:val="18"/>
          <w:lang w:eastAsia="en-AU"/>
        </w:rPr>
        <w:t xml:space="preserve"> for Tasmania.</w:t>
      </w:r>
      <w:r w:rsidR="009352F1" w:rsidRPr="002F0C3E">
        <w:rPr>
          <w:rFonts w:ascii="Calibri Light" w:eastAsia="+mn-ea" w:hAnsi="Calibri Light" w:cs="Calibri Light"/>
          <w:color w:val="000000"/>
          <w:kern w:val="24"/>
          <w:sz w:val="18"/>
          <w:szCs w:val="18"/>
          <w:lang w:eastAsia="en-AU"/>
        </w:rPr>
        <w:t xml:space="preserve"> As an indicator, over the year to the March quarter 2024</w:t>
      </w:r>
      <w:r w:rsidR="00E05DC2">
        <w:rPr>
          <w:rFonts w:ascii="Calibri Light" w:eastAsia="+mn-ea" w:hAnsi="Calibri Light" w:cs="Calibri Light"/>
          <w:color w:val="000000"/>
          <w:kern w:val="24"/>
          <w:sz w:val="18"/>
          <w:szCs w:val="18"/>
          <w:lang w:eastAsia="en-AU"/>
        </w:rPr>
        <w:t>,</w:t>
      </w:r>
      <w:r w:rsidR="009352F1" w:rsidRPr="002F0C3E">
        <w:rPr>
          <w:rFonts w:ascii="Calibri Light" w:eastAsia="+mn-ea" w:hAnsi="Calibri Light" w:cs="Calibri Light"/>
          <w:color w:val="000000"/>
          <w:kern w:val="24"/>
          <w:sz w:val="18"/>
          <w:szCs w:val="18"/>
          <w:lang w:eastAsia="en-AU"/>
        </w:rPr>
        <w:t xml:space="preserve"> this </w:t>
      </w:r>
      <w:r w:rsidR="00BB727C" w:rsidRPr="002F0C3E">
        <w:rPr>
          <w:rFonts w:ascii="Calibri Light" w:eastAsia="+mn-ea" w:hAnsi="Calibri Light" w:cs="Calibri Light"/>
          <w:color w:val="000000"/>
          <w:kern w:val="24"/>
          <w:sz w:val="18"/>
          <w:szCs w:val="18"/>
          <w:lang w:eastAsia="en-AU"/>
        </w:rPr>
        <w:t xml:space="preserve">measure </w:t>
      </w:r>
      <w:r w:rsidR="009352F1" w:rsidRPr="002F0C3E">
        <w:rPr>
          <w:rFonts w:ascii="Calibri Light" w:eastAsia="+mn-ea" w:hAnsi="Calibri Light" w:cs="Calibri Light"/>
          <w:color w:val="000000"/>
          <w:kern w:val="24"/>
          <w:sz w:val="18"/>
          <w:szCs w:val="18"/>
          <w:lang w:eastAsia="en-AU"/>
        </w:rPr>
        <w:t>increased by 4.9</w:t>
      </w:r>
      <w:r w:rsidR="0091409E">
        <w:rPr>
          <w:rFonts w:ascii="Calibri Light" w:eastAsia="+mn-ea" w:hAnsi="Calibri Light" w:cs="Calibri Light"/>
          <w:color w:val="000000"/>
          <w:kern w:val="24"/>
          <w:sz w:val="18"/>
          <w:szCs w:val="18"/>
          <w:lang w:eastAsia="en-AU"/>
        </w:rPr>
        <w:t xml:space="preserve"> per cent</w:t>
      </w:r>
      <w:r w:rsidR="009352F1" w:rsidRPr="002F0C3E">
        <w:rPr>
          <w:rFonts w:ascii="Calibri Light" w:eastAsia="+mn-ea" w:hAnsi="Calibri Light" w:cs="Calibri Light"/>
          <w:color w:val="000000"/>
          <w:kern w:val="24"/>
          <w:sz w:val="18"/>
          <w:szCs w:val="18"/>
          <w:lang w:eastAsia="en-AU"/>
        </w:rPr>
        <w:t>.</w:t>
      </w:r>
      <w:r w:rsidRPr="002F0C3E">
        <w:rPr>
          <w:rFonts w:ascii="Calibri Light" w:eastAsia="+mn-ea" w:hAnsi="Calibri Light" w:cs="Calibri Light"/>
          <w:color w:val="000000"/>
          <w:kern w:val="24"/>
          <w:sz w:val="18"/>
          <w:szCs w:val="18"/>
          <w:lang w:eastAsia="en-AU"/>
        </w:rPr>
        <w:t xml:space="preserve"> </w:t>
      </w:r>
    </w:p>
    <w:p w14:paraId="2AF8226D" w14:textId="3BB5DF12" w:rsidR="00693C1B" w:rsidRDefault="000E4B2B" w:rsidP="00600116">
      <w:pPr>
        <w:pStyle w:val="09Sourcesandnotesfortablesfiguresboxes"/>
        <w:rPr>
          <w:rFonts w:eastAsia="+mn-ea"/>
          <w:color w:val="000000"/>
          <w:kern w:val="24"/>
          <w:szCs w:val="18"/>
          <w:lang w:eastAsia="en-AU"/>
        </w:rPr>
      </w:pPr>
      <w:r w:rsidRPr="002F0C3E">
        <w:rPr>
          <w:rFonts w:eastAsia="+mn-ea"/>
          <w:color w:val="000000"/>
          <w:kern w:val="24"/>
          <w:szCs w:val="18"/>
          <w:lang w:eastAsia="en-AU"/>
        </w:rPr>
        <w:t xml:space="preserve">Sources: </w:t>
      </w:r>
      <w:r w:rsidR="00130271">
        <w:rPr>
          <w:rFonts w:eastAsia="+mn-ea"/>
          <w:color w:val="000000"/>
          <w:kern w:val="24"/>
          <w:szCs w:val="18"/>
          <w:lang w:eastAsia="en-AU"/>
        </w:rPr>
        <w:t>ABS (</w:t>
      </w:r>
      <w:r w:rsidR="00130271" w:rsidRPr="008D73A7">
        <w:rPr>
          <w:rFonts w:eastAsia="+mn-ea"/>
          <w:color w:val="000000"/>
          <w:kern w:val="24"/>
          <w:szCs w:val="18"/>
          <w:lang w:eastAsia="en-AU"/>
        </w:rPr>
        <w:t>2024</w:t>
      </w:r>
      <w:r w:rsidR="00F276D6" w:rsidRPr="008D73A7">
        <w:rPr>
          <w:rFonts w:eastAsia="+mn-ea"/>
          <w:color w:val="000000"/>
          <w:kern w:val="24"/>
          <w:szCs w:val="18"/>
          <w:lang w:eastAsia="en-AU"/>
        </w:rPr>
        <w:t>c</w:t>
      </w:r>
      <w:r w:rsidR="00130271">
        <w:rPr>
          <w:rFonts w:eastAsia="+mn-ea"/>
          <w:color w:val="000000"/>
          <w:kern w:val="24"/>
          <w:szCs w:val="18"/>
          <w:lang w:eastAsia="en-AU"/>
        </w:rPr>
        <w:t xml:space="preserve">); </w:t>
      </w:r>
      <w:r w:rsidR="00E05DC2">
        <w:rPr>
          <w:rFonts w:eastAsia="+mn-ea"/>
          <w:color w:val="000000"/>
          <w:kern w:val="24"/>
          <w:szCs w:val="18"/>
          <w:lang w:eastAsia="en-AU"/>
        </w:rPr>
        <w:t xml:space="preserve">ABS (2024f); </w:t>
      </w:r>
      <w:r w:rsidR="00693C1B">
        <w:rPr>
          <w:rFonts w:eastAsia="+mn-ea"/>
          <w:color w:val="000000"/>
          <w:kern w:val="24"/>
          <w:szCs w:val="18"/>
          <w:lang w:eastAsia="en-AU"/>
        </w:rPr>
        <w:t>Local Government Association of South Australia (2023); Local Government Remuneration Commission (</w:t>
      </w:r>
      <w:r w:rsidR="00F76116">
        <w:rPr>
          <w:rFonts w:eastAsia="+mn-ea"/>
          <w:color w:val="000000"/>
          <w:kern w:val="24"/>
          <w:szCs w:val="18"/>
          <w:lang w:eastAsia="en-AU"/>
        </w:rPr>
        <w:t>Q</w:t>
      </w:r>
      <w:r w:rsidR="002D5168">
        <w:rPr>
          <w:rFonts w:eastAsia="+mn-ea"/>
          <w:color w:val="000000"/>
          <w:kern w:val="24"/>
          <w:szCs w:val="18"/>
          <w:lang w:eastAsia="en-AU"/>
        </w:rPr>
        <w:t>ueensland</w:t>
      </w:r>
      <w:r w:rsidR="00693C1B">
        <w:rPr>
          <w:rFonts w:eastAsia="+mn-ea"/>
          <w:color w:val="000000"/>
          <w:kern w:val="24"/>
          <w:szCs w:val="18"/>
          <w:lang w:eastAsia="en-AU"/>
        </w:rPr>
        <w:t>) (2023)</w:t>
      </w:r>
      <w:r w:rsidR="00130271">
        <w:rPr>
          <w:rFonts w:eastAsia="+mn-ea"/>
          <w:color w:val="000000"/>
          <w:kern w:val="24"/>
          <w:szCs w:val="18"/>
          <w:lang w:eastAsia="en-AU"/>
        </w:rPr>
        <w:t>, p</w:t>
      </w:r>
      <w:r w:rsidR="002D5168">
        <w:rPr>
          <w:rFonts w:eastAsia="+mn-ea"/>
          <w:color w:val="000000"/>
          <w:kern w:val="24"/>
          <w:szCs w:val="18"/>
          <w:lang w:eastAsia="en-AU"/>
        </w:rPr>
        <w:t>.</w:t>
      </w:r>
      <w:r w:rsidR="00130271">
        <w:rPr>
          <w:rFonts w:eastAsia="+mn-ea"/>
          <w:color w:val="000000"/>
          <w:kern w:val="24"/>
          <w:szCs w:val="18"/>
          <w:lang w:eastAsia="en-AU"/>
        </w:rPr>
        <w:t xml:space="preserve"> 6</w:t>
      </w:r>
      <w:r w:rsidR="00693C1B">
        <w:rPr>
          <w:rFonts w:eastAsia="+mn-ea"/>
          <w:color w:val="000000"/>
          <w:kern w:val="24"/>
          <w:szCs w:val="18"/>
          <w:lang w:eastAsia="en-AU"/>
        </w:rPr>
        <w:t>; Local Government Remuneration Tribunal (</w:t>
      </w:r>
      <w:r w:rsidR="00F76116">
        <w:rPr>
          <w:rFonts w:eastAsia="+mn-ea"/>
          <w:color w:val="000000"/>
          <w:kern w:val="24"/>
          <w:szCs w:val="18"/>
          <w:lang w:eastAsia="en-AU"/>
        </w:rPr>
        <w:t>N</w:t>
      </w:r>
      <w:r w:rsidR="002D5168">
        <w:rPr>
          <w:rFonts w:eastAsia="+mn-ea"/>
          <w:color w:val="000000"/>
          <w:kern w:val="24"/>
          <w:szCs w:val="18"/>
          <w:lang w:eastAsia="en-AU"/>
        </w:rPr>
        <w:t>ew South Wales</w:t>
      </w:r>
      <w:r w:rsidR="00693C1B">
        <w:rPr>
          <w:rFonts w:eastAsia="+mn-ea"/>
          <w:color w:val="000000"/>
          <w:kern w:val="24"/>
          <w:szCs w:val="18"/>
          <w:lang w:eastAsia="en-AU"/>
        </w:rPr>
        <w:t>) (2024)</w:t>
      </w:r>
      <w:r w:rsidR="00130271">
        <w:rPr>
          <w:rFonts w:eastAsia="+mn-ea"/>
          <w:color w:val="000000"/>
          <w:kern w:val="24"/>
          <w:szCs w:val="18"/>
          <w:lang w:eastAsia="en-AU"/>
        </w:rPr>
        <w:t>, p</w:t>
      </w:r>
      <w:r w:rsidR="002D5168">
        <w:rPr>
          <w:rFonts w:eastAsia="+mn-ea"/>
          <w:color w:val="000000"/>
          <w:kern w:val="24"/>
          <w:szCs w:val="18"/>
          <w:lang w:eastAsia="en-AU"/>
        </w:rPr>
        <w:t>.</w:t>
      </w:r>
      <w:r w:rsidR="00130271">
        <w:rPr>
          <w:rFonts w:eastAsia="+mn-ea"/>
          <w:color w:val="000000"/>
          <w:kern w:val="24"/>
          <w:szCs w:val="18"/>
          <w:lang w:eastAsia="en-AU"/>
        </w:rPr>
        <w:t xml:space="preserve"> 3</w:t>
      </w:r>
      <w:r w:rsidR="00693C1B">
        <w:rPr>
          <w:rFonts w:eastAsia="+mn-ea"/>
          <w:color w:val="000000"/>
          <w:kern w:val="24"/>
          <w:szCs w:val="18"/>
          <w:lang w:eastAsia="en-AU"/>
        </w:rPr>
        <w:t>; Northern Territory Remuneration Tribunal (2024)</w:t>
      </w:r>
      <w:r w:rsidR="00130271">
        <w:rPr>
          <w:rFonts w:eastAsia="+mn-ea"/>
          <w:color w:val="000000"/>
          <w:kern w:val="24"/>
          <w:szCs w:val="18"/>
          <w:lang w:eastAsia="en-AU"/>
        </w:rPr>
        <w:t>, p</w:t>
      </w:r>
      <w:r w:rsidR="002D5168">
        <w:rPr>
          <w:rFonts w:eastAsia="+mn-ea"/>
          <w:color w:val="000000"/>
          <w:kern w:val="24"/>
          <w:szCs w:val="18"/>
          <w:lang w:eastAsia="en-AU"/>
        </w:rPr>
        <w:t>.</w:t>
      </w:r>
      <w:r w:rsidR="00130271">
        <w:rPr>
          <w:rFonts w:eastAsia="+mn-ea"/>
          <w:color w:val="000000"/>
          <w:kern w:val="24"/>
          <w:szCs w:val="18"/>
          <w:lang w:eastAsia="en-AU"/>
        </w:rPr>
        <w:t xml:space="preserve"> 3</w:t>
      </w:r>
      <w:r w:rsidR="00693C1B">
        <w:rPr>
          <w:rFonts w:eastAsia="+mn-ea"/>
          <w:color w:val="000000"/>
          <w:kern w:val="24"/>
          <w:szCs w:val="18"/>
          <w:lang w:eastAsia="en-AU"/>
        </w:rPr>
        <w:t xml:space="preserve">; </w:t>
      </w:r>
      <w:r w:rsidR="00130271">
        <w:rPr>
          <w:rFonts w:eastAsia="+mn-ea"/>
          <w:color w:val="000000"/>
          <w:kern w:val="24"/>
          <w:szCs w:val="18"/>
          <w:lang w:eastAsia="en-AU"/>
        </w:rPr>
        <w:t>Office of Local Government (</w:t>
      </w:r>
      <w:r w:rsidR="00F76116">
        <w:rPr>
          <w:rFonts w:eastAsia="+mn-ea"/>
          <w:color w:val="000000"/>
          <w:kern w:val="24"/>
          <w:szCs w:val="18"/>
          <w:lang w:eastAsia="en-AU"/>
        </w:rPr>
        <w:t>Tas</w:t>
      </w:r>
      <w:r w:rsidR="002D5168">
        <w:rPr>
          <w:rFonts w:eastAsia="+mn-ea"/>
          <w:color w:val="000000"/>
          <w:kern w:val="24"/>
          <w:szCs w:val="18"/>
          <w:lang w:eastAsia="en-AU"/>
        </w:rPr>
        <w:t>mania</w:t>
      </w:r>
      <w:r w:rsidR="00130271">
        <w:rPr>
          <w:rFonts w:eastAsia="+mn-ea"/>
          <w:color w:val="000000"/>
          <w:kern w:val="24"/>
          <w:szCs w:val="18"/>
          <w:lang w:eastAsia="en-AU"/>
        </w:rPr>
        <w:t>) (2023), p</w:t>
      </w:r>
      <w:r w:rsidR="002D5168">
        <w:rPr>
          <w:rFonts w:eastAsia="+mn-ea"/>
          <w:color w:val="000000"/>
          <w:kern w:val="24"/>
          <w:szCs w:val="18"/>
          <w:lang w:eastAsia="en-AU"/>
        </w:rPr>
        <w:t>.</w:t>
      </w:r>
      <w:r w:rsidR="00BD4C2F">
        <w:rPr>
          <w:rFonts w:eastAsia="+mn-ea"/>
          <w:color w:val="000000"/>
          <w:kern w:val="24"/>
          <w:szCs w:val="18"/>
          <w:lang w:eastAsia="en-AU"/>
        </w:rPr>
        <w:t> </w:t>
      </w:r>
      <w:r w:rsidR="00130271">
        <w:rPr>
          <w:rFonts w:eastAsia="+mn-ea"/>
          <w:color w:val="000000"/>
          <w:kern w:val="24"/>
          <w:szCs w:val="18"/>
          <w:lang w:eastAsia="en-AU"/>
        </w:rPr>
        <w:t xml:space="preserve">1; </w:t>
      </w:r>
      <w:r w:rsidR="00693C1B">
        <w:rPr>
          <w:rFonts w:eastAsia="+mn-ea"/>
          <w:color w:val="000000"/>
          <w:kern w:val="24"/>
          <w:szCs w:val="18"/>
          <w:lang w:eastAsia="en-AU"/>
        </w:rPr>
        <w:t>Salaries and Allowances Tribunal (</w:t>
      </w:r>
      <w:r w:rsidR="00F76116">
        <w:rPr>
          <w:rFonts w:eastAsia="+mn-ea"/>
          <w:color w:val="000000"/>
          <w:kern w:val="24"/>
          <w:szCs w:val="18"/>
          <w:lang w:eastAsia="en-AU"/>
        </w:rPr>
        <w:t>W</w:t>
      </w:r>
      <w:r w:rsidR="002D5168">
        <w:rPr>
          <w:rFonts w:eastAsia="+mn-ea"/>
          <w:color w:val="000000"/>
          <w:kern w:val="24"/>
          <w:szCs w:val="18"/>
          <w:lang w:eastAsia="en-AU"/>
        </w:rPr>
        <w:t>estern Australia</w:t>
      </w:r>
      <w:r w:rsidR="00693C1B">
        <w:rPr>
          <w:rFonts w:eastAsia="+mn-ea"/>
          <w:color w:val="000000"/>
          <w:kern w:val="24"/>
          <w:szCs w:val="18"/>
          <w:lang w:eastAsia="en-AU"/>
        </w:rPr>
        <w:t>) (2024)</w:t>
      </w:r>
      <w:r w:rsidR="00130271">
        <w:rPr>
          <w:rFonts w:eastAsia="+mn-ea"/>
          <w:color w:val="000000"/>
          <w:kern w:val="24"/>
          <w:szCs w:val="18"/>
          <w:lang w:eastAsia="en-AU"/>
        </w:rPr>
        <w:t>, p</w:t>
      </w:r>
      <w:r w:rsidR="002D5168">
        <w:rPr>
          <w:rFonts w:eastAsia="+mn-ea"/>
          <w:color w:val="000000"/>
          <w:kern w:val="24"/>
          <w:szCs w:val="18"/>
          <w:lang w:eastAsia="en-AU"/>
        </w:rPr>
        <w:t>.</w:t>
      </w:r>
      <w:r w:rsidR="00130271">
        <w:rPr>
          <w:rFonts w:eastAsia="+mn-ea"/>
          <w:color w:val="000000"/>
          <w:kern w:val="24"/>
          <w:szCs w:val="18"/>
          <w:lang w:eastAsia="en-AU"/>
        </w:rPr>
        <w:t xml:space="preserve"> 3.</w:t>
      </w:r>
      <w:r w:rsidR="00693C1B">
        <w:rPr>
          <w:rFonts w:eastAsia="+mn-ea"/>
          <w:color w:val="000000"/>
          <w:kern w:val="24"/>
          <w:szCs w:val="18"/>
          <w:lang w:eastAsia="en-AU"/>
        </w:rPr>
        <w:t xml:space="preserve"> </w:t>
      </w:r>
    </w:p>
    <w:p w14:paraId="5E1ECD97" w14:textId="3724DC7D" w:rsidR="000E4B2B" w:rsidRPr="00302AF5" w:rsidRDefault="000E4B2B" w:rsidP="000E4B2B">
      <w:pPr>
        <w:pStyle w:val="03VIRTHeading3"/>
      </w:pPr>
      <w:r w:rsidRPr="00302AF5">
        <w:t>Tribunal’s 202</w:t>
      </w:r>
      <w:r w:rsidR="008E2800">
        <w:t>4 Annual Adjustment</w:t>
      </w:r>
      <w:r w:rsidRPr="00302AF5">
        <w:t xml:space="preserve"> Determination of MP salaries and allowances</w:t>
      </w:r>
    </w:p>
    <w:p w14:paraId="5EC202E7" w14:textId="4B3B7A19" w:rsidR="000E4B2B" w:rsidRPr="00FC120E" w:rsidRDefault="001D7B21" w:rsidP="000E4B2B">
      <w:pPr>
        <w:pStyle w:val="05Paragraph"/>
        <w:rPr>
          <w:rFonts w:cs="Calibri Light"/>
        </w:rPr>
      </w:pPr>
      <w:r>
        <w:rPr>
          <w:rFonts w:cs="Calibri Light"/>
        </w:rPr>
        <w:t>As a reference point, t</w:t>
      </w:r>
      <w:r w:rsidR="00B407C2" w:rsidRPr="00FC120E">
        <w:rPr>
          <w:rFonts w:cs="Calibri Light"/>
        </w:rPr>
        <w:t xml:space="preserve">he Tribunal’s </w:t>
      </w:r>
      <w:r w:rsidR="000E4B2B" w:rsidRPr="00FC120E">
        <w:rPr>
          <w:rFonts w:cs="Calibri Light"/>
          <w:i/>
        </w:rPr>
        <w:t xml:space="preserve">Members of Parliament (Victoria) </w:t>
      </w:r>
      <w:r w:rsidR="00F25908" w:rsidRPr="00FC120E">
        <w:rPr>
          <w:rFonts w:cs="Calibri Light"/>
          <w:i/>
        </w:rPr>
        <w:t xml:space="preserve">Annual Adjustment </w:t>
      </w:r>
      <w:r w:rsidR="000E4B2B" w:rsidRPr="00FC120E">
        <w:rPr>
          <w:rFonts w:cs="Calibri Light"/>
          <w:i/>
        </w:rPr>
        <w:t>Determination 202</w:t>
      </w:r>
      <w:r w:rsidR="00F25908" w:rsidRPr="00FC120E">
        <w:rPr>
          <w:rFonts w:cs="Calibri Light"/>
          <w:i/>
        </w:rPr>
        <w:t>4</w:t>
      </w:r>
      <w:r w:rsidR="000E4B2B" w:rsidRPr="00FC120E">
        <w:rPr>
          <w:rFonts w:cs="Calibri Light"/>
        </w:rPr>
        <w:t xml:space="preserve"> increase</w:t>
      </w:r>
      <w:r>
        <w:rPr>
          <w:rFonts w:cs="Calibri Light"/>
        </w:rPr>
        <w:t>d</w:t>
      </w:r>
      <w:r w:rsidR="000E4B2B" w:rsidRPr="00FC120E" w:rsidDel="001D7B21">
        <w:rPr>
          <w:rFonts w:cs="Calibri Light"/>
        </w:rPr>
        <w:t xml:space="preserve"> </w:t>
      </w:r>
      <w:r w:rsidR="000E4B2B" w:rsidRPr="00FC120E">
        <w:rPr>
          <w:rFonts w:cs="Calibri Light"/>
        </w:rPr>
        <w:t xml:space="preserve">the value of </w:t>
      </w:r>
      <w:r w:rsidR="006148E4" w:rsidRPr="00FC120E">
        <w:rPr>
          <w:rFonts w:cs="Calibri Light"/>
        </w:rPr>
        <w:t xml:space="preserve">salaries payable </w:t>
      </w:r>
      <w:r w:rsidR="00B870C5" w:rsidRPr="00FC120E">
        <w:rPr>
          <w:rFonts w:cs="Calibri Light"/>
        </w:rPr>
        <w:t>to</w:t>
      </w:r>
      <w:r w:rsidR="000E4B2B" w:rsidRPr="00FC120E">
        <w:rPr>
          <w:rFonts w:cs="Calibri Light"/>
        </w:rPr>
        <w:t xml:space="preserve"> MPs </w:t>
      </w:r>
      <w:r w:rsidR="00E05DC2">
        <w:rPr>
          <w:rFonts w:cs="Calibri Light"/>
        </w:rPr>
        <w:t>by</w:t>
      </w:r>
      <w:r w:rsidR="000E4B2B" w:rsidRPr="00FC120E">
        <w:rPr>
          <w:rFonts w:cs="Calibri Light"/>
        </w:rPr>
        <w:t xml:space="preserve"> 3.5 per cent, effect</w:t>
      </w:r>
      <w:r w:rsidR="006148E4" w:rsidRPr="00FC120E">
        <w:rPr>
          <w:rFonts w:cs="Calibri Light"/>
        </w:rPr>
        <w:t>ive</w:t>
      </w:r>
      <w:r w:rsidR="000E4B2B" w:rsidRPr="00FC120E">
        <w:rPr>
          <w:rFonts w:cs="Calibri Light"/>
        </w:rPr>
        <w:t xml:space="preserve"> from 1 July 202</w:t>
      </w:r>
      <w:r w:rsidR="00872AC9" w:rsidRPr="00FC120E">
        <w:rPr>
          <w:rFonts w:cs="Calibri Light"/>
        </w:rPr>
        <w:t>4</w:t>
      </w:r>
      <w:r w:rsidR="000E4B2B" w:rsidRPr="00FC120E">
        <w:rPr>
          <w:rFonts w:cs="Calibri Light"/>
        </w:rPr>
        <w:t>.</w:t>
      </w:r>
      <w:r w:rsidR="000E4B2B" w:rsidRPr="00FC120E">
        <w:rPr>
          <w:rStyle w:val="FootnoteReference"/>
          <w:rFonts w:cs="Calibri Light"/>
        </w:rPr>
        <w:footnoteReference w:id="25"/>
      </w:r>
    </w:p>
    <w:p w14:paraId="53F64B15" w14:textId="5E8D9ED2" w:rsidR="000E4B2B" w:rsidRPr="00302AF5" w:rsidRDefault="00C46A11" w:rsidP="000E4B2B">
      <w:pPr>
        <w:pStyle w:val="03VIRTHeading3"/>
      </w:pPr>
      <w:r>
        <w:t>Council r</w:t>
      </w:r>
      <w:r w:rsidR="000E4B2B" w:rsidRPr="00302AF5">
        <w:t>ate cap</w:t>
      </w:r>
      <w:r>
        <w:t xml:space="preserve"> for 2024-25</w:t>
      </w:r>
    </w:p>
    <w:p w14:paraId="26F7BCBF" w14:textId="53492D0C" w:rsidR="002D6021" w:rsidRPr="00FC120E" w:rsidRDefault="000E4B2B" w:rsidP="00291028">
      <w:pPr>
        <w:pStyle w:val="05Paragraph"/>
        <w:rPr>
          <w:rFonts w:cs="Calibri Light"/>
        </w:rPr>
      </w:pPr>
      <w:r w:rsidRPr="00FC120E">
        <w:rPr>
          <w:rFonts w:cs="Calibri Light"/>
        </w:rPr>
        <w:t>In December 202</w:t>
      </w:r>
      <w:r w:rsidR="003F21EB" w:rsidRPr="00FC120E">
        <w:rPr>
          <w:rFonts w:cs="Calibri Light"/>
        </w:rPr>
        <w:t>3</w:t>
      </w:r>
      <w:r w:rsidRPr="00FC120E">
        <w:rPr>
          <w:rFonts w:cs="Calibri Light"/>
        </w:rPr>
        <w:t xml:space="preserve">, the Victorian Government announced a rate cap of </w:t>
      </w:r>
      <w:r w:rsidR="001D6140" w:rsidRPr="00FC120E">
        <w:rPr>
          <w:rFonts w:cs="Calibri Light"/>
        </w:rPr>
        <w:t>2.75</w:t>
      </w:r>
      <w:r w:rsidRPr="00FC120E">
        <w:rPr>
          <w:rFonts w:cs="Calibri Light"/>
        </w:rPr>
        <w:t xml:space="preserve"> per cent for </w:t>
      </w:r>
      <w:r w:rsidR="0002519C" w:rsidRPr="00FC120E">
        <w:rPr>
          <w:rFonts w:cs="Calibri Light"/>
        </w:rPr>
        <w:t xml:space="preserve">the </w:t>
      </w:r>
      <w:r w:rsidRPr="00FC120E">
        <w:rPr>
          <w:rFonts w:cs="Calibri Light"/>
        </w:rPr>
        <w:t>202</w:t>
      </w:r>
      <w:r w:rsidR="0002519C" w:rsidRPr="00FC120E">
        <w:rPr>
          <w:rFonts w:cs="Calibri Light"/>
        </w:rPr>
        <w:t>4</w:t>
      </w:r>
      <w:r w:rsidRPr="00FC120E">
        <w:rPr>
          <w:rFonts w:cs="Calibri Light"/>
        </w:rPr>
        <w:t>-2</w:t>
      </w:r>
      <w:r w:rsidR="0002519C" w:rsidRPr="00FC120E">
        <w:rPr>
          <w:rFonts w:cs="Calibri Light"/>
        </w:rPr>
        <w:t>5 financial year</w:t>
      </w:r>
      <w:r w:rsidR="00C652D3" w:rsidRPr="00FC120E">
        <w:rPr>
          <w:rFonts w:cs="Calibri Light"/>
        </w:rPr>
        <w:t>,</w:t>
      </w:r>
      <w:r w:rsidR="001D6140" w:rsidRPr="00FC120E">
        <w:rPr>
          <w:rFonts w:cs="Calibri Light"/>
        </w:rPr>
        <w:t xml:space="preserve"> </w:t>
      </w:r>
      <w:r w:rsidR="00B6651A" w:rsidRPr="00FC120E">
        <w:rPr>
          <w:rFonts w:cs="Calibri Light"/>
        </w:rPr>
        <w:t xml:space="preserve">on </w:t>
      </w:r>
      <w:r w:rsidR="00CC3D6D">
        <w:rPr>
          <w:rFonts w:cs="Calibri Light"/>
        </w:rPr>
        <w:t xml:space="preserve">the </w:t>
      </w:r>
      <w:r w:rsidR="00B6651A" w:rsidRPr="00FC120E">
        <w:rPr>
          <w:rFonts w:cs="Calibri Light"/>
        </w:rPr>
        <w:t xml:space="preserve">recommendation </w:t>
      </w:r>
      <w:r w:rsidR="0071456B" w:rsidRPr="00FC120E">
        <w:rPr>
          <w:rFonts w:cs="Calibri Light"/>
        </w:rPr>
        <w:t>of</w:t>
      </w:r>
      <w:r w:rsidR="00B6651A" w:rsidRPr="00FC120E">
        <w:rPr>
          <w:rFonts w:cs="Calibri Light"/>
        </w:rPr>
        <w:t xml:space="preserve"> the Essential Services Commission</w:t>
      </w:r>
      <w:r w:rsidR="00291028" w:rsidRPr="00FC120E">
        <w:rPr>
          <w:rFonts w:cs="Calibri Light"/>
        </w:rPr>
        <w:t xml:space="preserve"> (ESC)</w:t>
      </w:r>
      <w:r w:rsidRPr="00FC120E">
        <w:rPr>
          <w:rFonts w:cs="Calibri Light"/>
        </w:rPr>
        <w:t>. This is the maximum amount by which a Council can increase general rates and municipal charges in 202</w:t>
      </w:r>
      <w:r w:rsidR="004E7696" w:rsidRPr="00FC120E">
        <w:rPr>
          <w:rFonts w:cs="Calibri Light"/>
        </w:rPr>
        <w:t>4</w:t>
      </w:r>
      <w:r w:rsidRPr="00FC120E">
        <w:rPr>
          <w:rFonts w:cs="Calibri Light"/>
        </w:rPr>
        <w:t>-2</w:t>
      </w:r>
      <w:r w:rsidR="004E7696" w:rsidRPr="00FC120E">
        <w:rPr>
          <w:rFonts w:cs="Calibri Light"/>
        </w:rPr>
        <w:t>5</w:t>
      </w:r>
      <w:r w:rsidRPr="00FC120E">
        <w:rPr>
          <w:rFonts w:cs="Calibri Light"/>
        </w:rPr>
        <w:t>.</w:t>
      </w:r>
      <w:r w:rsidR="006F4FD4" w:rsidRPr="006F4FD4">
        <w:rPr>
          <w:rStyle w:val="FootnoteReference"/>
          <w:rFonts w:cs="Calibri Light"/>
        </w:rPr>
        <w:t xml:space="preserve"> </w:t>
      </w:r>
      <w:r w:rsidR="006F4FD4" w:rsidRPr="00FC120E">
        <w:rPr>
          <w:rStyle w:val="FootnoteReference"/>
          <w:rFonts w:cs="Calibri Light"/>
        </w:rPr>
        <w:footnoteReference w:id="26"/>
      </w:r>
      <w:r w:rsidR="00840CE7">
        <w:rPr>
          <w:rFonts w:cs="Calibri Light"/>
        </w:rPr>
        <w:t xml:space="preserve"> </w:t>
      </w:r>
      <w:r w:rsidR="003A4678" w:rsidRPr="00FC120E">
        <w:rPr>
          <w:rFonts w:cs="Calibri Light"/>
        </w:rPr>
        <w:t xml:space="preserve">Councils </w:t>
      </w:r>
      <w:r w:rsidR="00EE028F" w:rsidRPr="00FC120E">
        <w:rPr>
          <w:rFonts w:cs="Calibri Light"/>
        </w:rPr>
        <w:t>ha</w:t>
      </w:r>
      <w:r w:rsidR="00677EC6" w:rsidRPr="00FC120E">
        <w:rPr>
          <w:rFonts w:cs="Calibri Light"/>
        </w:rPr>
        <w:t>d</w:t>
      </w:r>
      <w:r w:rsidR="00EE028F" w:rsidRPr="00FC120E">
        <w:rPr>
          <w:rFonts w:cs="Calibri Light"/>
        </w:rPr>
        <w:t xml:space="preserve"> until 31 March</w:t>
      </w:r>
      <w:r w:rsidR="00677EC6" w:rsidRPr="00FC120E">
        <w:rPr>
          <w:rFonts w:cs="Calibri Light"/>
        </w:rPr>
        <w:t xml:space="preserve"> 2024</w:t>
      </w:r>
      <w:r w:rsidR="00EE028F" w:rsidRPr="00FC120E">
        <w:rPr>
          <w:rFonts w:cs="Calibri Light"/>
        </w:rPr>
        <w:t xml:space="preserve"> </w:t>
      </w:r>
      <w:r w:rsidR="00FD4494" w:rsidRPr="00FC120E">
        <w:rPr>
          <w:rFonts w:cs="Calibri Light"/>
        </w:rPr>
        <w:t>to</w:t>
      </w:r>
      <w:r w:rsidR="003A4678" w:rsidRPr="00FC120E">
        <w:rPr>
          <w:rFonts w:cs="Calibri Light"/>
        </w:rPr>
        <w:t xml:space="preserve"> apply to the </w:t>
      </w:r>
      <w:r w:rsidR="00291028" w:rsidRPr="00FC120E">
        <w:rPr>
          <w:rFonts w:cs="Calibri Light"/>
        </w:rPr>
        <w:t>ESC</w:t>
      </w:r>
      <w:r w:rsidR="00FD4494" w:rsidRPr="00FC120E">
        <w:rPr>
          <w:rFonts w:cs="Calibri Light"/>
        </w:rPr>
        <w:t xml:space="preserve"> for a higher rate cap</w:t>
      </w:r>
      <w:r w:rsidR="007768E3" w:rsidRPr="00FC120E">
        <w:rPr>
          <w:rFonts w:cs="Calibri Light"/>
        </w:rPr>
        <w:t xml:space="preserve"> if </w:t>
      </w:r>
      <w:r w:rsidR="00601479" w:rsidRPr="00FC120E">
        <w:rPr>
          <w:rFonts w:cs="Calibri Light"/>
        </w:rPr>
        <w:t>it</w:t>
      </w:r>
      <w:r w:rsidR="000F2130" w:rsidRPr="00FC120E">
        <w:rPr>
          <w:rFonts w:cs="Calibri Light"/>
        </w:rPr>
        <w:t xml:space="preserve"> d</w:t>
      </w:r>
      <w:r w:rsidR="00677EC6" w:rsidRPr="00FC120E">
        <w:rPr>
          <w:rFonts w:cs="Calibri Light"/>
        </w:rPr>
        <w:t>id</w:t>
      </w:r>
      <w:r w:rsidR="000F2130" w:rsidRPr="00FC120E">
        <w:rPr>
          <w:rFonts w:cs="Calibri Light"/>
        </w:rPr>
        <w:t xml:space="preserve"> not meet </w:t>
      </w:r>
      <w:r w:rsidR="00601479" w:rsidRPr="00FC120E">
        <w:rPr>
          <w:rFonts w:cs="Calibri Light"/>
        </w:rPr>
        <w:t>their</w:t>
      </w:r>
      <w:r w:rsidR="000F2130" w:rsidRPr="00FC120E">
        <w:rPr>
          <w:rFonts w:cs="Calibri Light"/>
        </w:rPr>
        <w:t xml:space="preserve"> needs</w:t>
      </w:r>
      <w:r w:rsidR="00FD4494" w:rsidRPr="00FC120E">
        <w:rPr>
          <w:rFonts w:cs="Calibri Light"/>
        </w:rPr>
        <w:t>.</w:t>
      </w:r>
      <w:r w:rsidR="00280DDA">
        <w:rPr>
          <w:rStyle w:val="FootnoteReference"/>
          <w:rFonts w:cs="Calibri Light"/>
        </w:rPr>
        <w:footnoteReference w:id="27"/>
      </w:r>
      <w:r w:rsidR="004048DB" w:rsidRPr="00FC120E">
        <w:rPr>
          <w:rFonts w:cs="Calibri Light"/>
        </w:rPr>
        <w:t xml:space="preserve"> There </w:t>
      </w:r>
      <w:r w:rsidR="00840CE7">
        <w:rPr>
          <w:rFonts w:cs="Calibri Light"/>
        </w:rPr>
        <w:t>were</w:t>
      </w:r>
      <w:r w:rsidR="006E4E0B" w:rsidRPr="00FC120E">
        <w:rPr>
          <w:rFonts w:cs="Calibri Light"/>
        </w:rPr>
        <w:t xml:space="preserve"> no </w:t>
      </w:r>
      <w:r w:rsidR="006E1F53" w:rsidRPr="00FC120E">
        <w:rPr>
          <w:rFonts w:cs="Calibri Light"/>
        </w:rPr>
        <w:t xml:space="preserve">applications for a higher </w:t>
      </w:r>
      <w:r w:rsidR="006E4E0B" w:rsidRPr="00FC120E">
        <w:rPr>
          <w:rFonts w:cs="Calibri Light"/>
        </w:rPr>
        <w:t>cap</w:t>
      </w:r>
      <w:r w:rsidR="006E1F53" w:rsidRPr="00FC120E">
        <w:rPr>
          <w:rFonts w:cs="Calibri Light"/>
        </w:rPr>
        <w:t xml:space="preserve"> for the 2024-25 financial year</w:t>
      </w:r>
      <w:r w:rsidR="00291028" w:rsidRPr="00FC120E">
        <w:rPr>
          <w:rFonts w:cs="Calibri Light"/>
        </w:rPr>
        <w:t>.</w:t>
      </w:r>
      <w:r w:rsidR="007768E3" w:rsidRPr="00FC120E">
        <w:rPr>
          <w:rStyle w:val="FootnoteReference"/>
          <w:rFonts w:cs="Calibri Light"/>
        </w:rPr>
        <w:footnoteReference w:id="28"/>
      </w:r>
    </w:p>
    <w:p w14:paraId="19D6A627" w14:textId="23AD4371" w:rsidR="007C3312" w:rsidRDefault="00342D31" w:rsidP="00C657CF">
      <w:pPr>
        <w:pStyle w:val="03VIRTHeading3"/>
      </w:pPr>
      <w:r>
        <w:t>Council financ</w:t>
      </w:r>
      <w:r w:rsidR="00EE384F">
        <w:t>ial performance</w:t>
      </w:r>
    </w:p>
    <w:p w14:paraId="435AADB3" w14:textId="5B210679" w:rsidR="00263A84" w:rsidRPr="00FC120E" w:rsidRDefault="0096574C" w:rsidP="00836F57">
      <w:pPr>
        <w:pStyle w:val="05Paragraph"/>
        <w:rPr>
          <w:rStyle w:val="normaltextrun"/>
          <w:rFonts w:cs="Calibri Light"/>
          <w:color w:val="000000"/>
          <w:position w:val="3"/>
          <w:szCs w:val="26"/>
        </w:rPr>
      </w:pPr>
      <w:r w:rsidRPr="00FC120E">
        <w:rPr>
          <w:rStyle w:val="normaltextrun"/>
          <w:rFonts w:cs="Calibri Light"/>
          <w:color w:val="000000"/>
          <w:position w:val="3"/>
          <w:szCs w:val="26"/>
        </w:rPr>
        <w:t xml:space="preserve">Each year, the Victorian Auditor-General’s Office (VAGO) conducts an audit of the local government sector, including an assessment of Councils’ financial performance. </w:t>
      </w:r>
      <w:r w:rsidR="00336E28" w:rsidRPr="00FC120E">
        <w:rPr>
          <w:rStyle w:val="normaltextrun"/>
          <w:rFonts w:cs="Calibri Light"/>
          <w:color w:val="000000"/>
          <w:position w:val="3"/>
          <w:szCs w:val="26"/>
        </w:rPr>
        <w:t xml:space="preserve">In March 2024, </w:t>
      </w:r>
      <w:r w:rsidR="0058538F">
        <w:rPr>
          <w:rStyle w:val="normaltextrun"/>
          <w:rFonts w:cs="Calibri Light"/>
          <w:color w:val="000000"/>
          <w:position w:val="3"/>
          <w:szCs w:val="26"/>
        </w:rPr>
        <w:t>VAGO</w:t>
      </w:r>
      <w:r w:rsidR="00336E28">
        <w:rPr>
          <w:rStyle w:val="normaltextrun"/>
          <w:rFonts w:cs="Calibri Light"/>
          <w:color w:val="000000"/>
          <w:position w:val="3"/>
          <w:szCs w:val="26"/>
        </w:rPr>
        <w:t xml:space="preserve"> </w:t>
      </w:r>
      <w:r w:rsidR="00336E28" w:rsidRPr="00FC120E">
        <w:rPr>
          <w:rStyle w:val="normaltextrun"/>
          <w:rFonts w:cs="Calibri Light"/>
          <w:color w:val="000000"/>
          <w:position w:val="3"/>
          <w:szCs w:val="26"/>
        </w:rPr>
        <w:t xml:space="preserve">published </w:t>
      </w:r>
      <w:r w:rsidR="0058538F">
        <w:rPr>
          <w:rStyle w:val="normaltextrun"/>
          <w:rFonts w:cs="Calibri Light"/>
          <w:color w:val="000000"/>
          <w:position w:val="3"/>
          <w:szCs w:val="26"/>
        </w:rPr>
        <w:t>its</w:t>
      </w:r>
      <w:r w:rsidR="00336E28" w:rsidRPr="00FC120E">
        <w:rPr>
          <w:rStyle w:val="normaltextrun"/>
          <w:rFonts w:cs="Calibri Light"/>
          <w:color w:val="000000"/>
          <w:position w:val="3"/>
          <w:szCs w:val="26"/>
        </w:rPr>
        <w:t xml:space="preserve"> </w:t>
      </w:r>
      <w:r w:rsidR="00035288" w:rsidRPr="00FC120E">
        <w:rPr>
          <w:rStyle w:val="normaltextrun"/>
          <w:rFonts w:cs="Calibri Light"/>
          <w:color w:val="000000"/>
          <w:position w:val="3"/>
          <w:szCs w:val="26"/>
        </w:rPr>
        <w:t>report for the 2022-23</w:t>
      </w:r>
      <w:r w:rsidR="00112DB5" w:rsidRPr="00FC120E">
        <w:rPr>
          <w:rStyle w:val="normaltextrun"/>
          <w:rFonts w:cs="Calibri Light"/>
          <w:color w:val="000000"/>
          <w:position w:val="3"/>
          <w:szCs w:val="26"/>
        </w:rPr>
        <w:t xml:space="preserve"> financial year.</w:t>
      </w:r>
      <w:r w:rsidR="001F0748" w:rsidRPr="00FC120E">
        <w:rPr>
          <w:rStyle w:val="FootnoteReference"/>
          <w:rFonts w:cs="Calibri Light"/>
          <w:color w:val="000000"/>
          <w:position w:val="3"/>
          <w:szCs w:val="26"/>
        </w:rPr>
        <w:footnoteReference w:id="29"/>
      </w:r>
      <w:r w:rsidR="00840CE7">
        <w:rPr>
          <w:rStyle w:val="normaltextrun"/>
          <w:rFonts w:cs="Calibri Light"/>
          <w:color w:val="000000"/>
          <w:position w:val="3"/>
          <w:szCs w:val="26"/>
        </w:rPr>
        <w:t xml:space="preserve"> </w:t>
      </w:r>
      <w:r w:rsidR="00D032BB" w:rsidRPr="00FC120E">
        <w:rPr>
          <w:rStyle w:val="normaltextrun"/>
          <w:rFonts w:cs="Calibri Light"/>
          <w:color w:val="000000"/>
          <w:position w:val="3"/>
          <w:szCs w:val="26"/>
        </w:rPr>
        <w:t>VAGO</w:t>
      </w:r>
      <w:r w:rsidRPr="00FC120E">
        <w:rPr>
          <w:rStyle w:val="normaltextrun"/>
          <w:rFonts w:cs="Calibri Light"/>
          <w:color w:val="000000"/>
          <w:position w:val="3"/>
          <w:szCs w:val="26"/>
        </w:rPr>
        <w:t xml:space="preserve"> observed that Councils’ balance sheets remain strong and that their financial health is sound over the short-term.</w:t>
      </w:r>
      <w:r w:rsidRPr="00FC120E">
        <w:rPr>
          <w:rStyle w:val="eop"/>
          <w:rFonts w:cs="Calibri Light"/>
          <w:szCs w:val="26"/>
          <w:lang w:val="en-US"/>
        </w:rPr>
        <w:t>​</w:t>
      </w:r>
      <w:r w:rsidR="00612CE6" w:rsidRPr="00FC120E">
        <w:rPr>
          <w:rStyle w:val="eop"/>
          <w:rFonts w:cs="Calibri Light"/>
          <w:szCs w:val="26"/>
          <w:lang w:val="en-US"/>
        </w:rPr>
        <w:t xml:space="preserve"> </w:t>
      </w:r>
      <w:r w:rsidRPr="00FC120E">
        <w:rPr>
          <w:rStyle w:val="normaltextrun"/>
          <w:rFonts w:cs="Calibri Light"/>
          <w:color w:val="000000"/>
          <w:position w:val="3"/>
          <w:szCs w:val="26"/>
        </w:rPr>
        <w:t>However, VAGO also noted that Councils face longer term challenges, including</w:t>
      </w:r>
      <w:r w:rsidR="00263A84" w:rsidRPr="00FC120E">
        <w:rPr>
          <w:rStyle w:val="normaltextrun"/>
          <w:rFonts w:cs="Calibri Light"/>
          <w:color w:val="000000"/>
          <w:position w:val="3"/>
          <w:szCs w:val="26"/>
        </w:rPr>
        <w:t>:</w:t>
      </w:r>
      <w:r w:rsidR="00EE384F" w:rsidRPr="00FC120E">
        <w:rPr>
          <w:rStyle w:val="normaltextrun"/>
          <w:rFonts w:cs="Calibri Light"/>
          <w:color w:val="000000"/>
          <w:position w:val="3"/>
          <w:szCs w:val="26"/>
        </w:rPr>
        <w:t xml:space="preserve"> </w:t>
      </w:r>
    </w:p>
    <w:p w14:paraId="4003B323" w14:textId="68FADC5D" w:rsidR="00D46FEE" w:rsidRPr="00FC120E" w:rsidRDefault="0096574C" w:rsidP="00836F57">
      <w:pPr>
        <w:pStyle w:val="06VIRTBulletpoints"/>
        <w:rPr>
          <w:rStyle w:val="eop"/>
          <w:rFonts w:cs="Calibri Light"/>
        </w:rPr>
      </w:pPr>
      <w:r w:rsidRPr="00FC120E">
        <w:rPr>
          <w:rStyle w:val="normaltextrun"/>
          <w:rFonts w:cs="Calibri Light"/>
        </w:rPr>
        <w:t>variability in government funding</w:t>
      </w:r>
      <w:r w:rsidRPr="00FC120E">
        <w:rPr>
          <w:rStyle w:val="eop"/>
          <w:rFonts w:cs="Calibri Light"/>
        </w:rPr>
        <w:t>​</w:t>
      </w:r>
    </w:p>
    <w:p w14:paraId="2B0E5F5D" w14:textId="5E1C8EDD" w:rsidR="00D46FEE" w:rsidRPr="00FC120E" w:rsidRDefault="0096574C" w:rsidP="00836F57">
      <w:pPr>
        <w:pStyle w:val="06VIRTBulletpoints"/>
        <w:rPr>
          <w:rStyle w:val="eop"/>
          <w:rFonts w:cs="Calibri Light"/>
        </w:rPr>
      </w:pPr>
      <w:r w:rsidRPr="00FC120E">
        <w:rPr>
          <w:rStyle w:val="normaltextrun"/>
          <w:rFonts w:cs="Calibri Light"/>
        </w:rPr>
        <w:t>constraints on their ability to generate own-source revenue (rate caps)</w:t>
      </w:r>
    </w:p>
    <w:p w14:paraId="36A34482" w14:textId="6BA8BE94" w:rsidR="00D46FEE" w:rsidRPr="00FC120E" w:rsidRDefault="0096574C" w:rsidP="00836F57">
      <w:pPr>
        <w:pStyle w:val="06VIRTBulletpoints"/>
        <w:rPr>
          <w:rStyle w:val="normaltextrun"/>
          <w:rFonts w:cs="Calibri Light"/>
        </w:rPr>
      </w:pPr>
      <w:r w:rsidRPr="00FC120E">
        <w:rPr>
          <w:rStyle w:val="normaltextrun"/>
          <w:rFonts w:cs="Calibri Light"/>
        </w:rPr>
        <w:t>increased costs due to inflatio</w:t>
      </w:r>
      <w:r w:rsidR="00677EC6" w:rsidRPr="00FC120E">
        <w:rPr>
          <w:rStyle w:val="normaltextrun"/>
          <w:rFonts w:cs="Calibri Light"/>
        </w:rPr>
        <w:t>n</w:t>
      </w:r>
    </w:p>
    <w:p w14:paraId="6453B08C" w14:textId="77777777" w:rsidR="00677EC6" w:rsidRPr="00FC120E" w:rsidRDefault="00D46FEE" w:rsidP="000F46A7">
      <w:pPr>
        <w:pStyle w:val="06VIRTBulletpoints"/>
        <w:rPr>
          <w:rStyle w:val="eop"/>
          <w:rFonts w:cs="Calibri Light"/>
        </w:rPr>
      </w:pPr>
      <w:r w:rsidRPr="00FC120E">
        <w:rPr>
          <w:rStyle w:val="normaltextrun"/>
          <w:rFonts w:cs="Calibri Light"/>
        </w:rPr>
        <w:t xml:space="preserve">increased </w:t>
      </w:r>
      <w:r w:rsidR="0096574C" w:rsidRPr="00FC120E">
        <w:rPr>
          <w:rStyle w:val="normaltextrun"/>
          <w:rFonts w:cs="Calibri Light"/>
        </w:rPr>
        <w:t>demand for services due to population growth.</w:t>
      </w:r>
      <w:r w:rsidR="0096574C" w:rsidRPr="00FC120E">
        <w:rPr>
          <w:rStyle w:val="eop"/>
          <w:rFonts w:cs="Calibri Light"/>
        </w:rPr>
        <w:t>​</w:t>
      </w:r>
    </w:p>
    <w:p w14:paraId="0BA18E9F" w14:textId="77777777" w:rsidR="00992672" w:rsidRPr="007C3312" w:rsidRDefault="00992672" w:rsidP="002B7A38">
      <w:pPr>
        <w:pStyle w:val="03VIRTHeading3"/>
        <w:keepNext w:val="0"/>
      </w:pPr>
      <w:r w:rsidRPr="007C3312">
        <w:t>Annual Wage Review Decision 202</w:t>
      </w:r>
      <w:r>
        <w:t>3</w:t>
      </w:r>
      <w:r w:rsidRPr="007C3312">
        <w:t>-2</w:t>
      </w:r>
      <w:r>
        <w:t>4</w:t>
      </w:r>
    </w:p>
    <w:p w14:paraId="4FE9197E" w14:textId="5FD20C95" w:rsidR="00992672" w:rsidRPr="002F0C3E" w:rsidRDefault="00992672" w:rsidP="00992672">
      <w:pPr>
        <w:pStyle w:val="05Paragraph"/>
        <w:rPr>
          <w:rFonts w:cs="Calibri Light"/>
        </w:rPr>
      </w:pPr>
      <w:r w:rsidRPr="002F0C3E">
        <w:rPr>
          <w:rFonts w:cs="Calibri Light"/>
        </w:rPr>
        <w:t xml:space="preserve">The Fair Work Commission’s (FWC) </w:t>
      </w:r>
      <w:r w:rsidRPr="002F0C3E">
        <w:rPr>
          <w:rFonts w:cs="Calibri Light"/>
          <w:i/>
        </w:rPr>
        <w:t>Annual Wage Review 2023-24</w:t>
      </w:r>
      <w:r w:rsidRPr="002F0C3E">
        <w:rPr>
          <w:rFonts w:cs="Calibri Light"/>
        </w:rPr>
        <w:t xml:space="preserve"> decision increased the National Minimum Wage and all modern award minimum wages by 3.75 per cent with effect from 1 July 2024.</w:t>
      </w:r>
      <w:r w:rsidRPr="002F0C3E">
        <w:rPr>
          <w:rStyle w:val="FootnoteReference"/>
          <w:rFonts w:cs="Calibri Light"/>
        </w:rPr>
        <w:footnoteReference w:id="30"/>
      </w:r>
    </w:p>
    <w:p w14:paraId="0FA1FA83" w14:textId="3C112D7F" w:rsidR="00625D3D" w:rsidRDefault="00625D3D" w:rsidP="006C58A5">
      <w:pPr>
        <w:pStyle w:val="05Paragraph"/>
      </w:pPr>
      <w:bookmarkStart w:id="68" w:name="_Toc166014303"/>
      <w:r>
        <w:br w:type="page"/>
      </w:r>
    </w:p>
    <w:p w14:paraId="08F43E53" w14:textId="1ED67000" w:rsidR="00BA4C65" w:rsidRPr="00BA4C65" w:rsidRDefault="004B4961" w:rsidP="00BA4C65">
      <w:pPr>
        <w:pStyle w:val="Style4"/>
      </w:pPr>
      <w:bookmarkStart w:id="69" w:name="_Toc169172616"/>
      <w:bookmarkStart w:id="70" w:name="_Toc170383522"/>
      <w:bookmarkEnd w:id="68"/>
      <w:r w:rsidRPr="00BA4C65">
        <w:rPr>
          <w:rStyle w:val="01ChapterheadingChar"/>
        </w:rPr>
        <w:t>3</w:t>
      </w:r>
      <w:r w:rsidR="005E1AA2" w:rsidRPr="00BA4C65">
        <w:rPr>
          <w:rStyle w:val="01ChapterheadingChar"/>
        </w:rPr>
        <w:tab/>
      </w:r>
      <w:r w:rsidR="00E30202" w:rsidRPr="00BA4C65">
        <w:rPr>
          <w:rStyle w:val="01ChapterheadingChar"/>
        </w:rPr>
        <w:t xml:space="preserve">Tribunal’s </w:t>
      </w:r>
      <w:r w:rsidR="00EF76BE" w:rsidRPr="00BA4C65">
        <w:rPr>
          <w:rStyle w:val="01ChapterheadingChar"/>
        </w:rPr>
        <w:t>decision</w:t>
      </w:r>
      <w:r w:rsidR="00CE1BB1">
        <w:rPr>
          <w:rStyle w:val="01ChapterheadingChar"/>
        </w:rPr>
        <w:t>s</w:t>
      </w:r>
      <w:bookmarkEnd w:id="69"/>
      <w:bookmarkEnd w:id="70"/>
      <w:r w:rsidR="00BA4C65">
        <w:br w:type="textWrapping" w:clear="all"/>
      </w:r>
      <w:r w:rsidR="00BA4C65" w:rsidRPr="00BA4C65">
        <w:rPr>
          <w:noProof/>
        </w:rPr>
        <w:drawing>
          <wp:inline distT="0" distB="0" distL="0" distR="0" wp14:anchorId="16D748DC" wp14:editId="5C12D26C">
            <wp:extent cx="2212975" cy="255905"/>
            <wp:effectExtent l="0" t="0" r="0" b="0"/>
            <wp:docPr id="1611693937" name="Picture 161169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6">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33933095" w14:textId="4320935F" w:rsidR="002827DD" w:rsidRDefault="002827DD" w:rsidP="002827DD">
      <w:pPr>
        <w:pStyle w:val="02VIRTHeading2"/>
      </w:pPr>
      <w:bookmarkStart w:id="71" w:name="_Toc166014304"/>
      <w:bookmarkStart w:id="72" w:name="_Toc169172617"/>
      <w:bookmarkStart w:id="73" w:name="_Toc170383523"/>
      <w:r w:rsidRPr="002827DD">
        <w:t>3.1</w:t>
      </w:r>
      <w:r>
        <w:tab/>
      </w:r>
      <w:r w:rsidR="004756A3">
        <w:t>Base allowance</w:t>
      </w:r>
      <w:bookmarkEnd w:id="71"/>
      <w:bookmarkEnd w:id="72"/>
      <w:bookmarkEnd w:id="73"/>
    </w:p>
    <w:p w14:paraId="2987CA1A" w14:textId="145829FC" w:rsidR="00276863" w:rsidRPr="00FC120E" w:rsidRDefault="000F1881" w:rsidP="00DC1598">
      <w:pPr>
        <w:pStyle w:val="05Paragraph"/>
      </w:pPr>
      <w:r w:rsidRPr="00FC120E">
        <w:rPr>
          <w:rFonts w:cs="Calibri Light"/>
        </w:rPr>
        <w:t>Having regard to all considerations</w:t>
      </w:r>
      <w:r w:rsidR="00713380" w:rsidRPr="00FC120E">
        <w:rPr>
          <w:rFonts w:cs="Calibri Light"/>
        </w:rPr>
        <w:t xml:space="preserve"> from </w:t>
      </w:r>
      <w:r w:rsidR="003555D5" w:rsidRPr="00FC120E">
        <w:rPr>
          <w:rFonts w:cs="Calibri Light"/>
        </w:rPr>
        <w:t>C</w:t>
      </w:r>
      <w:r w:rsidR="00713380" w:rsidRPr="00FC120E">
        <w:rPr>
          <w:rFonts w:cs="Calibri Light"/>
        </w:rPr>
        <w:t>hapter 2</w:t>
      </w:r>
      <w:r w:rsidRPr="00FC120E">
        <w:rPr>
          <w:rFonts w:cs="Calibri Light"/>
        </w:rPr>
        <w:t xml:space="preserve">, the Tribunal has </w:t>
      </w:r>
      <w:r w:rsidR="001D7B21">
        <w:rPr>
          <w:rFonts w:cs="Calibri Light"/>
        </w:rPr>
        <w:t>decided</w:t>
      </w:r>
      <w:r w:rsidR="001D7B21" w:rsidRPr="00FC120E">
        <w:rPr>
          <w:rFonts w:cs="Calibri Light"/>
        </w:rPr>
        <w:t xml:space="preserve"> </w:t>
      </w:r>
      <w:r w:rsidRPr="00FC120E">
        <w:rPr>
          <w:rFonts w:cs="Calibri Light"/>
        </w:rPr>
        <w:t xml:space="preserve">to increase the values of all base allowances by </w:t>
      </w:r>
      <w:r w:rsidR="00713380" w:rsidRPr="00FC120E">
        <w:rPr>
          <w:rFonts w:cs="Calibri Light"/>
        </w:rPr>
        <w:t>3.5</w:t>
      </w:r>
      <w:r w:rsidRPr="00FC120E">
        <w:rPr>
          <w:rFonts w:cs="Calibri Light"/>
        </w:rPr>
        <w:t xml:space="preserve"> per cent fro</w:t>
      </w:r>
      <w:r w:rsidR="00C777A6" w:rsidRPr="00FC120E">
        <w:rPr>
          <w:rFonts w:cs="Calibri Light"/>
        </w:rPr>
        <w:t xml:space="preserve">m </w:t>
      </w:r>
      <w:r w:rsidRPr="00FC120E">
        <w:rPr>
          <w:rFonts w:cs="Calibri Light"/>
        </w:rPr>
        <w:t>1 July 202</w:t>
      </w:r>
      <w:r w:rsidR="00713380" w:rsidRPr="00FC120E">
        <w:rPr>
          <w:rFonts w:cs="Calibri Light"/>
        </w:rPr>
        <w:t>4</w:t>
      </w:r>
      <w:r w:rsidRPr="00FC120E">
        <w:rPr>
          <w:rFonts w:cs="Calibri Light"/>
        </w:rPr>
        <w:t>.</w:t>
      </w:r>
      <w:r w:rsidR="005F30B9" w:rsidRPr="00FC120E">
        <w:rPr>
          <w:rFonts w:cs="Calibri Light"/>
        </w:rPr>
        <w:t xml:space="preserve"> </w:t>
      </w:r>
      <w:r w:rsidRPr="00FC120E">
        <w:rPr>
          <w:rFonts w:cs="Calibri Light"/>
        </w:rPr>
        <w:t xml:space="preserve">This </w:t>
      </w:r>
      <w:r w:rsidR="005F79A4" w:rsidRPr="00FC120E">
        <w:rPr>
          <w:rFonts w:cs="Calibri Light"/>
        </w:rPr>
        <w:t>adjustment is</w:t>
      </w:r>
      <w:r w:rsidRPr="00FC120E">
        <w:rPr>
          <w:rFonts w:cs="Calibri Light"/>
        </w:rPr>
        <w:t xml:space="preserve"> </w:t>
      </w:r>
      <w:r w:rsidR="00284282">
        <w:rPr>
          <w:rFonts w:cs="Calibri Light"/>
        </w:rPr>
        <w:t xml:space="preserve">broadly </w:t>
      </w:r>
      <w:r w:rsidR="00276863" w:rsidRPr="00FC120E">
        <w:rPr>
          <w:rFonts w:cs="Calibri Light"/>
        </w:rPr>
        <w:t>in line</w:t>
      </w:r>
      <w:r w:rsidRPr="00FC120E">
        <w:rPr>
          <w:rFonts w:cs="Calibri Light"/>
        </w:rPr>
        <w:t xml:space="preserve"> with</w:t>
      </w:r>
      <w:r w:rsidR="00DC1598">
        <w:rPr>
          <w:rFonts w:cs="Calibri Light"/>
        </w:rPr>
        <w:t xml:space="preserve"> </w:t>
      </w:r>
      <w:r w:rsidR="00670B96" w:rsidRPr="00FC120E">
        <w:t>movements in prices and wages</w:t>
      </w:r>
      <w:r w:rsidR="00DC1598">
        <w:t xml:space="preserve">, </w:t>
      </w:r>
      <w:r w:rsidR="009248E5">
        <w:t>W</w:t>
      </w:r>
      <w:r w:rsidR="00670B96" w:rsidRPr="00FC120E">
        <w:t xml:space="preserve">ages </w:t>
      </w:r>
      <w:r w:rsidR="009248E5">
        <w:t>P</w:t>
      </w:r>
      <w:r w:rsidR="00670B96" w:rsidRPr="00FC120E">
        <w:t>olicy</w:t>
      </w:r>
      <w:r w:rsidR="009248E5">
        <w:t xml:space="preserve"> and</w:t>
      </w:r>
      <w:r w:rsidR="00DC1598">
        <w:t xml:space="preserve"> </w:t>
      </w:r>
      <w:r w:rsidR="00276863">
        <w:t>adjustments to allowances in other jurisdictions</w:t>
      </w:r>
      <w:r w:rsidR="00832BA5" w:rsidDel="005F5A9F">
        <w:t>.</w:t>
      </w:r>
      <w:r w:rsidR="00DC1598">
        <w:t xml:space="preserve"> It also aligns with the Tribunal’s adjustment to MP salaries</w:t>
      </w:r>
      <w:r w:rsidR="004C7A5B" w:rsidDel="00DC1598">
        <w:t>.</w:t>
      </w:r>
    </w:p>
    <w:p w14:paraId="07168F2E" w14:textId="154F5ECC" w:rsidR="00957EA0" w:rsidRPr="006263A2" w:rsidRDefault="000F1881" w:rsidP="005F5A9F">
      <w:pPr>
        <w:pStyle w:val="05Paragraph"/>
        <w:rPr>
          <w:rFonts w:cs="Calibri Light"/>
        </w:rPr>
      </w:pPr>
      <w:bookmarkStart w:id="74" w:name="_Hlk169266273"/>
      <w:r w:rsidRPr="00FC120E">
        <w:rPr>
          <w:rFonts w:cs="Calibri Light"/>
        </w:rPr>
        <w:t xml:space="preserve">The Tribunal’s Determination also </w:t>
      </w:r>
      <w:r w:rsidRPr="006263A2">
        <w:rPr>
          <w:rFonts w:cs="Calibri Light"/>
        </w:rPr>
        <w:t xml:space="preserve">applies to the future </w:t>
      </w:r>
      <w:r w:rsidR="008F03C8" w:rsidRPr="006263A2">
        <w:rPr>
          <w:rFonts w:cs="Calibri Light"/>
        </w:rPr>
        <w:t xml:space="preserve">phase-in </w:t>
      </w:r>
      <w:r w:rsidR="00C07BD1" w:rsidRPr="006263A2">
        <w:rPr>
          <w:rFonts w:cs="Calibri Light"/>
        </w:rPr>
        <w:t xml:space="preserve">of </w:t>
      </w:r>
      <w:r w:rsidR="008F03C8" w:rsidRPr="006263A2">
        <w:rPr>
          <w:rFonts w:cs="Calibri Light"/>
        </w:rPr>
        <w:t>increases</w:t>
      </w:r>
      <w:r w:rsidRPr="006263A2">
        <w:rPr>
          <w:rFonts w:cs="Calibri Light"/>
        </w:rPr>
        <w:t xml:space="preserve"> </w:t>
      </w:r>
      <w:r w:rsidR="00C07BD1" w:rsidRPr="006263A2">
        <w:rPr>
          <w:rFonts w:cs="Calibri Light"/>
        </w:rPr>
        <w:t>to the</w:t>
      </w:r>
      <w:r w:rsidRPr="006263A2">
        <w:rPr>
          <w:rFonts w:cs="Calibri Light"/>
        </w:rPr>
        <w:t xml:space="preserve"> base allowances </w:t>
      </w:r>
      <w:r w:rsidR="000E4BA1" w:rsidRPr="006263A2">
        <w:rPr>
          <w:rFonts w:cs="Calibri Light"/>
        </w:rPr>
        <w:t>for Mayors and Deputy Mayors</w:t>
      </w:r>
      <w:r w:rsidR="00957EA0" w:rsidRPr="006263A2">
        <w:rPr>
          <w:rFonts w:cs="Calibri Light"/>
        </w:rPr>
        <w:t xml:space="preserve"> which will apply from</w:t>
      </w:r>
      <w:r w:rsidR="005F5A9F" w:rsidRPr="006263A2">
        <w:rPr>
          <w:rFonts w:cs="Calibri Light"/>
        </w:rPr>
        <w:t xml:space="preserve"> </w:t>
      </w:r>
      <w:r w:rsidR="00957EA0" w:rsidRPr="006263A2">
        <w:rPr>
          <w:rFonts w:cs="Calibri Light"/>
        </w:rPr>
        <w:t>18</w:t>
      </w:r>
      <w:r w:rsidR="009248E5">
        <w:rPr>
          <w:rFonts w:cs="Calibri Light"/>
        </w:rPr>
        <w:t> </w:t>
      </w:r>
      <w:r w:rsidR="00957EA0" w:rsidRPr="006263A2">
        <w:rPr>
          <w:rFonts w:cs="Calibri Light"/>
        </w:rPr>
        <w:t xml:space="preserve">December 2024 </w:t>
      </w:r>
      <w:r w:rsidR="005F5A9F" w:rsidRPr="006263A2">
        <w:rPr>
          <w:rFonts w:cs="Calibri Light"/>
        </w:rPr>
        <w:t xml:space="preserve">and </w:t>
      </w:r>
      <w:r w:rsidR="004C31E3" w:rsidRPr="006263A2">
        <w:rPr>
          <w:rFonts w:cs="Calibri Light"/>
        </w:rPr>
        <w:t xml:space="preserve">18 December </w:t>
      </w:r>
      <w:r w:rsidR="005F5A9F" w:rsidRPr="006263A2">
        <w:rPr>
          <w:rFonts w:cs="Calibri Light"/>
        </w:rPr>
        <w:t>2025.</w:t>
      </w:r>
    </w:p>
    <w:bookmarkEnd w:id="74"/>
    <w:p w14:paraId="50EBC725" w14:textId="698CC2B9" w:rsidR="000F1881" w:rsidRPr="006263A2" w:rsidRDefault="000F1881" w:rsidP="005F383C">
      <w:pPr>
        <w:pStyle w:val="05Paragraph"/>
        <w:rPr>
          <w:rFonts w:cs="Calibri Light"/>
        </w:rPr>
      </w:pPr>
      <w:r w:rsidRPr="006263A2">
        <w:rPr>
          <w:rFonts w:cs="Calibri Light"/>
        </w:rPr>
        <w:t xml:space="preserve">Tables </w:t>
      </w:r>
      <w:r w:rsidR="00197632" w:rsidRPr="006263A2">
        <w:rPr>
          <w:rFonts w:cs="Calibri Light"/>
        </w:rPr>
        <w:t>3.1</w:t>
      </w:r>
      <w:r w:rsidRPr="006263A2">
        <w:rPr>
          <w:rFonts w:cs="Calibri Light"/>
        </w:rPr>
        <w:t xml:space="preserve"> – </w:t>
      </w:r>
      <w:r w:rsidR="00197632" w:rsidRPr="006263A2">
        <w:rPr>
          <w:rFonts w:cs="Calibri Light"/>
        </w:rPr>
        <w:t>3.3</w:t>
      </w:r>
      <w:r w:rsidRPr="006263A2">
        <w:rPr>
          <w:rFonts w:cs="Calibri Light"/>
        </w:rPr>
        <w:t xml:space="preserve"> set out the new base allowance values, incorporating the phased increases and </w:t>
      </w:r>
      <w:r w:rsidR="00D84A85" w:rsidRPr="006263A2">
        <w:rPr>
          <w:rFonts w:cs="Calibri Light"/>
        </w:rPr>
        <w:t>3.5</w:t>
      </w:r>
      <w:r w:rsidRPr="006263A2">
        <w:rPr>
          <w:rFonts w:cs="Calibri Light"/>
        </w:rPr>
        <w:t xml:space="preserve"> per cent annual adjustment rate.</w:t>
      </w:r>
    </w:p>
    <w:p w14:paraId="0043B8C0" w14:textId="10827796" w:rsidR="000F1881" w:rsidRPr="006263A2" w:rsidRDefault="000F1881" w:rsidP="000F1881">
      <w:pPr>
        <w:pStyle w:val="08Figuretableboxheading"/>
        <w:rPr>
          <w:rFonts w:cs="Calibri Light"/>
        </w:rPr>
      </w:pPr>
      <w:r w:rsidRPr="006263A2">
        <w:rPr>
          <w:rFonts w:cs="Calibri Light"/>
        </w:rPr>
        <w:t xml:space="preserve">Table </w:t>
      </w:r>
      <w:r w:rsidR="00197632" w:rsidRPr="006263A2">
        <w:rPr>
          <w:rFonts w:cs="Calibri Light"/>
        </w:rPr>
        <w:t>3.1</w:t>
      </w:r>
      <w:r w:rsidRPr="006263A2">
        <w:rPr>
          <w:rFonts w:cs="Calibri Light"/>
        </w:rPr>
        <w:t xml:space="preserve">: </w:t>
      </w:r>
      <w:bookmarkStart w:id="75" w:name="_Hlk138845333"/>
      <w:r w:rsidRPr="006263A2">
        <w:rPr>
          <w:rFonts w:cs="Calibri Light"/>
        </w:rPr>
        <w:t>Value of the base allowance for Mayors</w:t>
      </w:r>
      <w:bookmarkEnd w:id="75"/>
    </w:p>
    <w:tbl>
      <w:tblPr>
        <w:tblStyle w:val="ListTable3-Accent212"/>
        <w:tblW w:w="5000" w:type="pct"/>
        <w:tblInd w:w="0" w:type="dxa"/>
        <w:tblLook w:val="04A0" w:firstRow="1" w:lastRow="0" w:firstColumn="1" w:lastColumn="0" w:noHBand="0" w:noVBand="1"/>
      </w:tblPr>
      <w:tblGrid>
        <w:gridCol w:w="2834"/>
        <w:gridCol w:w="1844"/>
        <w:gridCol w:w="1987"/>
        <w:gridCol w:w="1839"/>
      </w:tblGrid>
      <w:tr w:rsidR="000F1881" w:rsidRPr="0015410C" w14:paraId="593F624E"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67" w:type="pct"/>
          </w:tcPr>
          <w:p w14:paraId="41135D37" w14:textId="77777777" w:rsidR="000F1881" w:rsidRPr="006263A2" w:rsidRDefault="000F1881">
            <w:pPr>
              <w:keepNext/>
              <w:spacing w:after="0"/>
              <w:contextualSpacing/>
              <w:rPr>
                <w:rFonts w:ascii="Calibri Light" w:hAnsi="Calibri Light"/>
                <w:color w:val="FFFFFF"/>
                <w:sz w:val="22"/>
                <w:lang w:val="en-US"/>
              </w:rPr>
            </w:pPr>
            <w:r w:rsidRPr="006263A2">
              <w:rPr>
                <w:rFonts w:ascii="Calibri Light" w:hAnsi="Calibri Light"/>
                <w:color w:val="FFFFFF"/>
                <w:sz w:val="22"/>
                <w:lang w:val="en-US"/>
              </w:rPr>
              <w:t>Council allowance category</w:t>
            </w:r>
          </w:p>
        </w:tc>
        <w:tc>
          <w:tcPr>
            <w:tcW w:w="3333" w:type="pct"/>
            <w:gridSpan w:val="3"/>
          </w:tcPr>
          <w:p w14:paraId="1EEBDB0E" w14:textId="77777777" w:rsidR="000F1881" w:rsidRPr="006263A2" w:rsidRDefault="000F1881">
            <w:pPr>
              <w:keepNext/>
              <w:spacing w:after="0"/>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b w:val="0"/>
                <w:color w:val="FFFFFF"/>
                <w:sz w:val="22"/>
                <w:lang w:val="en-US"/>
              </w:rPr>
            </w:pPr>
            <w:r w:rsidRPr="006263A2">
              <w:rPr>
                <w:rFonts w:ascii="Calibri Light" w:hAnsi="Calibri Light"/>
                <w:color w:val="FFFFFF"/>
                <w:sz w:val="22"/>
                <w:lang w:val="en-US"/>
              </w:rPr>
              <w:t>Value of base allowance ($ per annum)</w:t>
            </w:r>
          </w:p>
        </w:tc>
      </w:tr>
      <w:tr w:rsidR="00A121F5" w:rsidRPr="0015410C" w14:paraId="77D59726" w14:textId="77777777" w:rsidTr="00C1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7" w:type="pct"/>
            <w:shd w:val="clear" w:color="auto" w:fill="148A5D" w:themeFill="accent2"/>
          </w:tcPr>
          <w:p w14:paraId="6FAB2958" w14:textId="77777777" w:rsidR="00A121F5" w:rsidRPr="006263A2" w:rsidRDefault="00A121F5">
            <w:pPr>
              <w:keepNext/>
              <w:spacing w:after="0"/>
              <w:contextualSpacing/>
              <w:jc w:val="center"/>
              <w:rPr>
                <w:rFonts w:ascii="Calibri Light" w:hAnsi="Calibri Light" w:cs="Calibri Light"/>
                <w:b/>
                <w:color w:val="FFFFFF"/>
                <w:sz w:val="22"/>
                <w:lang w:val="en-US"/>
              </w:rPr>
            </w:pPr>
          </w:p>
        </w:tc>
        <w:tc>
          <w:tcPr>
            <w:tcW w:w="1084" w:type="pct"/>
            <w:shd w:val="clear" w:color="auto" w:fill="A6A6A6" w:themeFill="background1" w:themeFillShade="A6"/>
          </w:tcPr>
          <w:p w14:paraId="7476B7BC" w14:textId="43F736E2" w:rsidR="00A121F5" w:rsidRPr="006263A2" w:rsidRDefault="00A121F5">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color w:val="FFFFFF"/>
                <w:sz w:val="22"/>
                <w:lang w:val="en-US"/>
              </w:rPr>
            </w:pPr>
            <w:r w:rsidRPr="006263A2">
              <w:rPr>
                <w:rFonts w:ascii="Calibri Light" w:hAnsi="Calibri Light" w:cs="Calibri Light"/>
                <w:b/>
                <w:color w:val="FFFFFF"/>
                <w:sz w:val="22"/>
                <w:lang w:val="en-US"/>
              </w:rPr>
              <w:t>1 July 2024</w:t>
            </w:r>
          </w:p>
        </w:tc>
        <w:tc>
          <w:tcPr>
            <w:tcW w:w="1168" w:type="pct"/>
            <w:shd w:val="clear" w:color="auto" w:fill="A6A6A6" w:themeFill="background1" w:themeFillShade="A6"/>
          </w:tcPr>
          <w:p w14:paraId="09739658" w14:textId="77777777" w:rsidR="00A121F5" w:rsidRPr="006263A2" w:rsidRDefault="00A121F5">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color w:val="FFFFFF"/>
                <w:sz w:val="22"/>
                <w:lang w:val="en-US"/>
              </w:rPr>
            </w:pPr>
            <w:r w:rsidRPr="006263A2">
              <w:rPr>
                <w:rFonts w:ascii="Calibri Light" w:hAnsi="Calibri Light" w:cs="Calibri Light"/>
                <w:b/>
                <w:color w:val="FFFFFF"/>
                <w:sz w:val="22"/>
                <w:lang w:val="en-US"/>
              </w:rPr>
              <w:t>18 Dec 2024</w:t>
            </w:r>
          </w:p>
        </w:tc>
        <w:tc>
          <w:tcPr>
            <w:tcW w:w="1082" w:type="pct"/>
            <w:shd w:val="clear" w:color="auto" w:fill="A6A6A6" w:themeFill="background1" w:themeFillShade="A6"/>
          </w:tcPr>
          <w:p w14:paraId="325B68F0" w14:textId="77777777" w:rsidR="00A121F5" w:rsidRPr="006263A2" w:rsidRDefault="00A121F5">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color w:val="FFFFFF"/>
                <w:sz w:val="22"/>
                <w:lang w:val="en-US"/>
              </w:rPr>
            </w:pPr>
            <w:r w:rsidRPr="006263A2">
              <w:rPr>
                <w:rFonts w:ascii="Calibri Light" w:hAnsi="Calibri Light" w:cs="Calibri Light"/>
                <w:b/>
                <w:color w:val="FFFFFF"/>
                <w:sz w:val="22"/>
                <w:lang w:val="en-US"/>
              </w:rPr>
              <w:t>18 Dec 2025</w:t>
            </w:r>
          </w:p>
        </w:tc>
      </w:tr>
      <w:tr w:rsidR="005023F0" w:rsidRPr="0015410C" w14:paraId="0241BD97" w14:textId="77777777" w:rsidTr="00C15F94">
        <w:trPr>
          <w:cantSplit/>
        </w:trPr>
        <w:tc>
          <w:tcPr>
            <w:cnfStyle w:val="001000000000" w:firstRow="0" w:lastRow="0" w:firstColumn="1" w:lastColumn="0" w:oddVBand="0" w:evenVBand="0" w:oddHBand="0" w:evenHBand="0" w:firstRowFirstColumn="0" w:firstRowLastColumn="0" w:lastRowFirstColumn="0" w:lastRowLastColumn="0"/>
            <w:tcW w:w="1667" w:type="pct"/>
          </w:tcPr>
          <w:p w14:paraId="58149672" w14:textId="77777777" w:rsidR="005023F0" w:rsidRPr="00FC120E" w:rsidRDefault="005023F0" w:rsidP="005023F0">
            <w:pPr>
              <w:pStyle w:val="Tabletext"/>
              <w:rPr>
                <w:rFonts w:cs="Calibri Light"/>
                <w:color w:val="auto"/>
              </w:rPr>
            </w:pPr>
            <w:r w:rsidRPr="00FC120E">
              <w:rPr>
                <w:rFonts w:cs="Calibri Light"/>
                <w:color w:val="auto"/>
              </w:rPr>
              <w:t>Category 1</w:t>
            </w:r>
          </w:p>
        </w:tc>
        <w:tc>
          <w:tcPr>
            <w:tcW w:w="1084" w:type="pct"/>
            <w:vAlign w:val="bottom"/>
          </w:tcPr>
          <w:p w14:paraId="2F3ABB8A" w14:textId="7DC796F0" w:rsidR="005023F0" w:rsidRPr="00FC120E" w:rsidRDefault="005023F0" w:rsidP="005023F0">
            <w:pPr>
              <w:pStyle w:val="Tablet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84,498 </w:t>
            </w:r>
          </w:p>
        </w:tc>
        <w:tc>
          <w:tcPr>
            <w:tcW w:w="1168" w:type="pct"/>
            <w:vAlign w:val="bottom"/>
          </w:tcPr>
          <w:p w14:paraId="7B397013" w14:textId="430B2AAB" w:rsidR="005023F0" w:rsidRPr="00FC120E" w:rsidRDefault="005023F0" w:rsidP="005023F0">
            <w:pPr>
              <w:pStyle w:val="Tablet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86,722 </w:t>
            </w:r>
          </w:p>
        </w:tc>
        <w:tc>
          <w:tcPr>
            <w:tcW w:w="1082" w:type="pct"/>
          </w:tcPr>
          <w:p w14:paraId="658D8C06" w14:textId="25111D9C" w:rsidR="005023F0" w:rsidRPr="00FC120E" w:rsidRDefault="005023F0" w:rsidP="005023F0">
            <w:pPr>
              <w:pStyle w:val="Tabletext"/>
              <w:jc w:val="right"/>
              <w:cnfStyle w:val="000000000000" w:firstRow="0" w:lastRow="0" w:firstColumn="0" w:lastColumn="0" w:oddVBand="0" w:evenVBand="0" w:oddHBand="0" w:evenHBand="0" w:firstRowFirstColumn="0" w:firstRowLastColumn="0" w:lastRowFirstColumn="0" w:lastRowLastColumn="0"/>
              <w:rPr>
                <w:rFonts w:cs="Calibri Light"/>
                <w:color w:val="auto"/>
              </w:rPr>
            </w:pPr>
            <w:r w:rsidRPr="00FC120E">
              <w:rPr>
                <w:rFonts w:cs="Calibri Light"/>
                <w:color w:val="auto"/>
              </w:rPr>
              <w:t>88,945</w:t>
            </w:r>
          </w:p>
        </w:tc>
      </w:tr>
      <w:tr w:rsidR="005023F0" w:rsidRPr="0015410C" w14:paraId="166CC842" w14:textId="77777777" w:rsidTr="00C1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7" w:type="pct"/>
          </w:tcPr>
          <w:p w14:paraId="2F13038D" w14:textId="77777777" w:rsidR="005023F0" w:rsidRPr="00FC120E" w:rsidRDefault="005023F0" w:rsidP="005023F0">
            <w:pPr>
              <w:pStyle w:val="Tabletext"/>
              <w:rPr>
                <w:rFonts w:cs="Calibri Light"/>
                <w:color w:val="auto"/>
              </w:rPr>
            </w:pPr>
            <w:r w:rsidRPr="00FC120E">
              <w:rPr>
                <w:rFonts w:cs="Calibri Light"/>
                <w:color w:val="auto"/>
              </w:rPr>
              <w:t>Category 2</w:t>
            </w:r>
          </w:p>
        </w:tc>
        <w:tc>
          <w:tcPr>
            <w:tcW w:w="1084" w:type="pct"/>
            <w:vAlign w:val="bottom"/>
          </w:tcPr>
          <w:p w14:paraId="3D04A18A" w14:textId="43FFC626" w:rsidR="005023F0" w:rsidRPr="00FC120E" w:rsidRDefault="005023F0" w:rsidP="005023F0">
            <w:pPr>
              <w:pStyle w:val="Tablet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109,114 </w:t>
            </w:r>
          </w:p>
        </w:tc>
        <w:tc>
          <w:tcPr>
            <w:tcW w:w="1168" w:type="pct"/>
            <w:vAlign w:val="bottom"/>
          </w:tcPr>
          <w:p w14:paraId="75B60F62" w14:textId="6851A23B" w:rsidR="005023F0" w:rsidRPr="00FC120E" w:rsidRDefault="005023F0" w:rsidP="005023F0">
            <w:pPr>
              <w:pStyle w:val="Tablet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111,987 </w:t>
            </w:r>
          </w:p>
        </w:tc>
        <w:tc>
          <w:tcPr>
            <w:tcW w:w="1082" w:type="pct"/>
          </w:tcPr>
          <w:p w14:paraId="64792427" w14:textId="732D06DE" w:rsidR="005023F0" w:rsidRPr="00FC120E" w:rsidRDefault="005023F0" w:rsidP="005023F0">
            <w:pPr>
              <w:pStyle w:val="Tabletext"/>
              <w:jc w:val="right"/>
              <w:cnfStyle w:val="000000100000" w:firstRow="0" w:lastRow="0" w:firstColumn="0" w:lastColumn="0" w:oddVBand="0" w:evenVBand="0" w:oddHBand="1" w:evenHBand="0" w:firstRowFirstColumn="0" w:firstRowLastColumn="0" w:lastRowFirstColumn="0" w:lastRowLastColumn="0"/>
              <w:rPr>
                <w:rFonts w:cs="Calibri Light"/>
                <w:color w:val="auto"/>
              </w:rPr>
            </w:pPr>
            <w:r w:rsidRPr="00FC120E">
              <w:rPr>
                <w:rFonts w:cs="Calibri Light"/>
                <w:color w:val="auto"/>
              </w:rPr>
              <w:t>114,857</w:t>
            </w:r>
          </w:p>
        </w:tc>
      </w:tr>
      <w:tr w:rsidR="005023F0" w:rsidRPr="0015410C" w14:paraId="7D5C36CC" w14:textId="77777777" w:rsidTr="00C15F94">
        <w:trPr>
          <w:cantSplit/>
        </w:trPr>
        <w:tc>
          <w:tcPr>
            <w:cnfStyle w:val="001000000000" w:firstRow="0" w:lastRow="0" w:firstColumn="1" w:lastColumn="0" w:oddVBand="0" w:evenVBand="0" w:oddHBand="0" w:evenHBand="0" w:firstRowFirstColumn="0" w:firstRowLastColumn="0" w:lastRowFirstColumn="0" w:lastRowLastColumn="0"/>
            <w:tcW w:w="1667" w:type="pct"/>
          </w:tcPr>
          <w:p w14:paraId="664B4884" w14:textId="77777777" w:rsidR="005023F0" w:rsidRPr="00FC120E" w:rsidRDefault="005023F0" w:rsidP="005023F0">
            <w:pPr>
              <w:pStyle w:val="Tabletext"/>
              <w:rPr>
                <w:rFonts w:cs="Calibri Light"/>
                <w:color w:val="auto"/>
              </w:rPr>
            </w:pPr>
            <w:r w:rsidRPr="00FC120E">
              <w:rPr>
                <w:rFonts w:cs="Calibri Light"/>
                <w:color w:val="auto"/>
              </w:rPr>
              <w:t>Category 3</w:t>
            </w:r>
          </w:p>
        </w:tc>
        <w:tc>
          <w:tcPr>
            <w:tcW w:w="1084" w:type="pct"/>
            <w:vAlign w:val="bottom"/>
          </w:tcPr>
          <w:p w14:paraId="6F960FB8" w14:textId="25C67221" w:rsidR="005023F0" w:rsidRPr="00FC120E" w:rsidRDefault="005023F0" w:rsidP="005023F0">
            <w:pPr>
              <w:pStyle w:val="Tablet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134,954 </w:t>
            </w:r>
          </w:p>
        </w:tc>
        <w:tc>
          <w:tcPr>
            <w:tcW w:w="1168" w:type="pct"/>
            <w:vAlign w:val="bottom"/>
          </w:tcPr>
          <w:p w14:paraId="6AE6018C" w14:textId="3A127300" w:rsidR="005023F0" w:rsidRPr="00FC120E" w:rsidRDefault="005023F0" w:rsidP="005023F0">
            <w:pPr>
              <w:pStyle w:val="Tablet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138,506 </w:t>
            </w:r>
          </w:p>
        </w:tc>
        <w:tc>
          <w:tcPr>
            <w:tcW w:w="1082" w:type="pct"/>
          </w:tcPr>
          <w:p w14:paraId="14D653DE" w14:textId="596915AF" w:rsidR="005023F0" w:rsidRPr="00FC120E" w:rsidRDefault="005023F0" w:rsidP="005023F0">
            <w:pPr>
              <w:pStyle w:val="Tabletext"/>
              <w:jc w:val="right"/>
              <w:cnfStyle w:val="000000000000" w:firstRow="0" w:lastRow="0" w:firstColumn="0" w:lastColumn="0" w:oddVBand="0" w:evenVBand="0" w:oddHBand="0" w:evenHBand="0" w:firstRowFirstColumn="0" w:firstRowLastColumn="0" w:lastRowFirstColumn="0" w:lastRowLastColumn="0"/>
              <w:rPr>
                <w:rFonts w:cs="Calibri Light"/>
                <w:color w:val="auto"/>
              </w:rPr>
            </w:pPr>
            <w:r w:rsidRPr="00FC120E">
              <w:rPr>
                <w:rFonts w:cs="Calibri Light"/>
                <w:color w:val="auto"/>
              </w:rPr>
              <w:t>1</w:t>
            </w:r>
            <w:r w:rsidR="00C15F94" w:rsidRPr="00FC120E">
              <w:rPr>
                <w:rFonts w:cs="Calibri Light"/>
                <w:color w:val="auto"/>
              </w:rPr>
              <w:t>42</w:t>
            </w:r>
            <w:r w:rsidRPr="00FC120E">
              <w:rPr>
                <w:rFonts w:cs="Calibri Light"/>
                <w:color w:val="auto"/>
              </w:rPr>
              <w:t>,</w:t>
            </w:r>
            <w:r w:rsidR="00C15F94" w:rsidRPr="00FC120E">
              <w:rPr>
                <w:rFonts w:cs="Calibri Light"/>
                <w:color w:val="auto"/>
              </w:rPr>
              <w:t>057</w:t>
            </w:r>
          </w:p>
        </w:tc>
      </w:tr>
      <w:tr w:rsidR="005023F0" w:rsidRPr="0015410C" w14:paraId="699DD1C9" w14:textId="77777777" w:rsidTr="00C1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7" w:type="pct"/>
          </w:tcPr>
          <w:p w14:paraId="55AF376E" w14:textId="77777777" w:rsidR="005023F0" w:rsidRPr="00FC120E" w:rsidRDefault="005023F0" w:rsidP="005023F0">
            <w:pPr>
              <w:pStyle w:val="Tabletext"/>
              <w:rPr>
                <w:rFonts w:cs="Calibri Light"/>
                <w:color w:val="auto"/>
              </w:rPr>
            </w:pPr>
            <w:r w:rsidRPr="00FC120E">
              <w:rPr>
                <w:rFonts w:cs="Calibri Light"/>
                <w:color w:val="auto"/>
              </w:rPr>
              <w:t>Category 4</w:t>
            </w:r>
          </w:p>
        </w:tc>
        <w:tc>
          <w:tcPr>
            <w:tcW w:w="1084" w:type="pct"/>
            <w:vAlign w:val="bottom"/>
          </w:tcPr>
          <w:p w14:paraId="7AE3970A" w14:textId="4D7F9A88" w:rsidR="005023F0" w:rsidRPr="00FC120E" w:rsidRDefault="005023F0" w:rsidP="005023F0">
            <w:pPr>
              <w:pStyle w:val="Tablet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269,909 </w:t>
            </w:r>
          </w:p>
        </w:tc>
        <w:tc>
          <w:tcPr>
            <w:tcW w:w="1168" w:type="pct"/>
            <w:vAlign w:val="bottom"/>
          </w:tcPr>
          <w:p w14:paraId="08264436" w14:textId="5AD8D0A1" w:rsidR="005023F0" w:rsidRPr="00FC120E" w:rsidRDefault="005023F0" w:rsidP="005023F0">
            <w:pPr>
              <w:pStyle w:val="Tablet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277,014 </w:t>
            </w:r>
          </w:p>
        </w:tc>
        <w:tc>
          <w:tcPr>
            <w:tcW w:w="1082" w:type="pct"/>
          </w:tcPr>
          <w:p w14:paraId="3F137C8C" w14:textId="3A2888A6" w:rsidR="005023F0" w:rsidRPr="00FC120E" w:rsidRDefault="005023F0" w:rsidP="005023F0">
            <w:pPr>
              <w:pStyle w:val="Tabletext"/>
              <w:jc w:val="right"/>
              <w:cnfStyle w:val="000000100000" w:firstRow="0" w:lastRow="0" w:firstColumn="0" w:lastColumn="0" w:oddVBand="0" w:evenVBand="0" w:oddHBand="1" w:evenHBand="0" w:firstRowFirstColumn="0" w:firstRowLastColumn="0" w:lastRowFirstColumn="0" w:lastRowLastColumn="0"/>
              <w:rPr>
                <w:rFonts w:cs="Calibri Light"/>
                <w:color w:val="auto"/>
              </w:rPr>
            </w:pPr>
            <w:r w:rsidRPr="00FC120E">
              <w:rPr>
                <w:rFonts w:cs="Calibri Light"/>
                <w:color w:val="auto"/>
              </w:rPr>
              <w:t>2</w:t>
            </w:r>
            <w:r w:rsidR="00C15F94" w:rsidRPr="00FC120E">
              <w:rPr>
                <w:rFonts w:cs="Calibri Light"/>
                <w:color w:val="auto"/>
              </w:rPr>
              <w:t>84</w:t>
            </w:r>
            <w:r w:rsidRPr="00FC120E">
              <w:rPr>
                <w:rFonts w:cs="Calibri Light"/>
                <w:color w:val="auto"/>
              </w:rPr>
              <w:t>,</w:t>
            </w:r>
            <w:r w:rsidR="00C15F94" w:rsidRPr="00FC120E">
              <w:rPr>
                <w:rFonts w:cs="Calibri Light"/>
                <w:color w:val="auto"/>
              </w:rPr>
              <w:t>116</w:t>
            </w:r>
          </w:p>
        </w:tc>
      </w:tr>
    </w:tbl>
    <w:p w14:paraId="6685FE6F" w14:textId="2D1CA030" w:rsidR="000F1881" w:rsidRPr="006263A2" w:rsidRDefault="000F1881" w:rsidP="000F1881">
      <w:pPr>
        <w:pStyle w:val="08Figuretableboxheading"/>
        <w:rPr>
          <w:rFonts w:cs="Calibri Light"/>
        </w:rPr>
      </w:pPr>
      <w:r w:rsidRPr="006263A2">
        <w:rPr>
          <w:rFonts w:cs="Calibri Light"/>
        </w:rPr>
        <w:t xml:space="preserve">Table </w:t>
      </w:r>
      <w:r w:rsidR="00197632" w:rsidRPr="006263A2">
        <w:rPr>
          <w:rFonts w:cs="Calibri Light"/>
        </w:rPr>
        <w:t>3.2</w:t>
      </w:r>
      <w:r w:rsidRPr="006263A2">
        <w:rPr>
          <w:rFonts w:cs="Calibri Light"/>
        </w:rPr>
        <w:t>: Value of the base allowance for Deputy Mayors</w:t>
      </w:r>
    </w:p>
    <w:tbl>
      <w:tblPr>
        <w:tblStyle w:val="ListTable3-Accent212"/>
        <w:tblW w:w="5000" w:type="pct"/>
        <w:tblInd w:w="0" w:type="dxa"/>
        <w:tblLook w:val="04A0" w:firstRow="1" w:lastRow="0" w:firstColumn="1" w:lastColumn="0" w:noHBand="0" w:noVBand="1"/>
      </w:tblPr>
      <w:tblGrid>
        <w:gridCol w:w="2833"/>
        <w:gridCol w:w="1845"/>
        <w:gridCol w:w="1987"/>
        <w:gridCol w:w="1839"/>
      </w:tblGrid>
      <w:tr w:rsidR="000F1881" w:rsidRPr="0015410C" w14:paraId="70795B67"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66" w:type="pct"/>
          </w:tcPr>
          <w:p w14:paraId="3D7ED02D" w14:textId="77777777" w:rsidR="000F1881" w:rsidRPr="006263A2" w:rsidRDefault="000F1881">
            <w:pPr>
              <w:keepNext/>
              <w:spacing w:after="0"/>
              <w:contextualSpacing/>
              <w:rPr>
                <w:rFonts w:ascii="Calibri Light" w:hAnsi="Calibri Light"/>
                <w:color w:val="FFFFFF"/>
                <w:sz w:val="22"/>
                <w:lang w:val="en-US"/>
              </w:rPr>
            </w:pPr>
            <w:r w:rsidRPr="006263A2">
              <w:rPr>
                <w:rFonts w:ascii="Calibri Light" w:hAnsi="Calibri Light"/>
                <w:color w:val="FFFFFF"/>
                <w:sz w:val="22"/>
                <w:lang w:val="en-US"/>
              </w:rPr>
              <w:t>Council allowance category</w:t>
            </w:r>
          </w:p>
        </w:tc>
        <w:tc>
          <w:tcPr>
            <w:tcW w:w="3334" w:type="pct"/>
            <w:gridSpan w:val="3"/>
          </w:tcPr>
          <w:p w14:paraId="45051EBF" w14:textId="77777777" w:rsidR="000F1881" w:rsidRPr="006263A2" w:rsidRDefault="000F1881">
            <w:pPr>
              <w:keepNext/>
              <w:spacing w:after="0"/>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b w:val="0"/>
                <w:color w:val="FFFFFF"/>
                <w:sz w:val="22"/>
                <w:lang w:val="en-US"/>
              </w:rPr>
            </w:pPr>
            <w:r w:rsidRPr="006263A2">
              <w:rPr>
                <w:rFonts w:ascii="Calibri Light" w:hAnsi="Calibri Light"/>
                <w:color w:val="FFFFFF"/>
                <w:sz w:val="22"/>
                <w:lang w:val="en-US"/>
              </w:rPr>
              <w:t>Value of base allowance ($ per annum)</w:t>
            </w:r>
          </w:p>
        </w:tc>
      </w:tr>
      <w:tr w:rsidR="00A121F5" w:rsidRPr="0015410C" w14:paraId="693FBE7E" w14:textId="77777777" w:rsidTr="0060020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6" w:type="pct"/>
            <w:shd w:val="clear" w:color="auto" w:fill="148A5D" w:themeFill="accent2"/>
          </w:tcPr>
          <w:p w14:paraId="7AB46C56" w14:textId="77777777" w:rsidR="00A121F5" w:rsidRPr="006263A2" w:rsidRDefault="00A121F5">
            <w:pPr>
              <w:keepNext/>
              <w:spacing w:after="0"/>
              <w:contextualSpacing/>
              <w:jc w:val="center"/>
              <w:rPr>
                <w:rFonts w:ascii="Calibri Light" w:hAnsi="Calibri Light" w:cs="Calibri Light"/>
                <w:b/>
                <w:color w:val="FFFFFF"/>
                <w:sz w:val="22"/>
                <w:lang w:val="en-US"/>
              </w:rPr>
            </w:pPr>
          </w:p>
        </w:tc>
        <w:tc>
          <w:tcPr>
            <w:tcW w:w="1085" w:type="pct"/>
            <w:shd w:val="clear" w:color="auto" w:fill="A6A6A6" w:themeFill="background1" w:themeFillShade="A6"/>
          </w:tcPr>
          <w:p w14:paraId="678E4D56" w14:textId="5A3A413A" w:rsidR="00A121F5" w:rsidRPr="006263A2" w:rsidRDefault="00A121F5">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color w:val="FFFFFF"/>
                <w:sz w:val="22"/>
                <w:lang w:val="en-US"/>
              </w:rPr>
            </w:pPr>
            <w:r w:rsidRPr="006263A2">
              <w:rPr>
                <w:rFonts w:ascii="Calibri Light" w:hAnsi="Calibri Light" w:cs="Calibri Light"/>
                <w:b/>
                <w:color w:val="FFFFFF"/>
                <w:sz w:val="22"/>
                <w:lang w:val="en-US"/>
              </w:rPr>
              <w:t>1 July 2024</w:t>
            </w:r>
          </w:p>
        </w:tc>
        <w:tc>
          <w:tcPr>
            <w:tcW w:w="1168" w:type="pct"/>
            <w:shd w:val="clear" w:color="auto" w:fill="A6A6A6" w:themeFill="background1" w:themeFillShade="A6"/>
          </w:tcPr>
          <w:p w14:paraId="5939C511" w14:textId="77777777" w:rsidR="00A121F5" w:rsidRPr="006263A2" w:rsidRDefault="00A121F5">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color w:val="FFFFFF"/>
                <w:sz w:val="22"/>
                <w:lang w:val="en-US"/>
              </w:rPr>
            </w:pPr>
            <w:r w:rsidRPr="006263A2">
              <w:rPr>
                <w:rFonts w:ascii="Calibri Light" w:hAnsi="Calibri Light" w:cs="Calibri Light"/>
                <w:b/>
                <w:color w:val="FFFFFF"/>
                <w:sz w:val="22"/>
                <w:lang w:val="en-US"/>
              </w:rPr>
              <w:t>18 Dec 2024</w:t>
            </w:r>
          </w:p>
        </w:tc>
        <w:tc>
          <w:tcPr>
            <w:tcW w:w="1081" w:type="pct"/>
            <w:shd w:val="clear" w:color="auto" w:fill="A6A6A6" w:themeFill="background1" w:themeFillShade="A6"/>
          </w:tcPr>
          <w:p w14:paraId="1849FB70" w14:textId="77777777" w:rsidR="00A121F5" w:rsidRPr="006263A2" w:rsidRDefault="00A121F5">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color w:val="FFFFFF"/>
                <w:sz w:val="22"/>
                <w:lang w:val="en-US"/>
              </w:rPr>
            </w:pPr>
            <w:r w:rsidRPr="006263A2">
              <w:rPr>
                <w:rFonts w:ascii="Calibri Light" w:hAnsi="Calibri Light" w:cs="Calibri Light"/>
                <w:b/>
                <w:color w:val="FFFFFF"/>
                <w:sz w:val="22"/>
                <w:lang w:val="en-US"/>
              </w:rPr>
              <w:t>18 Dec 2025</w:t>
            </w:r>
          </w:p>
        </w:tc>
      </w:tr>
      <w:tr w:rsidR="00600202" w:rsidRPr="0015410C" w14:paraId="1DD892AA" w14:textId="77777777">
        <w:trPr>
          <w:cantSplit/>
        </w:trPr>
        <w:tc>
          <w:tcPr>
            <w:cnfStyle w:val="001000000000" w:firstRow="0" w:lastRow="0" w:firstColumn="1" w:lastColumn="0" w:oddVBand="0" w:evenVBand="0" w:oddHBand="0" w:evenHBand="0" w:firstRowFirstColumn="0" w:firstRowLastColumn="0" w:lastRowFirstColumn="0" w:lastRowLastColumn="0"/>
            <w:tcW w:w="1666" w:type="pct"/>
          </w:tcPr>
          <w:p w14:paraId="4D7BDA90" w14:textId="77777777" w:rsidR="00600202" w:rsidRPr="00FC120E" w:rsidRDefault="00600202" w:rsidP="00600202">
            <w:pPr>
              <w:pStyle w:val="Tabletext"/>
              <w:keepNext/>
              <w:rPr>
                <w:rFonts w:cs="Calibri Light"/>
                <w:color w:val="auto"/>
              </w:rPr>
            </w:pPr>
            <w:r w:rsidRPr="00FC120E">
              <w:rPr>
                <w:rFonts w:cs="Calibri Light"/>
                <w:color w:val="auto"/>
              </w:rPr>
              <w:t>Category 1</w:t>
            </w:r>
          </w:p>
        </w:tc>
        <w:tc>
          <w:tcPr>
            <w:tcW w:w="1085" w:type="pct"/>
            <w:vAlign w:val="bottom"/>
          </w:tcPr>
          <w:p w14:paraId="00AB37BD" w14:textId="07191CF2" w:rsidR="00600202" w:rsidRPr="00FC120E" w:rsidRDefault="00600202" w:rsidP="00600202">
            <w:pPr>
              <w:pStyle w:val="Tabletext"/>
              <w:keepN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42,248 </w:t>
            </w:r>
          </w:p>
        </w:tc>
        <w:tc>
          <w:tcPr>
            <w:tcW w:w="1168" w:type="pct"/>
            <w:vAlign w:val="bottom"/>
          </w:tcPr>
          <w:p w14:paraId="4385FF30" w14:textId="608C5067" w:rsidR="00600202" w:rsidRPr="00FC120E" w:rsidRDefault="00600202" w:rsidP="00600202">
            <w:pPr>
              <w:pStyle w:val="Tabletext"/>
              <w:keepN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43,360 </w:t>
            </w:r>
          </w:p>
        </w:tc>
        <w:tc>
          <w:tcPr>
            <w:tcW w:w="1081" w:type="pct"/>
            <w:vAlign w:val="bottom"/>
          </w:tcPr>
          <w:p w14:paraId="069BB0C1" w14:textId="6417E348" w:rsidR="00600202" w:rsidRPr="00FC120E" w:rsidRDefault="00600202" w:rsidP="00600202">
            <w:pPr>
              <w:pStyle w:val="Tabletext"/>
              <w:keepN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44,473 </w:t>
            </w:r>
          </w:p>
        </w:tc>
      </w:tr>
      <w:tr w:rsidR="00600202" w:rsidRPr="0015410C" w14:paraId="2E69845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6" w:type="pct"/>
          </w:tcPr>
          <w:p w14:paraId="187F403A" w14:textId="77777777" w:rsidR="00600202" w:rsidRPr="00FC120E" w:rsidRDefault="00600202" w:rsidP="00600202">
            <w:pPr>
              <w:pStyle w:val="Tabletext"/>
              <w:keepNext/>
              <w:rPr>
                <w:rFonts w:cs="Calibri Light"/>
                <w:color w:val="auto"/>
              </w:rPr>
            </w:pPr>
            <w:r w:rsidRPr="00FC120E">
              <w:rPr>
                <w:rFonts w:cs="Calibri Light"/>
                <w:color w:val="auto"/>
              </w:rPr>
              <w:t>Category 2</w:t>
            </w:r>
          </w:p>
        </w:tc>
        <w:tc>
          <w:tcPr>
            <w:tcW w:w="1085" w:type="pct"/>
            <w:vAlign w:val="bottom"/>
          </w:tcPr>
          <w:p w14:paraId="1043D9DE" w14:textId="3EEFFC26" w:rsidR="00600202" w:rsidRPr="00FC120E" w:rsidRDefault="00600202" w:rsidP="00600202">
            <w:pPr>
              <w:pStyle w:val="Tabletext"/>
              <w:keepN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54,558 </w:t>
            </w:r>
          </w:p>
        </w:tc>
        <w:tc>
          <w:tcPr>
            <w:tcW w:w="1168" w:type="pct"/>
            <w:vAlign w:val="bottom"/>
          </w:tcPr>
          <w:p w14:paraId="1609C81B" w14:textId="41928F6B" w:rsidR="00600202" w:rsidRPr="00FC120E" w:rsidRDefault="00600202" w:rsidP="00600202">
            <w:pPr>
              <w:pStyle w:val="Tabletext"/>
              <w:keepN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55,994 </w:t>
            </w:r>
          </w:p>
        </w:tc>
        <w:tc>
          <w:tcPr>
            <w:tcW w:w="1081" w:type="pct"/>
            <w:vAlign w:val="bottom"/>
          </w:tcPr>
          <w:p w14:paraId="104E7EF7" w14:textId="0EF110AB" w:rsidR="00600202" w:rsidRPr="00FC120E" w:rsidRDefault="00600202" w:rsidP="00600202">
            <w:pPr>
              <w:pStyle w:val="Tabletext"/>
              <w:keepN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57,429 </w:t>
            </w:r>
          </w:p>
        </w:tc>
      </w:tr>
      <w:tr w:rsidR="00600202" w:rsidRPr="0015410C" w14:paraId="5F17A118" w14:textId="77777777">
        <w:trPr>
          <w:cantSplit/>
        </w:trPr>
        <w:tc>
          <w:tcPr>
            <w:cnfStyle w:val="001000000000" w:firstRow="0" w:lastRow="0" w:firstColumn="1" w:lastColumn="0" w:oddVBand="0" w:evenVBand="0" w:oddHBand="0" w:evenHBand="0" w:firstRowFirstColumn="0" w:firstRowLastColumn="0" w:lastRowFirstColumn="0" w:lastRowLastColumn="0"/>
            <w:tcW w:w="1666" w:type="pct"/>
          </w:tcPr>
          <w:p w14:paraId="21063FA4" w14:textId="77777777" w:rsidR="00600202" w:rsidRPr="00FC120E" w:rsidRDefault="00600202" w:rsidP="00600202">
            <w:pPr>
              <w:pStyle w:val="Tabletext"/>
              <w:rPr>
                <w:rFonts w:cs="Calibri Light"/>
                <w:color w:val="auto"/>
              </w:rPr>
            </w:pPr>
            <w:r w:rsidRPr="00FC120E">
              <w:rPr>
                <w:rFonts w:cs="Calibri Light"/>
                <w:color w:val="auto"/>
              </w:rPr>
              <w:t>Category 3</w:t>
            </w:r>
          </w:p>
        </w:tc>
        <w:tc>
          <w:tcPr>
            <w:tcW w:w="1085" w:type="pct"/>
            <w:vAlign w:val="bottom"/>
          </w:tcPr>
          <w:p w14:paraId="100ED8E7" w14:textId="4E3BF842" w:rsidR="00600202" w:rsidRPr="00FC120E" w:rsidRDefault="00600202" w:rsidP="00600202">
            <w:pPr>
              <w:pStyle w:val="Tablet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67,477 </w:t>
            </w:r>
          </w:p>
        </w:tc>
        <w:tc>
          <w:tcPr>
            <w:tcW w:w="1168" w:type="pct"/>
            <w:vAlign w:val="bottom"/>
          </w:tcPr>
          <w:p w14:paraId="24A3C606" w14:textId="1DA11DC3" w:rsidR="00600202" w:rsidRPr="00FC120E" w:rsidRDefault="00600202" w:rsidP="00600202">
            <w:pPr>
              <w:pStyle w:val="Tablet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69,252 </w:t>
            </w:r>
          </w:p>
        </w:tc>
        <w:tc>
          <w:tcPr>
            <w:tcW w:w="1081" w:type="pct"/>
            <w:vAlign w:val="bottom"/>
          </w:tcPr>
          <w:p w14:paraId="39F09F2F" w14:textId="4EC1DBDF" w:rsidR="00600202" w:rsidRPr="00FC120E" w:rsidRDefault="00600202" w:rsidP="00600202">
            <w:pPr>
              <w:pStyle w:val="Tabletext"/>
              <w:jc w:val="right"/>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 xml:space="preserve">                    71,028 </w:t>
            </w:r>
          </w:p>
        </w:tc>
      </w:tr>
      <w:tr w:rsidR="00600202" w:rsidRPr="0015410C" w14:paraId="21C2400B" w14:textId="77777777">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666" w:type="pct"/>
          </w:tcPr>
          <w:p w14:paraId="288BF973" w14:textId="77777777" w:rsidR="00600202" w:rsidRPr="00FC120E" w:rsidRDefault="00600202" w:rsidP="00600202">
            <w:pPr>
              <w:pStyle w:val="Tabletext"/>
              <w:rPr>
                <w:rFonts w:cs="Calibri Light"/>
                <w:color w:val="auto"/>
              </w:rPr>
            </w:pPr>
            <w:r w:rsidRPr="00FC120E">
              <w:rPr>
                <w:rFonts w:cs="Calibri Light"/>
                <w:color w:val="auto"/>
              </w:rPr>
              <w:t>Category 4</w:t>
            </w:r>
          </w:p>
        </w:tc>
        <w:tc>
          <w:tcPr>
            <w:tcW w:w="1085" w:type="pct"/>
            <w:vAlign w:val="bottom"/>
          </w:tcPr>
          <w:p w14:paraId="5E8FD0B8" w14:textId="0E096055" w:rsidR="00600202" w:rsidRPr="00FC120E" w:rsidRDefault="00600202" w:rsidP="00600202">
            <w:pPr>
              <w:pStyle w:val="Tablet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134,955 </w:t>
            </w:r>
          </w:p>
        </w:tc>
        <w:tc>
          <w:tcPr>
            <w:tcW w:w="1168" w:type="pct"/>
            <w:vAlign w:val="bottom"/>
          </w:tcPr>
          <w:p w14:paraId="4E46FC28" w14:textId="0D4CBEB1" w:rsidR="00600202" w:rsidRPr="00FC120E" w:rsidRDefault="00600202" w:rsidP="00600202">
            <w:pPr>
              <w:pStyle w:val="Tablet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138,507 </w:t>
            </w:r>
          </w:p>
        </w:tc>
        <w:tc>
          <w:tcPr>
            <w:tcW w:w="1081" w:type="pct"/>
            <w:vAlign w:val="bottom"/>
          </w:tcPr>
          <w:p w14:paraId="14447828" w14:textId="33655EF4" w:rsidR="00600202" w:rsidRPr="00FC120E" w:rsidRDefault="00600202" w:rsidP="00600202">
            <w:pPr>
              <w:pStyle w:val="Tabletext"/>
              <w:jc w:val="right"/>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 xml:space="preserve">                  142,058 </w:t>
            </w:r>
          </w:p>
        </w:tc>
      </w:tr>
    </w:tbl>
    <w:p w14:paraId="341FB19A" w14:textId="364E4327" w:rsidR="000F1881" w:rsidRPr="006263A2" w:rsidRDefault="000F1881" w:rsidP="000F1881">
      <w:pPr>
        <w:pStyle w:val="08Figuretableboxheading"/>
        <w:rPr>
          <w:rFonts w:cs="Calibri Light"/>
        </w:rPr>
      </w:pPr>
      <w:r w:rsidRPr="006263A2">
        <w:rPr>
          <w:rFonts w:cs="Calibri Light"/>
        </w:rPr>
        <w:t xml:space="preserve">Table </w:t>
      </w:r>
      <w:r w:rsidR="00197632" w:rsidRPr="006263A2">
        <w:rPr>
          <w:rFonts w:cs="Calibri Light"/>
        </w:rPr>
        <w:t>3.</w:t>
      </w:r>
      <w:r w:rsidR="00E2778B">
        <w:rPr>
          <w:rFonts w:cs="Calibri Light"/>
        </w:rPr>
        <w:t>3</w:t>
      </w:r>
      <w:r w:rsidRPr="006263A2">
        <w:rPr>
          <w:rFonts w:cs="Calibri Light"/>
        </w:rPr>
        <w:t>: Value of the base allowance for Councillors</w:t>
      </w:r>
    </w:p>
    <w:tbl>
      <w:tblPr>
        <w:tblStyle w:val="ListTable3-Accent212"/>
        <w:tblW w:w="8505" w:type="dxa"/>
        <w:tblInd w:w="0" w:type="dxa"/>
        <w:tblLook w:val="04A0" w:firstRow="1" w:lastRow="0" w:firstColumn="1" w:lastColumn="0" w:noHBand="0" w:noVBand="1"/>
      </w:tblPr>
      <w:tblGrid>
        <w:gridCol w:w="2835"/>
        <w:gridCol w:w="5670"/>
      </w:tblGrid>
      <w:tr w:rsidR="000F1881" w:rsidRPr="0015410C" w14:paraId="5B69A441"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835" w:type="dxa"/>
          </w:tcPr>
          <w:p w14:paraId="3EED1EFD" w14:textId="77777777" w:rsidR="000F1881" w:rsidRPr="006263A2" w:rsidRDefault="000F1881">
            <w:pPr>
              <w:keepNext/>
              <w:spacing w:after="0"/>
              <w:contextualSpacing/>
              <w:rPr>
                <w:rFonts w:ascii="Calibri Light" w:hAnsi="Calibri Light"/>
                <w:color w:val="FFFFFF"/>
                <w:sz w:val="22"/>
                <w:lang w:val="en-US"/>
              </w:rPr>
            </w:pPr>
            <w:r w:rsidRPr="006263A2">
              <w:rPr>
                <w:rFonts w:ascii="Calibri Light" w:hAnsi="Calibri Light"/>
                <w:color w:val="FFFFFF"/>
                <w:sz w:val="22"/>
                <w:lang w:val="en-US"/>
              </w:rPr>
              <w:t>Council allowance category</w:t>
            </w:r>
          </w:p>
        </w:tc>
        <w:tc>
          <w:tcPr>
            <w:tcW w:w="5670" w:type="dxa"/>
          </w:tcPr>
          <w:p w14:paraId="29CA92AC" w14:textId="77777777" w:rsidR="000F1881" w:rsidRPr="006263A2" w:rsidRDefault="000F1881">
            <w:pPr>
              <w:keepNext/>
              <w:spacing w:after="0"/>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b w:val="0"/>
                <w:color w:val="FFFFFF"/>
                <w:sz w:val="22"/>
                <w:lang w:val="en-US"/>
              </w:rPr>
            </w:pPr>
            <w:r w:rsidRPr="006263A2">
              <w:rPr>
                <w:rFonts w:ascii="Calibri Light" w:hAnsi="Calibri Light"/>
                <w:color w:val="FFFFFF"/>
                <w:sz w:val="22"/>
                <w:lang w:val="en-US"/>
              </w:rPr>
              <w:t>Value of base allowance ($ per annum)</w:t>
            </w:r>
          </w:p>
        </w:tc>
      </w:tr>
      <w:tr w:rsidR="00266C94" w:rsidRPr="0015410C" w14:paraId="681B9CA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shd w:val="clear" w:color="auto" w:fill="148A5D" w:themeFill="accent2"/>
          </w:tcPr>
          <w:p w14:paraId="7ECF2E4C" w14:textId="77777777" w:rsidR="00266C94" w:rsidRPr="006263A2" w:rsidRDefault="00266C94">
            <w:pPr>
              <w:keepNext/>
              <w:spacing w:after="0"/>
              <w:contextualSpacing/>
              <w:jc w:val="center"/>
              <w:rPr>
                <w:rFonts w:ascii="Calibri Light" w:hAnsi="Calibri Light" w:cs="Calibri Light"/>
                <w:b/>
                <w:color w:val="FFFFFF"/>
                <w:sz w:val="22"/>
                <w:lang w:val="en-US"/>
              </w:rPr>
            </w:pPr>
          </w:p>
        </w:tc>
        <w:tc>
          <w:tcPr>
            <w:tcW w:w="5670" w:type="dxa"/>
            <w:shd w:val="clear" w:color="auto" w:fill="A6A6A6" w:themeFill="background1" w:themeFillShade="A6"/>
          </w:tcPr>
          <w:p w14:paraId="679206CC" w14:textId="451811D0" w:rsidR="00266C94" w:rsidRPr="006263A2" w:rsidRDefault="00266C94" w:rsidP="00266C94">
            <w:pPr>
              <w:keepNext/>
              <w:spacing w:after="0"/>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color w:val="FFFFFF"/>
                <w:sz w:val="22"/>
                <w:lang w:val="en-US"/>
              </w:rPr>
            </w:pPr>
            <w:r w:rsidRPr="006263A2">
              <w:rPr>
                <w:rFonts w:ascii="Calibri Light" w:hAnsi="Calibri Light" w:cs="Calibri Light"/>
                <w:b/>
                <w:color w:val="FFFFFF"/>
                <w:sz w:val="22"/>
                <w:lang w:val="en-US"/>
              </w:rPr>
              <w:t>1 July 2024</w:t>
            </w:r>
          </w:p>
        </w:tc>
      </w:tr>
      <w:tr w:rsidR="00272AB1" w:rsidRPr="0015410C" w14:paraId="284C0C5F" w14:textId="77777777">
        <w:trPr>
          <w:cantSplit/>
        </w:trPr>
        <w:tc>
          <w:tcPr>
            <w:cnfStyle w:val="001000000000" w:firstRow="0" w:lastRow="0" w:firstColumn="1" w:lastColumn="0" w:oddVBand="0" w:evenVBand="0" w:oddHBand="0" w:evenHBand="0" w:firstRowFirstColumn="0" w:firstRowLastColumn="0" w:lastRowFirstColumn="0" w:lastRowLastColumn="0"/>
            <w:tcW w:w="2835" w:type="dxa"/>
          </w:tcPr>
          <w:p w14:paraId="06554C4C" w14:textId="77777777" w:rsidR="00272AB1" w:rsidRPr="00FC120E" w:rsidRDefault="00272AB1" w:rsidP="00272AB1">
            <w:pPr>
              <w:pStyle w:val="Tabletext"/>
              <w:keepNext/>
              <w:rPr>
                <w:rFonts w:cs="Calibri Light"/>
                <w:color w:val="auto"/>
                <w:lang w:val="en-US"/>
              </w:rPr>
            </w:pPr>
            <w:r w:rsidRPr="00FC120E">
              <w:rPr>
                <w:rFonts w:cs="Calibri Light"/>
                <w:color w:val="auto"/>
                <w:lang w:val="en-US"/>
              </w:rPr>
              <w:t>Category 1</w:t>
            </w:r>
          </w:p>
        </w:tc>
        <w:tc>
          <w:tcPr>
            <w:tcW w:w="5670" w:type="dxa"/>
            <w:vAlign w:val="bottom"/>
          </w:tcPr>
          <w:p w14:paraId="2D015CA6" w14:textId="4EBC761F" w:rsidR="00272AB1" w:rsidRPr="00FC120E" w:rsidRDefault="00272AB1" w:rsidP="00272AB1">
            <w:pPr>
              <w:pStyle w:val="Tabletext"/>
              <w:ind w:left="397"/>
              <w:jc w:val="center"/>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27,291</w:t>
            </w:r>
          </w:p>
        </w:tc>
      </w:tr>
      <w:tr w:rsidR="00272AB1" w:rsidRPr="0015410C" w14:paraId="10D6EEF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0883579B" w14:textId="77777777" w:rsidR="00272AB1" w:rsidRPr="00FC120E" w:rsidRDefault="00272AB1" w:rsidP="00272AB1">
            <w:pPr>
              <w:pStyle w:val="Tabletext"/>
              <w:keepNext/>
              <w:rPr>
                <w:rFonts w:cs="Calibri Light"/>
                <w:color w:val="auto"/>
                <w:lang w:val="en-US"/>
              </w:rPr>
            </w:pPr>
            <w:r w:rsidRPr="00FC120E">
              <w:rPr>
                <w:rFonts w:cs="Calibri Light"/>
                <w:color w:val="auto"/>
                <w:lang w:val="en-US"/>
              </w:rPr>
              <w:t>Category 2</w:t>
            </w:r>
          </w:p>
        </w:tc>
        <w:tc>
          <w:tcPr>
            <w:tcW w:w="5670" w:type="dxa"/>
            <w:vAlign w:val="bottom"/>
          </w:tcPr>
          <w:p w14:paraId="5B6A1C92" w14:textId="179AFEE3" w:rsidR="00272AB1" w:rsidRPr="00FC120E" w:rsidRDefault="00272AB1" w:rsidP="00272AB1">
            <w:pPr>
              <w:pStyle w:val="Tabletext"/>
              <w:ind w:left="397"/>
              <w:jc w:val="center"/>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34,028</w:t>
            </w:r>
          </w:p>
        </w:tc>
      </w:tr>
      <w:tr w:rsidR="00272AB1" w:rsidRPr="0015410C" w14:paraId="07262F3F" w14:textId="77777777">
        <w:trPr>
          <w:cantSplit/>
        </w:trPr>
        <w:tc>
          <w:tcPr>
            <w:cnfStyle w:val="001000000000" w:firstRow="0" w:lastRow="0" w:firstColumn="1" w:lastColumn="0" w:oddVBand="0" w:evenVBand="0" w:oddHBand="0" w:evenHBand="0" w:firstRowFirstColumn="0" w:firstRowLastColumn="0" w:lastRowFirstColumn="0" w:lastRowLastColumn="0"/>
            <w:tcW w:w="2835" w:type="dxa"/>
          </w:tcPr>
          <w:p w14:paraId="209A8972" w14:textId="77777777" w:rsidR="00272AB1" w:rsidRPr="00FC120E" w:rsidRDefault="00272AB1" w:rsidP="00272AB1">
            <w:pPr>
              <w:pStyle w:val="Tabletext"/>
              <w:keepNext/>
              <w:rPr>
                <w:rFonts w:cs="Calibri Light"/>
                <w:color w:val="auto"/>
                <w:lang w:val="en-US"/>
              </w:rPr>
            </w:pPr>
            <w:r w:rsidRPr="00FC120E">
              <w:rPr>
                <w:rFonts w:cs="Calibri Light"/>
                <w:color w:val="auto"/>
                <w:lang w:val="en-US"/>
              </w:rPr>
              <w:t>Category 3</w:t>
            </w:r>
          </w:p>
        </w:tc>
        <w:tc>
          <w:tcPr>
            <w:tcW w:w="5670" w:type="dxa"/>
            <w:vAlign w:val="bottom"/>
          </w:tcPr>
          <w:p w14:paraId="4A645BE5" w14:textId="64092705" w:rsidR="00272AB1" w:rsidRPr="00FC120E" w:rsidRDefault="00272AB1" w:rsidP="00272AB1">
            <w:pPr>
              <w:pStyle w:val="Tabletext"/>
              <w:ind w:left="397"/>
              <w:jc w:val="center"/>
              <w:cnfStyle w:val="000000000000" w:firstRow="0" w:lastRow="0" w:firstColumn="0" w:lastColumn="0" w:oddVBand="0" w:evenVBand="0" w:oddHBand="0" w:evenHBand="0" w:firstRowFirstColumn="0" w:firstRowLastColumn="0" w:lastRowFirstColumn="0" w:lastRowLastColumn="0"/>
              <w:rPr>
                <w:rFonts w:cs="Calibri Light"/>
                <w:color w:val="auto"/>
                <w:highlight w:val="yellow"/>
              </w:rPr>
            </w:pPr>
            <w:r w:rsidRPr="00FC120E">
              <w:rPr>
                <w:rFonts w:cs="Calibri Light"/>
                <w:color w:val="000000"/>
              </w:rPr>
              <w:t>40,769</w:t>
            </w:r>
          </w:p>
        </w:tc>
      </w:tr>
      <w:tr w:rsidR="00272AB1" w:rsidRPr="0015410C" w14:paraId="2269C21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5EEF2933" w14:textId="77777777" w:rsidR="00272AB1" w:rsidRPr="00FC120E" w:rsidRDefault="00272AB1" w:rsidP="00272AB1">
            <w:pPr>
              <w:pStyle w:val="Tabletext"/>
              <w:rPr>
                <w:rFonts w:cs="Calibri Light"/>
                <w:color w:val="auto"/>
                <w:lang w:val="en-US"/>
              </w:rPr>
            </w:pPr>
            <w:r w:rsidRPr="00FC120E">
              <w:rPr>
                <w:rFonts w:cs="Calibri Light"/>
                <w:color w:val="auto"/>
                <w:lang w:val="en-US"/>
              </w:rPr>
              <w:t>Category 4</w:t>
            </w:r>
          </w:p>
        </w:tc>
        <w:tc>
          <w:tcPr>
            <w:tcW w:w="5670" w:type="dxa"/>
            <w:vAlign w:val="bottom"/>
          </w:tcPr>
          <w:p w14:paraId="30ED808F" w14:textId="5DCF2446" w:rsidR="00272AB1" w:rsidRPr="00FC120E" w:rsidRDefault="00272AB1" w:rsidP="00272AB1">
            <w:pPr>
              <w:pStyle w:val="Tabletext"/>
              <w:ind w:left="397"/>
              <w:jc w:val="center"/>
              <w:cnfStyle w:val="000000100000" w:firstRow="0" w:lastRow="0" w:firstColumn="0" w:lastColumn="0" w:oddVBand="0" w:evenVBand="0" w:oddHBand="1" w:evenHBand="0" w:firstRowFirstColumn="0" w:firstRowLastColumn="0" w:lastRowFirstColumn="0" w:lastRowLastColumn="0"/>
              <w:rPr>
                <w:rFonts w:cs="Calibri Light"/>
                <w:color w:val="auto"/>
                <w:highlight w:val="yellow"/>
              </w:rPr>
            </w:pPr>
            <w:r w:rsidRPr="00FC120E">
              <w:rPr>
                <w:rFonts w:cs="Calibri Light"/>
                <w:color w:val="000000"/>
              </w:rPr>
              <w:t>61,153</w:t>
            </w:r>
          </w:p>
        </w:tc>
      </w:tr>
    </w:tbl>
    <w:p w14:paraId="4016B13A" w14:textId="22B263D0" w:rsidR="004756A3" w:rsidRDefault="004756A3" w:rsidP="002827DD">
      <w:pPr>
        <w:pStyle w:val="02VIRTHeading2"/>
      </w:pPr>
      <w:bookmarkStart w:id="76" w:name="_Toc166014305"/>
      <w:bookmarkStart w:id="77" w:name="_Toc169172618"/>
      <w:bookmarkStart w:id="78" w:name="_Toc170383524"/>
      <w:r>
        <w:t>3.2</w:t>
      </w:r>
      <w:r>
        <w:tab/>
        <w:t xml:space="preserve">Remote </w:t>
      </w:r>
      <w:r w:rsidR="00254B9E">
        <w:t>A</w:t>
      </w:r>
      <w:r>
        <w:t xml:space="preserve">rea </w:t>
      </w:r>
      <w:r w:rsidR="00254B9E">
        <w:t>T</w:t>
      </w:r>
      <w:r>
        <w:t xml:space="preserve">ravel </w:t>
      </w:r>
      <w:r w:rsidR="00254B9E">
        <w:t>A</w:t>
      </w:r>
      <w:r>
        <w:t>llowance</w:t>
      </w:r>
      <w:bookmarkEnd w:id="76"/>
      <w:bookmarkEnd w:id="77"/>
      <w:bookmarkEnd w:id="78"/>
    </w:p>
    <w:p w14:paraId="66F3799E" w14:textId="37201136" w:rsidR="000F1881" w:rsidRPr="00FC120E" w:rsidRDefault="000F1881" w:rsidP="000F1881">
      <w:pPr>
        <w:pStyle w:val="05Paragraph"/>
        <w:rPr>
          <w:rFonts w:cs="Calibri Light"/>
        </w:rPr>
      </w:pPr>
      <w:r w:rsidRPr="00FC120E">
        <w:rPr>
          <w:rFonts w:cs="Calibri Light"/>
        </w:rPr>
        <w:t xml:space="preserve">Taking into account the legislative factors it is required to consider and the other factors to which the Tribunal has referred in determining the increase to the base allowance, the Tribunal has also determined to apply a </w:t>
      </w:r>
      <w:r w:rsidR="00693D6E" w:rsidRPr="00FC120E">
        <w:rPr>
          <w:rFonts w:cs="Calibri Light"/>
        </w:rPr>
        <w:t>3.5</w:t>
      </w:r>
      <w:r w:rsidRPr="00FC120E">
        <w:rPr>
          <w:rFonts w:cs="Calibri Light"/>
        </w:rPr>
        <w:t xml:space="preserve"> per cent increase to the value of the Remote Area Travel Allowance. </w:t>
      </w:r>
    </w:p>
    <w:p w14:paraId="258D8B4D" w14:textId="3FCC4491" w:rsidR="000F1881" w:rsidRPr="00FC120E" w:rsidRDefault="000F1881" w:rsidP="000F1881">
      <w:pPr>
        <w:pStyle w:val="05Paragraph"/>
        <w:rPr>
          <w:rFonts w:cs="Calibri Light"/>
        </w:rPr>
      </w:pPr>
      <w:r w:rsidRPr="00FC120E">
        <w:rPr>
          <w:rFonts w:cs="Calibri Light"/>
        </w:rPr>
        <w:t>From 1 July 202</w:t>
      </w:r>
      <w:r w:rsidR="004C2729" w:rsidRPr="00FC120E">
        <w:rPr>
          <w:rFonts w:cs="Calibri Light"/>
        </w:rPr>
        <w:t>4</w:t>
      </w:r>
      <w:r w:rsidRPr="00FC120E">
        <w:rPr>
          <w:rFonts w:cs="Calibri Light"/>
        </w:rPr>
        <w:t>, the Remote Area Travel Allowance will be $4</w:t>
      </w:r>
      <w:r w:rsidR="00CE0925" w:rsidRPr="00FC120E">
        <w:rPr>
          <w:rFonts w:cs="Calibri Light"/>
        </w:rPr>
        <w:t>7</w:t>
      </w:r>
      <w:r w:rsidRPr="00FC120E">
        <w:rPr>
          <w:rFonts w:cs="Calibri Light"/>
        </w:rPr>
        <w:t>.</w:t>
      </w:r>
      <w:r w:rsidR="00CE0925" w:rsidRPr="00FC120E">
        <w:rPr>
          <w:rFonts w:cs="Calibri Light"/>
        </w:rPr>
        <w:t>50</w:t>
      </w:r>
      <w:r w:rsidRPr="00FC120E">
        <w:rPr>
          <w:rFonts w:cs="Calibri Light"/>
        </w:rPr>
        <w:t xml:space="preserve"> per day for eligible Council members, up to a maximum of </w:t>
      </w:r>
      <w:r w:rsidR="00677EC6" w:rsidRPr="00FC120E">
        <w:rPr>
          <w:rFonts w:cs="Calibri Light"/>
          <w:lang w:val="en-US"/>
        </w:rPr>
        <w:t>$5,937.50 </w:t>
      </w:r>
      <w:r w:rsidRPr="00FC120E">
        <w:rPr>
          <w:rFonts w:cs="Calibri Light"/>
        </w:rPr>
        <w:t>per annum.</w:t>
      </w:r>
    </w:p>
    <w:p w14:paraId="65269CD6" w14:textId="331EF7E6" w:rsidR="000F1881" w:rsidRPr="00EF76BE" w:rsidRDefault="001F18C2" w:rsidP="001F18C2">
      <w:pPr>
        <w:pStyle w:val="02VIRTHeading2"/>
      </w:pPr>
      <w:bookmarkStart w:id="79" w:name="_Toc169172619"/>
      <w:bookmarkStart w:id="80" w:name="_Toc170383525"/>
      <w:r>
        <w:t>3.3</w:t>
      </w:r>
      <w:r>
        <w:tab/>
      </w:r>
      <w:r w:rsidR="000F1881" w:rsidRPr="00EF76BE">
        <w:t>Conclusion</w:t>
      </w:r>
      <w:bookmarkEnd w:id="79"/>
      <w:bookmarkEnd w:id="80"/>
    </w:p>
    <w:p w14:paraId="155B9ACE" w14:textId="41EDC39E" w:rsidR="000F1881" w:rsidRPr="00FC120E" w:rsidRDefault="000F1881" w:rsidP="000F1881">
      <w:pPr>
        <w:pStyle w:val="05Paragraph"/>
        <w:rPr>
          <w:rFonts w:cs="Calibri Light"/>
        </w:rPr>
      </w:pPr>
      <w:r w:rsidRPr="00FC120E">
        <w:rPr>
          <w:rFonts w:cs="Calibri Light"/>
        </w:rPr>
        <w:t>This Statement of Reasons explains the Tribunal’s considerations in making the 202</w:t>
      </w:r>
      <w:r w:rsidR="00114290" w:rsidRPr="00FC120E">
        <w:rPr>
          <w:rFonts w:cs="Calibri Light"/>
        </w:rPr>
        <w:t>4</w:t>
      </w:r>
      <w:r w:rsidRPr="00FC120E">
        <w:rPr>
          <w:rFonts w:cs="Calibri Light"/>
        </w:rPr>
        <w:t xml:space="preserve"> Local Government Annual Adjustment Determination.</w:t>
      </w:r>
    </w:p>
    <w:p w14:paraId="764E9B3D" w14:textId="1DD21D69" w:rsidR="000F1881" w:rsidRPr="00FC120E" w:rsidRDefault="000F1881" w:rsidP="000F1881">
      <w:pPr>
        <w:pStyle w:val="05Paragraph"/>
        <w:rPr>
          <w:rFonts w:cs="Calibri Light"/>
        </w:rPr>
      </w:pPr>
      <w:r w:rsidRPr="00FC120E">
        <w:rPr>
          <w:rFonts w:cs="Calibri Light"/>
        </w:rPr>
        <w:t>Before making the Determination, the Tribunal published notice of its intention to make a Determination and called for submissions in March 202</w:t>
      </w:r>
      <w:r w:rsidR="00114290" w:rsidRPr="00FC120E">
        <w:rPr>
          <w:rFonts w:cs="Calibri Light"/>
        </w:rPr>
        <w:t>4</w:t>
      </w:r>
      <w:r w:rsidRPr="00FC120E">
        <w:rPr>
          <w:rFonts w:cs="Calibri Light"/>
        </w:rPr>
        <w:t xml:space="preserve">. The Tribunal considered </w:t>
      </w:r>
      <w:r w:rsidR="006D1045">
        <w:rPr>
          <w:rFonts w:cs="Calibri Light"/>
        </w:rPr>
        <w:t xml:space="preserve">each </w:t>
      </w:r>
      <w:r w:rsidRPr="00FC120E">
        <w:rPr>
          <w:rFonts w:cs="Calibri Light"/>
        </w:rPr>
        <w:t xml:space="preserve">submission </w:t>
      </w:r>
      <w:r w:rsidR="00417F5B">
        <w:rPr>
          <w:rFonts w:cs="Calibri Light"/>
        </w:rPr>
        <w:t>it</w:t>
      </w:r>
      <w:r>
        <w:rPr>
          <w:rFonts w:cs="Calibri Light"/>
        </w:rPr>
        <w:t xml:space="preserve"> </w:t>
      </w:r>
      <w:r w:rsidRPr="00FC120E">
        <w:rPr>
          <w:rFonts w:cs="Calibri Light"/>
        </w:rPr>
        <w:t xml:space="preserve">received and expresses its appreciation to all those who made submissions or otherwise participated in the process and assisted the Tribunal to perform its functions. </w:t>
      </w:r>
    </w:p>
    <w:p w14:paraId="40A65B29" w14:textId="6C454A55" w:rsidR="000F1881" w:rsidRPr="00FC120E" w:rsidRDefault="000F1881" w:rsidP="000F1881">
      <w:pPr>
        <w:pStyle w:val="05Paragraph"/>
        <w:rPr>
          <w:rFonts w:cs="Calibri Light"/>
        </w:rPr>
      </w:pPr>
      <w:r w:rsidRPr="00FC120E">
        <w:rPr>
          <w:rFonts w:cs="Calibri Light"/>
        </w:rPr>
        <w:t>In accordance with the VIRTIPS Act, the Tribunal has ma</w:t>
      </w:r>
      <w:r w:rsidR="001D7B21">
        <w:rPr>
          <w:rFonts w:cs="Calibri Light"/>
        </w:rPr>
        <w:t>d</w:t>
      </w:r>
      <w:r w:rsidRPr="00FC120E">
        <w:rPr>
          <w:rFonts w:cs="Calibri Light"/>
        </w:rPr>
        <w:t>e an annual adjustment to the values of the allowances payable to Council members, taking into account a range of legislative and other considerations.</w:t>
      </w:r>
    </w:p>
    <w:p w14:paraId="4904123B" w14:textId="61BCEA37" w:rsidR="000F1881" w:rsidRPr="00FC120E" w:rsidRDefault="000F1881" w:rsidP="000F1881">
      <w:pPr>
        <w:pStyle w:val="05Paragraph"/>
        <w:rPr>
          <w:rFonts w:cs="Calibri Light"/>
        </w:rPr>
      </w:pPr>
      <w:r w:rsidRPr="00FC120E">
        <w:rPr>
          <w:rFonts w:cs="Calibri Light"/>
        </w:rPr>
        <w:t xml:space="preserve">This Determination </w:t>
      </w:r>
      <w:r w:rsidRPr="00757EB1">
        <w:rPr>
          <w:rFonts w:cs="Calibri Light"/>
        </w:rPr>
        <w:t>adjusts</w:t>
      </w:r>
      <w:r w:rsidRPr="00FC120E">
        <w:rPr>
          <w:rFonts w:cs="Calibri Light"/>
        </w:rPr>
        <w:t xml:space="preserve"> the value of the base allowance payable to each Council member by </w:t>
      </w:r>
      <w:r w:rsidR="00114290" w:rsidRPr="00FC120E">
        <w:rPr>
          <w:rFonts w:cs="Calibri Light"/>
        </w:rPr>
        <w:t>3.5</w:t>
      </w:r>
      <w:r w:rsidRPr="00FC120E">
        <w:rPr>
          <w:rFonts w:cs="Calibri Light"/>
        </w:rPr>
        <w:t xml:space="preserve"> per cent. Th</w:t>
      </w:r>
      <w:r w:rsidR="001D7B21">
        <w:rPr>
          <w:rFonts w:cs="Calibri Light"/>
        </w:rPr>
        <w:t>e</w:t>
      </w:r>
      <w:r w:rsidRPr="00FC120E">
        <w:rPr>
          <w:rFonts w:cs="Calibri Light"/>
        </w:rPr>
        <w:t xml:space="preserve"> Determination also adjusts the value of the Remote Area Travel Allowance by the same percentage.</w:t>
      </w:r>
    </w:p>
    <w:p w14:paraId="3C3C2F36" w14:textId="3835F130" w:rsidR="000F1881" w:rsidRPr="00FC120E" w:rsidRDefault="000F1881" w:rsidP="000F1881">
      <w:pPr>
        <w:pStyle w:val="05Paragraph"/>
        <w:rPr>
          <w:rFonts w:cs="Calibri Light"/>
        </w:rPr>
      </w:pPr>
      <w:r w:rsidRPr="00FC120E">
        <w:rPr>
          <w:rFonts w:cs="Calibri Light"/>
        </w:rPr>
        <w:t>Th</w:t>
      </w:r>
      <w:r w:rsidR="001D7B21">
        <w:rPr>
          <w:rFonts w:cs="Calibri Light"/>
        </w:rPr>
        <w:t>e</w:t>
      </w:r>
      <w:r w:rsidRPr="00FC120E">
        <w:rPr>
          <w:rFonts w:cs="Calibri Light"/>
        </w:rPr>
        <w:t xml:space="preserve"> Determination will take effect on 1 July 202</w:t>
      </w:r>
      <w:r w:rsidR="00197632" w:rsidRPr="00FC120E">
        <w:rPr>
          <w:rFonts w:cs="Calibri Light"/>
        </w:rPr>
        <w:t>4</w:t>
      </w:r>
      <w:r w:rsidRPr="00FC120E">
        <w:rPr>
          <w:rFonts w:cs="Calibri Light"/>
        </w:rPr>
        <w:t>.</w:t>
      </w:r>
    </w:p>
    <w:p w14:paraId="47629BC2" w14:textId="7751CBC9" w:rsidR="000F1881" w:rsidRPr="002827DD" w:rsidRDefault="000F1881" w:rsidP="00516470">
      <w:pPr>
        <w:pStyle w:val="02VIRTHeading2"/>
        <w:ind w:left="0" w:firstLine="0"/>
        <w:sectPr w:rsidR="000F1881" w:rsidRPr="002827DD" w:rsidSect="0001367F">
          <w:pgSz w:w="11906" w:h="16838"/>
          <w:pgMar w:top="1701" w:right="1701" w:bottom="1559" w:left="1701" w:header="708" w:footer="708" w:gutter="0"/>
          <w:cols w:space="708"/>
          <w:titlePg/>
          <w:docGrid w:linePitch="360"/>
        </w:sectPr>
      </w:pPr>
    </w:p>
    <w:p w14:paraId="129D92FF" w14:textId="72279CEA" w:rsidR="00516470" w:rsidRPr="00516470" w:rsidRDefault="00516470" w:rsidP="00516470">
      <w:pPr>
        <w:pStyle w:val="Style4"/>
      </w:pPr>
      <w:bookmarkStart w:id="81" w:name="_Toc97728587"/>
      <w:bookmarkStart w:id="82" w:name="_Toc170383526"/>
      <w:r w:rsidRPr="00516470">
        <w:rPr>
          <w:rStyle w:val="01ChapterheadingChar"/>
        </w:rPr>
        <w:t>Appendix A –</w:t>
      </w:r>
      <w:bookmarkEnd w:id="81"/>
      <w:r w:rsidRPr="00516470">
        <w:rPr>
          <w:rStyle w:val="01ChapterheadingChar"/>
        </w:rPr>
        <w:br/>
        <w:t>Detailed economic and financial considerations</w:t>
      </w:r>
      <w:bookmarkEnd w:id="82"/>
      <w:r>
        <w:br w:type="textWrapping" w:clear="all"/>
      </w:r>
      <w:r w:rsidRPr="004A6931">
        <w:rPr>
          <w:noProof/>
        </w:rPr>
        <w:drawing>
          <wp:inline distT="0" distB="0" distL="0" distR="0" wp14:anchorId="1D5591C5" wp14:editId="76C5ED3B">
            <wp:extent cx="2212975" cy="255905"/>
            <wp:effectExtent l="0" t="0" r="0" b="0"/>
            <wp:docPr id="2054579104" name="Picture 205457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6">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0C861E42" w14:textId="77777777" w:rsidR="00516470" w:rsidRPr="00516470" w:rsidRDefault="00516470" w:rsidP="00516470">
      <w:pPr>
        <w:pStyle w:val="02VIRTHeading2"/>
      </w:pPr>
      <w:bookmarkStart w:id="83" w:name="_Toc170383527"/>
      <w:bookmarkStart w:id="84" w:name="_Hlk169599975"/>
      <w:r w:rsidRPr="00516470">
        <w:t>A.1</w:t>
      </w:r>
      <w:r w:rsidRPr="00516470">
        <w:tab/>
        <w:t>Current economic conditions</w:t>
      </w:r>
      <w:bookmarkEnd w:id="83"/>
    </w:p>
    <w:p w14:paraId="06DD6C14" w14:textId="77777777" w:rsidR="00516470" w:rsidRDefault="00516470" w:rsidP="00516470">
      <w:pPr>
        <w:pStyle w:val="05Paragraph"/>
      </w:pPr>
      <w:r>
        <w:t>Figure A.1 provides a high-level overview of current economic conditions, which are described in further detail in the coming sections.</w:t>
      </w:r>
    </w:p>
    <w:p w14:paraId="7787E1DA" w14:textId="77777777" w:rsidR="00516470" w:rsidRDefault="00516470" w:rsidP="009248E5">
      <w:pPr>
        <w:pStyle w:val="08Figuretableboxheading"/>
        <w:keepNext w:val="0"/>
      </w:pPr>
      <w:r>
        <w:t xml:space="preserve">Figure A.1: Overview of conditions in the </w:t>
      </w:r>
      <w:r w:rsidRPr="00516470">
        <w:t>Australian</w:t>
      </w:r>
      <w:r>
        <w:t xml:space="preserve"> and Victorian economies, June 2024</w:t>
      </w:r>
    </w:p>
    <w:p w14:paraId="32F056F1" w14:textId="6C1DDAFF" w:rsidR="00516470" w:rsidRDefault="000C19FB" w:rsidP="00516470">
      <w:pPr>
        <w:pStyle w:val="05Paragraph"/>
      </w:pPr>
      <w:r>
        <w:rPr>
          <w:noProof/>
        </w:rPr>
        <w:drawing>
          <wp:inline distT="0" distB="0" distL="0" distR="0" wp14:anchorId="1F4B156D" wp14:editId="6360DD6B">
            <wp:extent cx="5494020" cy="2936549"/>
            <wp:effectExtent l="0" t="0" r="0" b="0"/>
            <wp:docPr id="1856417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14533" cy="2947513"/>
                    </a:xfrm>
                    <a:prstGeom prst="rect">
                      <a:avLst/>
                    </a:prstGeom>
                    <a:noFill/>
                  </pic:spPr>
                </pic:pic>
              </a:graphicData>
            </a:graphic>
          </wp:inline>
        </w:drawing>
      </w:r>
    </w:p>
    <w:p w14:paraId="49442102" w14:textId="77777777" w:rsidR="00516470" w:rsidRPr="00516470" w:rsidRDefault="00516470" w:rsidP="00516470">
      <w:pPr>
        <w:pStyle w:val="03VIRTHeading3"/>
      </w:pPr>
      <w:r w:rsidRPr="00516470">
        <w:t>Economic growth is subdued as cost-of-living pressures and higher interest rates weigh on household consumption</w:t>
      </w:r>
    </w:p>
    <w:p w14:paraId="55B3322D" w14:textId="77777777" w:rsidR="00516470" w:rsidRDefault="00516470" w:rsidP="00516470">
      <w:pPr>
        <w:pStyle w:val="05Paragraph"/>
      </w:pPr>
      <w:r>
        <w:t>Economic growth has slowed in Australia and Victoria from the high levels associated with the recovery from the COVID-19 pandemic.</w:t>
      </w:r>
    </w:p>
    <w:p w14:paraId="5698CA21" w14:textId="17E873D4" w:rsidR="00516470" w:rsidRDefault="00516470" w:rsidP="00516470">
      <w:pPr>
        <w:pStyle w:val="05Paragraph"/>
      </w:pPr>
      <w:r>
        <w:t>Australia’s real Gross Domestic Product (GDP) rose 0.1 per cent over the March quarter 2024 and 1.1 per cent through the year. Excluding the pandemic period, this was the weakest annual growth since the early 1990s. Victoria’s State Final Demand held steady in the March quarter 2024 and rose 1.5 per cent through the year (Figure A.2). The latter is well below its long-run (excluding the pandemic period) average growth rate of 3.</w:t>
      </w:r>
      <w:r w:rsidR="001D3A15">
        <w:t>5</w:t>
      </w:r>
      <w:r>
        <w:t> per cent.</w:t>
      </w:r>
      <w:r>
        <w:rPr>
          <w:rStyle w:val="FootnoteReference"/>
        </w:rPr>
        <w:footnoteReference w:id="31"/>
      </w:r>
    </w:p>
    <w:p w14:paraId="3E8F2F67" w14:textId="77777777" w:rsidR="00516470" w:rsidRDefault="00516470" w:rsidP="00516470">
      <w:pPr>
        <w:pStyle w:val="08Figuretableboxheading"/>
      </w:pPr>
      <w:r>
        <w:t>Figure A.2: Quarterly and annual growth in real GDP and Victorian State Final Demand, March quarter 2023 to March quarter 2024</w:t>
      </w:r>
    </w:p>
    <w:p w14:paraId="161A4CF9" w14:textId="77777777" w:rsidR="00516470" w:rsidRDefault="00516470" w:rsidP="00516470">
      <w:pPr>
        <w:pStyle w:val="09Sourcesandnotesfortablesfiguresboxes"/>
      </w:pPr>
      <w:r w:rsidRPr="00C242E7">
        <w:rPr>
          <w:noProof/>
        </w:rPr>
        <w:t xml:space="preserve"> </w:t>
      </w:r>
      <w:r>
        <w:rPr>
          <w:noProof/>
        </w:rPr>
        <w:drawing>
          <wp:inline distT="0" distB="0" distL="0" distR="0" wp14:anchorId="07DADFA4" wp14:editId="3B9F1B9D">
            <wp:extent cx="5372100" cy="2308860"/>
            <wp:effectExtent l="0" t="0" r="0" b="15240"/>
            <wp:docPr id="573945863" name="Chart 1">
              <a:extLst xmlns:a="http://schemas.openxmlformats.org/drawingml/2006/main">
                <a:ext uri="{FF2B5EF4-FFF2-40B4-BE49-F238E27FC236}">
                  <a16:creationId xmlns:a16="http://schemas.microsoft.com/office/drawing/2014/main" id="{3FADCF91-5DA8-224C-DD07-38531B3EA4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211B02">
        <w:rPr>
          <w:rFonts w:ascii="Arial" w:hAnsi="Arial"/>
          <w:noProof/>
          <w:color w:val="7F7F7F" w:themeColor="text1" w:themeTint="80"/>
          <w:sz w:val="20"/>
          <w:szCs w:val="22"/>
        </w:rPr>
        <w:t xml:space="preserve"> </w:t>
      </w:r>
    </w:p>
    <w:p w14:paraId="0A07BC09" w14:textId="6DF9164B" w:rsidR="00516470" w:rsidRDefault="00C802A5" w:rsidP="00516470">
      <w:pPr>
        <w:pStyle w:val="09Sourcesandnotesfortablesfiguresboxes"/>
      </w:pPr>
      <w:r>
        <w:t xml:space="preserve">Source: </w:t>
      </w:r>
      <w:r w:rsidRPr="005171F9">
        <w:t>ABS (2024</w:t>
      </w:r>
      <w:r>
        <w:t>a</w:t>
      </w:r>
      <w:r w:rsidRPr="005171F9">
        <w:t>)</w:t>
      </w:r>
      <w:r>
        <w:t>.</w:t>
      </w:r>
    </w:p>
    <w:p w14:paraId="65C554FF" w14:textId="607643FC" w:rsidR="00516470" w:rsidRDefault="00516470" w:rsidP="00516470">
      <w:pPr>
        <w:pStyle w:val="05Paragraph"/>
      </w:pPr>
      <w:r w:rsidRPr="00DB4BBF">
        <w:t>According to the ABS, the ‘weak’ GDP result in the March quarter 2024 reflects subdued domestic demand, with increased consumption offset by falling</w:t>
      </w:r>
      <w:r>
        <w:t xml:space="preserve"> </w:t>
      </w:r>
      <w:r w:rsidRPr="00DB4BBF">
        <w:t>investment.</w:t>
      </w:r>
      <w:r>
        <w:t xml:space="preserve"> The ABS noted that its latest release included upward revisions to recent data on household consumption, which has been stronger than previously indicated. Despite this, growth in household consumption remains subdued by historical standards and continues to be driven by spending on essentials.</w:t>
      </w:r>
      <w:r>
        <w:rPr>
          <w:rStyle w:val="FootnoteReference"/>
        </w:rPr>
        <w:footnoteReference w:id="32"/>
      </w:r>
    </w:p>
    <w:p w14:paraId="5E5AAF86" w14:textId="596A02B2" w:rsidR="00516470" w:rsidRDefault="00516470" w:rsidP="00516470">
      <w:pPr>
        <w:pStyle w:val="05Paragraph"/>
      </w:pPr>
      <w:r>
        <w:t xml:space="preserve">The </w:t>
      </w:r>
      <w:r w:rsidRPr="001E3081">
        <w:t xml:space="preserve">Victorian Budget </w:t>
      </w:r>
      <w:r>
        <w:t>observed that growth in the Victorian economy over 2023</w:t>
      </w:r>
      <w:r w:rsidR="005E0079">
        <w:noBreakHyphen/>
      </w:r>
      <w:r>
        <w:t>24 has been supported by strong business investment and population growth. Meanwhile, growth in household consumption has been subdued amid ongoing pressure on household budgets from high inflation and higher interest rates.</w:t>
      </w:r>
      <w:r>
        <w:rPr>
          <w:rStyle w:val="FootnoteReference"/>
        </w:rPr>
        <w:footnoteReference w:id="33"/>
      </w:r>
    </w:p>
    <w:p w14:paraId="580C8F4E" w14:textId="0CCEC574" w:rsidR="00516470" w:rsidRDefault="00516470" w:rsidP="00516470">
      <w:pPr>
        <w:pStyle w:val="05Paragraph"/>
      </w:pPr>
      <w:r>
        <w:t>Population growth has rebounded significantly since Australia’s international borders were re-opened in early 2022 and has exceeded economic growth rates in recent times.</w:t>
      </w:r>
      <w:r w:rsidR="001D3A15">
        <w:rPr>
          <w:rStyle w:val="FootnoteReference"/>
        </w:rPr>
        <w:footnoteReference w:id="34"/>
      </w:r>
      <w:r>
        <w:t xml:space="preserve"> As a result, real GDP per capita has declined or held steady for five consecutive quarters, falling 0.4 per cent in the March quarter 2024 and 1.3 per cent through the year.</w:t>
      </w:r>
      <w:r>
        <w:rPr>
          <w:rStyle w:val="FootnoteReference"/>
        </w:rPr>
        <w:footnoteReference w:id="35"/>
      </w:r>
    </w:p>
    <w:p w14:paraId="74E28530" w14:textId="669F1AFD" w:rsidR="00516470" w:rsidRDefault="00516470" w:rsidP="00516470">
      <w:pPr>
        <w:pStyle w:val="05Paragraph"/>
      </w:pPr>
      <w:r>
        <w:t>ABS data show</w:t>
      </w:r>
      <w:r w:rsidR="00073050">
        <w:t>s</w:t>
      </w:r>
      <w:r>
        <w:t xml:space="preserve"> that GDP per hour worked </w:t>
      </w:r>
      <w:r w:rsidRPr="0096741E">
        <w:t>—</w:t>
      </w:r>
      <w:r>
        <w:t xml:space="preserve"> a measure of labour productivity </w:t>
      </w:r>
      <w:r w:rsidRPr="0096741E">
        <w:t>—</w:t>
      </w:r>
      <w:r>
        <w:t xml:space="preserve"> held steady in the March quarter 2024, after growing over the second half of 2023. This recent growth follows a period of five quarters in which labour productivity declined.</w:t>
      </w:r>
      <w:r>
        <w:rPr>
          <w:rStyle w:val="FootnoteReference"/>
        </w:rPr>
        <w:footnoteReference w:id="36"/>
      </w:r>
      <w:r>
        <w:t xml:space="preserve"> The RBA observed that an improvement in productivity outcomes had been expected, partly due to strong business investment, though it noted that growth was weaker than expected in the December quarter 2023.</w:t>
      </w:r>
      <w:r>
        <w:rPr>
          <w:rStyle w:val="FootnoteReference"/>
        </w:rPr>
        <w:footnoteReference w:id="37"/>
      </w:r>
    </w:p>
    <w:p w14:paraId="311C8B2F" w14:textId="3AB2659B" w:rsidR="00516470" w:rsidRDefault="00516470" w:rsidP="00516470">
      <w:pPr>
        <w:pStyle w:val="03VIRTHeading3"/>
      </w:pPr>
      <w:r>
        <w:t xml:space="preserve">Inflation </w:t>
      </w:r>
      <w:r w:rsidR="00DB6B04">
        <w:t xml:space="preserve">has </w:t>
      </w:r>
      <w:r>
        <w:t>moderate</w:t>
      </w:r>
      <w:r w:rsidR="00DB6B04">
        <w:t>d</w:t>
      </w:r>
      <w:r>
        <w:t>, but remains high</w:t>
      </w:r>
    </w:p>
    <w:p w14:paraId="2F145095" w14:textId="3F56F52C" w:rsidR="00516470" w:rsidRDefault="00516470" w:rsidP="00516470">
      <w:pPr>
        <w:pStyle w:val="05Paragraph"/>
      </w:pPr>
      <w:r>
        <w:t>Headline inflation has moderate</w:t>
      </w:r>
      <w:r w:rsidR="00DB6B04">
        <w:t>d</w:t>
      </w:r>
      <w:r>
        <w:t xml:space="preserve"> in Victoria and Australia more broadly but remains above the RBA’s 2 </w:t>
      </w:r>
      <w:r w:rsidR="00104198">
        <w:t>to</w:t>
      </w:r>
      <w:r>
        <w:t xml:space="preserve"> 3 per cent target band.</w:t>
      </w:r>
    </w:p>
    <w:p w14:paraId="39643B0C" w14:textId="77777777" w:rsidR="00516470" w:rsidRDefault="00516470" w:rsidP="00516470">
      <w:pPr>
        <w:pStyle w:val="05Paragraph"/>
      </w:pPr>
      <w:r>
        <w:t>ABS data show that annual growth in the All Groups Consumer Price Index for Melbourne (Melbourne CPI) declined to 3.6 per cent in the March quarter 2024, well below the peak of 8 per cent recorded in the December quarter 2022. However, a larger than expected quarterly rise (1 per cent) saw the annual inflation rate decline more slowly than in previous quarters (Figure A.3).</w:t>
      </w:r>
    </w:p>
    <w:p w14:paraId="2BA74240" w14:textId="77777777" w:rsidR="00516470" w:rsidRDefault="00516470" w:rsidP="00516470">
      <w:pPr>
        <w:pStyle w:val="08Figuretableboxheading"/>
      </w:pPr>
      <w:r>
        <w:t>Figure A.3: Annual growth in the Melbourne CPI, March quarter 2023 to March quarter 2024</w:t>
      </w:r>
    </w:p>
    <w:p w14:paraId="4AA54F71" w14:textId="77777777" w:rsidR="00516470" w:rsidRDefault="00516470" w:rsidP="00516470">
      <w:pPr>
        <w:pStyle w:val="05Paragraph"/>
      </w:pPr>
      <w:r>
        <w:rPr>
          <w:noProof/>
        </w:rPr>
        <mc:AlternateContent>
          <mc:Choice Requires="wps">
            <w:drawing>
              <wp:anchor distT="0" distB="0" distL="114300" distR="114300" simplePos="0" relativeHeight="251658245" behindDoc="0" locked="0" layoutInCell="1" allowOverlap="1" wp14:anchorId="20865BF0" wp14:editId="5D81CABF">
                <wp:simplePos x="0" y="0"/>
                <wp:positionH relativeFrom="column">
                  <wp:posOffset>512445</wp:posOffset>
                </wp:positionH>
                <wp:positionV relativeFrom="paragraph">
                  <wp:posOffset>1299845</wp:posOffset>
                </wp:positionV>
                <wp:extent cx="1501140" cy="518160"/>
                <wp:effectExtent l="0" t="0" r="0" b="0"/>
                <wp:wrapNone/>
                <wp:docPr id="553554523" name="Text Box 1"/>
                <wp:cNvGraphicFramePr/>
                <a:graphic xmlns:a="http://schemas.openxmlformats.org/drawingml/2006/main">
                  <a:graphicData uri="http://schemas.microsoft.com/office/word/2010/wordprocessingShape">
                    <wps:wsp>
                      <wps:cNvSpPr txBox="1"/>
                      <wps:spPr>
                        <a:xfrm>
                          <a:off x="0" y="0"/>
                          <a:ext cx="1501140" cy="518160"/>
                        </a:xfrm>
                        <a:prstGeom prst="rect">
                          <a:avLst/>
                        </a:prstGeom>
                        <a:noFill/>
                        <a:ln w="6350">
                          <a:noFill/>
                        </a:ln>
                      </wps:spPr>
                      <wps:txbx>
                        <w:txbxContent>
                          <w:p w14:paraId="5F9089E0" w14:textId="77777777" w:rsidR="00516470" w:rsidRPr="008F6765" w:rsidRDefault="00516470" w:rsidP="00516470">
                            <w:pPr>
                              <w:rPr>
                                <w:rFonts w:ascii="Calibri" w:hAnsi="Calibri" w:cs="Calibri"/>
                              </w:rPr>
                            </w:pPr>
                            <w:r w:rsidRPr="008F6765">
                              <w:rPr>
                                <w:rFonts w:ascii="Calibri" w:hAnsi="Calibri" w:cs="Calibri"/>
                              </w:rPr>
                              <w:t xml:space="preserve">RBA </w:t>
                            </w:r>
                            <w:r w:rsidRPr="00461E1B">
                              <w:rPr>
                                <w:rFonts w:ascii="Calibri Light" w:hAnsi="Calibri Light" w:cs="Calibri Light"/>
                              </w:rPr>
                              <w:t>target</w:t>
                            </w:r>
                            <w:r w:rsidRPr="008F6765">
                              <w:rPr>
                                <w:rFonts w:ascii="Calibri" w:hAnsi="Calibri" w:cs="Calibri"/>
                              </w:rPr>
                              <w:t xml:space="preserve"> </w:t>
                            </w:r>
                            <w:r w:rsidRPr="000C1E83">
                              <w:rPr>
                                <w:rFonts w:ascii="Calibri" w:hAnsi="Calibri" w:cs="Calibri"/>
                              </w:rPr>
                              <w:t>band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65BF0" id="_x0000_t202" coordsize="21600,21600" o:spt="202" path="m,l,21600r21600,l21600,xe">
                <v:stroke joinstyle="miter"/>
                <v:path gradientshapeok="t" o:connecttype="rect"/>
              </v:shapetype>
              <v:shape id="Text Box 1" o:spid="_x0000_s1026" type="#_x0000_t202" style="position:absolute;left:0;text-align:left;margin-left:40.35pt;margin-top:102.35pt;width:118.2pt;height:40.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" filled="f" stroked="f" strokeweight=".5pt">
                <v:textbox>
                  <w:txbxContent>
                    <w:p w14:paraId="5F9089E0" w14:textId="77777777" w:rsidR="00516470" w:rsidRPr="008F6765" w:rsidRDefault="00516470" w:rsidP="00516470">
                      <w:pPr>
                        <w:rPr>
                          <w:rFonts w:ascii="Calibri" w:hAnsi="Calibri" w:cs="Calibri"/>
                        </w:rPr>
                      </w:pPr>
                      <w:r w:rsidRPr="008F6765">
                        <w:rPr>
                          <w:rFonts w:ascii="Calibri" w:hAnsi="Calibri" w:cs="Calibri"/>
                        </w:rPr>
                        <w:t xml:space="preserve">RBA </w:t>
                      </w:r>
                      <w:r w:rsidRPr="00461E1B">
                        <w:rPr>
                          <w:rFonts w:ascii="Calibri Light" w:hAnsi="Calibri Light" w:cs="Calibri Light"/>
                        </w:rPr>
                        <w:t>target</w:t>
                      </w:r>
                      <w:r w:rsidRPr="008F6765">
                        <w:rPr>
                          <w:rFonts w:ascii="Calibri" w:hAnsi="Calibri" w:cs="Calibri"/>
                        </w:rPr>
                        <w:t xml:space="preserve"> </w:t>
                      </w:r>
                      <w:r w:rsidRPr="000C1E83">
                        <w:rPr>
                          <w:rFonts w:ascii="Calibri" w:hAnsi="Calibri" w:cs="Calibri"/>
                        </w:rPr>
                        <w:t>band</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574BE2F1" wp14:editId="154E246D">
                <wp:simplePos x="0" y="0"/>
                <wp:positionH relativeFrom="column">
                  <wp:posOffset>3583305</wp:posOffset>
                </wp:positionH>
                <wp:positionV relativeFrom="paragraph">
                  <wp:posOffset>918845</wp:posOffset>
                </wp:positionV>
                <wp:extent cx="1501140" cy="518160"/>
                <wp:effectExtent l="0" t="0" r="0" b="0"/>
                <wp:wrapNone/>
                <wp:docPr id="671383792" name="Text Box 1"/>
                <wp:cNvGraphicFramePr/>
                <a:graphic xmlns:a="http://schemas.openxmlformats.org/drawingml/2006/main">
                  <a:graphicData uri="http://schemas.microsoft.com/office/word/2010/wordprocessingShape">
                    <wps:wsp>
                      <wps:cNvSpPr txBox="1"/>
                      <wps:spPr>
                        <a:xfrm>
                          <a:off x="0" y="0"/>
                          <a:ext cx="1501140" cy="518160"/>
                        </a:xfrm>
                        <a:prstGeom prst="rect">
                          <a:avLst/>
                        </a:prstGeom>
                        <a:noFill/>
                        <a:ln w="6350">
                          <a:noFill/>
                        </a:ln>
                      </wps:spPr>
                      <wps:txbx>
                        <w:txbxContent>
                          <w:p w14:paraId="5407190E" w14:textId="77777777" w:rsidR="00516470" w:rsidRPr="008F6765" w:rsidRDefault="00516470" w:rsidP="00516470">
                            <w:pPr>
                              <w:rPr>
                                <w:rFonts w:ascii="Calibri" w:hAnsi="Calibri" w:cs="Calibri"/>
                                <w:color w:val="148A5D" w:themeColor="accent2"/>
                              </w:rPr>
                            </w:pPr>
                            <w:r w:rsidRPr="008F6765">
                              <w:rPr>
                                <w:rFonts w:ascii="Calibri" w:hAnsi="Calibri" w:cs="Calibri"/>
                                <w:color w:val="148A5D" w:themeColor="accent2"/>
                              </w:rPr>
                              <w:t xml:space="preserve">Melbourne </w:t>
                            </w:r>
                            <w:r w:rsidRPr="00461E1B">
                              <w:rPr>
                                <w:rFonts w:ascii="Calibri Light" w:hAnsi="Calibri Light" w:cs="Calibri Light"/>
                                <w:color w:val="148A5D" w:themeColor="accent2"/>
                              </w:rPr>
                              <w:t>CPI</w:t>
                            </w:r>
                            <w:r w:rsidRPr="008F6765">
                              <w:rPr>
                                <w:rFonts w:ascii="Calibri" w:hAnsi="Calibri" w:cs="Calibri"/>
                                <w:color w:val="148A5D" w:themeColor="accent2"/>
                              </w:rPr>
                              <w:t xml:space="preserve">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BE2F1" id="_x0000_s1027" type="#_x0000_t202" style="position:absolute;left:0;text-align:left;margin-left:282.15pt;margin-top:72.35pt;width:118.2pt;height:40.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" filled="f" stroked="f" strokeweight=".5pt">
                <v:textbox>
                  <w:txbxContent>
                    <w:p w14:paraId="5407190E" w14:textId="77777777" w:rsidR="00516470" w:rsidRPr="008F6765" w:rsidRDefault="00516470" w:rsidP="00516470">
                      <w:pPr>
                        <w:rPr>
                          <w:rFonts w:ascii="Calibri" w:hAnsi="Calibri" w:cs="Calibri"/>
                          <w:color w:val="148A5D" w:themeColor="accent2"/>
                        </w:rPr>
                      </w:pPr>
                      <w:r w:rsidRPr="008F6765">
                        <w:rPr>
                          <w:rFonts w:ascii="Calibri" w:hAnsi="Calibri" w:cs="Calibri"/>
                          <w:color w:val="148A5D" w:themeColor="accent2"/>
                        </w:rPr>
                        <w:t xml:space="preserve">Melbourne </w:t>
                      </w:r>
                      <w:r w:rsidRPr="00461E1B">
                        <w:rPr>
                          <w:rFonts w:ascii="Calibri Light" w:hAnsi="Calibri Light" w:cs="Calibri Light"/>
                          <w:color w:val="148A5D" w:themeColor="accent2"/>
                        </w:rPr>
                        <w:t>CPI</w:t>
                      </w:r>
                      <w:r w:rsidRPr="008F6765">
                        <w:rPr>
                          <w:rFonts w:ascii="Calibri" w:hAnsi="Calibri" w:cs="Calibri"/>
                          <w:color w:val="148A5D" w:themeColor="accent2"/>
                        </w:rPr>
                        <w:t xml:space="preserve"> growth</w:t>
                      </w:r>
                    </w:p>
                  </w:txbxContent>
                </v:textbox>
              </v:shape>
            </w:pict>
          </mc:Fallback>
        </mc:AlternateContent>
      </w:r>
      <w:r>
        <w:rPr>
          <w:noProof/>
        </w:rPr>
        <w:drawing>
          <wp:inline distT="0" distB="0" distL="0" distR="0" wp14:anchorId="71D81A26" wp14:editId="6C9980E8">
            <wp:extent cx="5402580" cy="2506980"/>
            <wp:effectExtent l="0" t="0" r="7620" b="7620"/>
            <wp:docPr id="103347712" name="Chart 1">
              <a:extLst xmlns:a="http://schemas.openxmlformats.org/drawingml/2006/main">
                <a:ext uri="{FF2B5EF4-FFF2-40B4-BE49-F238E27FC236}">
                  <a16:creationId xmlns:a16="http://schemas.microsoft.com/office/drawing/2014/main" id="{B684C228-263D-6D2F-67A8-2F19014E2B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2E572C0" w14:textId="5F1F11CF" w:rsidR="00516470" w:rsidRDefault="00B9763E" w:rsidP="00516470">
      <w:pPr>
        <w:pStyle w:val="09Sourcesandnotesfortablesfiguresboxes"/>
      </w:pPr>
      <w:r>
        <w:t xml:space="preserve">Source: </w:t>
      </w:r>
      <w:r w:rsidRPr="000E3D79">
        <w:t>ABS (2024c)</w:t>
      </w:r>
      <w:r w:rsidR="00516470">
        <w:t>.</w:t>
      </w:r>
    </w:p>
    <w:p w14:paraId="776FFB46" w14:textId="6F8E6396" w:rsidR="00516470" w:rsidRDefault="00516470" w:rsidP="00516470">
      <w:pPr>
        <w:pStyle w:val="05Paragraph"/>
      </w:pPr>
      <w:r>
        <w:t>Movements in the</w:t>
      </w:r>
      <w:r w:rsidDel="000A6BD2">
        <w:t xml:space="preserve"> </w:t>
      </w:r>
      <w:r>
        <w:t xml:space="preserve">Melbourne CPI were consistent with national outcomes, with the Australian CPI rising 1 per cent in the March quarter 2024 and 3.6 per cent through the year. Measures of Australian underlying inflation, which reduce the impact of irregular or temporary price changes, also continue to ease. </w:t>
      </w:r>
      <w:r w:rsidR="00073050">
        <w:t>Annual</w:t>
      </w:r>
      <w:r>
        <w:t xml:space="preserve"> trimmed mean inflation </w:t>
      </w:r>
      <w:r w:rsidRPr="0096741E">
        <w:t>—</w:t>
      </w:r>
      <w:r>
        <w:t xml:space="preserve"> the RBA’s preferred measure of underlying inflation </w:t>
      </w:r>
      <w:bookmarkStart w:id="85" w:name="_Hlk166847778"/>
      <w:r w:rsidRPr="0096741E">
        <w:t>—</w:t>
      </w:r>
      <w:bookmarkEnd w:id="85"/>
      <w:r>
        <w:t xml:space="preserve"> fell to 4 per cent in the March quarter 2024, having decreased for five consecutive quarters since peaking at 6.8 per cent in the December quarter 2022.</w:t>
      </w:r>
      <w:r>
        <w:rPr>
          <w:rStyle w:val="FootnoteReference"/>
        </w:rPr>
        <w:footnoteReference w:id="38"/>
      </w:r>
      <w:r>
        <w:t xml:space="preserve"> </w:t>
      </w:r>
    </w:p>
    <w:p w14:paraId="1E07B03B" w14:textId="47516DE8" w:rsidR="00516470" w:rsidRDefault="00073050" w:rsidP="00516470">
      <w:pPr>
        <w:pStyle w:val="05Paragraph"/>
      </w:pPr>
      <w:r>
        <w:t>T</w:t>
      </w:r>
      <w:r w:rsidR="00516470">
        <w:t>he ABS’ monthly Australian CPI indicator has risen for two consecutive months, from 3.4 per cent in February 2024 to 3.6 per cent in April 2024.</w:t>
      </w:r>
      <w:r w:rsidR="00516470">
        <w:rPr>
          <w:rStyle w:val="FootnoteReference"/>
        </w:rPr>
        <w:footnoteReference w:id="39"/>
      </w:r>
      <w:r w:rsidR="00516470">
        <w:t xml:space="preserve"> Eight out of the 11 CPI groups also recorded increases over that period, indicating that inflationary pressures remain elevated and broad-based.</w:t>
      </w:r>
    </w:p>
    <w:p w14:paraId="38636CB1" w14:textId="35C80AF7" w:rsidR="00516470" w:rsidRDefault="00516470" w:rsidP="005D3CFB">
      <w:pPr>
        <w:pStyle w:val="05Paragraph"/>
      </w:pPr>
      <w:r>
        <w:t xml:space="preserve">The RBA’s latest </w:t>
      </w:r>
      <w:r w:rsidRPr="00B34BE2">
        <w:rPr>
          <w:i/>
          <w:iCs/>
        </w:rPr>
        <w:t>Statement on Monetary Policy</w:t>
      </w:r>
      <w:r>
        <w:t xml:space="preserve"> (May 2024) and the </w:t>
      </w:r>
      <w:r w:rsidRPr="001E3081">
        <w:t>Victorian Budget</w:t>
      </w:r>
      <w:r>
        <w:t xml:space="preserve"> both noted that the recent moderation in inflation outcomes in Australia and Victoria has been largely due to slower growth in the prices of goods. ABS data show</w:t>
      </w:r>
      <w:r w:rsidR="00EF3489">
        <w:t>s</w:t>
      </w:r>
      <w:r>
        <w:t xml:space="preserve"> that goods inflation has fallen sharply since its peak in mid</w:t>
      </w:r>
      <w:r>
        <w:noBreakHyphen/>
        <w:t>2022, consistent with the easing of global supply chain pressures. By contrast, services inflation peaked later and is declining more gradually.</w:t>
      </w:r>
      <w:r w:rsidR="00FD7D72">
        <w:rPr>
          <w:rStyle w:val="FootnoteReference"/>
        </w:rPr>
        <w:footnoteReference w:id="40"/>
      </w:r>
    </w:p>
    <w:p w14:paraId="594D9E63" w14:textId="77777777" w:rsidR="00516470" w:rsidRDefault="00516470" w:rsidP="00516470">
      <w:pPr>
        <w:pStyle w:val="03VIRTHeading3"/>
      </w:pPr>
      <w:r>
        <w:t>Labour market conditions are gradually easing, but remain tight</w:t>
      </w:r>
    </w:p>
    <w:p w14:paraId="11C21EE0" w14:textId="427FD5B6" w:rsidR="00516470" w:rsidRDefault="00516470" w:rsidP="00516470">
      <w:pPr>
        <w:pStyle w:val="05Paragraph"/>
      </w:pPr>
      <w:r w:rsidRPr="00F01111">
        <w:t>Conditions in the Australian and Victorian labour markets have been ‘tight’ in recent years but are gradually easing.</w:t>
      </w:r>
    </w:p>
    <w:p w14:paraId="5F2721DC" w14:textId="77777777" w:rsidR="00516470" w:rsidRDefault="00516470" w:rsidP="00516470">
      <w:pPr>
        <w:pStyle w:val="05Paragraph"/>
      </w:pPr>
      <w:r>
        <w:t xml:space="preserve">In its May 2024 </w:t>
      </w:r>
      <w:r w:rsidRPr="004748E0">
        <w:rPr>
          <w:i/>
          <w:iCs/>
        </w:rPr>
        <w:t>Statement</w:t>
      </w:r>
      <w:r>
        <w:t xml:space="preserve">, the RBA observed that the easing in the national labour market had been slower than expected, with much of the easing occurring through declines in average hours worked and job vacancies. On the other hand, it noted that the Australian unemployment rate </w:t>
      </w:r>
      <w:r w:rsidRPr="00764DD0">
        <w:t>—</w:t>
      </w:r>
      <w:r>
        <w:t xml:space="preserve"> a key indicator of spare capacity in the labour market </w:t>
      </w:r>
      <w:r w:rsidRPr="00764DD0">
        <w:t>—</w:t>
      </w:r>
      <w:r>
        <w:t xml:space="preserve"> had increased only modestly.</w:t>
      </w:r>
      <w:r>
        <w:rPr>
          <w:rStyle w:val="FootnoteReference"/>
        </w:rPr>
        <w:footnoteReference w:id="41"/>
      </w:r>
    </w:p>
    <w:p w14:paraId="5420FD79" w14:textId="145118DF" w:rsidR="000C1E83" w:rsidRDefault="000C1E83" w:rsidP="00EF3489">
      <w:pPr>
        <w:pStyle w:val="05Paragraph"/>
      </w:pPr>
      <w:r w:rsidRPr="00606811">
        <w:t xml:space="preserve">In its latest </w:t>
      </w:r>
      <w:r w:rsidRPr="00606811">
        <w:rPr>
          <w:i/>
          <w:iCs/>
        </w:rPr>
        <w:t>Labour Force</w:t>
      </w:r>
      <w:r w:rsidRPr="00606811">
        <w:t xml:space="preserve"> release (</w:t>
      </w:r>
      <w:r>
        <w:t>May</w:t>
      </w:r>
      <w:r w:rsidRPr="00606811">
        <w:t xml:space="preserve"> 2024), the ABS observed that </w:t>
      </w:r>
      <w:r>
        <w:t>Australia’s</w:t>
      </w:r>
      <w:r w:rsidRPr="00606811">
        <w:t xml:space="preserve"> employment-to-population ratio</w:t>
      </w:r>
      <w:r>
        <w:t xml:space="preserve"> and participation rate remain much</w:t>
      </w:r>
      <w:r w:rsidRPr="00606811">
        <w:t xml:space="preserve"> high</w:t>
      </w:r>
      <w:r>
        <w:t>er</w:t>
      </w:r>
      <w:r w:rsidRPr="00606811">
        <w:t xml:space="preserve"> </w:t>
      </w:r>
      <w:r>
        <w:t xml:space="preserve">than their pre-pandemic </w:t>
      </w:r>
      <w:r w:rsidRPr="00606811">
        <w:t>levels</w:t>
      </w:r>
      <w:r>
        <w:t>. According to the ABS:</w:t>
      </w:r>
      <w:r w:rsidR="00EF3489" w:rsidRPr="00EF3489">
        <w:rPr>
          <w:rStyle w:val="FootnoteReference"/>
          <w:rFonts w:eastAsia="Rockwell" w:cs="Arial"/>
          <w:color w:val="000000"/>
        </w:rPr>
        <w:t xml:space="preserve"> </w:t>
      </w:r>
      <w:r w:rsidR="00EF3489">
        <w:rPr>
          <w:rStyle w:val="FootnoteReference"/>
          <w:rFonts w:eastAsia="Rockwell" w:cs="Arial"/>
          <w:color w:val="000000"/>
        </w:rPr>
        <w:footnoteReference w:id="42"/>
      </w:r>
    </w:p>
    <w:p w14:paraId="10A9004C" w14:textId="10219CAA" w:rsidR="000C1E83" w:rsidRPr="00606811" w:rsidRDefault="000C1E83" w:rsidP="00C35AEE">
      <w:pPr>
        <w:pStyle w:val="07VIRTBreakouttext"/>
      </w:pPr>
      <w:r>
        <w:t xml:space="preserve">Together with elevated </w:t>
      </w:r>
      <w:r w:rsidRPr="00F560CC">
        <w:t>levels</w:t>
      </w:r>
      <w:r>
        <w:t xml:space="preserve"> of job vacancies, this suggests the labour market remains relatively tight, though less [tight] than in late 2022 and early 2023.</w:t>
      </w:r>
    </w:p>
    <w:p w14:paraId="3E7D2852" w14:textId="77777777" w:rsidR="000C1E83" w:rsidRPr="00606811" w:rsidRDefault="000C1E83" w:rsidP="000C1E83">
      <w:pPr>
        <w:spacing w:before="180" w:after="0" w:line="276" w:lineRule="auto"/>
        <w:jc w:val="both"/>
        <w:rPr>
          <w:rFonts w:ascii="Calibri Light" w:eastAsia="Rockwell" w:hAnsi="Calibri Light" w:cs="Arial"/>
          <w:color w:val="000000"/>
          <w:sz w:val="26"/>
          <w:szCs w:val="20"/>
        </w:rPr>
      </w:pPr>
      <w:r w:rsidRPr="00606811">
        <w:rPr>
          <w:rFonts w:ascii="Calibri Light" w:eastAsia="Rockwell" w:hAnsi="Calibri Light" w:cs="Arial"/>
          <w:color w:val="000000"/>
          <w:sz w:val="26"/>
          <w:szCs w:val="20"/>
        </w:rPr>
        <w:t xml:space="preserve">The Australian participation rate also remains near record high levels, while the Australian unemployment rate rose modestly over the past year to be 4 per cent in </w:t>
      </w:r>
      <w:r>
        <w:rPr>
          <w:rFonts w:ascii="Calibri Light" w:eastAsia="Rockwell" w:hAnsi="Calibri Light" w:cs="Arial"/>
          <w:color w:val="000000"/>
          <w:sz w:val="26"/>
          <w:szCs w:val="20"/>
        </w:rPr>
        <w:t>May</w:t>
      </w:r>
      <w:r w:rsidRPr="00606811">
        <w:rPr>
          <w:rFonts w:ascii="Calibri Light" w:eastAsia="Rockwell" w:hAnsi="Calibri Light" w:cs="Arial"/>
          <w:color w:val="000000"/>
          <w:sz w:val="26"/>
          <w:szCs w:val="20"/>
        </w:rPr>
        <w:t xml:space="preserve"> 2024.</w:t>
      </w:r>
      <w:r w:rsidRPr="00606811">
        <w:rPr>
          <w:rFonts w:ascii="Calibri Light" w:eastAsia="Rockwell" w:hAnsi="Calibri Light" w:cs="Arial"/>
          <w:color w:val="000000"/>
          <w:sz w:val="26"/>
          <w:szCs w:val="20"/>
          <w:vertAlign w:val="superscript"/>
        </w:rPr>
        <w:footnoteReference w:id="43"/>
      </w:r>
    </w:p>
    <w:p w14:paraId="2E69EC58" w14:textId="68374D3E" w:rsidR="00516470" w:rsidRDefault="00516470" w:rsidP="00516470">
      <w:pPr>
        <w:pStyle w:val="05Paragraph"/>
      </w:pPr>
      <w:r>
        <w:t xml:space="preserve">A similar scenario is unfolding in the Victorian labour market. According to the </w:t>
      </w:r>
      <w:r w:rsidR="00AE41E1" w:rsidRPr="00AE41E1">
        <w:t>Victorian</w:t>
      </w:r>
      <w:r w:rsidRPr="00AE41E1">
        <w:t xml:space="preserve"> Budget</w:t>
      </w:r>
      <w:r>
        <w:t xml:space="preserve">, the State’s labour market remains </w:t>
      </w:r>
      <w:r w:rsidR="004F3D8F">
        <w:t>‘</w:t>
      </w:r>
      <w:r>
        <w:t>strong</w:t>
      </w:r>
      <w:r w:rsidR="004F3D8F">
        <w:t>’</w:t>
      </w:r>
      <w:r>
        <w:t>, with the share of working-age Victorians in employment and labour force participation remaining near record levels. Nonetheless, it also noted that employment growth has eased from the relatively high levels observed in previous years.</w:t>
      </w:r>
      <w:r>
        <w:rPr>
          <w:rStyle w:val="FootnoteReference"/>
        </w:rPr>
        <w:footnoteReference w:id="44"/>
      </w:r>
      <w:r>
        <w:t xml:space="preserve"> </w:t>
      </w:r>
      <w:r w:rsidRPr="00606811">
        <w:rPr>
          <w:rFonts w:eastAsia="Rockwell" w:cs="Arial"/>
          <w:color w:val="000000"/>
        </w:rPr>
        <w:t>Since the rel</w:t>
      </w:r>
      <w:r w:rsidR="00A213BE" w:rsidRPr="00606811">
        <w:rPr>
          <w:rFonts w:eastAsia="Rockwell" w:cs="Arial"/>
          <w:color w:val="000000"/>
        </w:rPr>
        <w:t>e</w:t>
      </w:r>
      <w:r w:rsidRPr="00606811">
        <w:rPr>
          <w:rFonts w:eastAsia="Rockwell" w:cs="Arial"/>
          <w:color w:val="000000"/>
        </w:rPr>
        <w:t xml:space="preserve">ase of the </w:t>
      </w:r>
      <w:r w:rsidR="00AE41E1" w:rsidRPr="00606811">
        <w:rPr>
          <w:rFonts w:eastAsia="Rockwell" w:cs="Arial"/>
          <w:color w:val="000000"/>
        </w:rPr>
        <w:t>Victorian</w:t>
      </w:r>
      <w:r w:rsidRPr="00606811">
        <w:rPr>
          <w:rFonts w:eastAsia="Rockwell" w:cs="Arial"/>
          <w:color w:val="000000"/>
        </w:rPr>
        <w:t xml:space="preserve"> Budget, ABS data show that the Victorian unemployment rate </w:t>
      </w:r>
      <w:r w:rsidR="000C1E83">
        <w:rPr>
          <w:rFonts w:eastAsia="Rockwell" w:cs="Arial"/>
          <w:color w:val="000000"/>
        </w:rPr>
        <w:t>increased</w:t>
      </w:r>
      <w:r w:rsidRPr="00606811">
        <w:rPr>
          <w:rFonts w:eastAsia="Rockwell" w:cs="Arial"/>
          <w:color w:val="000000"/>
        </w:rPr>
        <w:t xml:space="preserve"> to 4.</w:t>
      </w:r>
      <w:r w:rsidR="000C1E83">
        <w:rPr>
          <w:rFonts w:eastAsia="Rockwell" w:cs="Arial"/>
          <w:color w:val="000000"/>
        </w:rPr>
        <w:t>4</w:t>
      </w:r>
      <w:r w:rsidRPr="00606811">
        <w:rPr>
          <w:rFonts w:eastAsia="Rockwell" w:cs="Arial"/>
          <w:color w:val="000000"/>
        </w:rPr>
        <w:t xml:space="preserve"> per cent in </w:t>
      </w:r>
      <w:r w:rsidR="000C1E83">
        <w:rPr>
          <w:rFonts w:eastAsia="Rockwell" w:cs="Arial"/>
          <w:color w:val="000000"/>
        </w:rPr>
        <w:t>May</w:t>
      </w:r>
      <w:r w:rsidRPr="00606811">
        <w:rPr>
          <w:rFonts w:eastAsia="Rockwell" w:cs="Arial"/>
          <w:color w:val="000000"/>
        </w:rPr>
        <w:t xml:space="preserve"> 2024</w:t>
      </w:r>
      <w:r w:rsidR="000C1E83" w:rsidRPr="00606811">
        <w:rPr>
          <w:rFonts w:eastAsia="Rockwell" w:cs="Arial"/>
          <w:color w:val="000000"/>
        </w:rPr>
        <w:t xml:space="preserve"> </w:t>
      </w:r>
      <w:r w:rsidR="000C1E83">
        <w:rPr>
          <w:rFonts w:eastAsia="Rockwell" w:cs="Arial"/>
          <w:color w:val="000000"/>
        </w:rPr>
        <w:t>to be</w:t>
      </w:r>
      <w:r>
        <w:rPr>
          <w:rFonts w:eastAsia="Rockwell" w:cs="Arial"/>
          <w:color w:val="000000"/>
        </w:rPr>
        <w:t xml:space="preserve"> </w:t>
      </w:r>
      <w:r w:rsidRPr="00606811">
        <w:rPr>
          <w:rFonts w:eastAsia="Rockwell" w:cs="Arial"/>
          <w:color w:val="000000"/>
        </w:rPr>
        <w:t>the highest of the states</w:t>
      </w:r>
      <w:r w:rsidR="000C1E83">
        <w:rPr>
          <w:rFonts w:eastAsia="Rockwell" w:cs="Arial"/>
          <w:color w:val="000000"/>
        </w:rPr>
        <w:t xml:space="preserve"> and territories</w:t>
      </w:r>
      <w:r w:rsidRPr="00606811">
        <w:rPr>
          <w:rFonts w:eastAsia="Rockwell" w:cs="Arial"/>
          <w:color w:val="000000"/>
        </w:rPr>
        <w:t>.</w:t>
      </w:r>
      <w:r w:rsidRPr="00606811">
        <w:rPr>
          <w:rFonts w:eastAsia="Rockwell" w:cs="Arial"/>
          <w:color w:val="000000"/>
          <w:vertAlign w:val="superscript"/>
        </w:rPr>
        <w:footnoteReference w:id="45"/>
      </w:r>
    </w:p>
    <w:p w14:paraId="309CA5D1" w14:textId="325110BC" w:rsidR="00516470" w:rsidRDefault="00516470" w:rsidP="00516470">
      <w:pPr>
        <w:pStyle w:val="03VIRTHeading3"/>
      </w:pPr>
      <w:r>
        <w:t xml:space="preserve">Nominal wages growth has picked up </w:t>
      </w:r>
    </w:p>
    <w:p w14:paraId="0491FF19" w14:textId="77777777" w:rsidR="00516470" w:rsidRDefault="00516470" w:rsidP="00516470">
      <w:pPr>
        <w:pStyle w:val="05Paragraph"/>
      </w:pPr>
      <w:r>
        <w:t>Nominal wages growth has picked up in recent years in response to the tight labour market and high inflation, and is currently around its highest level in over a decade. Annual growth in the Australian Wage Price Index (WPI) was 4.2 per cent in the December quarter 2023 (the highest growth rate since early 2009), before moderating slightly to 4.1 per cent in the March quarter 2024.</w:t>
      </w:r>
      <w:r>
        <w:rPr>
          <w:rStyle w:val="FootnoteReference"/>
        </w:rPr>
        <w:footnoteReference w:id="46"/>
      </w:r>
    </w:p>
    <w:p w14:paraId="6FF41016" w14:textId="5358DF74" w:rsidR="00516470" w:rsidRDefault="00516470" w:rsidP="00516470">
      <w:pPr>
        <w:pStyle w:val="05Paragraph"/>
      </w:pPr>
      <w:r>
        <w:t>The RBA has observed that wages growth appears to have peaked for workers on individual arrangements, whose wages are the most responsive to economic conditions. By contrast, it noted that wages growth is continuing to strengthen for enterprise agreements (EAs), which are slower to respond to economic conditions.</w:t>
      </w:r>
      <w:r>
        <w:rPr>
          <w:rStyle w:val="FootnoteReference"/>
        </w:rPr>
        <w:footnoteReference w:id="47"/>
      </w:r>
      <w:r>
        <w:t xml:space="preserve"> Data from the Commonwealth Department of Employment and Workplace Relations show</w:t>
      </w:r>
      <w:r w:rsidR="00EF3489">
        <w:t>s</w:t>
      </w:r>
      <w:r>
        <w:t xml:space="preserve"> that the average annualised wage increase for agreements approved in the December quarter 2023 was 4.3 per cent.</w:t>
      </w:r>
      <w:r>
        <w:rPr>
          <w:rStyle w:val="FootnoteReference"/>
        </w:rPr>
        <w:footnoteReference w:id="48"/>
      </w:r>
    </w:p>
    <w:p w14:paraId="1ACA4593" w14:textId="206D5219" w:rsidR="000C1E83" w:rsidRDefault="000C1E83" w:rsidP="00516470">
      <w:pPr>
        <w:pStyle w:val="05Paragraph"/>
      </w:pPr>
      <w:r w:rsidRPr="00325406">
        <w:rPr>
          <w:rFonts w:eastAsia="Rockwell"/>
          <w:color w:val="000000"/>
        </w:rPr>
        <w:t xml:space="preserve">Award wages and the National Minimum Wage have also grown in recent years. In its </w:t>
      </w:r>
      <w:r w:rsidRPr="00325406">
        <w:rPr>
          <w:rFonts w:eastAsia="Rockwell"/>
          <w:i/>
          <w:iCs/>
          <w:color w:val="000000"/>
        </w:rPr>
        <w:t>Annual Wage Review 2023-24</w:t>
      </w:r>
      <w:r w:rsidRPr="00325406">
        <w:rPr>
          <w:rFonts w:eastAsia="Rockwell"/>
          <w:color w:val="000000"/>
        </w:rPr>
        <w:t xml:space="preserve">, the </w:t>
      </w:r>
      <w:r w:rsidRPr="00326F83">
        <w:rPr>
          <w:rFonts w:eastAsia="Rockwell"/>
          <w:color w:val="000000"/>
        </w:rPr>
        <w:t>Fair Work Commission (FWC)</w:t>
      </w:r>
      <w:r w:rsidRPr="00325406">
        <w:rPr>
          <w:rFonts w:eastAsia="Rockwell"/>
          <w:color w:val="000000"/>
        </w:rPr>
        <w:t xml:space="preserve"> increased the </w:t>
      </w:r>
      <w:r w:rsidR="005F19B6">
        <w:rPr>
          <w:rFonts w:eastAsia="Rockwell"/>
          <w:color w:val="000000"/>
        </w:rPr>
        <w:t xml:space="preserve">National Minimum Wage </w:t>
      </w:r>
      <w:r w:rsidRPr="00325406">
        <w:rPr>
          <w:rFonts w:eastAsia="Rockwell"/>
          <w:color w:val="000000"/>
        </w:rPr>
        <w:t>and all modern award minimum wages by 3.75 per cent with effect from 1 July 2024.</w:t>
      </w:r>
      <w:r w:rsidRPr="00325406">
        <w:rPr>
          <w:rFonts w:eastAsia="Rockwell"/>
          <w:color w:val="000000"/>
          <w:vertAlign w:val="superscript"/>
        </w:rPr>
        <w:footnoteReference w:id="49"/>
      </w:r>
      <w:r w:rsidRPr="00325406">
        <w:rPr>
          <w:rFonts w:eastAsia="Rockwell"/>
          <w:color w:val="000000"/>
        </w:rPr>
        <w:t xml:space="preserve"> </w:t>
      </w:r>
    </w:p>
    <w:p w14:paraId="3EE66077" w14:textId="6421B086" w:rsidR="00516470" w:rsidRDefault="00516470" w:rsidP="00516470">
      <w:pPr>
        <w:pStyle w:val="05Paragraph"/>
      </w:pPr>
      <w:r>
        <w:t xml:space="preserve">Wages growth has also picked up in Victoria, although to a lesser extent than in Australia as a whole. The Victorian WPI rose 3.6 per cent over the 12 months to the March quarter 2024, the lowest growth among the states, and has grown </w:t>
      </w:r>
      <w:r w:rsidR="00EF3489">
        <w:t>slower</w:t>
      </w:r>
      <w:r>
        <w:t xml:space="preserve"> than the national WPI since mid</w:t>
      </w:r>
      <w:r>
        <w:noBreakHyphen/>
        <w:t>2023 (Figure A.4).</w:t>
      </w:r>
      <w:r w:rsidR="00763306">
        <w:rPr>
          <w:rStyle w:val="FootnoteReference"/>
        </w:rPr>
        <w:footnoteReference w:id="50"/>
      </w:r>
    </w:p>
    <w:p w14:paraId="270F7CDD" w14:textId="6C62AB3D" w:rsidR="00516470" w:rsidRDefault="00516470" w:rsidP="00516470">
      <w:pPr>
        <w:pStyle w:val="08Figuretableboxheading"/>
      </w:pPr>
      <w:r>
        <w:t>Figure A</w:t>
      </w:r>
      <w:r w:rsidR="00C53468">
        <w:t>.</w:t>
      </w:r>
      <w:r>
        <w:t>4: Annual WPI growth (all sectors), Victoria and Australia, March quarter 2023 to March quarter 2024</w:t>
      </w:r>
    </w:p>
    <w:p w14:paraId="1835F6A4" w14:textId="4B5B7576" w:rsidR="00516470" w:rsidRDefault="00F11413" w:rsidP="00516470">
      <w:pPr>
        <w:pStyle w:val="05Paragraph"/>
      </w:pPr>
      <w:r w:rsidRPr="00606811">
        <w:rPr>
          <w:rFonts w:eastAsia="Rockwell" w:cs="Arial"/>
          <w:noProof/>
          <w:color w:val="000000"/>
        </w:rPr>
        <w:drawing>
          <wp:inline distT="0" distB="0" distL="0" distR="0" wp14:anchorId="0F5773F9" wp14:editId="67ED96AB">
            <wp:extent cx="5400040" cy="2315073"/>
            <wp:effectExtent l="0" t="0" r="10160" b="9525"/>
            <wp:docPr id="1003444578" name="Chart 1">
              <a:extLst xmlns:a="http://schemas.openxmlformats.org/drawingml/2006/main">
                <a:ext uri="{FF2B5EF4-FFF2-40B4-BE49-F238E27FC236}">
                  <a16:creationId xmlns:a16="http://schemas.microsoft.com/office/drawing/2014/main" id="{B991F7CF-48E7-4327-A793-EA802E50F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516470">
        <w:t xml:space="preserve"> </w:t>
      </w:r>
    </w:p>
    <w:p w14:paraId="6943A893" w14:textId="1E4114C7" w:rsidR="00516470" w:rsidRDefault="00AF6D0F" w:rsidP="00516470">
      <w:pPr>
        <w:pStyle w:val="09Sourcesandnotesfortablesfiguresboxes"/>
      </w:pPr>
      <w:r>
        <w:rPr>
          <w:rFonts w:cs="Calibri Light"/>
        </w:rPr>
        <w:t xml:space="preserve">Source: </w:t>
      </w:r>
      <w:r w:rsidRPr="00DF2C34">
        <w:rPr>
          <w:rFonts w:cs="Calibri Light"/>
        </w:rPr>
        <w:t>ABS (2024</w:t>
      </w:r>
      <w:r>
        <w:rPr>
          <w:rFonts w:cs="Calibri Light"/>
        </w:rPr>
        <w:t>f</w:t>
      </w:r>
      <w:r w:rsidRPr="00DF2C34">
        <w:rPr>
          <w:rFonts w:cs="Calibri Light"/>
        </w:rPr>
        <w:t>)</w:t>
      </w:r>
      <w:r w:rsidR="00D0579A">
        <w:t>.</w:t>
      </w:r>
    </w:p>
    <w:p w14:paraId="63A6F5AD" w14:textId="60BA5C36" w:rsidR="00516470" w:rsidRDefault="00516470" w:rsidP="00516470">
      <w:pPr>
        <w:pStyle w:val="05Paragraph"/>
      </w:pPr>
      <w:r>
        <w:t>The public sector in Victoria (which comprises the Victorian Government, local governments and Australian Government agencies operating in Victoria)</w:t>
      </w:r>
      <w:r>
        <w:rPr>
          <w:rStyle w:val="FootnoteReference"/>
        </w:rPr>
        <w:footnoteReference w:id="51"/>
      </w:r>
      <w:r>
        <w:t xml:space="preserve"> has experienced lower wages growth than the private sector in recent years, in a reversal of the pre-pandemic trend. Over the</w:t>
      </w:r>
      <w:r w:rsidR="00EF3489">
        <w:t xml:space="preserve"> </w:t>
      </w:r>
      <w:r>
        <w:t>12</w:t>
      </w:r>
      <w:r w:rsidR="00EF3489">
        <w:t xml:space="preserve"> </w:t>
      </w:r>
      <w:r>
        <w:t>months to the March quarter 2024, public sector wages grew by 2.5 per cent, compared with 3.9 per cent in the private sector.</w:t>
      </w:r>
      <w:r>
        <w:rPr>
          <w:rStyle w:val="FootnoteReference"/>
        </w:rPr>
        <w:footnoteReference w:id="52"/>
      </w:r>
      <w:r>
        <w:t xml:space="preserve"> The Victorian Government’s submission to the </w:t>
      </w:r>
      <w:r w:rsidR="00EF3489">
        <w:t>FWC</w:t>
      </w:r>
      <w:r>
        <w:t xml:space="preserve">’s </w:t>
      </w:r>
      <w:r w:rsidRPr="00C73A61">
        <w:rPr>
          <w:i/>
          <w:iCs/>
        </w:rPr>
        <w:t>Annual Wage Review 2023-24</w:t>
      </w:r>
      <w:r>
        <w:t xml:space="preserve"> observed that a relevant factor in this regard is the influence of the prevalent pay setting method in each sector (EAs in the public sector, individual arrangements in the private sector).</w:t>
      </w:r>
      <w:r>
        <w:rPr>
          <w:rStyle w:val="FootnoteReference"/>
        </w:rPr>
        <w:footnoteReference w:id="53"/>
      </w:r>
    </w:p>
    <w:p w14:paraId="172BEBBB" w14:textId="0C4491B0" w:rsidR="00516470" w:rsidRDefault="00516470" w:rsidP="00516470">
      <w:pPr>
        <w:pStyle w:val="05Paragraph"/>
        <w:keepNext/>
      </w:pPr>
      <w:r>
        <w:t>Nationally, broader measures of employee earnings have generally grown faster than base wages. Depending on the specific measure, t</w:t>
      </w:r>
      <w:r w:rsidRPr="0069666A">
        <w:t xml:space="preserve">his </w:t>
      </w:r>
      <w:r>
        <w:t xml:space="preserve">may </w:t>
      </w:r>
      <w:r w:rsidRPr="0069666A">
        <w:t>reflect compositional factors (e.g. increases in full-time employment and hours worked)</w:t>
      </w:r>
      <w:r>
        <w:t>,</w:t>
      </w:r>
      <w:r w:rsidRPr="0069666A">
        <w:t xml:space="preserve"> and</w:t>
      </w:r>
      <w:r>
        <w:t>/or</w:t>
      </w:r>
      <w:r w:rsidRPr="0069666A">
        <w:t xml:space="preserve"> the </w:t>
      </w:r>
      <w:r>
        <w:t>use</w:t>
      </w:r>
      <w:r w:rsidRPr="0069666A">
        <w:t xml:space="preserve"> of </w:t>
      </w:r>
      <w:r>
        <w:t>other</w:t>
      </w:r>
      <w:r w:rsidRPr="0069666A">
        <w:t xml:space="preserve"> forms of compensation (e.g. bonuses)</w:t>
      </w:r>
      <w:r>
        <w:t xml:space="preserve"> to attract and retain employees in a</w:t>
      </w:r>
      <w:r w:rsidRPr="0069666A">
        <w:t xml:space="preserve"> tight labour market.</w:t>
      </w:r>
      <w:r>
        <w:t xml:space="preserve"> For example, ABS data show</w:t>
      </w:r>
      <w:r w:rsidR="00EF3489">
        <w:t>s</w:t>
      </w:r>
      <w:r>
        <w:t xml:space="preserve"> that:</w:t>
      </w:r>
    </w:p>
    <w:p w14:paraId="0AFF1E68" w14:textId="77777777" w:rsidR="00516470" w:rsidRDefault="00516470" w:rsidP="00516470">
      <w:pPr>
        <w:pStyle w:val="06VIRTBulletpoints"/>
        <w:ind w:left="357" w:hanging="357"/>
      </w:pPr>
      <w:r w:rsidRPr="0069666A">
        <w:t xml:space="preserve">average compensation per employee (also known as Average Earnings </w:t>
      </w:r>
      <w:r>
        <w:t>from</w:t>
      </w:r>
      <w:r w:rsidRPr="0069666A">
        <w:t xml:space="preserve"> the National Accounts) grew by 5 per cent over 2023</w:t>
      </w:r>
      <w:r>
        <w:rPr>
          <w:rStyle w:val="FootnoteReference"/>
        </w:rPr>
        <w:footnoteReference w:id="54"/>
      </w:r>
    </w:p>
    <w:p w14:paraId="783E3B78" w14:textId="77777777" w:rsidR="00516470" w:rsidRDefault="00516470" w:rsidP="00516470">
      <w:pPr>
        <w:pStyle w:val="06VIRTBulletpoints"/>
        <w:ind w:left="357" w:hanging="357"/>
      </w:pPr>
      <w:r>
        <w:t>average weekly ordinary time earnings for full-time Australian adults grew by 4.5 per cent over the 12 months to November 2023</w:t>
      </w:r>
      <w:r>
        <w:rPr>
          <w:rStyle w:val="FootnoteReference"/>
        </w:rPr>
        <w:footnoteReference w:id="55"/>
      </w:r>
    </w:p>
    <w:p w14:paraId="067C5392" w14:textId="06CCA39B" w:rsidR="00516470" w:rsidRDefault="00516470" w:rsidP="00516470">
      <w:pPr>
        <w:pStyle w:val="06VIRTBulletpoints"/>
        <w:ind w:left="357" w:hanging="357"/>
      </w:pPr>
      <w:r>
        <w:t xml:space="preserve">the </w:t>
      </w:r>
      <w:r w:rsidR="00856B5C">
        <w:t>Australian</w:t>
      </w:r>
      <w:r>
        <w:t xml:space="preserve"> WPI including bonuses rose 4.2 per cent over the 12 months to the March quarter 2024.</w:t>
      </w:r>
      <w:r>
        <w:rPr>
          <w:rStyle w:val="FootnoteReference"/>
        </w:rPr>
        <w:footnoteReference w:id="56"/>
      </w:r>
    </w:p>
    <w:p w14:paraId="6A9ECDF2" w14:textId="77777777" w:rsidR="00516470" w:rsidRDefault="00516470" w:rsidP="00516470">
      <w:pPr>
        <w:pStyle w:val="03VIRTHeading3"/>
      </w:pPr>
      <w:r>
        <w:t>Real wages are growing again following a period of decline due to high inflation</w:t>
      </w:r>
    </w:p>
    <w:p w14:paraId="694FA8CF" w14:textId="77777777" w:rsidR="00516470" w:rsidRDefault="00516470" w:rsidP="00516470">
      <w:pPr>
        <w:pStyle w:val="05Paragraph"/>
      </w:pPr>
      <w:r>
        <w:t>While nominal wages are growing at the fastest pace in some time, real wages have declined considerably since early 2021, and have only recently started growing again.</w:t>
      </w:r>
    </w:p>
    <w:p w14:paraId="300BFC9E" w14:textId="3101679B" w:rsidR="00516470" w:rsidRDefault="00516470" w:rsidP="00516470">
      <w:pPr>
        <w:pStyle w:val="05Paragraph"/>
      </w:pPr>
      <w:r>
        <w:t>The Australian headline inflation rate consistently exceeded annual WPI growth from mid</w:t>
      </w:r>
      <w:r>
        <w:noBreakHyphen/>
        <w:t>2021 to mid-2023, resulting in falling real wages. However, as inflation and nominal wages growth have moderated and strengthened, respectively, real wages have stabilised and begun to grow again. At the national level, real wages grew by 0.5 per cent over the 12 months to the March quarter 2024. By contrast, real wages in Victoria were unchanged over the same period and have not grown in annual terms since early 2021 (Figure A.5).</w:t>
      </w:r>
    </w:p>
    <w:p w14:paraId="56E7170F" w14:textId="77777777" w:rsidR="00516470" w:rsidRDefault="00516470" w:rsidP="00516470">
      <w:pPr>
        <w:pStyle w:val="08Figuretableboxheading"/>
      </w:pPr>
      <w:r>
        <w:t>Figure A.5: Difference</w:t>
      </w:r>
      <w:r w:rsidRPr="00736202">
        <w:t xml:space="preserve"> between annual CPI and WPI</w:t>
      </w:r>
      <w:r>
        <w:t xml:space="preserve"> growth rates</w:t>
      </w:r>
      <w:r w:rsidRPr="00736202">
        <w:t>, Australia and Victoria</w:t>
      </w:r>
      <w:r>
        <w:t>, March quarter 2021 to March quarter 2024</w:t>
      </w:r>
    </w:p>
    <w:p w14:paraId="7A6C763C" w14:textId="77777777" w:rsidR="00516470" w:rsidRDefault="00516470" w:rsidP="00516470">
      <w:pPr>
        <w:pStyle w:val="05Paragraph"/>
      </w:pPr>
      <w:r w:rsidRPr="006D250C">
        <w:rPr>
          <w:noProof/>
        </w:rPr>
        <w:drawing>
          <wp:inline distT="0" distB="0" distL="0" distR="0" wp14:anchorId="0D05D36B" wp14:editId="36322F54">
            <wp:extent cx="5417820" cy="2415540"/>
            <wp:effectExtent l="0" t="0" r="11430" b="3810"/>
            <wp:docPr id="976916692" name="Chart 1">
              <a:extLst xmlns:a="http://schemas.openxmlformats.org/drawingml/2006/main">
                <a:ext uri="{FF2B5EF4-FFF2-40B4-BE49-F238E27FC236}">
                  <a16:creationId xmlns:a16="http://schemas.microsoft.com/office/drawing/2014/main" id="{D47BD65B-6436-4329-BC3E-C519353DED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E00C932" w14:textId="7D0A3784" w:rsidR="00516470" w:rsidRPr="00736202" w:rsidRDefault="00516470" w:rsidP="00516470">
      <w:pPr>
        <w:pStyle w:val="09Sourcesandnotesfortablesfiguresboxes"/>
      </w:pPr>
      <w:r w:rsidRPr="00736202">
        <w:t xml:space="preserve">Note: </w:t>
      </w:r>
      <w:r>
        <w:t>P</w:t>
      </w:r>
      <w:r w:rsidRPr="00736202">
        <w:t xml:space="preserve">ositive/negative values indicate that </w:t>
      </w:r>
      <w:r>
        <w:t xml:space="preserve">annual </w:t>
      </w:r>
      <w:r w:rsidRPr="00736202">
        <w:t xml:space="preserve">WPI growth for that period was higher/lower than </w:t>
      </w:r>
      <w:r>
        <w:t xml:space="preserve">annual </w:t>
      </w:r>
      <w:r w:rsidRPr="00736202">
        <w:t>CPI growth for the same period.</w:t>
      </w:r>
      <w:r>
        <w:t xml:space="preserve"> Victorian figures calculated on basis of changes in the Melbourne CPI and Victorian WPI.</w:t>
      </w:r>
      <w:r w:rsidRPr="00736202">
        <w:br/>
      </w:r>
      <w:r w:rsidR="00276CD1" w:rsidRPr="00736202">
        <w:t>Source</w:t>
      </w:r>
      <w:r w:rsidR="00276CD1">
        <w:t>s</w:t>
      </w:r>
      <w:r w:rsidR="00276CD1" w:rsidRPr="00736202">
        <w:t xml:space="preserve">: </w:t>
      </w:r>
      <w:r w:rsidR="00276CD1" w:rsidRPr="00DF2C34">
        <w:rPr>
          <w:rFonts w:cs="Calibri Light"/>
        </w:rPr>
        <w:t>ABS (2024</w:t>
      </w:r>
      <w:r w:rsidR="00276CD1">
        <w:rPr>
          <w:rFonts w:cs="Calibri Light"/>
        </w:rPr>
        <w:t>c</w:t>
      </w:r>
      <w:r w:rsidR="00276CD1" w:rsidRPr="00DF2C34">
        <w:rPr>
          <w:rFonts w:cs="Calibri Light"/>
        </w:rPr>
        <w:t>)</w:t>
      </w:r>
      <w:r w:rsidR="00276CD1" w:rsidRPr="00610B6F">
        <w:t xml:space="preserve">; </w:t>
      </w:r>
      <w:r w:rsidR="00276CD1" w:rsidRPr="00DF2C34">
        <w:rPr>
          <w:rFonts w:cs="Calibri Light"/>
        </w:rPr>
        <w:t>ABS (2024</w:t>
      </w:r>
      <w:r w:rsidR="00276CD1">
        <w:rPr>
          <w:rFonts w:cs="Calibri Light"/>
        </w:rPr>
        <w:t>f</w:t>
      </w:r>
      <w:r w:rsidR="00276CD1" w:rsidRPr="00DF2C34">
        <w:rPr>
          <w:rFonts w:cs="Calibri Light"/>
        </w:rPr>
        <w:t>)</w:t>
      </w:r>
      <w:r w:rsidR="00610B6F" w:rsidRPr="00610B6F">
        <w:t>.</w:t>
      </w:r>
    </w:p>
    <w:p w14:paraId="6F333E21" w14:textId="77777777" w:rsidR="00516470" w:rsidRDefault="00516470" w:rsidP="007A0ABD">
      <w:pPr>
        <w:pStyle w:val="02VIRTHeading2"/>
      </w:pPr>
      <w:bookmarkStart w:id="86" w:name="_Toc170383528"/>
      <w:r>
        <w:t>A.2</w:t>
      </w:r>
      <w:r>
        <w:tab/>
      </w:r>
      <w:r w:rsidRPr="007A0ABD">
        <w:t>Economic</w:t>
      </w:r>
      <w:r>
        <w:t xml:space="preserve"> </w:t>
      </w:r>
      <w:r w:rsidRPr="00516470">
        <w:t>outlook</w:t>
      </w:r>
      <w:bookmarkEnd w:id="86"/>
    </w:p>
    <w:p w14:paraId="1BE37652" w14:textId="77777777" w:rsidR="00516470" w:rsidRDefault="00516470" w:rsidP="00516470">
      <w:pPr>
        <w:pStyle w:val="05Paragraph"/>
      </w:pPr>
      <w:r>
        <w:t>The Tribunal’s understanding of the outlook for the Australian and Victorian economies has been informed by the latest forecasts and analysis from the RBA and the federal and Victorian budgets.</w:t>
      </w:r>
    </w:p>
    <w:p w14:paraId="003EE4DC" w14:textId="77777777" w:rsidR="00516470" w:rsidRDefault="00516470" w:rsidP="00516470">
      <w:pPr>
        <w:pStyle w:val="05Paragraph"/>
      </w:pPr>
      <w:r>
        <w:t>Key forecasts are reproduced in Tables A.1 and A.2, followed by more detailed analysis.</w:t>
      </w:r>
    </w:p>
    <w:p w14:paraId="5F03AFF6" w14:textId="77777777" w:rsidR="00610B6F" w:rsidRDefault="00610B6F" w:rsidP="00516470">
      <w:pPr>
        <w:pStyle w:val="08Figuretableboxheading"/>
      </w:pPr>
      <w:r>
        <w:br w:type="page"/>
      </w:r>
    </w:p>
    <w:p w14:paraId="07DE80D3" w14:textId="7FB233A8" w:rsidR="00516470" w:rsidRDefault="00516470" w:rsidP="00516470">
      <w:pPr>
        <w:pStyle w:val="08Figuretableboxheading"/>
      </w:pPr>
      <w:r>
        <w:t>Table A.1: Selected RBA and Commonwealth Treasury</w:t>
      </w:r>
      <w:r w:rsidR="000010D6">
        <w:rPr>
          <w:vertAlign w:val="superscript"/>
        </w:rPr>
        <w:t>(a)</w:t>
      </w:r>
      <w:r>
        <w:t xml:space="preserve"> forecasts for the Australian economy</w:t>
      </w:r>
    </w:p>
    <w:tbl>
      <w:tblPr>
        <w:tblStyle w:val="Glossary"/>
        <w:tblW w:w="8505" w:type="dxa"/>
        <w:tblLook w:val="04A0" w:firstRow="1" w:lastRow="0" w:firstColumn="1" w:lastColumn="0" w:noHBand="0" w:noVBand="1"/>
      </w:tblPr>
      <w:tblGrid>
        <w:gridCol w:w="1831"/>
        <w:gridCol w:w="993"/>
        <w:gridCol w:w="1136"/>
        <w:gridCol w:w="1136"/>
        <w:gridCol w:w="1136"/>
        <w:gridCol w:w="1136"/>
        <w:gridCol w:w="1137"/>
      </w:tblGrid>
      <w:tr w:rsidR="00516470" w:rsidRPr="007A0ABD" w14:paraId="1A29E258" w14:textId="77777777" w:rsidTr="00BB4E47">
        <w:trPr>
          <w:cnfStyle w:val="100000000000" w:firstRow="1" w:lastRow="0" w:firstColumn="0" w:lastColumn="0" w:oddVBand="0" w:evenVBand="0" w:oddHBand="0" w:evenHBand="0" w:firstRowFirstColumn="0" w:firstRowLastColumn="0" w:lastRowFirstColumn="0" w:lastRowLastColumn="0"/>
        </w:trPr>
        <w:tc>
          <w:tcPr>
            <w:tcW w:w="1831" w:type="dxa"/>
            <w:tcBorders>
              <w:bottom w:val="single" w:sz="4" w:space="0" w:color="148A5D"/>
            </w:tcBorders>
          </w:tcPr>
          <w:p w14:paraId="7E00DB44" w14:textId="77777777" w:rsidR="00516470" w:rsidRPr="007A0ABD" w:rsidRDefault="00516470" w:rsidP="00BB4E47">
            <w:pPr>
              <w:pStyle w:val="Tabletext"/>
              <w:rPr>
                <w:rFonts w:cs="Calibri Light"/>
                <w:color w:val="FFFFFF" w:themeColor="background1"/>
              </w:rPr>
            </w:pPr>
            <w:r w:rsidRPr="007A0ABD">
              <w:rPr>
                <w:rFonts w:cs="Calibri Light"/>
                <w:color w:val="FFFFFF" w:themeColor="background1"/>
              </w:rPr>
              <w:t>Indicator</w:t>
            </w:r>
          </w:p>
        </w:tc>
        <w:tc>
          <w:tcPr>
            <w:tcW w:w="993" w:type="dxa"/>
            <w:tcBorders>
              <w:bottom w:val="single" w:sz="4" w:space="0" w:color="148A5D"/>
            </w:tcBorders>
          </w:tcPr>
          <w:p w14:paraId="01E8CC43" w14:textId="77777777" w:rsidR="00516470" w:rsidRPr="007A0ABD" w:rsidRDefault="00516470" w:rsidP="00BB4E47">
            <w:pPr>
              <w:pStyle w:val="Tabletext"/>
              <w:rPr>
                <w:rFonts w:cs="Calibri Light"/>
                <w:color w:val="FFFFFF" w:themeColor="background1"/>
              </w:rPr>
            </w:pPr>
            <w:r w:rsidRPr="007A0ABD">
              <w:rPr>
                <w:rFonts w:cs="Calibri Light"/>
                <w:color w:val="FFFFFF" w:themeColor="background1"/>
              </w:rPr>
              <w:t>Source</w:t>
            </w:r>
          </w:p>
        </w:tc>
        <w:tc>
          <w:tcPr>
            <w:tcW w:w="1136" w:type="dxa"/>
            <w:tcBorders>
              <w:bottom w:val="single" w:sz="4" w:space="0" w:color="148A5D"/>
            </w:tcBorders>
          </w:tcPr>
          <w:p w14:paraId="5AF0E7C0"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June 2024</w:t>
            </w:r>
          </w:p>
        </w:tc>
        <w:tc>
          <w:tcPr>
            <w:tcW w:w="1136" w:type="dxa"/>
            <w:tcBorders>
              <w:bottom w:val="single" w:sz="4" w:space="0" w:color="148A5D"/>
            </w:tcBorders>
          </w:tcPr>
          <w:p w14:paraId="66F7A08B"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Dec 2024</w:t>
            </w:r>
          </w:p>
        </w:tc>
        <w:tc>
          <w:tcPr>
            <w:tcW w:w="1136" w:type="dxa"/>
            <w:tcBorders>
              <w:bottom w:val="single" w:sz="4" w:space="0" w:color="148A5D"/>
            </w:tcBorders>
          </w:tcPr>
          <w:p w14:paraId="44D6E5A3"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June 2025</w:t>
            </w:r>
          </w:p>
        </w:tc>
        <w:tc>
          <w:tcPr>
            <w:tcW w:w="1136" w:type="dxa"/>
            <w:tcBorders>
              <w:bottom w:val="single" w:sz="4" w:space="0" w:color="148A5D"/>
            </w:tcBorders>
          </w:tcPr>
          <w:p w14:paraId="033482B3"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Dec 2025</w:t>
            </w:r>
          </w:p>
        </w:tc>
        <w:tc>
          <w:tcPr>
            <w:tcW w:w="1137" w:type="dxa"/>
            <w:tcBorders>
              <w:bottom w:val="single" w:sz="4" w:space="0" w:color="148A5D"/>
            </w:tcBorders>
          </w:tcPr>
          <w:p w14:paraId="1086B066"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June 2026</w:t>
            </w:r>
          </w:p>
        </w:tc>
      </w:tr>
      <w:tr w:rsidR="00516470" w:rsidRPr="007A0ABD" w14:paraId="0E4E3154" w14:textId="77777777" w:rsidTr="00BB4E47">
        <w:tc>
          <w:tcPr>
            <w:tcW w:w="1831" w:type="dxa"/>
            <w:tcBorders>
              <w:bottom w:val="single" w:sz="4" w:space="0" w:color="148A5D" w:themeColor="accent2"/>
            </w:tcBorders>
            <w:shd w:val="clear" w:color="auto" w:fill="D1F5EB" w:themeFill="accent5" w:themeFillTint="33"/>
            <w:vAlign w:val="center"/>
          </w:tcPr>
          <w:p w14:paraId="53DD17AB" w14:textId="0E4CB4F6" w:rsidR="00516470" w:rsidRPr="007A0ABD" w:rsidRDefault="00516470" w:rsidP="00BB4E47">
            <w:pPr>
              <w:pStyle w:val="Tabletext"/>
              <w:rPr>
                <w:rFonts w:cs="Calibri Light"/>
                <w:vertAlign w:val="superscript"/>
              </w:rPr>
            </w:pPr>
            <w:r w:rsidRPr="007A0ABD">
              <w:rPr>
                <w:rFonts w:cs="Calibri Light"/>
              </w:rPr>
              <w:t>Real GDP</w:t>
            </w:r>
            <w:r w:rsidRPr="007A0ABD">
              <w:rPr>
                <w:rFonts w:cs="Calibri Light"/>
                <w:vertAlign w:val="superscript"/>
              </w:rPr>
              <w:t>(</w:t>
            </w:r>
            <w:r w:rsidR="000010D6">
              <w:rPr>
                <w:rFonts w:cs="Calibri Light"/>
                <w:vertAlign w:val="superscript"/>
              </w:rPr>
              <w:t>b</w:t>
            </w:r>
            <w:r w:rsidRPr="007A0ABD">
              <w:rPr>
                <w:rFonts w:cs="Calibri Light"/>
                <w:vertAlign w:val="superscript"/>
              </w:rPr>
              <w:t>)</w:t>
            </w:r>
          </w:p>
        </w:tc>
        <w:tc>
          <w:tcPr>
            <w:tcW w:w="993" w:type="dxa"/>
            <w:tcBorders>
              <w:bottom w:val="single" w:sz="4" w:space="0" w:color="148A5D" w:themeColor="accent2"/>
            </w:tcBorders>
            <w:shd w:val="clear" w:color="auto" w:fill="D1F5EB" w:themeFill="accent5" w:themeFillTint="33"/>
          </w:tcPr>
          <w:p w14:paraId="63E1E2D2" w14:textId="77777777" w:rsidR="00516470" w:rsidRPr="007A0ABD" w:rsidRDefault="00516470" w:rsidP="00BB4E47">
            <w:pPr>
              <w:pStyle w:val="Tabletext"/>
              <w:rPr>
                <w:rFonts w:cs="Calibri Light"/>
              </w:rPr>
            </w:pPr>
            <w:r w:rsidRPr="007A0ABD">
              <w:rPr>
                <w:rFonts w:cs="Calibri Light"/>
              </w:rPr>
              <w:t>RBA</w:t>
            </w:r>
          </w:p>
        </w:tc>
        <w:tc>
          <w:tcPr>
            <w:tcW w:w="1136" w:type="dxa"/>
            <w:tcBorders>
              <w:bottom w:val="single" w:sz="4" w:space="0" w:color="148A5D" w:themeColor="accent2"/>
            </w:tcBorders>
            <w:shd w:val="clear" w:color="auto" w:fill="D1F5EB" w:themeFill="accent5" w:themeFillTint="33"/>
          </w:tcPr>
          <w:p w14:paraId="6BC77B1D" w14:textId="77777777" w:rsidR="00516470" w:rsidRPr="007A0ABD" w:rsidRDefault="00516470" w:rsidP="00BB4E47">
            <w:pPr>
              <w:pStyle w:val="Tabletext"/>
              <w:jc w:val="right"/>
              <w:rPr>
                <w:rFonts w:cs="Calibri Light"/>
              </w:rPr>
            </w:pPr>
            <w:r w:rsidRPr="007A0ABD">
              <w:rPr>
                <w:rFonts w:cs="Calibri Light"/>
              </w:rPr>
              <w:t>1.2</w:t>
            </w:r>
          </w:p>
        </w:tc>
        <w:tc>
          <w:tcPr>
            <w:tcW w:w="1136" w:type="dxa"/>
            <w:tcBorders>
              <w:bottom w:val="single" w:sz="4" w:space="0" w:color="148A5D" w:themeColor="accent2"/>
            </w:tcBorders>
            <w:shd w:val="clear" w:color="auto" w:fill="D1F5EB" w:themeFill="accent5" w:themeFillTint="33"/>
          </w:tcPr>
          <w:p w14:paraId="5ECAE5CB" w14:textId="77777777" w:rsidR="00516470" w:rsidRPr="007A0ABD" w:rsidRDefault="00516470" w:rsidP="00BB4E47">
            <w:pPr>
              <w:pStyle w:val="Tabletext"/>
              <w:jc w:val="right"/>
              <w:rPr>
                <w:rFonts w:cs="Calibri Light"/>
              </w:rPr>
            </w:pPr>
            <w:r w:rsidRPr="007A0ABD">
              <w:rPr>
                <w:rFonts w:cs="Calibri Light"/>
              </w:rPr>
              <w:t>1.6</w:t>
            </w:r>
          </w:p>
        </w:tc>
        <w:tc>
          <w:tcPr>
            <w:tcW w:w="1136" w:type="dxa"/>
            <w:tcBorders>
              <w:bottom w:val="single" w:sz="4" w:space="0" w:color="148A5D" w:themeColor="accent2"/>
            </w:tcBorders>
            <w:shd w:val="clear" w:color="auto" w:fill="D1F5EB" w:themeFill="accent5" w:themeFillTint="33"/>
          </w:tcPr>
          <w:p w14:paraId="28DE8A11" w14:textId="77777777" w:rsidR="00516470" w:rsidRPr="007A0ABD" w:rsidRDefault="00516470" w:rsidP="00BB4E47">
            <w:pPr>
              <w:pStyle w:val="Tabletext"/>
              <w:jc w:val="right"/>
              <w:rPr>
                <w:rFonts w:cs="Calibri Light"/>
              </w:rPr>
            </w:pPr>
            <w:r w:rsidRPr="007A0ABD">
              <w:rPr>
                <w:rFonts w:cs="Calibri Light"/>
              </w:rPr>
              <w:t>2.1</w:t>
            </w:r>
          </w:p>
        </w:tc>
        <w:tc>
          <w:tcPr>
            <w:tcW w:w="1136" w:type="dxa"/>
            <w:tcBorders>
              <w:bottom w:val="single" w:sz="4" w:space="0" w:color="148A5D" w:themeColor="accent2"/>
            </w:tcBorders>
            <w:shd w:val="clear" w:color="auto" w:fill="D1F5EB" w:themeFill="accent5" w:themeFillTint="33"/>
          </w:tcPr>
          <w:p w14:paraId="7C638889" w14:textId="77777777" w:rsidR="00516470" w:rsidRPr="007A0ABD" w:rsidRDefault="00516470" w:rsidP="00BB4E47">
            <w:pPr>
              <w:pStyle w:val="Tabletext"/>
              <w:jc w:val="right"/>
              <w:rPr>
                <w:rFonts w:cs="Calibri Light"/>
              </w:rPr>
            </w:pPr>
            <w:r w:rsidRPr="007A0ABD">
              <w:rPr>
                <w:rFonts w:cs="Calibri Light"/>
              </w:rPr>
              <w:t>2.3</w:t>
            </w:r>
          </w:p>
        </w:tc>
        <w:tc>
          <w:tcPr>
            <w:tcW w:w="1137" w:type="dxa"/>
            <w:tcBorders>
              <w:bottom w:val="single" w:sz="4" w:space="0" w:color="148A5D" w:themeColor="accent2"/>
            </w:tcBorders>
            <w:shd w:val="clear" w:color="auto" w:fill="D1F5EB" w:themeFill="accent5" w:themeFillTint="33"/>
          </w:tcPr>
          <w:p w14:paraId="1179F239" w14:textId="77777777" w:rsidR="00516470" w:rsidRPr="007A0ABD" w:rsidRDefault="00516470" w:rsidP="00BB4E47">
            <w:pPr>
              <w:pStyle w:val="Tabletext"/>
              <w:jc w:val="right"/>
              <w:rPr>
                <w:rFonts w:cs="Calibri Light"/>
              </w:rPr>
            </w:pPr>
            <w:r w:rsidRPr="007A0ABD">
              <w:rPr>
                <w:rFonts w:cs="Calibri Light"/>
              </w:rPr>
              <w:t>2.4</w:t>
            </w:r>
          </w:p>
        </w:tc>
      </w:tr>
      <w:tr w:rsidR="00516470" w:rsidRPr="007A0ABD" w14:paraId="24B63552" w14:textId="77777777" w:rsidTr="00BB4E47">
        <w:tc>
          <w:tcPr>
            <w:tcW w:w="1831" w:type="dxa"/>
            <w:tcBorders>
              <w:top w:val="single" w:sz="4" w:space="0" w:color="148A5D" w:themeColor="accent2"/>
            </w:tcBorders>
            <w:vAlign w:val="center"/>
          </w:tcPr>
          <w:p w14:paraId="68C714F7" w14:textId="2C29E333" w:rsidR="00516470" w:rsidRPr="007A0ABD" w:rsidRDefault="00516470" w:rsidP="00BB4E47">
            <w:pPr>
              <w:pStyle w:val="Tabletext"/>
              <w:rPr>
                <w:rFonts w:cs="Calibri Light"/>
              </w:rPr>
            </w:pPr>
            <w:r w:rsidRPr="007A0ABD">
              <w:rPr>
                <w:rFonts w:cs="Calibri Light"/>
              </w:rPr>
              <w:t>Population</w:t>
            </w:r>
            <w:r w:rsidRPr="007A0ABD">
              <w:rPr>
                <w:rFonts w:cs="Calibri Light"/>
                <w:vertAlign w:val="superscript"/>
              </w:rPr>
              <w:t>(</w:t>
            </w:r>
            <w:r w:rsidR="000010D6">
              <w:rPr>
                <w:rFonts w:cs="Calibri Light"/>
                <w:vertAlign w:val="superscript"/>
              </w:rPr>
              <w:t>b</w:t>
            </w:r>
            <w:r w:rsidRPr="007A0ABD">
              <w:rPr>
                <w:rFonts w:cs="Calibri Light"/>
                <w:vertAlign w:val="superscript"/>
              </w:rPr>
              <w:t>)</w:t>
            </w:r>
          </w:p>
        </w:tc>
        <w:tc>
          <w:tcPr>
            <w:tcW w:w="993" w:type="dxa"/>
            <w:tcBorders>
              <w:top w:val="single" w:sz="4" w:space="0" w:color="148A5D" w:themeColor="accent2"/>
              <w:bottom w:val="single" w:sz="4" w:space="0" w:color="148A5D"/>
            </w:tcBorders>
          </w:tcPr>
          <w:p w14:paraId="387C4370" w14:textId="77777777" w:rsidR="00516470" w:rsidRPr="007A0ABD" w:rsidRDefault="00516470" w:rsidP="00BB4E47">
            <w:pPr>
              <w:pStyle w:val="Tabletext"/>
              <w:rPr>
                <w:rFonts w:cs="Calibri Light"/>
              </w:rPr>
            </w:pPr>
            <w:r w:rsidRPr="007A0ABD">
              <w:rPr>
                <w:rFonts w:cs="Calibri Light"/>
              </w:rPr>
              <w:t>RBA</w:t>
            </w:r>
          </w:p>
        </w:tc>
        <w:tc>
          <w:tcPr>
            <w:tcW w:w="1136" w:type="dxa"/>
            <w:tcBorders>
              <w:top w:val="single" w:sz="4" w:space="0" w:color="148A5D" w:themeColor="accent2"/>
              <w:bottom w:val="single" w:sz="4" w:space="0" w:color="148A5D"/>
            </w:tcBorders>
          </w:tcPr>
          <w:p w14:paraId="1233F542" w14:textId="77777777" w:rsidR="00516470" w:rsidRPr="007A0ABD" w:rsidRDefault="00516470" w:rsidP="00BB4E47">
            <w:pPr>
              <w:pStyle w:val="Tabletext"/>
              <w:jc w:val="right"/>
              <w:rPr>
                <w:rFonts w:cs="Calibri Light"/>
              </w:rPr>
            </w:pPr>
            <w:r w:rsidRPr="007A0ABD">
              <w:rPr>
                <w:rFonts w:cs="Calibri Light"/>
              </w:rPr>
              <w:t>2.0</w:t>
            </w:r>
          </w:p>
        </w:tc>
        <w:tc>
          <w:tcPr>
            <w:tcW w:w="1136" w:type="dxa"/>
            <w:tcBorders>
              <w:top w:val="single" w:sz="4" w:space="0" w:color="148A5D" w:themeColor="accent2"/>
              <w:bottom w:val="single" w:sz="4" w:space="0" w:color="148A5D"/>
            </w:tcBorders>
          </w:tcPr>
          <w:p w14:paraId="6E54A915" w14:textId="77777777" w:rsidR="00516470" w:rsidRPr="007A0ABD" w:rsidRDefault="00516470" w:rsidP="00BB4E47">
            <w:pPr>
              <w:pStyle w:val="Tabletext"/>
              <w:jc w:val="right"/>
              <w:rPr>
                <w:rFonts w:cs="Calibri Light"/>
              </w:rPr>
            </w:pPr>
            <w:r w:rsidRPr="007A0ABD">
              <w:rPr>
                <w:rFonts w:cs="Calibri Light"/>
              </w:rPr>
              <w:t>1.5</w:t>
            </w:r>
          </w:p>
        </w:tc>
        <w:tc>
          <w:tcPr>
            <w:tcW w:w="1136" w:type="dxa"/>
            <w:tcBorders>
              <w:top w:val="single" w:sz="4" w:space="0" w:color="148A5D" w:themeColor="accent2"/>
              <w:bottom w:val="single" w:sz="4" w:space="0" w:color="148A5D"/>
            </w:tcBorders>
          </w:tcPr>
          <w:p w14:paraId="40E78F1A" w14:textId="77777777" w:rsidR="00516470" w:rsidRPr="007A0ABD" w:rsidRDefault="00516470" w:rsidP="00BB4E47">
            <w:pPr>
              <w:pStyle w:val="Tabletext"/>
              <w:jc w:val="right"/>
              <w:rPr>
                <w:rFonts w:cs="Calibri Light"/>
              </w:rPr>
            </w:pPr>
            <w:r w:rsidRPr="007A0ABD">
              <w:rPr>
                <w:rFonts w:cs="Calibri Light"/>
              </w:rPr>
              <w:t>1.4</w:t>
            </w:r>
          </w:p>
        </w:tc>
        <w:tc>
          <w:tcPr>
            <w:tcW w:w="1136" w:type="dxa"/>
            <w:tcBorders>
              <w:top w:val="single" w:sz="4" w:space="0" w:color="148A5D" w:themeColor="accent2"/>
              <w:bottom w:val="single" w:sz="4" w:space="0" w:color="148A5D"/>
            </w:tcBorders>
          </w:tcPr>
          <w:p w14:paraId="0E69B7AF" w14:textId="77777777" w:rsidR="00516470" w:rsidRPr="007A0ABD" w:rsidRDefault="00516470" w:rsidP="00BB4E47">
            <w:pPr>
              <w:pStyle w:val="Tabletext"/>
              <w:jc w:val="right"/>
              <w:rPr>
                <w:rFonts w:cs="Calibri Light"/>
              </w:rPr>
            </w:pPr>
            <w:r w:rsidRPr="007A0ABD">
              <w:rPr>
                <w:rFonts w:cs="Calibri Light"/>
              </w:rPr>
              <w:t>1.4</w:t>
            </w:r>
          </w:p>
        </w:tc>
        <w:tc>
          <w:tcPr>
            <w:tcW w:w="1137" w:type="dxa"/>
            <w:tcBorders>
              <w:top w:val="single" w:sz="4" w:space="0" w:color="148A5D" w:themeColor="accent2"/>
              <w:bottom w:val="single" w:sz="4" w:space="0" w:color="148A5D"/>
            </w:tcBorders>
          </w:tcPr>
          <w:p w14:paraId="08B862E2" w14:textId="77777777" w:rsidR="00516470" w:rsidRPr="007A0ABD" w:rsidRDefault="00516470" w:rsidP="00BB4E47">
            <w:pPr>
              <w:pStyle w:val="Tabletext"/>
              <w:jc w:val="right"/>
              <w:rPr>
                <w:rFonts w:cs="Calibri Light"/>
              </w:rPr>
            </w:pPr>
            <w:r w:rsidRPr="007A0ABD">
              <w:rPr>
                <w:rFonts w:cs="Calibri Light"/>
              </w:rPr>
              <w:t>1.4</w:t>
            </w:r>
          </w:p>
        </w:tc>
      </w:tr>
      <w:tr w:rsidR="00516470" w:rsidRPr="007A0ABD" w14:paraId="73680120" w14:textId="77777777" w:rsidTr="00BB4E47">
        <w:tc>
          <w:tcPr>
            <w:tcW w:w="1831" w:type="dxa"/>
            <w:vMerge w:val="restart"/>
            <w:shd w:val="clear" w:color="auto" w:fill="D1F5EB" w:themeFill="accent5" w:themeFillTint="33"/>
          </w:tcPr>
          <w:p w14:paraId="7D284D9F" w14:textId="3D710D7C" w:rsidR="00516470" w:rsidRPr="007A0ABD" w:rsidRDefault="00516470" w:rsidP="00BB4E47">
            <w:pPr>
              <w:pStyle w:val="Tabletext"/>
              <w:rPr>
                <w:rFonts w:cs="Calibri Light"/>
              </w:rPr>
            </w:pPr>
            <w:r w:rsidRPr="007A0ABD">
              <w:rPr>
                <w:rFonts w:cs="Calibri Light"/>
              </w:rPr>
              <w:t>CPI</w:t>
            </w:r>
            <w:r w:rsidRPr="007A0ABD">
              <w:rPr>
                <w:rFonts w:cs="Calibri Light"/>
                <w:vertAlign w:val="superscript"/>
              </w:rPr>
              <w:t>(</w:t>
            </w:r>
            <w:r w:rsidR="000010D6">
              <w:rPr>
                <w:rFonts w:cs="Calibri Light"/>
                <w:vertAlign w:val="superscript"/>
              </w:rPr>
              <w:t>b</w:t>
            </w:r>
            <w:r w:rsidRPr="007A0ABD">
              <w:rPr>
                <w:rFonts w:cs="Calibri Light"/>
                <w:vertAlign w:val="superscript"/>
              </w:rPr>
              <w:t>)</w:t>
            </w:r>
          </w:p>
        </w:tc>
        <w:tc>
          <w:tcPr>
            <w:tcW w:w="993" w:type="dxa"/>
            <w:tcBorders>
              <w:bottom w:val="single" w:sz="4" w:space="0" w:color="148A5D" w:themeColor="accent2"/>
            </w:tcBorders>
            <w:shd w:val="clear" w:color="auto" w:fill="D1F5EB" w:themeFill="accent5" w:themeFillTint="33"/>
          </w:tcPr>
          <w:p w14:paraId="0E36CDDE" w14:textId="77777777" w:rsidR="00516470" w:rsidRPr="007A0ABD" w:rsidRDefault="00516470" w:rsidP="00BB4E47">
            <w:pPr>
              <w:pStyle w:val="Tabletext"/>
              <w:rPr>
                <w:rFonts w:cs="Calibri Light"/>
              </w:rPr>
            </w:pPr>
            <w:r w:rsidRPr="007A0ABD">
              <w:rPr>
                <w:rFonts w:cs="Calibri Light"/>
              </w:rPr>
              <w:t>RBA</w:t>
            </w:r>
          </w:p>
        </w:tc>
        <w:tc>
          <w:tcPr>
            <w:tcW w:w="1136" w:type="dxa"/>
            <w:tcBorders>
              <w:bottom w:val="single" w:sz="4" w:space="0" w:color="148A5D" w:themeColor="accent2"/>
            </w:tcBorders>
            <w:shd w:val="clear" w:color="auto" w:fill="D1F5EB" w:themeFill="accent5" w:themeFillTint="33"/>
          </w:tcPr>
          <w:p w14:paraId="67846FEC" w14:textId="77777777" w:rsidR="00516470" w:rsidRPr="007A0ABD" w:rsidRDefault="00516470" w:rsidP="00BB4E47">
            <w:pPr>
              <w:pStyle w:val="Tabletext"/>
              <w:jc w:val="right"/>
              <w:rPr>
                <w:rFonts w:cs="Calibri Light"/>
              </w:rPr>
            </w:pPr>
            <w:r w:rsidRPr="007A0ABD">
              <w:rPr>
                <w:rFonts w:cs="Calibri Light"/>
              </w:rPr>
              <w:t>3.8</w:t>
            </w:r>
          </w:p>
        </w:tc>
        <w:tc>
          <w:tcPr>
            <w:tcW w:w="1136" w:type="dxa"/>
            <w:tcBorders>
              <w:bottom w:val="single" w:sz="4" w:space="0" w:color="148A5D" w:themeColor="accent2"/>
            </w:tcBorders>
            <w:shd w:val="clear" w:color="auto" w:fill="D1F5EB" w:themeFill="accent5" w:themeFillTint="33"/>
          </w:tcPr>
          <w:p w14:paraId="5EC6AC5D" w14:textId="77777777" w:rsidR="00516470" w:rsidRPr="007A0ABD" w:rsidRDefault="00516470" w:rsidP="00BB4E47">
            <w:pPr>
              <w:pStyle w:val="Tabletext"/>
              <w:jc w:val="right"/>
              <w:rPr>
                <w:rFonts w:cs="Calibri Light"/>
              </w:rPr>
            </w:pPr>
            <w:r w:rsidRPr="007A0ABD">
              <w:rPr>
                <w:rFonts w:cs="Calibri Light"/>
              </w:rPr>
              <w:t>3.8</w:t>
            </w:r>
          </w:p>
        </w:tc>
        <w:tc>
          <w:tcPr>
            <w:tcW w:w="1136" w:type="dxa"/>
            <w:tcBorders>
              <w:bottom w:val="single" w:sz="4" w:space="0" w:color="148A5D" w:themeColor="accent2"/>
            </w:tcBorders>
            <w:shd w:val="clear" w:color="auto" w:fill="D1F5EB" w:themeFill="accent5" w:themeFillTint="33"/>
          </w:tcPr>
          <w:p w14:paraId="06CF60C1" w14:textId="77777777" w:rsidR="00516470" w:rsidRPr="007A0ABD" w:rsidRDefault="00516470" w:rsidP="00BB4E47">
            <w:pPr>
              <w:pStyle w:val="Tabletext"/>
              <w:jc w:val="right"/>
              <w:rPr>
                <w:rFonts w:cs="Calibri Light"/>
              </w:rPr>
            </w:pPr>
            <w:r w:rsidRPr="007A0ABD">
              <w:rPr>
                <w:rFonts w:cs="Calibri Light"/>
              </w:rPr>
              <w:t>3.2</w:t>
            </w:r>
          </w:p>
        </w:tc>
        <w:tc>
          <w:tcPr>
            <w:tcW w:w="1136" w:type="dxa"/>
            <w:tcBorders>
              <w:bottom w:val="single" w:sz="4" w:space="0" w:color="148A5D" w:themeColor="accent2"/>
            </w:tcBorders>
            <w:shd w:val="clear" w:color="auto" w:fill="D1F5EB" w:themeFill="accent5" w:themeFillTint="33"/>
          </w:tcPr>
          <w:p w14:paraId="5CBF6DFB" w14:textId="77777777" w:rsidR="00516470" w:rsidRPr="007A0ABD" w:rsidRDefault="00516470" w:rsidP="00BB4E47">
            <w:pPr>
              <w:pStyle w:val="Tabletext"/>
              <w:jc w:val="right"/>
              <w:rPr>
                <w:rFonts w:cs="Calibri Light"/>
              </w:rPr>
            </w:pPr>
            <w:r w:rsidRPr="007A0ABD">
              <w:rPr>
                <w:rFonts w:cs="Calibri Light"/>
              </w:rPr>
              <w:t>2.8</w:t>
            </w:r>
          </w:p>
        </w:tc>
        <w:tc>
          <w:tcPr>
            <w:tcW w:w="1137" w:type="dxa"/>
            <w:tcBorders>
              <w:bottom w:val="single" w:sz="4" w:space="0" w:color="148A5D" w:themeColor="accent2"/>
            </w:tcBorders>
            <w:shd w:val="clear" w:color="auto" w:fill="D1F5EB" w:themeFill="accent5" w:themeFillTint="33"/>
          </w:tcPr>
          <w:p w14:paraId="36EB13EB" w14:textId="77777777" w:rsidR="00516470" w:rsidRPr="007A0ABD" w:rsidRDefault="00516470" w:rsidP="00BB4E47">
            <w:pPr>
              <w:pStyle w:val="Tabletext"/>
              <w:jc w:val="right"/>
              <w:rPr>
                <w:rFonts w:cs="Calibri Light"/>
              </w:rPr>
            </w:pPr>
            <w:r w:rsidRPr="007A0ABD">
              <w:rPr>
                <w:rFonts w:cs="Calibri Light"/>
              </w:rPr>
              <w:t>2.6</w:t>
            </w:r>
          </w:p>
        </w:tc>
      </w:tr>
      <w:tr w:rsidR="00516470" w:rsidRPr="007A0ABD" w14:paraId="274B4364" w14:textId="77777777" w:rsidTr="00BB4E47">
        <w:tc>
          <w:tcPr>
            <w:tcW w:w="1831" w:type="dxa"/>
            <w:vMerge/>
            <w:shd w:val="clear" w:color="auto" w:fill="D1F5EB" w:themeFill="accent5" w:themeFillTint="33"/>
            <w:vAlign w:val="center"/>
          </w:tcPr>
          <w:p w14:paraId="780011E5" w14:textId="77777777" w:rsidR="00516470" w:rsidRPr="007A0ABD" w:rsidRDefault="00516470" w:rsidP="00BB4E47">
            <w:pPr>
              <w:pStyle w:val="Tabletext"/>
              <w:rPr>
                <w:rFonts w:cs="Calibri Light"/>
              </w:rPr>
            </w:pPr>
          </w:p>
        </w:tc>
        <w:tc>
          <w:tcPr>
            <w:tcW w:w="993" w:type="dxa"/>
            <w:tcBorders>
              <w:top w:val="single" w:sz="4" w:space="0" w:color="148A5D" w:themeColor="accent2"/>
            </w:tcBorders>
            <w:shd w:val="clear" w:color="auto" w:fill="D1F5EB" w:themeFill="accent5" w:themeFillTint="33"/>
          </w:tcPr>
          <w:p w14:paraId="35BB8656" w14:textId="77777777" w:rsidR="00516470" w:rsidRPr="007A0ABD" w:rsidRDefault="00516470" w:rsidP="00BB4E47">
            <w:pPr>
              <w:pStyle w:val="Tabletext"/>
              <w:rPr>
                <w:rFonts w:cs="Calibri Light"/>
              </w:rPr>
            </w:pPr>
            <w:r w:rsidRPr="007A0ABD">
              <w:rPr>
                <w:rFonts w:cs="Calibri Light"/>
              </w:rPr>
              <w:t>Treasury</w:t>
            </w:r>
          </w:p>
        </w:tc>
        <w:tc>
          <w:tcPr>
            <w:tcW w:w="1136" w:type="dxa"/>
            <w:tcBorders>
              <w:top w:val="single" w:sz="4" w:space="0" w:color="148A5D" w:themeColor="accent2"/>
            </w:tcBorders>
            <w:shd w:val="clear" w:color="auto" w:fill="D1F5EB" w:themeFill="accent5" w:themeFillTint="33"/>
          </w:tcPr>
          <w:p w14:paraId="761D6CBA" w14:textId="77777777" w:rsidR="00516470" w:rsidRPr="007A0ABD" w:rsidRDefault="00516470" w:rsidP="00BB4E47">
            <w:pPr>
              <w:pStyle w:val="Tabletext"/>
              <w:jc w:val="right"/>
              <w:rPr>
                <w:rFonts w:cs="Calibri Light"/>
              </w:rPr>
            </w:pPr>
            <w:r w:rsidRPr="007A0ABD">
              <w:rPr>
                <w:rFonts w:cs="Calibri Light"/>
              </w:rPr>
              <w:t>3.5</w:t>
            </w:r>
          </w:p>
        </w:tc>
        <w:tc>
          <w:tcPr>
            <w:tcW w:w="1136" w:type="dxa"/>
            <w:tcBorders>
              <w:top w:val="single" w:sz="4" w:space="0" w:color="148A5D" w:themeColor="accent2"/>
            </w:tcBorders>
            <w:shd w:val="clear" w:color="auto" w:fill="D1F5EB" w:themeFill="accent5" w:themeFillTint="33"/>
          </w:tcPr>
          <w:p w14:paraId="61E11374" w14:textId="77777777" w:rsidR="00516470" w:rsidRPr="007A0ABD" w:rsidRDefault="00516470" w:rsidP="00BB4E47">
            <w:pPr>
              <w:pStyle w:val="Tabletext"/>
              <w:jc w:val="right"/>
              <w:rPr>
                <w:rFonts w:cs="Calibri Light"/>
              </w:rPr>
            </w:pPr>
            <w:r w:rsidRPr="007A0ABD">
              <w:rPr>
                <w:rFonts w:cs="Calibri Light"/>
              </w:rPr>
              <w:t>N/A</w:t>
            </w:r>
          </w:p>
        </w:tc>
        <w:tc>
          <w:tcPr>
            <w:tcW w:w="1136" w:type="dxa"/>
            <w:tcBorders>
              <w:top w:val="single" w:sz="4" w:space="0" w:color="148A5D" w:themeColor="accent2"/>
            </w:tcBorders>
            <w:shd w:val="clear" w:color="auto" w:fill="D1F5EB" w:themeFill="accent5" w:themeFillTint="33"/>
          </w:tcPr>
          <w:p w14:paraId="12B43AF6" w14:textId="77777777" w:rsidR="00516470" w:rsidRPr="007A0ABD" w:rsidRDefault="00516470" w:rsidP="00BB4E47">
            <w:pPr>
              <w:pStyle w:val="Tabletext"/>
              <w:jc w:val="right"/>
              <w:rPr>
                <w:rFonts w:cs="Calibri Light"/>
              </w:rPr>
            </w:pPr>
            <w:r w:rsidRPr="007A0ABD">
              <w:rPr>
                <w:rFonts w:cs="Calibri Light"/>
              </w:rPr>
              <w:t>2.8</w:t>
            </w:r>
          </w:p>
        </w:tc>
        <w:tc>
          <w:tcPr>
            <w:tcW w:w="1136" w:type="dxa"/>
            <w:tcBorders>
              <w:top w:val="single" w:sz="4" w:space="0" w:color="148A5D" w:themeColor="accent2"/>
            </w:tcBorders>
            <w:shd w:val="clear" w:color="auto" w:fill="D1F5EB" w:themeFill="accent5" w:themeFillTint="33"/>
          </w:tcPr>
          <w:p w14:paraId="27469F79" w14:textId="77777777" w:rsidR="00516470" w:rsidRPr="007A0ABD" w:rsidRDefault="00516470" w:rsidP="00BB4E47">
            <w:pPr>
              <w:pStyle w:val="Tabletext"/>
              <w:jc w:val="right"/>
              <w:rPr>
                <w:rFonts w:cs="Calibri Light"/>
              </w:rPr>
            </w:pPr>
            <w:r w:rsidRPr="007A0ABD">
              <w:rPr>
                <w:rFonts w:cs="Calibri Light"/>
              </w:rPr>
              <w:t>N/A</w:t>
            </w:r>
          </w:p>
        </w:tc>
        <w:tc>
          <w:tcPr>
            <w:tcW w:w="1137" w:type="dxa"/>
            <w:tcBorders>
              <w:top w:val="single" w:sz="4" w:space="0" w:color="148A5D" w:themeColor="accent2"/>
            </w:tcBorders>
            <w:shd w:val="clear" w:color="auto" w:fill="D1F5EB" w:themeFill="accent5" w:themeFillTint="33"/>
          </w:tcPr>
          <w:p w14:paraId="5B60AFF5" w14:textId="77777777" w:rsidR="00516470" w:rsidRPr="007A0ABD" w:rsidRDefault="00516470" w:rsidP="00BB4E47">
            <w:pPr>
              <w:pStyle w:val="Tabletext"/>
              <w:jc w:val="right"/>
              <w:rPr>
                <w:rFonts w:cs="Calibri Light"/>
              </w:rPr>
            </w:pPr>
            <w:r w:rsidRPr="007A0ABD">
              <w:rPr>
                <w:rFonts w:cs="Calibri Light"/>
              </w:rPr>
              <w:t>2.8</w:t>
            </w:r>
          </w:p>
        </w:tc>
      </w:tr>
      <w:tr w:rsidR="00516470" w:rsidRPr="007A0ABD" w14:paraId="40094F86" w14:textId="77777777" w:rsidTr="00BB4E47">
        <w:tc>
          <w:tcPr>
            <w:tcW w:w="1831" w:type="dxa"/>
            <w:vAlign w:val="center"/>
          </w:tcPr>
          <w:p w14:paraId="0D6510B3" w14:textId="3944F1B4" w:rsidR="00516470" w:rsidRPr="007A0ABD" w:rsidRDefault="00516470" w:rsidP="00BB4E47">
            <w:pPr>
              <w:pStyle w:val="Tabletext"/>
              <w:rPr>
                <w:rFonts w:cs="Calibri Light"/>
              </w:rPr>
            </w:pPr>
            <w:r w:rsidRPr="007A0ABD">
              <w:rPr>
                <w:rFonts w:cs="Calibri Light"/>
              </w:rPr>
              <w:t>Trimmed mean</w:t>
            </w:r>
            <w:r w:rsidRPr="007A0ABD">
              <w:rPr>
                <w:rFonts w:cs="Calibri Light"/>
                <w:vertAlign w:val="superscript"/>
              </w:rPr>
              <w:t>(</w:t>
            </w:r>
            <w:r w:rsidR="000010D6">
              <w:rPr>
                <w:rFonts w:cs="Calibri Light"/>
                <w:vertAlign w:val="superscript"/>
              </w:rPr>
              <w:t>b</w:t>
            </w:r>
            <w:r w:rsidRPr="007A0ABD">
              <w:rPr>
                <w:rFonts w:cs="Calibri Light"/>
                <w:vertAlign w:val="superscript"/>
              </w:rPr>
              <w:t>)</w:t>
            </w:r>
          </w:p>
        </w:tc>
        <w:tc>
          <w:tcPr>
            <w:tcW w:w="993" w:type="dxa"/>
            <w:tcBorders>
              <w:bottom w:val="single" w:sz="4" w:space="0" w:color="148A5D"/>
            </w:tcBorders>
          </w:tcPr>
          <w:p w14:paraId="793E4D6F" w14:textId="77777777" w:rsidR="00516470" w:rsidRPr="007A0ABD" w:rsidRDefault="00516470" w:rsidP="00BB4E47">
            <w:pPr>
              <w:pStyle w:val="Tabletext"/>
              <w:rPr>
                <w:rFonts w:cs="Calibri Light"/>
              </w:rPr>
            </w:pPr>
            <w:r w:rsidRPr="007A0ABD">
              <w:rPr>
                <w:rFonts w:cs="Calibri Light"/>
              </w:rPr>
              <w:t>RBA</w:t>
            </w:r>
          </w:p>
        </w:tc>
        <w:tc>
          <w:tcPr>
            <w:tcW w:w="1136" w:type="dxa"/>
            <w:tcBorders>
              <w:bottom w:val="single" w:sz="4" w:space="0" w:color="148A5D"/>
            </w:tcBorders>
          </w:tcPr>
          <w:p w14:paraId="662D942E" w14:textId="77777777" w:rsidR="00516470" w:rsidRPr="007A0ABD" w:rsidRDefault="00516470" w:rsidP="00BB4E47">
            <w:pPr>
              <w:pStyle w:val="Tabletext"/>
              <w:jc w:val="right"/>
              <w:rPr>
                <w:rFonts w:cs="Calibri Light"/>
              </w:rPr>
            </w:pPr>
            <w:r w:rsidRPr="007A0ABD">
              <w:rPr>
                <w:rFonts w:cs="Calibri Light"/>
              </w:rPr>
              <w:t>3.8</w:t>
            </w:r>
          </w:p>
        </w:tc>
        <w:tc>
          <w:tcPr>
            <w:tcW w:w="1136" w:type="dxa"/>
            <w:tcBorders>
              <w:bottom w:val="single" w:sz="4" w:space="0" w:color="148A5D"/>
            </w:tcBorders>
          </w:tcPr>
          <w:p w14:paraId="7D9AA876" w14:textId="77777777" w:rsidR="00516470" w:rsidRPr="007A0ABD" w:rsidRDefault="00516470" w:rsidP="00BB4E47">
            <w:pPr>
              <w:pStyle w:val="Tabletext"/>
              <w:jc w:val="right"/>
              <w:rPr>
                <w:rFonts w:cs="Calibri Light"/>
              </w:rPr>
            </w:pPr>
            <w:r w:rsidRPr="007A0ABD">
              <w:rPr>
                <w:rFonts w:cs="Calibri Light"/>
              </w:rPr>
              <w:t>3.4</w:t>
            </w:r>
          </w:p>
        </w:tc>
        <w:tc>
          <w:tcPr>
            <w:tcW w:w="1136" w:type="dxa"/>
            <w:tcBorders>
              <w:bottom w:val="single" w:sz="4" w:space="0" w:color="148A5D"/>
            </w:tcBorders>
          </w:tcPr>
          <w:p w14:paraId="313DAB75" w14:textId="77777777" w:rsidR="00516470" w:rsidRPr="007A0ABD" w:rsidRDefault="00516470" w:rsidP="00BB4E47">
            <w:pPr>
              <w:pStyle w:val="Tabletext"/>
              <w:jc w:val="right"/>
              <w:rPr>
                <w:rFonts w:cs="Calibri Light"/>
              </w:rPr>
            </w:pPr>
            <w:r w:rsidRPr="007A0ABD">
              <w:rPr>
                <w:rFonts w:cs="Calibri Light"/>
              </w:rPr>
              <w:t>3.1</w:t>
            </w:r>
          </w:p>
        </w:tc>
        <w:tc>
          <w:tcPr>
            <w:tcW w:w="1136" w:type="dxa"/>
            <w:tcBorders>
              <w:bottom w:val="single" w:sz="4" w:space="0" w:color="148A5D"/>
            </w:tcBorders>
          </w:tcPr>
          <w:p w14:paraId="25E77342" w14:textId="77777777" w:rsidR="00516470" w:rsidRPr="007A0ABD" w:rsidRDefault="00516470" w:rsidP="00BB4E47">
            <w:pPr>
              <w:pStyle w:val="Tabletext"/>
              <w:jc w:val="right"/>
              <w:rPr>
                <w:rFonts w:cs="Calibri Light"/>
              </w:rPr>
            </w:pPr>
            <w:r w:rsidRPr="007A0ABD">
              <w:rPr>
                <w:rFonts w:cs="Calibri Light"/>
              </w:rPr>
              <w:t>2.8</w:t>
            </w:r>
          </w:p>
        </w:tc>
        <w:tc>
          <w:tcPr>
            <w:tcW w:w="1137" w:type="dxa"/>
            <w:tcBorders>
              <w:bottom w:val="single" w:sz="4" w:space="0" w:color="148A5D"/>
            </w:tcBorders>
          </w:tcPr>
          <w:p w14:paraId="3B3D76F4" w14:textId="77777777" w:rsidR="00516470" w:rsidRPr="007A0ABD" w:rsidRDefault="00516470" w:rsidP="00BB4E47">
            <w:pPr>
              <w:pStyle w:val="Tabletext"/>
              <w:jc w:val="right"/>
              <w:rPr>
                <w:rFonts w:cs="Calibri Light"/>
              </w:rPr>
            </w:pPr>
            <w:r w:rsidRPr="007A0ABD">
              <w:rPr>
                <w:rFonts w:cs="Calibri Light"/>
              </w:rPr>
              <w:t>2.6</w:t>
            </w:r>
          </w:p>
        </w:tc>
      </w:tr>
      <w:tr w:rsidR="00516470" w:rsidRPr="007A0ABD" w14:paraId="202A3184" w14:textId="77777777" w:rsidTr="00BB4E47">
        <w:tc>
          <w:tcPr>
            <w:tcW w:w="1831" w:type="dxa"/>
            <w:vMerge w:val="restart"/>
            <w:shd w:val="clear" w:color="auto" w:fill="D1F5EB" w:themeFill="accent5" w:themeFillTint="33"/>
          </w:tcPr>
          <w:p w14:paraId="403C9C33" w14:textId="54CDCA8B" w:rsidR="00516470" w:rsidRPr="007A0ABD" w:rsidRDefault="00516470" w:rsidP="00BB4E47">
            <w:pPr>
              <w:pStyle w:val="Tabletext"/>
              <w:rPr>
                <w:rFonts w:cs="Calibri Light"/>
              </w:rPr>
            </w:pPr>
            <w:r w:rsidRPr="007A0ABD">
              <w:rPr>
                <w:rFonts w:cs="Calibri Light"/>
              </w:rPr>
              <w:t>Employment</w:t>
            </w:r>
            <w:r w:rsidRPr="007A0ABD">
              <w:rPr>
                <w:rFonts w:cs="Calibri Light"/>
                <w:vertAlign w:val="superscript"/>
              </w:rPr>
              <w:t>(</w:t>
            </w:r>
            <w:r w:rsidR="000010D6">
              <w:rPr>
                <w:rFonts w:cs="Calibri Light"/>
                <w:vertAlign w:val="superscript"/>
              </w:rPr>
              <w:t>b</w:t>
            </w:r>
            <w:r w:rsidRPr="007A0ABD">
              <w:rPr>
                <w:rFonts w:cs="Calibri Light"/>
                <w:vertAlign w:val="superscript"/>
              </w:rPr>
              <w:t>)</w:t>
            </w:r>
          </w:p>
        </w:tc>
        <w:tc>
          <w:tcPr>
            <w:tcW w:w="993" w:type="dxa"/>
            <w:tcBorders>
              <w:bottom w:val="single" w:sz="4" w:space="0" w:color="148A5D" w:themeColor="accent2"/>
            </w:tcBorders>
            <w:shd w:val="clear" w:color="auto" w:fill="D1F5EB" w:themeFill="accent5" w:themeFillTint="33"/>
          </w:tcPr>
          <w:p w14:paraId="7041262B" w14:textId="77777777" w:rsidR="00516470" w:rsidRPr="007A0ABD" w:rsidRDefault="00516470" w:rsidP="00BB4E47">
            <w:pPr>
              <w:pStyle w:val="Tabletext"/>
              <w:rPr>
                <w:rFonts w:cs="Calibri Light"/>
              </w:rPr>
            </w:pPr>
            <w:r w:rsidRPr="007A0ABD">
              <w:rPr>
                <w:rFonts w:cs="Calibri Light"/>
              </w:rPr>
              <w:t>RBA</w:t>
            </w:r>
          </w:p>
        </w:tc>
        <w:tc>
          <w:tcPr>
            <w:tcW w:w="1136" w:type="dxa"/>
            <w:tcBorders>
              <w:bottom w:val="single" w:sz="4" w:space="0" w:color="148A5D" w:themeColor="accent2"/>
            </w:tcBorders>
            <w:shd w:val="clear" w:color="auto" w:fill="D1F5EB" w:themeFill="accent5" w:themeFillTint="33"/>
          </w:tcPr>
          <w:p w14:paraId="0E623111" w14:textId="77777777" w:rsidR="00516470" w:rsidRPr="007A0ABD" w:rsidRDefault="00516470" w:rsidP="00BB4E47">
            <w:pPr>
              <w:pStyle w:val="Tabletext"/>
              <w:jc w:val="right"/>
              <w:rPr>
                <w:rFonts w:cs="Calibri Light"/>
              </w:rPr>
            </w:pPr>
            <w:r w:rsidRPr="007A0ABD">
              <w:rPr>
                <w:rFonts w:cs="Calibri Light"/>
              </w:rPr>
              <w:t>2.1</w:t>
            </w:r>
          </w:p>
        </w:tc>
        <w:tc>
          <w:tcPr>
            <w:tcW w:w="1136" w:type="dxa"/>
            <w:tcBorders>
              <w:bottom w:val="single" w:sz="4" w:space="0" w:color="148A5D" w:themeColor="accent2"/>
            </w:tcBorders>
            <w:shd w:val="clear" w:color="auto" w:fill="D1F5EB" w:themeFill="accent5" w:themeFillTint="33"/>
          </w:tcPr>
          <w:p w14:paraId="68010CF3" w14:textId="77777777" w:rsidR="00516470" w:rsidRPr="007A0ABD" w:rsidRDefault="00516470" w:rsidP="00BB4E47">
            <w:pPr>
              <w:pStyle w:val="Tabletext"/>
              <w:jc w:val="right"/>
              <w:rPr>
                <w:rFonts w:cs="Calibri Light"/>
              </w:rPr>
            </w:pPr>
            <w:r w:rsidRPr="007A0ABD">
              <w:rPr>
                <w:rFonts w:cs="Calibri Light"/>
              </w:rPr>
              <w:t>1.4</w:t>
            </w:r>
          </w:p>
        </w:tc>
        <w:tc>
          <w:tcPr>
            <w:tcW w:w="1136" w:type="dxa"/>
            <w:tcBorders>
              <w:bottom w:val="single" w:sz="4" w:space="0" w:color="148A5D" w:themeColor="accent2"/>
            </w:tcBorders>
            <w:shd w:val="clear" w:color="auto" w:fill="D1F5EB" w:themeFill="accent5" w:themeFillTint="33"/>
          </w:tcPr>
          <w:p w14:paraId="0B5AB3D3" w14:textId="77777777" w:rsidR="00516470" w:rsidRPr="007A0ABD" w:rsidRDefault="00516470" w:rsidP="00BB4E47">
            <w:pPr>
              <w:pStyle w:val="Tabletext"/>
              <w:jc w:val="right"/>
              <w:rPr>
                <w:rFonts w:cs="Calibri Light"/>
              </w:rPr>
            </w:pPr>
            <w:r w:rsidRPr="007A0ABD">
              <w:rPr>
                <w:rFonts w:cs="Calibri Light"/>
              </w:rPr>
              <w:t>1.2</w:t>
            </w:r>
          </w:p>
        </w:tc>
        <w:tc>
          <w:tcPr>
            <w:tcW w:w="1136" w:type="dxa"/>
            <w:tcBorders>
              <w:bottom w:val="single" w:sz="4" w:space="0" w:color="148A5D" w:themeColor="accent2"/>
            </w:tcBorders>
            <w:shd w:val="clear" w:color="auto" w:fill="D1F5EB" w:themeFill="accent5" w:themeFillTint="33"/>
          </w:tcPr>
          <w:p w14:paraId="31B16E8F" w14:textId="77777777" w:rsidR="00516470" w:rsidRPr="007A0ABD" w:rsidRDefault="00516470" w:rsidP="00BB4E47">
            <w:pPr>
              <w:pStyle w:val="Tabletext"/>
              <w:jc w:val="right"/>
              <w:rPr>
                <w:rFonts w:cs="Calibri Light"/>
              </w:rPr>
            </w:pPr>
            <w:r w:rsidRPr="007A0ABD">
              <w:rPr>
                <w:rFonts w:cs="Calibri Light"/>
              </w:rPr>
              <w:t>1.3</w:t>
            </w:r>
          </w:p>
        </w:tc>
        <w:tc>
          <w:tcPr>
            <w:tcW w:w="1137" w:type="dxa"/>
            <w:tcBorders>
              <w:bottom w:val="single" w:sz="4" w:space="0" w:color="148A5D" w:themeColor="accent2"/>
            </w:tcBorders>
            <w:shd w:val="clear" w:color="auto" w:fill="D1F5EB" w:themeFill="accent5" w:themeFillTint="33"/>
          </w:tcPr>
          <w:p w14:paraId="7EEB33AB" w14:textId="77777777" w:rsidR="00516470" w:rsidRPr="007A0ABD" w:rsidRDefault="00516470" w:rsidP="00BB4E47">
            <w:pPr>
              <w:pStyle w:val="Tabletext"/>
              <w:jc w:val="right"/>
              <w:rPr>
                <w:rFonts w:cs="Calibri Light"/>
              </w:rPr>
            </w:pPr>
            <w:r w:rsidRPr="007A0ABD">
              <w:rPr>
                <w:rFonts w:cs="Calibri Light"/>
              </w:rPr>
              <w:t>1.4</w:t>
            </w:r>
          </w:p>
        </w:tc>
      </w:tr>
      <w:tr w:rsidR="00516470" w:rsidRPr="007A0ABD" w14:paraId="2F00490D" w14:textId="77777777" w:rsidTr="00BB4E47">
        <w:tc>
          <w:tcPr>
            <w:tcW w:w="1831" w:type="dxa"/>
            <w:vMerge/>
            <w:shd w:val="clear" w:color="auto" w:fill="D1F5EB" w:themeFill="accent5" w:themeFillTint="33"/>
            <w:vAlign w:val="center"/>
          </w:tcPr>
          <w:p w14:paraId="0DBA5B50" w14:textId="77777777" w:rsidR="00516470" w:rsidRPr="007A0ABD" w:rsidRDefault="00516470" w:rsidP="00BB4E47">
            <w:pPr>
              <w:pStyle w:val="Tabletext"/>
              <w:rPr>
                <w:rFonts w:cs="Calibri Light"/>
              </w:rPr>
            </w:pPr>
          </w:p>
        </w:tc>
        <w:tc>
          <w:tcPr>
            <w:tcW w:w="993" w:type="dxa"/>
            <w:tcBorders>
              <w:top w:val="single" w:sz="4" w:space="0" w:color="148A5D" w:themeColor="accent2"/>
              <w:bottom w:val="single" w:sz="4" w:space="0" w:color="148A5D"/>
            </w:tcBorders>
            <w:shd w:val="clear" w:color="auto" w:fill="D1F5EB" w:themeFill="accent5" w:themeFillTint="33"/>
          </w:tcPr>
          <w:p w14:paraId="414DD50B" w14:textId="77777777" w:rsidR="00516470" w:rsidRPr="007A0ABD" w:rsidRDefault="00516470" w:rsidP="00BB4E47">
            <w:pPr>
              <w:pStyle w:val="Tabletext"/>
              <w:rPr>
                <w:rFonts w:cs="Calibri Light"/>
              </w:rPr>
            </w:pPr>
            <w:r w:rsidRPr="007A0ABD">
              <w:rPr>
                <w:rFonts w:cs="Calibri Light"/>
              </w:rPr>
              <w:t>Treasury</w:t>
            </w:r>
          </w:p>
        </w:tc>
        <w:tc>
          <w:tcPr>
            <w:tcW w:w="1136" w:type="dxa"/>
            <w:tcBorders>
              <w:top w:val="single" w:sz="4" w:space="0" w:color="148A5D" w:themeColor="accent2"/>
              <w:bottom w:val="single" w:sz="4" w:space="0" w:color="148A5D"/>
            </w:tcBorders>
            <w:shd w:val="clear" w:color="auto" w:fill="D1F5EB" w:themeFill="accent5" w:themeFillTint="33"/>
          </w:tcPr>
          <w:p w14:paraId="61F2DDB0" w14:textId="77777777" w:rsidR="00516470" w:rsidRPr="007A0ABD" w:rsidRDefault="00516470" w:rsidP="00BB4E47">
            <w:pPr>
              <w:pStyle w:val="Tabletext"/>
              <w:jc w:val="right"/>
              <w:rPr>
                <w:rFonts w:cs="Calibri Light"/>
              </w:rPr>
            </w:pPr>
            <w:r w:rsidRPr="007A0ABD">
              <w:rPr>
                <w:rFonts w:cs="Calibri Light"/>
              </w:rPr>
              <w:t>2.3</w:t>
            </w:r>
          </w:p>
        </w:tc>
        <w:tc>
          <w:tcPr>
            <w:tcW w:w="1136" w:type="dxa"/>
            <w:tcBorders>
              <w:top w:val="single" w:sz="4" w:space="0" w:color="148A5D" w:themeColor="accent2"/>
              <w:bottom w:val="single" w:sz="4" w:space="0" w:color="148A5D"/>
            </w:tcBorders>
            <w:shd w:val="clear" w:color="auto" w:fill="D1F5EB" w:themeFill="accent5" w:themeFillTint="33"/>
          </w:tcPr>
          <w:p w14:paraId="3D2F88D9" w14:textId="77777777" w:rsidR="00516470" w:rsidRPr="007A0ABD" w:rsidRDefault="00516470" w:rsidP="00BB4E47">
            <w:pPr>
              <w:pStyle w:val="Tabletext"/>
              <w:jc w:val="right"/>
              <w:rPr>
                <w:rFonts w:cs="Calibri Light"/>
              </w:rPr>
            </w:pPr>
            <w:r w:rsidRPr="007A0ABD">
              <w:rPr>
                <w:rFonts w:cs="Calibri Light"/>
              </w:rPr>
              <w:t>N/A</w:t>
            </w:r>
          </w:p>
        </w:tc>
        <w:tc>
          <w:tcPr>
            <w:tcW w:w="1136" w:type="dxa"/>
            <w:tcBorders>
              <w:top w:val="single" w:sz="4" w:space="0" w:color="148A5D" w:themeColor="accent2"/>
              <w:bottom w:val="single" w:sz="4" w:space="0" w:color="148A5D"/>
            </w:tcBorders>
            <w:shd w:val="clear" w:color="auto" w:fill="D1F5EB" w:themeFill="accent5" w:themeFillTint="33"/>
          </w:tcPr>
          <w:p w14:paraId="63A1B37D" w14:textId="77777777" w:rsidR="00516470" w:rsidRPr="007A0ABD" w:rsidRDefault="00516470" w:rsidP="00BB4E47">
            <w:pPr>
              <w:pStyle w:val="Tabletext"/>
              <w:jc w:val="right"/>
              <w:rPr>
                <w:rFonts w:cs="Calibri Light"/>
              </w:rPr>
            </w:pPr>
            <w:r w:rsidRPr="007A0ABD">
              <w:rPr>
                <w:rFonts w:cs="Calibri Light"/>
              </w:rPr>
              <w:t>0.8</w:t>
            </w:r>
          </w:p>
        </w:tc>
        <w:tc>
          <w:tcPr>
            <w:tcW w:w="1136" w:type="dxa"/>
            <w:tcBorders>
              <w:top w:val="single" w:sz="4" w:space="0" w:color="148A5D" w:themeColor="accent2"/>
              <w:bottom w:val="single" w:sz="4" w:space="0" w:color="148A5D"/>
            </w:tcBorders>
            <w:shd w:val="clear" w:color="auto" w:fill="D1F5EB" w:themeFill="accent5" w:themeFillTint="33"/>
          </w:tcPr>
          <w:p w14:paraId="4D6FA743" w14:textId="77777777" w:rsidR="00516470" w:rsidRPr="007A0ABD" w:rsidRDefault="00516470" w:rsidP="00BB4E47">
            <w:pPr>
              <w:pStyle w:val="Tabletext"/>
              <w:jc w:val="right"/>
              <w:rPr>
                <w:rFonts w:cs="Calibri Light"/>
              </w:rPr>
            </w:pPr>
            <w:r w:rsidRPr="007A0ABD">
              <w:rPr>
                <w:rFonts w:cs="Calibri Light"/>
              </w:rPr>
              <w:t>N/A</w:t>
            </w:r>
          </w:p>
        </w:tc>
        <w:tc>
          <w:tcPr>
            <w:tcW w:w="1137" w:type="dxa"/>
            <w:tcBorders>
              <w:top w:val="single" w:sz="4" w:space="0" w:color="148A5D" w:themeColor="accent2"/>
              <w:bottom w:val="single" w:sz="4" w:space="0" w:color="148A5D"/>
            </w:tcBorders>
            <w:shd w:val="clear" w:color="auto" w:fill="D1F5EB" w:themeFill="accent5" w:themeFillTint="33"/>
          </w:tcPr>
          <w:p w14:paraId="4F70A1E9" w14:textId="77777777" w:rsidR="00516470" w:rsidRPr="007A0ABD" w:rsidRDefault="00516470" w:rsidP="00BB4E47">
            <w:pPr>
              <w:pStyle w:val="Tabletext"/>
              <w:jc w:val="right"/>
              <w:rPr>
                <w:rFonts w:cs="Calibri Light"/>
              </w:rPr>
            </w:pPr>
            <w:r w:rsidRPr="007A0ABD">
              <w:rPr>
                <w:rFonts w:cs="Calibri Light"/>
              </w:rPr>
              <w:t>1.3</w:t>
            </w:r>
          </w:p>
        </w:tc>
      </w:tr>
      <w:tr w:rsidR="00516470" w:rsidRPr="007A0ABD" w14:paraId="19373CFE" w14:textId="77777777" w:rsidTr="00BB4E47">
        <w:tc>
          <w:tcPr>
            <w:tcW w:w="1831" w:type="dxa"/>
            <w:vMerge w:val="restart"/>
            <w:vAlign w:val="center"/>
          </w:tcPr>
          <w:p w14:paraId="38FF56A8" w14:textId="76C5665E" w:rsidR="00516470" w:rsidRPr="007A0ABD" w:rsidRDefault="00516470" w:rsidP="00BB4E47">
            <w:pPr>
              <w:pStyle w:val="Tabletext"/>
              <w:rPr>
                <w:rFonts w:cs="Calibri Light"/>
              </w:rPr>
            </w:pPr>
            <w:r w:rsidRPr="007A0ABD">
              <w:rPr>
                <w:rFonts w:cs="Calibri Light"/>
              </w:rPr>
              <w:t>Unemployment rate</w:t>
            </w:r>
            <w:r w:rsidRPr="007A0ABD">
              <w:rPr>
                <w:rFonts w:cs="Calibri Light"/>
                <w:vertAlign w:val="superscript"/>
              </w:rPr>
              <w:t>(</w:t>
            </w:r>
            <w:r w:rsidR="000010D6">
              <w:rPr>
                <w:rFonts w:cs="Calibri Light"/>
                <w:vertAlign w:val="superscript"/>
              </w:rPr>
              <w:t>c</w:t>
            </w:r>
            <w:r w:rsidRPr="007A0ABD">
              <w:rPr>
                <w:rFonts w:cs="Calibri Light"/>
                <w:vertAlign w:val="superscript"/>
              </w:rPr>
              <w:t>)</w:t>
            </w:r>
          </w:p>
        </w:tc>
        <w:tc>
          <w:tcPr>
            <w:tcW w:w="993" w:type="dxa"/>
            <w:tcBorders>
              <w:bottom w:val="single" w:sz="4" w:space="0" w:color="148A5D" w:themeColor="accent2"/>
            </w:tcBorders>
          </w:tcPr>
          <w:p w14:paraId="36AC4A31" w14:textId="77777777" w:rsidR="00516470" w:rsidRPr="007A0ABD" w:rsidRDefault="00516470" w:rsidP="00BB4E47">
            <w:pPr>
              <w:pStyle w:val="Tabletext"/>
              <w:rPr>
                <w:rFonts w:cs="Calibri Light"/>
              </w:rPr>
            </w:pPr>
            <w:r w:rsidRPr="007A0ABD">
              <w:rPr>
                <w:rFonts w:cs="Calibri Light"/>
              </w:rPr>
              <w:t>RBA</w:t>
            </w:r>
          </w:p>
        </w:tc>
        <w:tc>
          <w:tcPr>
            <w:tcW w:w="1136" w:type="dxa"/>
            <w:tcBorders>
              <w:bottom w:val="single" w:sz="4" w:space="0" w:color="148A5D" w:themeColor="accent2"/>
            </w:tcBorders>
          </w:tcPr>
          <w:p w14:paraId="0AA70781" w14:textId="77777777" w:rsidR="00516470" w:rsidRPr="007A0ABD" w:rsidRDefault="00516470" w:rsidP="00BB4E47">
            <w:pPr>
              <w:pStyle w:val="Tabletext"/>
              <w:jc w:val="right"/>
              <w:rPr>
                <w:rFonts w:cs="Calibri Light"/>
              </w:rPr>
            </w:pPr>
            <w:r w:rsidRPr="007A0ABD">
              <w:rPr>
                <w:rFonts w:cs="Calibri Light"/>
              </w:rPr>
              <w:t>4.0</w:t>
            </w:r>
          </w:p>
        </w:tc>
        <w:tc>
          <w:tcPr>
            <w:tcW w:w="1136" w:type="dxa"/>
            <w:tcBorders>
              <w:bottom w:val="single" w:sz="4" w:space="0" w:color="148A5D" w:themeColor="accent2"/>
            </w:tcBorders>
          </w:tcPr>
          <w:p w14:paraId="44D7A133" w14:textId="77777777" w:rsidR="00516470" w:rsidRPr="007A0ABD" w:rsidRDefault="00516470" w:rsidP="00BB4E47">
            <w:pPr>
              <w:pStyle w:val="Tabletext"/>
              <w:jc w:val="right"/>
              <w:rPr>
                <w:rFonts w:cs="Calibri Light"/>
              </w:rPr>
            </w:pPr>
            <w:r w:rsidRPr="007A0ABD">
              <w:rPr>
                <w:rFonts w:cs="Calibri Light"/>
              </w:rPr>
              <w:t>4.2</w:t>
            </w:r>
          </w:p>
        </w:tc>
        <w:tc>
          <w:tcPr>
            <w:tcW w:w="1136" w:type="dxa"/>
            <w:tcBorders>
              <w:bottom w:val="single" w:sz="4" w:space="0" w:color="148A5D" w:themeColor="accent2"/>
            </w:tcBorders>
          </w:tcPr>
          <w:p w14:paraId="1F500A5B" w14:textId="77777777" w:rsidR="00516470" w:rsidRPr="007A0ABD" w:rsidRDefault="00516470" w:rsidP="00BB4E47">
            <w:pPr>
              <w:pStyle w:val="Tabletext"/>
              <w:jc w:val="right"/>
              <w:rPr>
                <w:rFonts w:cs="Calibri Light"/>
              </w:rPr>
            </w:pPr>
            <w:r w:rsidRPr="007A0ABD">
              <w:rPr>
                <w:rFonts w:cs="Calibri Light"/>
              </w:rPr>
              <w:t>4.3</w:t>
            </w:r>
          </w:p>
        </w:tc>
        <w:tc>
          <w:tcPr>
            <w:tcW w:w="1136" w:type="dxa"/>
            <w:tcBorders>
              <w:bottom w:val="single" w:sz="4" w:space="0" w:color="148A5D" w:themeColor="accent2"/>
            </w:tcBorders>
          </w:tcPr>
          <w:p w14:paraId="5CA9FCF4" w14:textId="77777777" w:rsidR="00516470" w:rsidRPr="007A0ABD" w:rsidRDefault="00516470" w:rsidP="00BB4E47">
            <w:pPr>
              <w:pStyle w:val="Tabletext"/>
              <w:jc w:val="right"/>
              <w:rPr>
                <w:rFonts w:cs="Calibri Light"/>
              </w:rPr>
            </w:pPr>
            <w:r w:rsidRPr="007A0ABD">
              <w:rPr>
                <w:rFonts w:cs="Calibri Light"/>
              </w:rPr>
              <w:t>4.3</w:t>
            </w:r>
          </w:p>
        </w:tc>
        <w:tc>
          <w:tcPr>
            <w:tcW w:w="1137" w:type="dxa"/>
            <w:tcBorders>
              <w:bottom w:val="single" w:sz="4" w:space="0" w:color="148A5D" w:themeColor="accent2"/>
            </w:tcBorders>
          </w:tcPr>
          <w:p w14:paraId="005A09D1" w14:textId="77777777" w:rsidR="00516470" w:rsidRPr="007A0ABD" w:rsidRDefault="00516470" w:rsidP="00BB4E47">
            <w:pPr>
              <w:pStyle w:val="Tabletext"/>
              <w:jc w:val="right"/>
              <w:rPr>
                <w:rFonts w:cs="Calibri Light"/>
              </w:rPr>
            </w:pPr>
            <w:r w:rsidRPr="007A0ABD">
              <w:rPr>
                <w:rFonts w:cs="Calibri Light"/>
              </w:rPr>
              <w:t>4.3</w:t>
            </w:r>
          </w:p>
        </w:tc>
      </w:tr>
      <w:tr w:rsidR="00516470" w:rsidRPr="007A0ABD" w14:paraId="09BC8AA5" w14:textId="77777777" w:rsidTr="00BB4E47">
        <w:tc>
          <w:tcPr>
            <w:tcW w:w="1831" w:type="dxa"/>
            <w:vMerge/>
            <w:vAlign w:val="center"/>
          </w:tcPr>
          <w:p w14:paraId="772B9A3D" w14:textId="77777777" w:rsidR="00516470" w:rsidRPr="007A0ABD" w:rsidRDefault="00516470" w:rsidP="00BB4E47">
            <w:pPr>
              <w:pStyle w:val="Tabletext"/>
              <w:rPr>
                <w:rFonts w:cs="Calibri Light"/>
              </w:rPr>
            </w:pPr>
          </w:p>
        </w:tc>
        <w:tc>
          <w:tcPr>
            <w:tcW w:w="993" w:type="dxa"/>
            <w:tcBorders>
              <w:top w:val="single" w:sz="4" w:space="0" w:color="148A5D" w:themeColor="accent2"/>
              <w:bottom w:val="single" w:sz="4" w:space="0" w:color="148A5D"/>
            </w:tcBorders>
          </w:tcPr>
          <w:p w14:paraId="5EC906AF" w14:textId="77777777" w:rsidR="00516470" w:rsidRPr="007A0ABD" w:rsidRDefault="00516470" w:rsidP="00BB4E47">
            <w:pPr>
              <w:pStyle w:val="Tabletext"/>
              <w:rPr>
                <w:rFonts w:cs="Calibri Light"/>
              </w:rPr>
            </w:pPr>
            <w:r w:rsidRPr="007A0ABD">
              <w:rPr>
                <w:rFonts w:cs="Calibri Light"/>
              </w:rPr>
              <w:t>Treasury</w:t>
            </w:r>
          </w:p>
        </w:tc>
        <w:tc>
          <w:tcPr>
            <w:tcW w:w="1136" w:type="dxa"/>
            <w:tcBorders>
              <w:top w:val="single" w:sz="4" w:space="0" w:color="148A5D" w:themeColor="accent2"/>
              <w:bottom w:val="single" w:sz="4" w:space="0" w:color="148A5D"/>
            </w:tcBorders>
          </w:tcPr>
          <w:p w14:paraId="6112429C" w14:textId="77777777" w:rsidR="00516470" w:rsidRPr="007A0ABD" w:rsidRDefault="00516470" w:rsidP="00BB4E47">
            <w:pPr>
              <w:pStyle w:val="Tabletext"/>
              <w:jc w:val="right"/>
              <w:rPr>
                <w:rFonts w:cs="Calibri Light"/>
              </w:rPr>
            </w:pPr>
            <w:r w:rsidRPr="007A0ABD">
              <w:rPr>
                <w:rFonts w:cs="Calibri Light"/>
              </w:rPr>
              <w:t>4.0</w:t>
            </w:r>
          </w:p>
        </w:tc>
        <w:tc>
          <w:tcPr>
            <w:tcW w:w="1136" w:type="dxa"/>
            <w:tcBorders>
              <w:top w:val="single" w:sz="4" w:space="0" w:color="148A5D" w:themeColor="accent2"/>
              <w:bottom w:val="single" w:sz="4" w:space="0" w:color="148A5D"/>
            </w:tcBorders>
          </w:tcPr>
          <w:p w14:paraId="14924F1D" w14:textId="77777777" w:rsidR="00516470" w:rsidRPr="007A0ABD" w:rsidRDefault="00516470" w:rsidP="00BB4E47">
            <w:pPr>
              <w:pStyle w:val="Tabletext"/>
              <w:jc w:val="right"/>
              <w:rPr>
                <w:rFonts w:cs="Calibri Light"/>
              </w:rPr>
            </w:pPr>
            <w:r w:rsidRPr="007A0ABD">
              <w:rPr>
                <w:rFonts w:cs="Calibri Light"/>
              </w:rPr>
              <w:t>N/A</w:t>
            </w:r>
          </w:p>
        </w:tc>
        <w:tc>
          <w:tcPr>
            <w:tcW w:w="1136" w:type="dxa"/>
            <w:tcBorders>
              <w:top w:val="single" w:sz="4" w:space="0" w:color="148A5D" w:themeColor="accent2"/>
              <w:bottom w:val="single" w:sz="4" w:space="0" w:color="148A5D"/>
            </w:tcBorders>
          </w:tcPr>
          <w:p w14:paraId="4BF1C95A" w14:textId="77777777" w:rsidR="00516470" w:rsidRPr="007A0ABD" w:rsidRDefault="00516470" w:rsidP="00BB4E47">
            <w:pPr>
              <w:pStyle w:val="Tabletext"/>
              <w:jc w:val="right"/>
              <w:rPr>
                <w:rFonts w:cs="Calibri Light"/>
              </w:rPr>
            </w:pPr>
            <w:r w:rsidRPr="007A0ABD">
              <w:rPr>
                <w:rFonts w:cs="Calibri Light"/>
              </w:rPr>
              <w:t>4.5</w:t>
            </w:r>
          </w:p>
        </w:tc>
        <w:tc>
          <w:tcPr>
            <w:tcW w:w="1136" w:type="dxa"/>
            <w:tcBorders>
              <w:top w:val="single" w:sz="4" w:space="0" w:color="148A5D" w:themeColor="accent2"/>
              <w:bottom w:val="single" w:sz="4" w:space="0" w:color="148A5D"/>
            </w:tcBorders>
          </w:tcPr>
          <w:p w14:paraId="15C655EB" w14:textId="77777777" w:rsidR="00516470" w:rsidRPr="007A0ABD" w:rsidRDefault="00516470" w:rsidP="00BB4E47">
            <w:pPr>
              <w:pStyle w:val="Tabletext"/>
              <w:jc w:val="right"/>
              <w:rPr>
                <w:rFonts w:cs="Calibri Light"/>
              </w:rPr>
            </w:pPr>
            <w:r w:rsidRPr="007A0ABD">
              <w:rPr>
                <w:rFonts w:cs="Calibri Light"/>
              </w:rPr>
              <w:t>N/A</w:t>
            </w:r>
          </w:p>
        </w:tc>
        <w:tc>
          <w:tcPr>
            <w:tcW w:w="1137" w:type="dxa"/>
            <w:tcBorders>
              <w:top w:val="single" w:sz="4" w:space="0" w:color="148A5D" w:themeColor="accent2"/>
              <w:bottom w:val="single" w:sz="4" w:space="0" w:color="148A5D"/>
            </w:tcBorders>
          </w:tcPr>
          <w:p w14:paraId="74DAD223" w14:textId="77777777" w:rsidR="00516470" w:rsidRPr="007A0ABD" w:rsidRDefault="00516470" w:rsidP="00BB4E47">
            <w:pPr>
              <w:pStyle w:val="Tabletext"/>
              <w:jc w:val="right"/>
              <w:rPr>
                <w:rFonts w:cs="Calibri Light"/>
              </w:rPr>
            </w:pPr>
            <w:r w:rsidRPr="007A0ABD">
              <w:rPr>
                <w:rFonts w:cs="Calibri Light"/>
              </w:rPr>
              <w:t>4.5</w:t>
            </w:r>
          </w:p>
        </w:tc>
      </w:tr>
      <w:tr w:rsidR="00516470" w:rsidRPr="007A0ABD" w14:paraId="764E2769" w14:textId="77777777" w:rsidTr="00BB4E47">
        <w:tc>
          <w:tcPr>
            <w:tcW w:w="1831" w:type="dxa"/>
            <w:vMerge w:val="restart"/>
            <w:shd w:val="clear" w:color="auto" w:fill="D1F5EB" w:themeFill="accent5" w:themeFillTint="33"/>
          </w:tcPr>
          <w:p w14:paraId="211F8E38" w14:textId="657C4A80" w:rsidR="00516470" w:rsidRPr="007A0ABD" w:rsidRDefault="00516470" w:rsidP="00BB4E47">
            <w:pPr>
              <w:pStyle w:val="Tabletext"/>
              <w:rPr>
                <w:rFonts w:cs="Calibri Light"/>
              </w:rPr>
            </w:pPr>
            <w:r w:rsidRPr="007A0ABD">
              <w:rPr>
                <w:rFonts w:cs="Calibri Light"/>
              </w:rPr>
              <w:t>WPI</w:t>
            </w:r>
            <w:r w:rsidRPr="007A0ABD">
              <w:rPr>
                <w:rFonts w:cs="Calibri Light"/>
                <w:vertAlign w:val="superscript"/>
              </w:rPr>
              <w:t>(</w:t>
            </w:r>
            <w:r w:rsidR="000010D6">
              <w:rPr>
                <w:rFonts w:cs="Calibri Light"/>
                <w:vertAlign w:val="superscript"/>
              </w:rPr>
              <w:t>b</w:t>
            </w:r>
            <w:r w:rsidRPr="007A0ABD">
              <w:rPr>
                <w:rFonts w:cs="Calibri Light"/>
                <w:vertAlign w:val="superscript"/>
              </w:rPr>
              <w:t>)</w:t>
            </w:r>
          </w:p>
        </w:tc>
        <w:tc>
          <w:tcPr>
            <w:tcW w:w="993" w:type="dxa"/>
            <w:tcBorders>
              <w:bottom w:val="single" w:sz="4" w:space="0" w:color="148A5D" w:themeColor="accent2"/>
            </w:tcBorders>
            <w:shd w:val="clear" w:color="auto" w:fill="D1F5EB" w:themeFill="accent5" w:themeFillTint="33"/>
          </w:tcPr>
          <w:p w14:paraId="529FCF9D" w14:textId="77777777" w:rsidR="00516470" w:rsidRPr="007A0ABD" w:rsidRDefault="00516470" w:rsidP="00BB4E47">
            <w:pPr>
              <w:pStyle w:val="Tabletext"/>
              <w:rPr>
                <w:rFonts w:cs="Calibri Light"/>
              </w:rPr>
            </w:pPr>
            <w:r w:rsidRPr="007A0ABD">
              <w:rPr>
                <w:rFonts w:cs="Calibri Light"/>
              </w:rPr>
              <w:t>RBA</w:t>
            </w:r>
          </w:p>
        </w:tc>
        <w:tc>
          <w:tcPr>
            <w:tcW w:w="1136" w:type="dxa"/>
            <w:tcBorders>
              <w:bottom w:val="single" w:sz="4" w:space="0" w:color="148A5D" w:themeColor="accent2"/>
            </w:tcBorders>
            <w:shd w:val="clear" w:color="auto" w:fill="D1F5EB" w:themeFill="accent5" w:themeFillTint="33"/>
          </w:tcPr>
          <w:p w14:paraId="57EC88A2" w14:textId="77777777" w:rsidR="00516470" w:rsidRPr="007A0ABD" w:rsidRDefault="00516470" w:rsidP="00BB4E47">
            <w:pPr>
              <w:pStyle w:val="Tabletext"/>
              <w:jc w:val="right"/>
              <w:rPr>
                <w:rFonts w:cs="Calibri Light"/>
              </w:rPr>
            </w:pPr>
            <w:r w:rsidRPr="007A0ABD">
              <w:rPr>
                <w:rFonts w:cs="Calibri Light"/>
              </w:rPr>
              <w:t>4.2</w:t>
            </w:r>
          </w:p>
        </w:tc>
        <w:tc>
          <w:tcPr>
            <w:tcW w:w="1136" w:type="dxa"/>
            <w:tcBorders>
              <w:bottom w:val="single" w:sz="4" w:space="0" w:color="148A5D" w:themeColor="accent2"/>
            </w:tcBorders>
            <w:shd w:val="clear" w:color="auto" w:fill="D1F5EB" w:themeFill="accent5" w:themeFillTint="33"/>
          </w:tcPr>
          <w:p w14:paraId="28429D73" w14:textId="77777777" w:rsidR="00516470" w:rsidRPr="007A0ABD" w:rsidRDefault="00516470" w:rsidP="00BB4E47">
            <w:pPr>
              <w:pStyle w:val="Tabletext"/>
              <w:jc w:val="right"/>
              <w:rPr>
                <w:rFonts w:cs="Calibri Light"/>
              </w:rPr>
            </w:pPr>
            <w:r w:rsidRPr="007A0ABD">
              <w:rPr>
                <w:rFonts w:cs="Calibri Light"/>
              </w:rPr>
              <w:t>3.8</w:t>
            </w:r>
          </w:p>
        </w:tc>
        <w:tc>
          <w:tcPr>
            <w:tcW w:w="1136" w:type="dxa"/>
            <w:tcBorders>
              <w:bottom w:val="single" w:sz="4" w:space="0" w:color="148A5D" w:themeColor="accent2"/>
            </w:tcBorders>
            <w:shd w:val="clear" w:color="auto" w:fill="D1F5EB" w:themeFill="accent5" w:themeFillTint="33"/>
          </w:tcPr>
          <w:p w14:paraId="1E9EFC27" w14:textId="77777777" w:rsidR="00516470" w:rsidRPr="007A0ABD" w:rsidRDefault="00516470" w:rsidP="00BB4E47">
            <w:pPr>
              <w:pStyle w:val="Tabletext"/>
              <w:jc w:val="right"/>
              <w:rPr>
                <w:rFonts w:cs="Calibri Light"/>
              </w:rPr>
            </w:pPr>
            <w:r w:rsidRPr="007A0ABD">
              <w:rPr>
                <w:rFonts w:cs="Calibri Light"/>
              </w:rPr>
              <w:t>3.6</w:t>
            </w:r>
          </w:p>
        </w:tc>
        <w:tc>
          <w:tcPr>
            <w:tcW w:w="1136" w:type="dxa"/>
            <w:tcBorders>
              <w:bottom w:val="single" w:sz="4" w:space="0" w:color="148A5D" w:themeColor="accent2"/>
            </w:tcBorders>
            <w:shd w:val="clear" w:color="auto" w:fill="D1F5EB" w:themeFill="accent5" w:themeFillTint="33"/>
          </w:tcPr>
          <w:p w14:paraId="543C208F" w14:textId="77777777" w:rsidR="00516470" w:rsidRPr="007A0ABD" w:rsidRDefault="00516470" w:rsidP="00BB4E47">
            <w:pPr>
              <w:pStyle w:val="Tabletext"/>
              <w:jc w:val="right"/>
              <w:rPr>
                <w:rFonts w:cs="Calibri Light"/>
              </w:rPr>
            </w:pPr>
            <w:r w:rsidRPr="007A0ABD">
              <w:rPr>
                <w:rFonts w:cs="Calibri Light"/>
              </w:rPr>
              <w:t>3.4</w:t>
            </w:r>
          </w:p>
        </w:tc>
        <w:tc>
          <w:tcPr>
            <w:tcW w:w="1137" w:type="dxa"/>
            <w:tcBorders>
              <w:bottom w:val="single" w:sz="4" w:space="0" w:color="148A5D" w:themeColor="accent2"/>
            </w:tcBorders>
            <w:shd w:val="clear" w:color="auto" w:fill="D1F5EB" w:themeFill="accent5" w:themeFillTint="33"/>
          </w:tcPr>
          <w:p w14:paraId="21B9F73A" w14:textId="77777777" w:rsidR="00516470" w:rsidRPr="007A0ABD" w:rsidRDefault="00516470" w:rsidP="00BB4E47">
            <w:pPr>
              <w:pStyle w:val="Tabletext"/>
              <w:jc w:val="right"/>
              <w:rPr>
                <w:rFonts w:cs="Calibri Light"/>
              </w:rPr>
            </w:pPr>
            <w:r w:rsidRPr="007A0ABD">
              <w:rPr>
                <w:rFonts w:cs="Calibri Light"/>
              </w:rPr>
              <w:t>3.3</w:t>
            </w:r>
          </w:p>
        </w:tc>
      </w:tr>
      <w:tr w:rsidR="00516470" w:rsidRPr="007A0ABD" w14:paraId="24A89C45" w14:textId="77777777" w:rsidTr="00BB4E47">
        <w:tc>
          <w:tcPr>
            <w:tcW w:w="1831" w:type="dxa"/>
            <w:vMerge/>
            <w:shd w:val="clear" w:color="auto" w:fill="D1F5EB" w:themeFill="accent5" w:themeFillTint="33"/>
            <w:vAlign w:val="center"/>
          </w:tcPr>
          <w:p w14:paraId="2F4AE1F4" w14:textId="77777777" w:rsidR="00516470" w:rsidRPr="007A0ABD" w:rsidRDefault="00516470" w:rsidP="00BB4E47">
            <w:pPr>
              <w:pStyle w:val="Tabletext"/>
              <w:rPr>
                <w:rFonts w:cs="Calibri Light"/>
              </w:rPr>
            </w:pPr>
          </w:p>
        </w:tc>
        <w:tc>
          <w:tcPr>
            <w:tcW w:w="993" w:type="dxa"/>
            <w:tcBorders>
              <w:top w:val="single" w:sz="4" w:space="0" w:color="148A5D" w:themeColor="accent2"/>
            </w:tcBorders>
            <w:shd w:val="clear" w:color="auto" w:fill="D1F5EB" w:themeFill="accent5" w:themeFillTint="33"/>
          </w:tcPr>
          <w:p w14:paraId="66CB1C63" w14:textId="77777777" w:rsidR="00516470" w:rsidRPr="007A0ABD" w:rsidRDefault="00516470" w:rsidP="00BB4E47">
            <w:pPr>
              <w:pStyle w:val="Tabletext"/>
              <w:rPr>
                <w:rFonts w:cs="Calibri Light"/>
              </w:rPr>
            </w:pPr>
            <w:r w:rsidRPr="007A0ABD">
              <w:rPr>
                <w:rFonts w:cs="Calibri Light"/>
              </w:rPr>
              <w:t>Treasury</w:t>
            </w:r>
          </w:p>
        </w:tc>
        <w:tc>
          <w:tcPr>
            <w:tcW w:w="1136" w:type="dxa"/>
            <w:tcBorders>
              <w:top w:val="single" w:sz="4" w:space="0" w:color="148A5D" w:themeColor="accent2"/>
            </w:tcBorders>
            <w:shd w:val="clear" w:color="auto" w:fill="D1F5EB" w:themeFill="accent5" w:themeFillTint="33"/>
          </w:tcPr>
          <w:p w14:paraId="190CFE80" w14:textId="77777777" w:rsidR="00516470" w:rsidRPr="007A0ABD" w:rsidRDefault="00516470" w:rsidP="00BB4E47">
            <w:pPr>
              <w:pStyle w:val="Tabletext"/>
              <w:jc w:val="right"/>
              <w:rPr>
                <w:rFonts w:cs="Calibri Light"/>
              </w:rPr>
            </w:pPr>
            <w:r w:rsidRPr="007A0ABD">
              <w:rPr>
                <w:rFonts w:cs="Calibri Light"/>
              </w:rPr>
              <w:t>4.0</w:t>
            </w:r>
          </w:p>
        </w:tc>
        <w:tc>
          <w:tcPr>
            <w:tcW w:w="1136" w:type="dxa"/>
            <w:tcBorders>
              <w:top w:val="single" w:sz="4" w:space="0" w:color="148A5D" w:themeColor="accent2"/>
            </w:tcBorders>
            <w:shd w:val="clear" w:color="auto" w:fill="D1F5EB" w:themeFill="accent5" w:themeFillTint="33"/>
          </w:tcPr>
          <w:p w14:paraId="228C23A2" w14:textId="77777777" w:rsidR="00516470" w:rsidRPr="007A0ABD" w:rsidRDefault="00516470" w:rsidP="00BB4E47">
            <w:pPr>
              <w:pStyle w:val="Tabletext"/>
              <w:jc w:val="right"/>
              <w:rPr>
                <w:rFonts w:cs="Calibri Light"/>
              </w:rPr>
            </w:pPr>
            <w:r w:rsidRPr="007A0ABD">
              <w:rPr>
                <w:rFonts w:cs="Calibri Light"/>
              </w:rPr>
              <w:t>N/A</w:t>
            </w:r>
          </w:p>
        </w:tc>
        <w:tc>
          <w:tcPr>
            <w:tcW w:w="1136" w:type="dxa"/>
            <w:tcBorders>
              <w:top w:val="single" w:sz="4" w:space="0" w:color="148A5D" w:themeColor="accent2"/>
            </w:tcBorders>
            <w:shd w:val="clear" w:color="auto" w:fill="D1F5EB" w:themeFill="accent5" w:themeFillTint="33"/>
          </w:tcPr>
          <w:p w14:paraId="753FBAFD" w14:textId="77777777" w:rsidR="00516470" w:rsidRPr="007A0ABD" w:rsidRDefault="00516470" w:rsidP="00BB4E47">
            <w:pPr>
              <w:pStyle w:val="Tabletext"/>
              <w:jc w:val="right"/>
              <w:rPr>
                <w:rFonts w:cs="Calibri Light"/>
              </w:rPr>
            </w:pPr>
            <w:r w:rsidRPr="007A0ABD">
              <w:rPr>
                <w:rFonts w:cs="Calibri Light"/>
              </w:rPr>
              <w:t>3.3</w:t>
            </w:r>
          </w:p>
        </w:tc>
        <w:tc>
          <w:tcPr>
            <w:tcW w:w="1136" w:type="dxa"/>
            <w:tcBorders>
              <w:top w:val="single" w:sz="4" w:space="0" w:color="148A5D" w:themeColor="accent2"/>
            </w:tcBorders>
            <w:shd w:val="clear" w:color="auto" w:fill="D1F5EB" w:themeFill="accent5" w:themeFillTint="33"/>
          </w:tcPr>
          <w:p w14:paraId="28F58482" w14:textId="77777777" w:rsidR="00516470" w:rsidRPr="007A0ABD" w:rsidRDefault="00516470" w:rsidP="00BB4E47">
            <w:pPr>
              <w:pStyle w:val="Tabletext"/>
              <w:jc w:val="right"/>
              <w:rPr>
                <w:rFonts w:cs="Calibri Light"/>
              </w:rPr>
            </w:pPr>
            <w:r w:rsidRPr="007A0ABD">
              <w:rPr>
                <w:rFonts w:cs="Calibri Light"/>
              </w:rPr>
              <w:t>N/A</w:t>
            </w:r>
          </w:p>
        </w:tc>
        <w:tc>
          <w:tcPr>
            <w:tcW w:w="1137" w:type="dxa"/>
            <w:tcBorders>
              <w:top w:val="single" w:sz="4" w:space="0" w:color="148A5D" w:themeColor="accent2"/>
            </w:tcBorders>
            <w:shd w:val="clear" w:color="auto" w:fill="D1F5EB" w:themeFill="accent5" w:themeFillTint="33"/>
          </w:tcPr>
          <w:p w14:paraId="6DE927CC" w14:textId="77777777" w:rsidR="00516470" w:rsidRPr="007A0ABD" w:rsidRDefault="00516470" w:rsidP="00BB4E47">
            <w:pPr>
              <w:pStyle w:val="Tabletext"/>
              <w:jc w:val="right"/>
              <w:rPr>
                <w:rFonts w:cs="Calibri Light"/>
              </w:rPr>
            </w:pPr>
            <w:r w:rsidRPr="007A0ABD">
              <w:rPr>
                <w:rFonts w:cs="Calibri Light"/>
              </w:rPr>
              <w:t>3.3</w:t>
            </w:r>
          </w:p>
        </w:tc>
      </w:tr>
      <w:tr w:rsidR="00516470" w:rsidRPr="007A0ABD" w14:paraId="0B99568F" w14:textId="77777777" w:rsidTr="00BB4E47">
        <w:tc>
          <w:tcPr>
            <w:tcW w:w="1831" w:type="dxa"/>
            <w:vAlign w:val="center"/>
          </w:tcPr>
          <w:p w14:paraId="737FD0EA" w14:textId="09DA24A3" w:rsidR="00516470" w:rsidRPr="007A0ABD" w:rsidRDefault="00516470" w:rsidP="00BB4E47">
            <w:pPr>
              <w:pStyle w:val="Tabletext"/>
              <w:rPr>
                <w:rFonts w:cs="Calibri Light"/>
              </w:rPr>
            </w:pPr>
            <w:r w:rsidRPr="007A0ABD">
              <w:rPr>
                <w:rFonts w:cs="Calibri Light"/>
              </w:rPr>
              <w:t>Labour productivity</w:t>
            </w:r>
            <w:r w:rsidRPr="007A0ABD">
              <w:rPr>
                <w:rFonts w:cs="Calibri Light"/>
                <w:vertAlign w:val="superscript"/>
              </w:rPr>
              <w:t>(</w:t>
            </w:r>
            <w:r w:rsidR="00C86144">
              <w:rPr>
                <w:rFonts w:cs="Calibri Light"/>
                <w:vertAlign w:val="superscript"/>
              </w:rPr>
              <w:t>b</w:t>
            </w:r>
            <w:r w:rsidRPr="007A0ABD">
              <w:rPr>
                <w:rFonts w:cs="Calibri Light"/>
                <w:vertAlign w:val="superscript"/>
              </w:rPr>
              <w:t>)</w:t>
            </w:r>
          </w:p>
        </w:tc>
        <w:tc>
          <w:tcPr>
            <w:tcW w:w="993" w:type="dxa"/>
          </w:tcPr>
          <w:p w14:paraId="097E96A6" w14:textId="77777777" w:rsidR="00516470" w:rsidRPr="007A0ABD" w:rsidRDefault="00516470" w:rsidP="00BB4E47">
            <w:pPr>
              <w:pStyle w:val="Tabletext"/>
              <w:rPr>
                <w:rFonts w:cs="Calibri Light"/>
              </w:rPr>
            </w:pPr>
            <w:r w:rsidRPr="007A0ABD">
              <w:rPr>
                <w:rFonts w:cs="Calibri Light"/>
              </w:rPr>
              <w:t>RBA</w:t>
            </w:r>
          </w:p>
        </w:tc>
        <w:tc>
          <w:tcPr>
            <w:tcW w:w="1136" w:type="dxa"/>
          </w:tcPr>
          <w:p w14:paraId="586618AC" w14:textId="77777777" w:rsidR="00516470" w:rsidRPr="007A0ABD" w:rsidRDefault="00516470" w:rsidP="00BB4E47">
            <w:pPr>
              <w:pStyle w:val="Tabletext"/>
              <w:jc w:val="right"/>
              <w:rPr>
                <w:rFonts w:cs="Calibri Light"/>
              </w:rPr>
            </w:pPr>
            <w:r w:rsidRPr="007A0ABD">
              <w:rPr>
                <w:rFonts w:cs="Calibri Light"/>
              </w:rPr>
              <w:t>1.8</w:t>
            </w:r>
          </w:p>
        </w:tc>
        <w:tc>
          <w:tcPr>
            <w:tcW w:w="1136" w:type="dxa"/>
          </w:tcPr>
          <w:p w14:paraId="5FCD6B6E" w14:textId="77777777" w:rsidR="00516470" w:rsidRPr="007A0ABD" w:rsidRDefault="00516470" w:rsidP="00BB4E47">
            <w:pPr>
              <w:pStyle w:val="Tabletext"/>
              <w:jc w:val="right"/>
              <w:rPr>
                <w:rFonts w:cs="Calibri Light"/>
              </w:rPr>
            </w:pPr>
            <w:r w:rsidRPr="007A0ABD">
              <w:rPr>
                <w:rFonts w:cs="Calibri Light"/>
              </w:rPr>
              <w:t>0.8</w:t>
            </w:r>
          </w:p>
        </w:tc>
        <w:tc>
          <w:tcPr>
            <w:tcW w:w="1136" w:type="dxa"/>
          </w:tcPr>
          <w:p w14:paraId="669F38D8" w14:textId="77777777" w:rsidR="00516470" w:rsidRPr="007A0ABD" w:rsidRDefault="00516470" w:rsidP="00BB4E47">
            <w:pPr>
              <w:pStyle w:val="Tabletext"/>
              <w:jc w:val="right"/>
              <w:rPr>
                <w:rFonts w:cs="Calibri Light"/>
              </w:rPr>
            </w:pPr>
            <w:r w:rsidRPr="007A0ABD">
              <w:rPr>
                <w:rFonts w:cs="Calibri Light"/>
              </w:rPr>
              <w:t>1.3</w:t>
            </w:r>
          </w:p>
        </w:tc>
        <w:tc>
          <w:tcPr>
            <w:tcW w:w="1136" w:type="dxa"/>
          </w:tcPr>
          <w:p w14:paraId="0554A72A" w14:textId="77777777" w:rsidR="00516470" w:rsidRPr="007A0ABD" w:rsidRDefault="00516470" w:rsidP="00BB4E47">
            <w:pPr>
              <w:pStyle w:val="Tabletext"/>
              <w:jc w:val="right"/>
              <w:rPr>
                <w:rFonts w:cs="Calibri Light"/>
              </w:rPr>
            </w:pPr>
            <w:r w:rsidRPr="007A0ABD">
              <w:rPr>
                <w:rFonts w:cs="Calibri Light"/>
              </w:rPr>
              <w:t>1.2</w:t>
            </w:r>
          </w:p>
        </w:tc>
        <w:tc>
          <w:tcPr>
            <w:tcW w:w="1137" w:type="dxa"/>
          </w:tcPr>
          <w:p w14:paraId="1B9DB0EE" w14:textId="77777777" w:rsidR="00516470" w:rsidRPr="007A0ABD" w:rsidRDefault="00516470" w:rsidP="00BB4E47">
            <w:pPr>
              <w:pStyle w:val="Tabletext"/>
              <w:jc w:val="right"/>
              <w:rPr>
                <w:rFonts w:cs="Calibri Light"/>
              </w:rPr>
            </w:pPr>
            <w:r w:rsidRPr="007A0ABD">
              <w:rPr>
                <w:rFonts w:cs="Calibri Light"/>
              </w:rPr>
              <w:t>1.1</w:t>
            </w:r>
          </w:p>
        </w:tc>
      </w:tr>
    </w:tbl>
    <w:p w14:paraId="149A52FD" w14:textId="13BC4BDD" w:rsidR="00516470" w:rsidRDefault="00516470" w:rsidP="00516470">
      <w:pPr>
        <w:pStyle w:val="09Sourcesandnotesfortablesfiguresboxes"/>
      </w:pPr>
      <w:r>
        <w:t xml:space="preserve">Notes: </w:t>
      </w:r>
      <w:r w:rsidRPr="00186666">
        <w:t>(</w:t>
      </w:r>
      <w:r>
        <w:t>a</w:t>
      </w:r>
      <w:r w:rsidRPr="00186666">
        <w:t xml:space="preserve">) </w:t>
      </w:r>
      <w:r w:rsidR="000010D6">
        <w:rPr>
          <w:rFonts w:eastAsia="Rockwell"/>
          <w:color w:val="000000"/>
        </w:rPr>
        <w:t xml:space="preserve">Commonwealth Treasury forecasts are presented to one quarter of one per cent and have been rounded up to one decimal place. (b) </w:t>
      </w:r>
      <w:r w:rsidRPr="00186666">
        <w:t>Percentage change through the year. (</w:t>
      </w:r>
      <w:r w:rsidR="000010D6">
        <w:t>c</w:t>
      </w:r>
      <w:r w:rsidRPr="00186666">
        <w:t>) Average rate in the quarter.</w:t>
      </w:r>
    </w:p>
    <w:p w14:paraId="7F6E7FBC" w14:textId="667337D8" w:rsidR="00516470" w:rsidRDefault="00AA27F6" w:rsidP="00516470">
      <w:pPr>
        <w:pStyle w:val="09Sourcesandnotesfortablesfiguresboxes"/>
      </w:pPr>
      <w:r>
        <w:t xml:space="preserve">Sources: </w:t>
      </w:r>
      <w:r w:rsidRPr="003A7786">
        <w:t>RBA (2024)</w:t>
      </w:r>
      <w:r>
        <w:t>, p</w:t>
      </w:r>
      <w:r w:rsidR="00FE774B">
        <w:t>.</w:t>
      </w:r>
      <w:r>
        <w:t xml:space="preserve"> 51</w:t>
      </w:r>
      <w:r w:rsidRPr="008478FE">
        <w:t xml:space="preserve">; </w:t>
      </w:r>
      <w:r>
        <w:t>Commonwealth of Australia (2024), p</w:t>
      </w:r>
      <w:r w:rsidR="00FE774B">
        <w:t>.</w:t>
      </w:r>
      <w:r>
        <w:t xml:space="preserve"> 53</w:t>
      </w:r>
      <w:r w:rsidR="000F374F" w:rsidRPr="008478FE">
        <w:t>.</w:t>
      </w:r>
    </w:p>
    <w:p w14:paraId="4D27489B" w14:textId="0C9B04BA" w:rsidR="00516470" w:rsidRDefault="00516470" w:rsidP="00516470">
      <w:pPr>
        <w:pStyle w:val="08Figuretableboxheading"/>
      </w:pPr>
      <w:r>
        <w:t xml:space="preserve">Table A.2: </w:t>
      </w:r>
      <w:r w:rsidR="00AE41E1">
        <w:t xml:space="preserve">Victorian </w:t>
      </w:r>
      <w:r>
        <w:t>Budget forecasts for the Victorian economy</w:t>
      </w:r>
    </w:p>
    <w:tbl>
      <w:tblPr>
        <w:tblStyle w:val="Glossary"/>
        <w:tblW w:w="8505" w:type="dxa"/>
        <w:tblLook w:val="04A0" w:firstRow="1" w:lastRow="0" w:firstColumn="1" w:lastColumn="0" w:noHBand="0" w:noVBand="1"/>
      </w:tblPr>
      <w:tblGrid>
        <w:gridCol w:w="2694"/>
        <w:gridCol w:w="1162"/>
        <w:gridCol w:w="1162"/>
        <w:gridCol w:w="1162"/>
        <w:gridCol w:w="1162"/>
        <w:gridCol w:w="1163"/>
      </w:tblGrid>
      <w:tr w:rsidR="00516470" w:rsidRPr="007A0ABD" w14:paraId="1E667CE0" w14:textId="77777777" w:rsidTr="00BB4E47">
        <w:trPr>
          <w:cnfStyle w:val="100000000000" w:firstRow="1" w:lastRow="0" w:firstColumn="0" w:lastColumn="0" w:oddVBand="0" w:evenVBand="0" w:oddHBand="0" w:evenHBand="0" w:firstRowFirstColumn="0" w:firstRowLastColumn="0" w:lastRowFirstColumn="0" w:lastRowLastColumn="0"/>
        </w:trPr>
        <w:tc>
          <w:tcPr>
            <w:tcW w:w="2694" w:type="dxa"/>
          </w:tcPr>
          <w:p w14:paraId="77193F24" w14:textId="77777777" w:rsidR="00516470" w:rsidRPr="007A0ABD" w:rsidRDefault="00516470" w:rsidP="00BB4E47">
            <w:pPr>
              <w:pStyle w:val="Tabletext"/>
              <w:rPr>
                <w:rFonts w:cs="Calibri Light"/>
                <w:color w:val="FFFFFF" w:themeColor="background1"/>
              </w:rPr>
            </w:pPr>
            <w:r w:rsidRPr="007A0ABD">
              <w:rPr>
                <w:rFonts w:cs="Calibri Light"/>
                <w:color w:val="FFFFFF" w:themeColor="background1"/>
              </w:rPr>
              <w:t>Indicator</w:t>
            </w:r>
          </w:p>
        </w:tc>
        <w:tc>
          <w:tcPr>
            <w:tcW w:w="1162" w:type="dxa"/>
          </w:tcPr>
          <w:p w14:paraId="1E984A4E"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2023-24</w:t>
            </w:r>
          </w:p>
        </w:tc>
        <w:tc>
          <w:tcPr>
            <w:tcW w:w="1162" w:type="dxa"/>
          </w:tcPr>
          <w:p w14:paraId="5367607C"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2024-25</w:t>
            </w:r>
          </w:p>
        </w:tc>
        <w:tc>
          <w:tcPr>
            <w:tcW w:w="1162" w:type="dxa"/>
          </w:tcPr>
          <w:p w14:paraId="3FED6032"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2025-26</w:t>
            </w:r>
          </w:p>
        </w:tc>
        <w:tc>
          <w:tcPr>
            <w:tcW w:w="1162" w:type="dxa"/>
          </w:tcPr>
          <w:p w14:paraId="10902E44"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2026-27</w:t>
            </w:r>
          </w:p>
        </w:tc>
        <w:tc>
          <w:tcPr>
            <w:tcW w:w="1163" w:type="dxa"/>
          </w:tcPr>
          <w:p w14:paraId="064BA0DA" w14:textId="77777777" w:rsidR="00516470" w:rsidRPr="007A0ABD" w:rsidRDefault="00516470" w:rsidP="00BB4E47">
            <w:pPr>
              <w:pStyle w:val="Tabletext"/>
              <w:jc w:val="right"/>
              <w:rPr>
                <w:rFonts w:cs="Calibri Light"/>
                <w:color w:val="FFFFFF" w:themeColor="background1"/>
              </w:rPr>
            </w:pPr>
            <w:r w:rsidRPr="007A0ABD">
              <w:rPr>
                <w:rFonts w:cs="Calibri Light"/>
                <w:color w:val="FFFFFF" w:themeColor="background1"/>
              </w:rPr>
              <w:t>2027-28</w:t>
            </w:r>
          </w:p>
        </w:tc>
      </w:tr>
      <w:tr w:rsidR="00516470" w:rsidRPr="007A0ABD" w14:paraId="51F76F5C" w14:textId="77777777" w:rsidTr="00BB4E47">
        <w:tc>
          <w:tcPr>
            <w:tcW w:w="2694" w:type="dxa"/>
          </w:tcPr>
          <w:p w14:paraId="5CD16142" w14:textId="77777777" w:rsidR="00516470" w:rsidRPr="007A0ABD" w:rsidRDefault="00516470" w:rsidP="00BB4E47">
            <w:pPr>
              <w:pStyle w:val="Tabletext"/>
              <w:rPr>
                <w:rFonts w:cs="Calibri Light"/>
                <w:vertAlign w:val="superscript"/>
              </w:rPr>
            </w:pPr>
            <w:r w:rsidRPr="007A0ABD">
              <w:rPr>
                <w:rFonts w:cs="Calibri Light"/>
              </w:rPr>
              <w:t>Real Gross State Product</w:t>
            </w:r>
            <w:r w:rsidRPr="007A0ABD">
              <w:rPr>
                <w:rFonts w:cs="Calibri Light"/>
                <w:vertAlign w:val="superscript"/>
              </w:rPr>
              <w:t>(a)</w:t>
            </w:r>
          </w:p>
        </w:tc>
        <w:tc>
          <w:tcPr>
            <w:tcW w:w="1162" w:type="dxa"/>
          </w:tcPr>
          <w:p w14:paraId="678D108B" w14:textId="77777777" w:rsidR="00516470" w:rsidRPr="007A0ABD" w:rsidRDefault="00516470" w:rsidP="00BB4E47">
            <w:pPr>
              <w:pStyle w:val="Tabletext"/>
              <w:jc w:val="right"/>
              <w:rPr>
                <w:rFonts w:cs="Calibri Light"/>
              </w:rPr>
            </w:pPr>
            <w:r w:rsidRPr="007A0ABD">
              <w:rPr>
                <w:rFonts w:cs="Calibri Light"/>
                <w:color w:val="000000"/>
              </w:rPr>
              <w:t>2.00</w:t>
            </w:r>
          </w:p>
        </w:tc>
        <w:tc>
          <w:tcPr>
            <w:tcW w:w="1162" w:type="dxa"/>
          </w:tcPr>
          <w:p w14:paraId="29C09018" w14:textId="77777777" w:rsidR="00516470" w:rsidRPr="007A0ABD" w:rsidRDefault="00516470" w:rsidP="00BB4E47">
            <w:pPr>
              <w:pStyle w:val="Tabletext"/>
              <w:jc w:val="right"/>
              <w:rPr>
                <w:rFonts w:cs="Calibri Light"/>
              </w:rPr>
            </w:pPr>
            <w:r w:rsidRPr="007A0ABD">
              <w:rPr>
                <w:rFonts w:cs="Calibri Light"/>
                <w:color w:val="000000"/>
              </w:rPr>
              <w:t>2.50</w:t>
            </w:r>
          </w:p>
        </w:tc>
        <w:tc>
          <w:tcPr>
            <w:tcW w:w="1162" w:type="dxa"/>
          </w:tcPr>
          <w:p w14:paraId="5B64BC43" w14:textId="77777777" w:rsidR="00516470" w:rsidRPr="007A0ABD" w:rsidRDefault="00516470" w:rsidP="00BB4E47">
            <w:pPr>
              <w:pStyle w:val="Tabletext"/>
              <w:jc w:val="right"/>
              <w:rPr>
                <w:rFonts w:cs="Calibri Light"/>
              </w:rPr>
            </w:pPr>
            <w:r w:rsidRPr="007A0ABD">
              <w:rPr>
                <w:rFonts w:cs="Calibri Light"/>
                <w:color w:val="000000"/>
              </w:rPr>
              <w:t>2.75</w:t>
            </w:r>
          </w:p>
        </w:tc>
        <w:tc>
          <w:tcPr>
            <w:tcW w:w="1162" w:type="dxa"/>
          </w:tcPr>
          <w:p w14:paraId="4297447C" w14:textId="77777777" w:rsidR="00516470" w:rsidRPr="007A0ABD" w:rsidRDefault="00516470" w:rsidP="00BB4E47">
            <w:pPr>
              <w:pStyle w:val="Tabletext"/>
              <w:jc w:val="right"/>
              <w:rPr>
                <w:rFonts w:cs="Calibri Light"/>
              </w:rPr>
            </w:pPr>
            <w:r w:rsidRPr="007A0ABD">
              <w:rPr>
                <w:rFonts w:cs="Calibri Light"/>
                <w:color w:val="000000"/>
              </w:rPr>
              <w:t>2.75</w:t>
            </w:r>
          </w:p>
        </w:tc>
        <w:tc>
          <w:tcPr>
            <w:tcW w:w="1163" w:type="dxa"/>
          </w:tcPr>
          <w:p w14:paraId="402B2356" w14:textId="77777777" w:rsidR="00516470" w:rsidRPr="007A0ABD" w:rsidRDefault="00516470" w:rsidP="00BB4E47">
            <w:pPr>
              <w:pStyle w:val="Tabletext"/>
              <w:jc w:val="right"/>
              <w:rPr>
                <w:rFonts w:cs="Calibri Light"/>
              </w:rPr>
            </w:pPr>
            <w:r w:rsidRPr="007A0ABD">
              <w:rPr>
                <w:rFonts w:cs="Calibri Light"/>
                <w:color w:val="000000"/>
              </w:rPr>
              <w:t>2.75</w:t>
            </w:r>
          </w:p>
        </w:tc>
      </w:tr>
      <w:tr w:rsidR="00516470" w:rsidRPr="007A0ABD" w14:paraId="5EB67FD8" w14:textId="77777777" w:rsidTr="00BB4E47">
        <w:tc>
          <w:tcPr>
            <w:tcW w:w="2694" w:type="dxa"/>
          </w:tcPr>
          <w:p w14:paraId="1C780373" w14:textId="77777777" w:rsidR="00516470" w:rsidRPr="007A0ABD" w:rsidRDefault="00516470" w:rsidP="00BB4E47">
            <w:pPr>
              <w:pStyle w:val="Tabletext"/>
              <w:rPr>
                <w:rFonts w:cs="Calibri Light"/>
              </w:rPr>
            </w:pPr>
            <w:r w:rsidRPr="007A0ABD">
              <w:rPr>
                <w:rFonts w:cs="Calibri Light"/>
              </w:rPr>
              <w:t>Population</w:t>
            </w:r>
            <w:r w:rsidRPr="007A0ABD">
              <w:rPr>
                <w:rFonts w:cs="Calibri Light"/>
                <w:vertAlign w:val="superscript"/>
              </w:rPr>
              <w:t>(b)</w:t>
            </w:r>
          </w:p>
        </w:tc>
        <w:tc>
          <w:tcPr>
            <w:tcW w:w="1162" w:type="dxa"/>
            <w:vAlign w:val="bottom"/>
          </w:tcPr>
          <w:p w14:paraId="43292340" w14:textId="77777777" w:rsidR="00516470" w:rsidRPr="007A0ABD" w:rsidRDefault="00516470" w:rsidP="00BB4E47">
            <w:pPr>
              <w:pStyle w:val="Tabletext"/>
              <w:jc w:val="right"/>
              <w:rPr>
                <w:rFonts w:cs="Calibri Light"/>
                <w:color w:val="000000"/>
              </w:rPr>
            </w:pPr>
            <w:r w:rsidRPr="007A0ABD">
              <w:rPr>
                <w:rFonts w:cs="Calibri Light"/>
                <w:color w:val="000000"/>
              </w:rPr>
              <w:t>2.30</w:t>
            </w:r>
          </w:p>
        </w:tc>
        <w:tc>
          <w:tcPr>
            <w:tcW w:w="1162" w:type="dxa"/>
            <w:vAlign w:val="bottom"/>
          </w:tcPr>
          <w:p w14:paraId="1C3A2B3D" w14:textId="77777777" w:rsidR="00516470" w:rsidRPr="007A0ABD" w:rsidRDefault="00516470" w:rsidP="00BB4E47">
            <w:pPr>
              <w:pStyle w:val="Tabletext"/>
              <w:jc w:val="right"/>
              <w:rPr>
                <w:rFonts w:cs="Calibri Light"/>
                <w:color w:val="000000"/>
              </w:rPr>
            </w:pPr>
            <w:r w:rsidRPr="007A0ABD">
              <w:rPr>
                <w:rFonts w:cs="Calibri Light"/>
                <w:color w:val="000000"/>
              </w:rPr>
              <w:t>1.80</w:t>
            </w:r>
          </w:p>
        </w:tc>
        <w:tc>
          <w:tcPr>
            <w:tcW w:w="1162" w:type="dxa"/>
            <w:vAlign w:val="bottom"/>
          </w:tcPr>
          <w:p w14:paraId="7E998698" w14:textId="77777777" w:rsidR="00516470" w:rsidRPr="007A0ABD" w:rsidRDefault="00516470" w:rsidP="00BB4E47">
            <w:pPr>
              <w:pStyle w:val="Tabletext"/>
              <w:jc w:val="right"/>
              <w:rPr>
                <w:rFonts w:cs="Calibri Light"/>
                <w:color w:val="000000"/>
              </w:rPr>
            </w:pPr>
            <w:r w:rsidRPr="007A0ABD">
              <w:rPr>
                <w:rFonts w:cs="Calibri Light"/>
                <w:color w:val="000000"/>
              </w:rPr>
              <w:t>1.70</w:t>
            </w:r>
          </w:p>
        </w:tc>
        <w:tc>
          <w:tcPr>
            <w:tcW w:w="1162" w:type="dxa"/>
            <w:vAlign w:val="bottom"/>
          </w:tcPr>
          <w:p w14:paraId="62CD6157" w14:textId="77777777" w:rsidR="00516470" w:rsidRPr="007A0ABD" w:rsidRDefault="00516470" w:rsidP="00BB4E47">
            <w:pPr>
              <w:pStyle w:val="Tabletext"/>
              <w:jc w:val="right"/>
              <w:rPr>
                <w:rFonts w:cs="Calibri Light"/>
                <w:color w:val="000000"/>
              </w:rPr>
            </w:pPr>
            <w:r w:rsidRPr="007A0ABD">
              <w:rPr>
                <w:rFonts w:cs="Calibri Light"/>
                <w:color w:val="000000"/>
              </w:rPr>
              <w:t>1.70</w:t>
            </w:r>
          </w:p>
        </w:tc>
        <w:tc>
          <w:tcPr>
            <w:tcW w:w="1163" w:type="dxa"/>
            <w:vAlign w:val="bottom"/>
          </w:tcPr>
          <w:p w14:paraId="7C1C24A3" w14:textId="77777777" w:rsidR="00516470" w:rsidRPr="007A0ABD" w:rsidRDefault="00516470" w:rsidP="00BB4E47">
            <w:pPr>
              <w:pStyle w:val="Tabletext"/>
              <w:jc w:val="right"/>
              <w:rPr>
                <w:rFonts w:cs="Calibri Light"/>
                <w:color w:val="000000"/>
              </w:rPr>
            </w:pPr>
            <w:r w:rsidRPr="007A0ABD">
              <w:rPr>
                <w:rFonts w:cs="Calibri Light"/>
                <w:color w:val="000000"/>
              </w:rPr>
              <w:t>1.70</w:t>
            </w:r>
          </w:p>
        </w:tc>
      </w:tr>
      <w:tr w:rsidR="00516470" w:rsidRPr="007A0ABD" w14:paraId="1739211C" w14:textId="77777777" w:rsidTr="00BB4E47">
        <w:tc>
          <w:tcPr>
            <w:tcW w:w="2694" w:type="dxa"/>
          </w:tcPr>
          <w:p w14:paraId="1A535A69" w14:textId="77777777" w:rsidR="00516470" w:rsidRPr="007A0ABD" w:rsidRDefault="00516470" w:rsidP="00BB4E47">
            <w:pPr>
              <w:pStyle w:val="Tabletext"/>
              <w:rPr>
                <w:rFonts w:cs="Calibri Light"/>
                <w:vertAlign w:val="superscript"/>
              </w:rPr>
            </w:pPr>
            <w:r w:rsidRPr="007A0ABD">
              <w:rPr>
                <w:rFonts w:cs="Calibri Light"/>
              </w:rPr>
              <w:t>Melbourne CPI</w:t>
            </w:r>
            <w:r w:rsidRPr="007A0ABD">
              <w:rPr>
                <w:rFonts w:cs="Calibri Light"/>
                <w:vertAlign w:val="superscript"/>
              </w:rPr>
              <w:t>(a)</w:t>
            </w:r>
          </w:p>
        </w:tc>
        <w:tc>
          <w:tcPr>
            <w:tcW w:w="1162" w:type="dxa"/>
            <w:vAlign w:val="bottom"/>
          </w:tcPr>
          <w:p w14:paraId="0AC038ED" w14:textId="77777777" w:rsidR="00516470" w:rsidRPr="007A0ABD" w:rsidRDefault="00516470" w:rsidP="00BB4E47">
            <w:pPr>
              <w:pStyle w:val="Tabletext"/>
              <w:jc w:val="right"/>
              <w:rPr>
                <w:rFonts w:cs="Calibri Light"/>
              </w:rPr>
            </w:pPr>
            <w:r w:rsidRPr="007A0ABD">
              <w:rPr>
                <w:rFonts w:cs="Calibri Light"/>
                <w:color w:val="000000"/>
              </w:rPr>
              <w:t>4.00</w:t>
            </w:r>
          </w:p>
        </w:tc>
        <w:tc>
          <w:tcPr>
            <w:tcW w:w="1162" w:type="dxa"/>
            <w:vAlign w:val="bottom"/>
          </w:tcPr>
          <w:p w14:paraId="0B549A37" w14:textId="77777777" w:rsidR="00516470" w:rsidRPr="007A0ABD" w:rsidRDefault="00516470" w:rsidP="00BB4E47">
            <w:pPr>
              <w:pStyle w:val="Tabletext"/>
              <w:jc w:val="right"/>
              <w:rPr>
                <w:rFonts w:cs="Calibri Light"/>
              </w:rPr>
            </w:pPr>
            <w:r w:rsidRPr="007A0ABD">
              <w:rPr>
                <w:rFonts w:cs="Calibri Light"/>
                <w:color w:val="000000"/>
              </w:rPr>
              <w:t>2.75</w:t>
            </w:r>
          </w:p>
        </w:tc>
        <w:tc>
          <w:tcPr>
            <w:tcW w:w="1162" w:type="dxa"/>
            <w:vAlign w:val="bottom"/>
          </w:tcPr>
          <w:p w14:paraId="47ACF9B6" w14:textId="77777777" w:rsidR="00516470" w:rsidRPr="007A0ABD" w:rsidRDefault="00516470" w:rsidP="00BB4E47">
            <w:pPr>
              <w:pStyle w:val="Tabletext"/>
              <w:jc w:val="right"/>
              <w:rPr>
                <w:rFonts w:cs="Calibri Light"/>
              </w:rPr>
            </w:pPr>
            <w:r w:rsidRPr="007A0ABD">
              <w:rPr>
                <w:rFonts w:cs="Calibri Light"/>
                <w:color w:val="000000"/>
              </w:rPr>
              <w:t>2.50</w:t>
            </w:r>
          </w:p>
        </w:tc>
        <w:tc>
          <w:tcPr>
            <w:tcW w:w="1162" w:type="dxa"/>
            <w:vAlign w:val="bottom"/>
          </w:tcPr>
          <w:p w14:paraId="51F48AC4" w14:textId="77777777" w:rsidR="00516470" w:rsidRPr="007A0ABD" w:rsidRDefault="00516470" w:rsidP="00BB4E47">
            <w:pPr>
              <w:pStyle w:val="Tabletext"/>
              <w:jc w:val="right"/>
              <w:rPr>
                <w:rFonts w:cs="Calibri Light"/>
              </w:rPr>
            </w:pPr>
            <w:r w:rsidRPr="007A0ABD">
              <w:rPr>
                <w:rFonts w:cs="Calibri Light"/>
                <w:color w:val="000000"/>
              </w:rPr>
              <w:t>2.50</w:t>
            </w:r>
          </w:p>
        </w:tc>
        <w:tc>
          <w:tcPr>
            <w:tcW w:w="1163" w:type="dxa"/>
            <w:vAlign w:val="bottom"/>
          </w:tcPr>
          <w:p w14:paraId="2D7C5E44" w14:textId="77777777" w:rsidR="00516470" w:rsidRPr="007A0ABD" w:rsidRDefault="00516470" w:rsidP="00BB4E47">
            <w:pPr>
              <w:pStyle w:val="Tabletext"/>
              <w:jc w:val="right"/>
              <w:rPr>
                <w:rFonts w:cs="Calibri Light"/>
              </w:rPr>
            </w:pPr>
            <w:r w:rsidRPr="007A0ABD">
              <w:rPr>
                <w:rFonts w:cs="Calibri Light"/>
                <w:color w:val="000000"/>
              </w:rPr>
              <w:t>2.50</w:t>
            </w:r>
          </w:p>
        </w:tc>
      </w:tr>
      <w:tr w:rsidR="00516470" w:rsidRPr="007A0ABD" w14:paraId="1017880F" w14:textId="77777777" w:rsidTr="00BB4E47">
        <w:tc>
          <w:tcPr>
            <w:tcW w:w="2694" w:type="dxa"/>
          </w:tcPr>
          <w:p w14:paraId="05B7F0D0" w14:textId="77777777" w:rsidR="00516470" w:rsidRPr="007A0ABD" w:rsidRDefault="00516470" w:rsidP="00BB4E47">
            <w:pPr>
              <w:pStyle w:val="Tabletext"/>
              <w:rPr>
                <w:rFonts w:cs="Calibri Light"/>
              </w:rPr>
            </w:pPr>
            <w:r w:rsidRPr="007A0ABD">
              <w:rPr>
                <w:rFonts w:cs="Calibri Light"/>
              </w:rPr>
              <w:t>Employment</w:t>
            </w:r>
            <w:r w:rsidRPr="007A0ABD">
              <w:rPr>
                <w:rFonts w:cs="Calibri Light"/>
                <w:vertAlign w:val="superscript"/>
              </w:rPr>
              <w:t>(a)</w:t>
            </w:r>
          </w:p>
        </w:tc>
        <w:tc>
          <w:tcPr>
            <w:tcW w:w="1162" w:type="dxa"/>
            <w:vAlign w:val="bottom"/>
          </w:tcPr>
          <w:p w14:paraId="7C9E1388" w14:textId="77777777" w:rsidR="00516470" w:rsidRPr="007A0ABD" w:rsidRDefault="00516470" w:rsidP="00BB4E47">
            <w:pPr>
              <w:pStyle w:val="Tabletext"/>
              <w:jc w:val="right"/>
              <w:rPr>
                <w:rFonts w:cs="Calibri Light"/>
              </w:rPr>
            </w:pPr>
            <w:r w:rsidRPr="007A0ABD">
              <w:rPr>
                <w:rFonts w:cs="Calibri Light"/>
                <w:color w:val="000000"/>
              </w:rPr>
              <w:t>3.25</w:t>
            </w:r>
          </w:p>
        </w:tc>
        <w:tc>
          <w:tcPr>
            <w:tcW w:w="1162" w:type="dxa"/>
            <w:vAlign w:val="bottom"/>
          </w:tcPr>
          <w:p w14:paraId="57603C8B" w14:textId="77777777" w:rsidR="00516470" w:rsidRPr="007A0ABD" w:rsidRDefault="00516470" w:rsidP="00BB4E47">
            <w:pPr>
              <w:pStyle w:val="Tabletext"/>
              <w:jc w:val="right"/>
              <w:rPr>
                <w:rFonts w:cs="Calibri Light"/>
              </w:rPr>
            </w:pPr>
            <w:r w:rsidRPr="007A0ABD">
              <w:rPr>
                <w:rFonts w:cs="Calibri Light"/>
                <w:color w:val="000000"/>
              </w:rPr>
              <w:t>1.00</w:t>
            </w:r>
          </w:p>
        </w:tc>
        <w:tc>
          <w:tcPr>
            <w:tcW w:w="1162" w:type="dxa"/>
            <w:vAlign w:val="bottom"/>
          </w:tcPr>
          <w:p w14:paraId="21FF8F51" w14:textId="77777777" w:rsidR="00516470" w:rsidRPr="007A0ABD" w:rsidRDefault="00516470" w:rsidP="00BB4E47">
            <w:pPr>
              <w:pStyle w:val="Tabletext"/>
              <w:jc w:val="right"/>
              <w:rPr>
                <w:rFonts w:cs="Calibri Light"/>
              </w:rPr>
            </w:pPr>
            <w:r w:rsidRPr="007A0ABD">
              <w:rPr>
                <w:rFonts w:cs="Calibri Light"/>
                <w:color w:val="000000"/>
              </w:rPr>
              <w:t>1.75</w:t>
            </w:r>
          </w:p>
        </w:tc>
        <w:tc>
          <w:tcPr>
            <w:tcW w:w="1162" w:type="dxa"/>
            <w:vAlign w:val="bottom"/>
          </w:tcPr>
          <w:p w14:paraId="6429E2B3" w14:textId="77777777" w:rsidR="00516470" w:rsidRPr="007A0ABD" w:rsidRDefault="00516470" w:rsidP="00BB4E47">
            <w:pPr>
              <w:pStyle w:val="Tabletext"/>
              <w:jc w:val="right"/>
              <w:rPr>
                <w:rFonts w:cs="Calibri Light"/>
              </w:rPr>
            </w:pPr>
            <w:r w:rsidRPr="007A0ABD">
              <w:rPr>
                <w:rFonts w:cs="Calibri Light"/>
                <w:color w:val="000000"/>
              </w:rPr>
              <w:t>1.75</w:t>
            </w:r>
          </w:p>
        </w:tc>
        <w:tc>
          <w:tcPr>
            <w:tcW w:w="1163" w:type="dxa"/>
            <w:vAlign w:val="bottom"/>
          </w:tcPr>
          <w:p w14:paraId="35EAE9C9" w14:textId="77777777" w:rsidR="00516470" w:rsidRPr="007A0ABD" w:rsidRDefault="00516470" w:rsidP="00BB4E47">
            <w:pPr>
              <w:pStyle w:val="Tabletext"/>
              <w:jc w:val="right"/>
              <w:rPr>
                <w:rFonts w:cs="Calibri Light"/>
              </w:rPr>
            </w:pPr>
            <w:r w:rsidRPr="007A0ABD">
              <w:rPr>
                <w:rFonts w:cs="Calibri Light"/>
                <w:color w:val="000000"/>
              </w:rPr>
              <w:t>1.75</w:t>
            </w:r>
          </w:p>
        </w:tc>
      </w:tr>
      <w:tr w:rsidR="00516470" w:rsidRPr="007A0ABD" w14:paraId="5A072291" w14:textId="77777777" w:rsidTr="00BB4E47">
        <w:tc>
          <w:tcPr>
            <w:tcW w:w="2694" w:type="dxa"/>
          </w:tcPr>
          <w:p w14:paraId="71CB583A" w14:textId="1A1ACC05" w:rsidR="00516470" w:rsidRPr="007A0ABD" w:rsidRDefault="00516470" w:rsidP="00BB4E47">
            <w:pPr>
              <w:pStyle w:val="Tabletext"/>
              <w:rPr>
                <w:rFonts w:cs="Calibri Light"/>
                <w:vertAlign w:val="superscript"/>
              </w:rPr>
            </w:pPr>
            <w:r w:rsidRPr="007A0ABD">
              <w:rPr>
                <w:rFonts w:cs="Calibri Light"/>
              </w:rPr>
              <w:t>Unemployment rate</w:t>
            </w:r>
            <w:r w:rsidRPr="007A0ABD">
              <w:rPr>
                <w:rFonts w:cs="Calibri Light"/>
                <w:vertAlign w:val="superscript"/>
              </w:rPr>
              <w:t>(</w:t>
            </w:r>
            <w:r w:rsidR="000010D6">
              <w:rPr>
                <w:rFonts w:cs="Calibri Light"/>
                <w:vertAlign w:val="superscript"/>
              </w:rPr>
              <w:t>c</w:t>
            </w:r>
            <w:r w:rsidRPr="007A0ABD">
              <w:rPr>
                <w:rFonts w:cs="Calibri Light"/>
                <w:vertAlign w:val="superscript"/>
              </w:rPr>
              <w:t>)</w:t>
            </w:r>
          </w:p>
        </w:tc>
        <w:tc>
          <w:tcPr>
            <w:tcW w:w="1162" w:type="dxa"/>
          </w:tcPr>
          <w:p w14:paraId="21048C6D" w14:textId="77777777" w:rsidR="00516470" w:rsidRPr="007A0ABD" w:rsidRDefault="00516470" w:rsidP="00BB4E47">
            <w:pPr>
              <w:pStyle w:val="Tabletext"/>
              <w:jc w:val="right"/>
              <w:rPr>
                <w:rFonts w:cs="Calibri Light"/>
              </w:rPr>
            </w:pPr>
            <w:r w:rsidRPr="007A0ABD">
              <w:rPr>
                <w:rFonts w:cs="Calibri Light"/>
                <w:color w:val="000000"/>
              </w:rPr>
              <w:t>4.00</w:t>
            </w:r>
          </w:p>
        </w:tc>
        <w:tc>
          <w:tcPr>
            <w:tcW w:w="1162" w:type="dxa"/>
          </w:tcPr>
          <w:p w14:paraId="468C060B" w14:textId="77777777" w:rsidR="00516470" w:rsidRPr="007A0ABD" w:rsidRDefault="00516470" w:rsidP="00BB4E47">
            <w:pPr>
              <w:pStyle w:val="Tabletext"/>
              <w:jc w:val="right"/>
              <w:rPr>
                <w:rFonts w:cs="Calibri Light"/>
              </w:rPr>
            </w:pPr>
            <w:r w:rsidRPr="007A0ABD">
              <w:rPr>
                <w:rFonts w:cs="Calibri Light"/>
                <w:color w:val="000000"/>
              </w:rPr>
              <w:t>4.25</w:t>
            </w:r>
          </w:p>
        </w:tc>
        <w:tc>
          <w:tcPr>
            <w:tcW w:w="1162" w:type="dxa"/>
          </w:tcPr>
          <w:p w14:paraId="04D0A2AD" w14:textId="77777777" w:rsidR="00516470" w:rsidRPr="007A0ABD" w:rsidRDefault="00516470" w:rsidP="00BB4E47">
            <w:pPr>
              <w:pStyle w:val="Tabletext"/>
              <w:jc w:val="right"/>
              <w:rPr>
                <w:rFonts w:cs="Calibri Light"/>
              </w:rPr>
            </w:pPr>
            <w:r w:rsidRPr="007A0ABD">
              <w:rPr>
                <w:rFonts w:cs="Calibri Light"/>
                <w:color w:val="000000"/>
              </w:rPr>
              <w:t>4.50</w:t>
            </w:r>
          </w:p>
        </w:tc>
        <w:tc>
          <w:tcPr>
            <w:tcW w:w="1162" w:type="dxa"/>
          </w:tcPr>
          <w:p w14:paraId="52FD6FAF" w14:textId="77777777" w:rsidR="00516470" w:rsidRPr="007A0ABD" w:rsidRDefault="00516470" w:rsidP="00BB4E47">
            <w:pPr>
              <w:pStyle w:val="Tabletext"/>
              <w:jc w:val="right"/>
              <w:rPr>
                <w:rFonts w:cs="Calibri Light"/>
              </w:rPr>
            </w:pPr>
            <w:r w:rsidRPr="007A0ABD">
              <w:rPr>
                <w:rFonts w:cs="Calibri Light"/>
                <w:color w:val="000000"/>
              </w:rPr>
              <w:t>4.75</w:t>
            </w:r>
          </w:p>
        </w:tc>
        <w:tc>
          <w:tcPr>
            <w:tcW w:w="1163" w:type="dxa"/>
          </w:tcPr>
          <w:p w14:paraId="5FB26630" w14:textId="77777777" w:rsidR="00516470" w:rsidRPr="007A0ABD" w:rsidRDefault="00516470" w:rsidP="00BB4E47">
            <w:pPr>
              <w:pStyle w:val="Tabletext"/>
              <w:jc w:val="right"/>
              <w:rPr>
                <w:rFonts w:cs="Calibri Light"/>
              </w:rPr>
            </w:pPr>
            <w:r w:rsidRPr="007A0ABD">
              <w:rPr>
                <w:rFonts w:cs="Calibri Light"/>
                <w:color w:val="000000"/>
              </w:rPr>
              <w:t>4.75</w:t>
            </w:r>
          </w:p>
        </w:tc>
      </w:tr>
      <w:tr w:rsidR="00516470" w:rsidRPr="007A0ABD" w14:paraId="4B69EBB2" w14:textId="77777777" w:rsidTr="00BB4E47">
        <w:tc>
          <w:tcPr>
            <w:tcW w:w="2694" w:type="dxa"/>
          </w:tcPr>
          <w:p w14:paraId="5EC5FA6D" w14:textId="77777777" w:rsidR="00516470" w:rsidRPr="007A0ABD" w:rsidRDefault="00516470" w:rsidP="00BB4E47">
            <w:pPr>
              <w:pStyle w:val="Tabletext"/>
              <w:rPr>
                <w:rFonts w:cs="Calibri Light"/>
              </w:rPr>
            </w:pPr>
            <w:r w:rsidRPr="007A0ABD">
              <w:rPr>
                <w:rFonts w:cs="Calibri Light"/>
              </w:rPr>
              <w:t>Victorian WPI</w:t>
            </w:r>
            <w:r w:rsidRPr="007A0ABD">
              <w:rPr>
                <w:rFonts w:cs="Calibri Light"/>
                <w:vertAlign w:val="superscript"/>
              </w:rPr>
              <w:t>(a)</w:t>
            </w:r>
          </w:p>
        </w:tc>
        <w:tc>
          <w:tcPr>
            <w:tcW w:w="1162" w:type="dxa"/>
            <w:vAlign w:val="bottom"/>
          </w:tcPr>
          <w:p w14:paraId="6C251B0F" w14:textId="77777777" w:rsidR="00516470" w:rsidRPr="007A0ABD" w:rsidRDefault="00516470" w:rsidP="00BB4E47">
            <w:pPr>
              <w:pStyle w:val="Tabletext"/>
              <w:jc w:val="right"/>
              <w:rPr>
                <w:rFonts w:cs="Calibri Light"/>
              </w:rPr>
            </w:pPr>
            <w:r w:rsidRPr="007A0ABD">
              <w:rPr>
                <w:rFonts w:cs="Calibri Light"/>
                <w:color w:val="000000"/>
              </w:rPr>
              <w:t>3.75</w:t>
            </w:r>
          </w:p>
        </w:tc>
        <w:tc>
          <w:tcPr>
            <w:tcW w:w="1162" w:type="dxa"/>
            <w:vAlign w:val="bottom"/>
          </w:tcPr>
          <w:p w14:paraId="668C0B21" w14:textId="77777777" w:rsidR="00516470" w:rsidRPr="007A0ABD" w:rsidRDefault="00516470" w:rsidP="00BB4E47">
            <w:pPr>
              <w:pStyle w:val="Tabletext"/>
              <w:jc w:val="right"/>
              <w:rPr>
                <w:rFonts w:cs="Calibri Light"/>
              </w:rPr>
            </w:pPr>
            <w:r w:rsidRPr="007A0ABD">
              <w:rPr>
                <w:rFonts w:cs="Calibri Light"/>
                <w:color w:val="000000"/>
              </w:rPr>
              <w:t>3.75</w:t>
            </w:r>
          </w:p>
        </w:tc>
        <w:tc>
          <w:tcPr>
            <w:tcW w:w="1162" w:type="dxa"/>
            <w:vAlign w:val="bottom"/>
          </w:tcPr>
          <w:p w14:paraId="2593D46C" w14:textId="77777777" w:rsidR="00516470" w:rsidRPr="007A0ABD" w:rsidRDefault="00516470" w:rsidP="00BB4E47">
            <w:pPr>
              <w:pStyle w:val="Tabletext"/>
              <w:jc w:val="right"/>
              <w:rPr>
                <w:rFonts w:cs="Calibri Light"/>
              </w:rPr>
            </w:pPr>
            <w:r w:rsidRPr="007A0ABD">
              <w:rPr>
                <w:rFonts w:cs="Calibri Light"/>
                <w:color w:val="000000"/>
              </w:rPr>
              <w:t>3.25</w:t>
            </w:r>
          </w:p>
        </w:tc>
        <w:tc>
          <w:tcPr>
            <w:tcW w:w="1162" w:type="dxa"/>
            <w:vAlign w:val="bottom"/>
          </w:tcPr>
          <w:p w14:paraId="3348E823" w14:textId="77777777" w:rsidR="00516470" w:rsidRPr="007A0ABD" w:rsidRDefault="00516470" w:rsidP="00BB4E47">
            <w:pPr>
              <w:pStyle w:val="Tabletext"/>
              <w:jc w:val="right"/>
              <w:rPr>
                <w:rFonts w:cs="Calibri Light"/>
              </w:rPr>
            </w:pPr>
            <w:r w:rsidRPr="007A0ABD">
              <w:rPr>
                <w:rFonts w:cs="Calibri Light"/>
                <w:color w:val="000000"/>
              </w:rPr>
              <w:t>3.25</w:t>
            </w:r>
          </w:p>
        </w:tc>
        <w:tc>
          <w:tcPr>
            <w:tcW w:w="1163" w:type="dxa"/>
            <w:vAlign w:val="bottom"/>
          </w:tcPr>
          <w:p w14:paraId="0EFE4356" w14:textId="77777777" w:rsidR="00516470" w:rsidRPr="007A0ABD" w:rsidRDefault="00516470" w:rsidP="00BB4E47">
            <w:pPr>
              <w:pStyle w:val="Tabletext"/>
              <w:jc w:val="right"/>
              <w:rPr>
                <w:rFonts w:cs="Calibri Light"/>
              </w:rPr>
            </w:pPr>
            <w:r w:rsidRPr="007A0ABD">
              <w:rPr>
                <w:rFonts w:cs="Calibri Light"/>
                <w:color w:val="000000"/>
              </w:rPr>
              <w:t>3.25</w:t>
            </w:r>
          </w:p>
        </w:tc>
      </w:tr>
    </w:tbl>
    <w:p w14:paraId="3983E102" w14:textId="127E11D7" w:rsidR="00516470" w:rsidRDefault="00516470" w:rsidP="00516470">
      <w:pPr>
        <w:pStyle w:val="09Sourcesandnotesfortablesfiguresboxes"/>
      </w:pPr>
      <w:r>
        <w:t xml:space="preserve">Notes: </w:t>
      </w:r>
      <w:r w:rsidRPr="007B43FC">
        <w:t xml:space="preserve">(a) Percentage change in year-average terms compared with the previous year. </w:t>
      </w:r>
      <w:r w:rsidR="000010D6" w:rsidRPr="00325406">
        <w:rPr>
          <w:rFonts w:eastAsia="Rockwell"/>
          <w:color w:val="000000"/>
        </w:rPr>
        <w:t>(</w:t>
      </w:r>
      <w:r w:rsidR="000010D6">
        <w:rPr>
          <w:rFonts w:eastAsia="Rockwell"/>
          <w:color w:val="000000"/>
        </w:rPr>
        <w:t>b</w:t>
      </w:r>
      <w:r w:rsidR="000010D6" w:rsidRPr="00325406">
        <w:rPr>
          <w:rFonts w:eastAsia="Rockwell"/>
          <w:color w:val="000000"/>
        </w:rPr>
        <w:t xml:space="preserve">) </w:t>
      </w:r>
      <w:r w:rsidRPr="00325406">
        <w:rPr>
          <w:rFonts w:eastAsia="Rockwell"/>
          <w:color w:val="000000"/>
        </w:rPr>
        <w:t xml:space="preserve">Percentage </w:t>
      </w:r>
      <w:r w:rsidR="000010D6">
        <w:rPr>
          <w:rFonts w:eastAsia="Rockwell"/>
          <w:color w:val="000000"/>
        </w:rPr>
        <w:t xml:space="preserve">change </w:t>
      </w:r>
      <w:r w:rsidRPr="00325406">
        <w:rPr>
          <w:rFonts w:eastAsia="Rockwell"/>
          <w:color w:val="000000"/>
        </w:rPr>
        <w:t>over the year to 30 June</w:t>
      </w:r>
      <w:r>
        <w:rPr>
          <w:rFonts w:eastAsia="Rockwell"/>
          <w:color w:val="000000"/>
        </w:rPr>
        <w:t>.</w:t>
      </w:r>
      <w:r w:rsidR="000010D6">
        <w:rPr>
          <w:rFonts w:eastAsia="Rockwell"/>
          <w:color w:val="000000"/>
        </w:rPr>
        <w:t xml:space="preserve"> </w:t>
      </w:r>
      <w:r w:rsidRPr="007B43FC">
        <w:t>(</w:t>
      </w:r>
      <w:r w:rsidR="000010D6">
        <w:t>c</w:t>
      </w:r>
      <w:r w:rsidRPr="007B43FC">
        <w:t>) Year average.</w:t>
      </w:r>
      <w:r>
        <w:t xml:space="preserve"> </w:t>
      </w:r>
    </w:p>
    <w:p w14:paraId="135BDF4C" w14:textId="0C6C08C1" w:rsidR="00516470" w:rsidRDefault="008F77FA" w:rsidP="00516470">
      <w:pPr>
        <w:pStyle w:val="09Sourcesandnotesfortablesfiguresboxes"/>
      </w:pPr>
      <w:r>
        <w:t xml:space="preserve">Source: </w:t>
      </w:r>
      <w:r w:rsidRPr="001733F4">
        <w:t>DTF (2024</w:t>
      </w:r>
      <w:r w:rsidR="00775B77">
        <w:t>b</w:t>
      </w:r>
      <w:r w:rsidRPr="001733F4">
        <w:t>)</w:t>
      </w:r>
      <w:r>
        <w:t>, p</w:t>
      </w:r>
      <w:r w:rsidR="00FE774B">
        <w:t>.</w:t>
      </w:r>
      <w:r>
        <w:t xml:space="preserve"> 18</w:t>
      </w:r>
      <w:r w:rsidR="005A1F30">
        <w:t>.</w:t>
      </w:r>
    </w:p>
    <w:p w14:paraId="46922AB8" w14:textId="77777777" w:rsidR="00516470" w:rsidRDefault="00516470" w:rsidP="00516470">
      <w:pPr>
        <w:pStyle w:val="03VIRTHeading3"/>
      </w:pPr>
      <w:r>
        <w:t>Economic growth is forecast to pick up in coming years, driven by a recovery in household spending</w:t>
      </w:r>
    </w:p>
    <w:p w14:paraId="707DB2F3" w14:textId="77777777" w:rsidR="00516470" w:rsidRDefault="00516470" w:rsidP="00516470">
      <w:pPr>
        <w:pStyle w:val="05Paragraph"/>
      </w:pPr>
      <w:r>
        <w:t>The RBA expects economic growth to remain subdued in the near-term, before picking up from late 2024 as the recovery in real incomes leads to a pick-up in household consumption. Annual growth in real GDP is forecast to be 1.2 per cent in June 2024, before increasing to 2.1 per cent in June 2025 and 2.4 per cent in June 2026.</w:t>
      </w:r>
      <w:r>
        <w:rPr>
          <w:rStyle w:val="FootnoteReference"/>
        </w:rPr>
        <w:footnoteReference w:id="57"/>
      </w:r>
      <w:r>
        <w:t xml:space="preserve"> Nonetheless, growth is expected to remain below the long</w:t>
      </w:r>
      <w:r>
        <w:noBreakHyphen/>
        <w:t>run (excluding the pandemic period) average of 2.9 per cent.</w:t>
      </w:r>
    </w:p>
    <w:p w14:paraId="214719E0" w14:textId="33A5B371" w:rsidR="00516470" w:rsidRDefault="00516470" w:rsidP="00516470">
      <w:pPr>
        <w:pStyle w:val="05Paragraph"/>
      </w:pPr>
      <w:r>
        <w:t xml:space="preserve">The </w:t>
      </w:r>
      <w:r w:rsidR="00D230A2" w:rsidRPr="00D230A2">
        <w:t>Victorian</w:t>
      </w:r>
      <w:r w:rsidRPr="00D230A2">
        <w:t xml:space="preserve"> Budget </w:t>
      </w:r>
      <w:r>
        <w:t xml:space="preserve">forecast Victoria’s real GSP to grow by 2 per cent in 2023-24, before picking up to 2.5 per cent in 2024-25. Similar to the national outlook, the pick-up in growth is expected to be driven by household consumption, which is forecast to contribute 1.5 percentage points to GSP growth in 2024-25. On the other hand, public demand </w:t>
      </w:r>
      <w:r w:rsidRPr="00764DD0">
        <w:t>—</w:t>
      </w:r>
      <w:r>
        <w:t xml:space="preserve"> which includes spending and capital expenditure by the Victorian Government </w:t>
      </w:r>
      <w:bookmarkStart w:id="87" w:name="_Hlk167887450"/>
      <w:r w:rsidRPr="0096741E">
        <w:t>—</w:t>
      </w:r>
      <w:bookmarkEnd w:id="87"/>
      <w:r>
        <w:t xml:space="preserve"> is expected to make a broadly flat contribution to growth, consistent with a moderating investment pipeline (see section A.3).</w:t>
      </w:r>
      <w:r>
        <w:rPr>
          <w:rStyle w:val="FootnoteReference"/>
        </w:rPr>
        <w:footnoteReference w:id="58"/>
      </w:r>
    </w:p>
    <w:p w14:paraId="3FB87B1F" w14:textId="77777777" w:rsidR="00516470" w:rsidRDefault="00516470" w:rsidP="00516470">
      <w:pPr>
        <w:pStyle w:val="05Paragraph"/>
      </w:pPr>
      <w:r>
        <w:t>The RBA is forecasting population growth to moderate over the next couple of years and return to its pre-pandemic average, and to grow more slowly than real GDP from late 2024 onwards.</w:t>
      </w:r>
      <w:r>
        <w:rPr>
          <w:rStyle w:val="FootnoteReference"/>
        </w:rPr>
        <w:footnoteReference w:id="59"/>
      </w:r>
      <w:r>
        <w:t xml:space="preserve"> Were this to eventuate, it would support a recovery in real GDP per capita.</w:t>
      </w:r>
    </w:p>
    <w:p w14:paraId="23581873" w14:textId="77777777" w:rsidR="00516470" w:rsidRDefault="00516470" w:rsidP="00516470">
      <w:pPr>
        <w:pStyle w:val="05Paragraph"/>
      </w:pPr>
      <w:r>
        <w:t>In terms of productivity, the RBA expects growth to pick up further and stabilise around its long-run (excluding the pandemic) average, but notes that the outlook is highly uncertain. In particular, it observed that a return to the lower rates of business dynamism and competition that were associated with weak productivity outcomes in the 2010s would similarly weigh on growth going forward.</w:t>
      </w:r>
      <w:r>
        <w:rPr>
          <w:rStyle w:val="FootnoteReference"/>
        </w:rPr>
        <w:footnoteReference w:id="60"/>
      </w:r>
    </w:p>
    <w:p w14:paraId="05AEB27F" w14:textId="77777777" w:rsidR="00516470" w:rsidRDefault="00516470" w:rsidP="00516470">
      <w:pPr>
        <w:pStyle w:val="03VIRTHeading3"/>
      </w:pPr>
      <w:r>
        <w:t>Inflation is forecast to continue easing in the medium-term, with a return to target expected in the next 6–18 months</w:t>
      </w:r>
    </w:p>
    <w:p w14:paraId="1A0266E4" w14:textId="309FF68B" w:rsidR="00516470" w:rsidRDefault="00516470" w:rsidP="00516470">
      <w:pPr>
        <w:pStyle w:val="05Paragraph"/>
      </w:pPr>
      <w:r>
        <w:t>The latest inflation forecasts published by the RBA, which preceded the federal budget, have national CPI growth rising in the near-term due to temporary factors such as rising petrol prices and the unwinding of energy rebates. Despite this, the RBA’s medium</w:t>
      </w:r>
      <w:r>
        <w:noBreakHyphen/>
        <w:t xml:space="preserve">term inflation outlook remains largely unchanged, with annual CPI growth expected to return to the 2 </w:t>
      </w:r>
      <w:r w:rsidR="00D71215">
        <w:t>to</w:t>
      </w:r>
      <w:r>
        <w:t xml:space="preserve"> 3 per cent target band by late 2025.</w:t>
      </w:r>
      <w:r>
        <w:rPr>
          <w:rStyle w:val="FootnoteReference"/>
        </w:rPr>
        <w:footnoteReference w:id="61"/>
      </w:r>
    </w:p>
    <w:p w14:paraId="5BF730CD" w14:textId="2770EB52" w:rsidR="00CD729E" w:rsidRDefault="00516470" w:rsidP="00A60EB4">
      <w:pPr>
        <w:pStyle w:val="05Paragraph"/>
      </w:pPr>
      <w:r>
        <w:t>By comparison, the federal budget expects headline inflation to return to target by mid</w:t>
      </w:r>
      <w:r>
        <w:noBreakHyphen/>
        <w:t>2025, and potentially by the end of 2024. Specifically, the Commonwealth Treasury forecast annual CPI growth to be 3.5 per cent in June 2024, before declining to 2.75 per cent in June 2025 (compared with 3.8 per cent and 3.2 per cent, respectively, by the RBA).</w:t>
      </w:r>
      <w:r w:rsidR="00A85EED">
        <w:rPr>
          <w:rStyle w:val="FootnoteReference"/>
        </w:rPr>
        <w:footnoteReference w:id="62"/>
      </w:r>
      <w:r w:rsidR="00CD729E">
        <w:t xml:space="preserve"> </w:t>
      </w:r>
    </w:p>
    <w:p w14:paraId="3B904747" w14:textId="043941C2" w:rsidR="00516470" w:rsidRDefault="00516470" w:rsidP="00516470">
      <w:pPr>
        <w:pStyle w:val="05Paragraph"/>
      </w:pPr>
      <w:r>
        <w:t xml:space="preserve">The </w:t>
      </w:r>
      <w:r w:rsidRPr="00D230A2">
        <w:t xml:space="preserve">Victorian Budget </w:t>
      </w:r>
      <w:r>
        <w:t xml:space="preserve">forecast annual growth in the Melbourne CPI to average 4 per cent in 2023-24, before easing to 2.75 per cent in 2024-25. </w:t>
      </w:r>
      <w:r w:rsidR="00DE5BC4">
        <w:t xml:space="preserve">The Department of Treasury and Finance </w:t>
      </w:r>
      <w:r w:rsidR="002C6145">
        <w:t xml:space="preserve">(DTF) </w:t>
      </w:r>
      <w:r>
        <w:t>noted that the pace of easing will be determined largely by the outlook for services inflation, which is expected to continue to decline more slowly than goods inflation.</w:t>
      </w:r>
      <w:r>
        <w:rPr>
          <w:rStyle w:val="FootnoteReference"/>
        </w:rPr>
        <w:footnoteReference w:id="63"/>
      </w:r>
    </w:p>
    <w:p w14:paraId="290B51ED" w14:textId="77777777" w:rsidR="00516470" w:rsidRDefault="00516470" w:rsidP="00516470">
      <w:pPr>
        <w:pStyle w:val="03VIRTHeading3"/>
      </w:pPr>
      <w:r>
        <w:t>Labour market conditions are expected to continue easing gradually</w:t>
      </w:r>
    </w:p>
    <w:p w14:paraId="3252B07D" w14:textId="77777777" w:rsidR="00516470" w:rsidRDefault="00516470" w:rsidP="00516470">
      <w:pPr>
        <w:pStyle w:val="05Paragraph"/>
      </w:pPr>
      <w:r>
        <w:t xml:space="preserve">The easing in labour market conditions is expected to continue, with the RBA forecasting employment growth to slow and fall below growth in the working-age population for a time. This is expected to drive further easing in the national unemployment rate, which is forecast to rise to 4.2 per cent by the end of 2024, before stabilising around 4.3 per cent </w:t>
      </w:r>
      <w:r w:rsidRPr="00302E7B">
        <w:t>—</w:t>
      </w:r>
      <w:r>
        <w:t xml:space="preserve"> a level considered consistent with full employment </w:t>
      </w:r>
      <w:r w:rsidRPr="0096741E">
        <w:t>—</w:t>
      </w:r>
      <w:r>
        <w:t xml:space="preserve"> from mid-2025. Labour force participation is expected to decline slightly due to cyclical factors, but to remain high by historical standards.</w:t>
      </w:r>
      <w:r>
        <w:rPr>
          <w:rStyle w:val="FootnoteReference"/>
        </w:rPr>
        <w:footnoteReference w:id="64"/>
      </w:r>
    </w:p>
    <w:p w14:paraId="29497883" w14:textId="77777777" w:rsidR="00516470" w:rsidRDefault="00516470" w:rsidP="00516470">
      <w:pPr>
        <w:pStyle w:val="05Paragraph"/>
      </w:pPr>
      <w:r>
        <w:t>The Commonwealth Treasury’s outlook for the national labour market is broadly consistent with the RBA’s. Of note, Treasury is forecasting a sharper slowdown in employment growth, and consequently a larger increase in the unemployment rate, which it expects to reach 4.5 per cent by mid-2025.</w:t>
      </w:r>
      <w:r>
        <w:rPr>
          <w:rStyle w:val="FootnoteReference"/>
        </w:rPr>
        <w:footnoteReference w:id="65"/>
      </w:r>
    </w:p>
    <w:p w14:paraId="02A10FE9" w14:textId="33785915" w:rsidR="00516470" w:rsidRPr="00713359" w:rsidRDefault="00516470" w:rsidP="00516470">
      <w:pPr>
        <w:pStyle w:val="05Paragraph"/>
      </w:pPr>
      <w:r>
        <w:t xml:space="preserve">In relation to the Victorian labour market, the </w:t>
      </w:r>
      <w:r w:rsidR="00D230A2" w:rsidRPr="00D230A2">
        <w:t>Victorian</w:t>
      </w:r>
      <w:r w:rsidRPr="00D230A2">
        <w:t xml:space="preserve"> Budget</w:t>
      </w:r>
      <w:r>
        <w:t xml:space="preserve"> similarly forecast employment growth to slow from an average of 3.25 per cent in 2023-24 to 1 per cent in 202</w:t>
      </w:r>
      <w:r w:rsidR="000010D6">
        <w:t>4</w:t>
      </w:r>
      <w:r>
        <w:t>-25. The unemployment rate is expected to average 4.25 per cent in 202</w:t>
      </w:r>
      <w:r w:rsidR="000010D6">
        <w:t>4</w:t>
      </w:r>
      <w:r>
        <w:t>-2</w:t>
      </w:r>
      <w:r w:rsidR="000010D6">
        <w:t>5</w:t>
      </w:r>
      <w:r>
        <w:t>, before increasing to 4.5 per cent in 202</w:t>
      </w:r>
      <w:r w:rsidR="000010D6">
        <w:t>5</w:t>
      </w:r>
      <w:r>
        <w:t>-2</w:t>
      </w:r>
      <w:r w:rsidR="000010D6">
        <w:t>6</w:t>
      </w:r>
      <w:r>
        <w:t>.</w:t>
      </w:r>
      <w:r>
        <w:rPr>
          <w:rStyle w:val="FootnoteReference"/>
        </w:rPr>
        <w:footnoteReference w:id="66"/>
      </w:r>
    </w:p>
    <w:p w14:paraId="77EC1AB5" w14:textId="77777777" w:rsidR="00516470" w:rsidRDefault="00516470" w:rsidP="00516470">
      <w:pPr>
        <w:pStyle w:val="03VIRTHeading3"/>
      </w:pPr>
      <w:r>
        <w:t>Wages growth is expected to moderate as the labour market eases</w:t>
      </w:r>
    </w:p>
    <w:p w14:paraId="37C99362" w14:textId="70AC1FB0" w:rsidR="00516470" w:rsidRDefault="00516470" w:rsidP="00516470">
      <w:pPr>
        <w:pStyle w:val="05Paragraph"/>
      </w:pPr>
      <w:r>
        <w:t xml:space="preserve">The RBA has observed that nominal wages growth appears to have peaked for the current cycle, with growth forecast to moderate gradually over the coming years. In particular, annual growth in the </w:t>
      </w:r>
      <w:r w:rsidR="00522AB2">
        <w:t>Australian</w:t>
      </w:r>
      <w:r>
        <w:t xml:space="preserve"> WPI is forecast to be 4.2 per cent in June 2024, before declining to</w:t>
      </w:r>
      <w:r w:rsidR="00DE5BC4">
        <w:t xml:space="preserve"> </w:t>
      </w:r>
      <w:r>
        <w:t>3.6</w:t>
      </w:r>
      <w:r w:rsidR="00DE5BC4">
        <w:t xml:space="preserve"> </w:t>
      </w:r>
      <w:r>
        <w:t>per cent by June 2025.</w:t>
      </w:r>
      <w:r>
        <w:rPr>
          <w:rStyle w:val="FootnoteReference"/>
        </w:rPr>
        <w:footnoteReference w:id="67"/>
      </w:r>
      <w:r>
        <w:t xml:space="preserve"> The federal budget forecast a slightly faster decline in wages growth, with national WPI growth expected to be 4 per cent in June 2024 and 3.3 per cent in June 2025.</w:t>
      </w:r>
      <w:r>
        <w:rPr>
          <w:rStyle w:val="FootnoteReference"/>
        </w:rPr>
        <w:footnoteReference w:id="68"/>
      </w:r>
    </w:p>
    <w:p w14:paraId="4B27EA4C" w14:textId="7C6351E3" w:rsidR="00516470" w:rsidRDefault="00516470" w:rsidP="00516470">
      <w:pPr>
        <w:pStyle w:val="05Paragraph"/>
      </w:pPr>
      <w:r>
        <w:t xml:space="preserve">The </w:t>
      </w:r>
      <w:r w:rsidRPr="00217D64">
        <w:t>Victorian Budget</w:t>
      </w:r>
      <w:r>
        <w:t xml:space="preserve"> forecast annual growth in the Victorian WPI to average 3.75 per cent in each of 2023-24 and 2024-25, before returning to 3.25 per cent from 2025-26.</w:t>
      </w:r>
      <w:r w:rsidR="00871AAC">
        <w:rPr>
          <w:rStyle w:val="FootnoteReference"/>
        </w:rPr>
        <w:footnoteReference w:id="69"/>
      </w:r>
      <w:r>
        <w:t xml:space="preserve"> </w:t>
      </w:r>
      <w:r w:rsidRPr="00DA4B9A">
        <w:t xml:space="preserve">The Tribunal notes that, at the time of making this Determination, the Victorian Government was negotiating several major public sector </w:t>
      </w:r>
      <w:r w:rsidR="00680922">
        <w:t>EAs</w:t>
      </w:r>
      <w:r w:rsidRPr="00DA4B9A">
        <w:t xml:space="preserve"> under its revised wages policy, which provides for higher wage outcomes than previously (see </w:t>
      </w:r>
      <w:r>
        <w:t>section A</w:t>
      </w:r>
      <w:r w:rsidRPr="00DA4B9A">
        <w:t>.</w:t>
      </w:r>
      <w:r>
        <w:t>4</w:t>
      </w:r>
      <w:r w:rsidRPr="00DA4B9A">
        <w:t xml:space="preserve">). Consistent with the experience in other states, the commencement of those agreements is likely to </w:t>
      </w:r>
      <w:r>
        <w:t>boost</w:t>
      </w:r>
      <w:r w:rsidRPr="00DA4B9A">
        <w:t xml:space="preserve"> </w:t>
      </w:r>
      <w:r>
        <w:t>public sector wages growth, which has been relatively subdued compared with the private sector.</w:t>
      </w:r>
    </w:p>
    <w:p w14:paraId="55543B54" w14:textId="77777777" w:rsidR="00516470" w:rsidRDefault="00516470" w:rsidP="00516470">
      <w:pPr>
        <w:pStyle w:val="05Paragraph"/>
      </w:pPr>
      <w:r>
        <w:t>Real wages are expected to grow over the coming years in both Victoria and Australia, as nominal wages growth is forecast to moderate more slowly than inflation. For example, the RBA is forecasting real wages (in annual terms) to rise 0.4 per cent in June 2024, hold steady in December 2024, and then resume growing from June 2025.</w:t>
      </w:r>
      <w:r>
        <w:rPr>
          <w:rStyle w:val="FootnoteReference"/>
        </w:rPr>
        <w:footnoteReference w:id="70"/>
      </w:r>
    </w:p>
    <w:p w14:paraId="1B74D791" w14:textId="77777777" w:rsidR="00516470" w:rsidRDefault="00516470" w:rsidP="00516470">
      <w:pPr>
        <w:pStyle w:val="03VIRTHeading3"/>
      </w:pPr>
      <w:r>
        <w:t>There are risks to the economic outlook, particularly around inflation</w:t>
      </w:r>
    </w:p>
    <w:p w14:paraId="047089D6" w14:textId="77777777" w:rsidR="00680922" w:rsidRDefault="00516470" w:rsidP="00516470">
      <w:pPr>
        <w:pStyle w:val="05Paragraph"/>
      </w:pPr>
      <w:r>
        <w:t xml:space="preserve">In its May 2024 </w:t>
      </w:r>
      <w:r w:rsidRPr="000B0CF7">
        <w:rPr>
          <w:i/>
          <w:iCs/>
        </w:rPr>
        <w:t>Statement</w:t>
      </w:r>
      <w:r>
        <w:t xml:space="preserve">, the RBA concluded that the risk that inflation takes longer than expected to return to target had increased since February 2024. In particular, it noted that the stronger-than-expected inflation outcome in the March quarter 2024 could indicate that domestic inflationary pressures are ‘stickier’ than currently assumed. This could be the case, for example, if the assumed pick-up in productivity growth does not eventuate, leading to higher input costs for businesses that may then be passed on to consumers. </w:t>
      </w:r>
    </w:p>
    <w:p w14:paraId="6C7E852E" w14:textId="373196BC" w:rsidR="00516470" w:rsidRDefault="00516470" w:rsidP="00516470">
      <w:pPr>
        <w:pStyle w:val="05Paragraph"/>
      </w:pPr>
      <w:r>
        <w:t>Geopolitical tensions have also increased the risk of further supply shocks, according to the RBA, which could lead to a rebound in goods inflation. The RBA observed that a prolonged period of high inflation would risk ‘de</w:t>
      </w:r>
      <w:r w:rsidR="00D073E2">
        <w:t>-</w:t>
      </w:r>
      <w:r>
        <w:t>anchoring’ inflation expectations, requiring further interest rate rises</w:t>
      </w:r>
      <w:r w:rsidRPr="00E01D52">
        <w:t xml:space="preserve"> and a period of higher unemployment </w:t>
      </w:r>
      <w:r>
        <w:t>to</w:t>
      </w:r>
      <w:r w:rsidRPr="00E01D52">
        <w:t xml:space="preserve"> return inflation to target</w:t>
      </w:r>
      <w:r>
        <w:t>.</w:t>
      </w:r>
      <w:r>
        <w:rPr>
          <w:rStyle w:val="FootnoteReference"/>
        </w:rPr>
        <w:footnoteReference w:id="71"/>
      </w:r>
    </w:p>
    <w:p w14:paraId="4CC815B2" w14:textId="77777777" w:rsidR="00516470" w:rsidRDefault="00516470" w:rsidP="00516470">
      <w:pPr>
        <w:pStyle w:val="05Paragraph"/>
      </w:pPr>
      <w:r>
        <w:t>On the other hand, the RBA noted that there is a risk that aggregate demand could be weaker than expected, such as if the recent weakness in household consumption were to persist. While noting that this could see inflation return to target more quickly than expected, the RBA also observed that it would likely come at the expense of its employment objective (i.e. it would lead to higher unemployment).</w:t>
      </w:r>
      <w:r>
        <w:rPr>
          <w:rStyle w:val="FootnoteReference"/>
        </w:rPr>
        <w:footnoteReference w:id="72"/>
      </w:r>
    </w:p>
    <w:p w14:paraId="32F51B5E" w14:textId="64570412" w:rsidR="00516470" w:rsidRDefault="00516470" w:rsidP="00516470">
      <w:pPr>
        <w:pStyle w:val="05Paragraph"/>
      </w:pPr>
      <w:r>
        <w:t>On the whole, while t</w:t>
      </w:r>
      <w:r w:rsidRPr="003E6A9A">
        <w:t xml:space="preserve">he RBA </w:t>
      </w:r>
      <w:r>
        <w:t>judged the risks to Australia’s economic outlook to be</w:t>
      </w:r>
      <w:r w:rsidRPr="003E6A9A">
        <w:t xml:space="preserve"> </w:t>
      </w:r>
      <w:r w:rsidR="00FE2572">
        <w:t>‘</w:t>
      </w:r>
      <w:r w:rsidRPr="003E6A9A">
        <w:t>broadly balanced</w:t>
      </w:r>
      <w:r w:rsidR="00680922">
        <w:t>’</w:t>
      </w:r>
      <w:r>
        <w:t>, it assessed that the costs associated with the upside risks to inflation are greater than the costs associated with the downside risks.</w:t>
      </w:r>
      <w:r>
        <w:rPr>
          <w:rStyle w:val="FootnoteReference"/>
        </w:rPr>
        <w:footnoteReference w:id="73"/>
      </w:r>
    </w:p>
    <w:p w14:paraId="0027A67D" w14:textId="7988C17F" w:rsidR="00516470" w:rsidRPr="00625BD0" w:rsidRDefault="00516470" w:rsidP="00516470">
      <w:pPr>
        <w:pStyle w:val="05Paragraph"/>
      </w:pPr>
      <w:r>
        <w:t xml:space="preserve">The </w:t>
      </w:r>
      <w:r w:rsidR="00217D64" w:rsidRPr="00217D64">
        <w:t>Victorian</w:t>
      </w:r>
      <w:r w:rsidRPr="00217D64">
        <w:t xml:space="preserve"> Budget</w:t>
      </w:r>
      <w:r>
        <w:t xml:space="preserve"> cited similar risks in relation to the Victorian economy, including uncertainty around the outlooks for household consumption and inflation.</w:t>
      </w:r>
      <w:r>
        <w:rPr>
          <w:rStyle w:val="FootnoteReference"/>
        </w:rPr>
        <w:footnoteReference w:id="74"/>
      </w:r>
    </w:p>
    <w:p w14:paraId="0C2ACBE0" w14:textId="77777777" w:rsidR="00516470" w:rsidRDefault="00516470" w:rsidP="007A0ABD">
      <w:pPr>
        <w:pStyle w:val="02VIRTHeading2"/>
      </w:pPr>
      <w:bookmarkStart w:id="88" w:name="_Toc170383529"/>
      <w:r>
        <w:t>A.3</w:t>
      </w:r>
      <w:r w:rsidRPr="003763C2">
        <w:rPr>
          <w:sz w:val="28"/>
          <w:szCs w:val="30"/>
        </w:rPr>
        <w:tab/>
      </w:r>
      <w:r w:rsidRPr="007A0ABD">
        <w:t>Financial</w:t>
      </w:r>
      <w:r>
        <w:t xml:space="preserve"> position and fiscal strategy of the State of Victoria</w:t>
      </w:r>
      <w:bookmarkEnd w:id="88"/>
    </w:p>
    <w:p w14:paraId="60DC0845" w14:textId="15C60BF8" w:rsidR="00516470" w:rsidRDefault="00516470" w:rsidP="00516470">
      <w:pPr>
        <w:pStyle w:val="05Paragraph"/>
      </w:pPr>
      <w:r>
        <w:t xml:space="preserve">The Tribunal’s understanding of the financial position and fiscal strategy of the State of Victoria has been informed by the </w:t>
      </w:r>
      <w:r w:rsidR="00217D64" w:rsidRPr="00217D64">
        <w:t>Victorian</w:t>
      </w:r>
      <w:r w:rsidRPr="00217D64">
        <w:t xml:space="preserve"> Budget</w:t>
      </w:r>
      <w:r>
        <w:t xml:space="preserve"> and the latest </w:t>
      </w:r>
      <w:r w:rsidRPr="00FA2B39">
        <w:rPr>
          <w:i/>
          <w:iCs/>
        </w:rPr>
        <w:t>Auditor</w:t>
      </w:r>
      <w:r>
        <w:rPr>
          <w:i/>
          <w:iCs/>
        </w:rPr>
        <w:noBreakHyphen/>
      </w:r>
      <w:r w:rsidRPr="00FA2B39">
        <w:rPr>
          <w:i/>
          <w:iCs/>
        </w:rPr>
        <w:t>General’s Report on the Annual Financial Report of the State of Victoria</w:t>
      </w:r>
      <w:r>
        <w:t xml:space="preserve"> (November 2023)</w:t>
      </w:r>
      <w:r w:rsidRPr="00D43192">
        <w:t>.</w:t>
      </w:r>
    </w:p>
    <w:p w14:paraId="74363A9C" w14:textId="253EE47D" w:rsidR="00516470" w:rsidRDefault="00516470" w:rsidP="00516470">
      <w:pPr>
        <w:pStyle w:val="03VIRTHeading3"/>
      </w:pPr>
      <w:r>
        <w:t xml:space="preserve">The 2024-25 Budget builds on </w:t>
      </w:r>
      <w:r w:rsidR="00361121">
        <w:t xml:space="preserve">previous </w:t>
      </w:r>
      <w:r>
        <w:t xml:space="preserve">savings and efficiency measures </w:t>
      </w:r>
    </w:p>
    <w:p w14:paraId="5F7377BE" w14:textId="209C3730" w:rsidR="00516470" w:rsidRPr="00D67A43" w:rsidRDefault="00516470" w:rsidP="00516470">
      <w:pPr>
        <w:pStyle w:val="05Paragraph"/>
      </w:pPr>
      <w:r>
        <w:t xml:space="preserve">In the </w:t>
      </w:r>
      <w:r w:rsidR="009A1CB1">
        <w:rPr>
          <w:i/>
          <w:iCs/>
        </w:rPr>
        <w:t>Victorian</w:t>
      </w:r>
      <w:r w:rsidR="00715481">
        <w:rPr>
          <w:i/>
          <w:iCs/>
        </w:rPr>
        <w:t xml:space="preserve"> </w:t>
      </w:r>
      <w:r w:rsidRPr="00CC5195">
        <w:rPr>
          <w:i/>
          <w:iCs/>
        </w:rPr>
        <w:t>Budget</w:t>
      </w:r>
      <w:r w:rsidR="00715481">
        <w:rPr>
          <w:i/>
          <w:iCs/>
        </w:rPr>
        <w:t xml:space="preserve"> </w:t>
      </w:r>
      <w:r w:rsidRPr="00CC5195">
        <w:rPr>
          <w:i/>
          <w:iCs/>
        </w:rPr>
        <w:t>2023-24</w:t>
      </w:r>
      <w:r>
        <w:t>, the Victorian Government announced a range of strategies to improve the State’s financial position and manage debt. These included the introduction of a temporary COVID-19 Debt Levy to offset the cost of measures introduced by the Victorian Government in response to the COVID</w:t>
      </w:r>
      <w:r>
        <w:noBreakHyphen/>
        <w:t xml:space="preserve">19 pandemic. The </w:t>
      </w:r>
      <w:r w:rsidR="00621AF7">
        <w:rPr>
          <w:i/>
          <w:iCs/>
        </w:rPr>
        <w:t xml:space="preserve">Victorian </w:t>
      </w:r>
      <w:r w:rsidRPr="00CC5195">
        <w:rPr>
          <w:i/>
          <w:iCs/>
        </w:rPr>
        <w:t>Budget</w:t>
      </w:r>
      <w:r w:rsidR="00621AF7">
        <w:rPr>
          <w:i/>
          <w:iCs/>
        </w:rPr>
        <w:t xml:space="preserve"> </w:t>
      </w:r>
      <w:r w:rsidRPr="00CC5195">
        <w:rPr>
          <w:i/>
          <w:iCs/>
        </w:rPr>
        <w:t>2023-24</w:t>
      </w:r>
      <w:r>
        <w:t xml:space="preserve"> also included a range of savings and efficiency measures to be implemented across the public sector, including targeted reductions in the number of </w:t>
      </w:r>
      <w:r w:rsidR="00091F3D">
        <w:t>VPS</w:t>
      </w:r>
      <w:r>
        <w:t xml:space="preserve"> staff.</w:t>
      </w:r>
      <w:r>
        <w:rPr>
          <w:rStyle w:val="FootnoteReference"/>
        </w:rPr>
        <w:footnoteReference w:id="75"/>
      </w:r>
    </w:p>
    <w:p w14:paraId="1ED9EA97" w14:textId="2C8905D0" w:rsidR="00BB065A" w:rsidRDefault="00903A13" w:rsidP="00516470">
      <w:pPr>
        <w:pStyle w:val="05Paragraph"/>
      </w:pPr>
      <w:r>
        <w:t>T</w:t>
      </w:r>
      <w:r w:rsidR="00516470">
        <w:t xml:space="preserve">he Victorian Government has announced that it will </w:t>
      </w:r>
      <w:r w:rsidR="00FE2572">
        <w:t>‘</w:t>
      </w:r>
      <w:r w:rsidR="00516470">
        <w:t>progressively return its capital program towards pre-pandemic levels</w:t>
      </w:r>
      <w:r w:rsidR="00680922">
        <w:t>’</w:t>
      </w:r>
      <w:r w:rsidR="00516470">
        <w:t xml:space="preserve"> by the end of 2027-28.</w:t>
      </w:r>
      <w:r w:rsidR="009E28DB">
        <w:rPr>
          <w:rStyle w:val="FootnoteReference"/>
        </w:rPr>
        <w:footnoteReference w:id="76"/>
      </w:r>
      <w:r w:rsidR="00516470">
        <w:t xml:space="preserve"> Government infrastructure investment is forecast to peak at</w:t>
      </w:r>
      <w:r w:rsidR="00DE5BC4">
        <w:t xml:space="preserve"> </w:t>
      </w:r>
      <w:r w:rsidR="00516470">
        <w:t>$24</w:t>
      </w:r>
      <w:r w:rsidR="00DE5BC4">
        <w:t xml:space="preserve"> </w:t>
      </w:r>
      <w:r w:rsidR="00516470">
        <w:t>billion in 2023</w:t>
      </w:r>
      <w:r w:rsidR="00516470">
        <w:noBreakHyphen/>
        <w:t xml:space="preserve">24, before declining to around $16 billion in 2027-28. Overall, government infrastructure investment is expected to average $19.3 billion per annum over the forward estimates, compared to an average of $21.3 billion per annum reported in the </w:t>
      </w:r>
      <w:r w:rsidR="00516470" w:rsidRPr="008C288D">
        <w:rPr>
          <w:i/>
          <w:iCs/>
        </w:rPr>
        <w:t>2023-24 Budget Update</w:t>
      </w:r>
      <w:r w:rsidR="00516470">
        <w:t>.</w:t>
      </w:r>
      <w:r w:rsidR="00AC0775">
        <w:rPr>
          <w:rStyle w:val="FootnoteReference"/>
        </w:rPr>
        <w:footnoteReference w:id="77"/>
      </w:r>
    </w:p>
    <w:p w14:paraId="1D1C4BDD" w14:textId="11068848" w:rsidR="00516470" w:rsidRDefault="00516470" w:rsidP="00516470">
      <w:pPr>
        <w:pStyle w:val="05Paragraph"/>
        <w:keepNext/>
      </w:pPr>
      <w:r>
        <w:t xml:space="preserve">The </w:t>
      </w:r>
      <w:r w:rsidR="002054AE" w:rsidRPr="00410DBD">
        <w:t>Victorian</w:t>
      </w:r>
      <w:r w:rsidRPr="00410DBD">
        <w:t xml:space="preserve"> Budget</w:t>
      </w:r>
      <w:r>
        <w:t xml:space="preserve"> also added a new step to the Victorian Government’s fiscal strategy, which was first outlined in the </w:t>
      </w:r>
      <w:r w:rsidR="00410DBD" w:rsidRPr="00410DBD">
        <w:rPr>
          <w:i/>
          <w:iCs/>
        </w:rPr>
        <w:t xml:space="preserve">Victorian Budget </w:t>
      </w:r>
      <w:r w:rsidRPr="00945C32">
        <w:rPr>
          <w:i/>
          <w:iCs/>
        </w:rPr>
        <w:t>2020-21</w:t>
      </w:r>
      <w:r>
        <w:t xml:space="preserve"> in response to the COVID-19 pandemic:</w:t>
      </w:r>
      <w:r w:rsidR="00417689">
        <w:rPr>
          <w:rStyle w:val="FootnoteReference"/>
        </w:rPr>
        <w:footnoteReference w:id="78"/>
      </w:r>
    </w:p>
    <w:p w14:paraId="61972776" w14:textId="77777777" w:rsidR="00516470" w:rsidRPr="00355C37" w:rsidRDefault="00516470" w:rsidP="00ED11A2">
      <w:pPr>
        <w:pStyle w:val="06VIRTBulletpoints"/>
      </w:pPr>
      <w:r w:rsidRPr="00355C37">
        <w:t>Step 1 – Creating jobs, reducing unemployment and restoring economic growth</w:t>
      </w:r>
    </w:p>
    <w:p w14:paraId="7ED1D353" w14:textId="791EFD92" w:rsidR="00516470" w:rsidRPr="00355C37" w:rsidRDefault="00516470" w:rsidP="00ED11A2">
      <w:pPr>
        <w:pStyle w:val="06VIRTBulletpoints"/>
      </w:pPr>
      <w:r w:rsidRPr="00355C37">
        <w:t xml:space="preserve">Step 2 – Returning to an operating cash </w:t>
      </w:r>
      <w:r w:rsidR="000043BD" w:rsidRPr="00355C37">
        <w:t>s</w:t>
      </w:r>
      <w:r w:rsidRPr="00355C37">
        <w:t>urplus</w:t>
      </w:r>
    </w:p>
    <w:p w14:paraId="52A501D9" w14:textId="77777777" w:rsidR="00516470" w:rsidRPr="00355C37" w:rsidRDefault="00516470" w:rsidP="00ED11A2">
      <w:pPr>
        <w:pStyle w:val="06VIRTBulletpoints"/>
      </w:pPr>
      <w:r w:rsidRPr="00355C37">
        <w:t>Step 3 – Returning to operating surpluses</w:t>
      </w:r>
    </w:p>
    <w:p w14:paraId="1F44D4D9" w14:textId="77777777" w:rsidR="00516470" w:rsidRPr="00355C37" w:rsidRDefault="00516470" w:rsidP="00ED11A2">
      <w:pPr>
        <w:pStyle w:val="06VIRTBulletpoints"/>
      </w:pPr>
      <w:r w:rsidRPr="00355C37">
        <w:t xml:space="preserve">Step 4 – </w:t>
      </w:r>
      <w:r w:rsidRPr="00ED11A2">
        <w:t>Stabilising</w:t>
      </w:r>
      <w:r w:rsidRPr="00355C37">
        <w:t xml:space="preserve"> debt levels</w:t>
      </w:r>
    </w:p>
    <w:p w14:paraId="2EA65BB4" w14:textId="77777777" w:rsidR="00516470" w:rsidRPr="00680922" w:rsidRDefault="00516470" w:rsidP="00ED11A2">
      <w:pPr>
        <w:pStyle w:val="06VIRTBulletpoints"/>
      </w:pPr>
      <w:r w:rsidRPr="00680922">
        <w:t>Step 5 (new) – Reducing net debt as a proportion of GSP.</w:t>
      </w:r>
    </w:p>
    <w:p w14:paraId="3F18DE2F" w14:textId="77777777" w:rsidR="00516470" w:rsidRDefault="00516470" w:rsidP="00516470">
      <w:pPr>
        <w:pStyle w:val="03VIRTHeading3"/>
      </w:pPr>
      <w:r>
        <w:t>A return to an operating surplus is expected in 2025-26, but net debt is forecast to continue rising</w:t>
      </w:r>
    </w:p>
    <w:p w14:paraId="38108A17" w14:textId="494E5D70" w:rsidR="00516470" w:rsidRDefault="00516470" w:rsidP="00516470">
      <w:pPr>
        <w:pStyle w:val="05Paragraph"/>
      </w:pPr>
      <w:r>
        <w:t>The Victorian Government achieved step 2 of its fiscal strategy in 2022-23, with the general government sector (GGS) recording an operating cash surplus of $4.2 billion. A smaller cash surplus of $0.4 billion is forecast for 2023-24, followed by larger surpluses in future years.</w:t>
      </w:r>
      <w:r w:rsidR="000659F1">
        <w:rPr>
          <w:rStyle w:val="FootnoteReference"/>
        </w:rPr>
        <w:footnoteReference w:id="79"/>
      </w:r>
    </w:p>
    <w:p w14:paraId="6D8E661A" w14:textId="6C8E8E59" w:rsidR="00516470" w:rsidRDefault="00516470" w:rsidP="00516470">
      <w:pPr>
        <w:pStyle w:val="05Paragraph"/>
      </w:pPr>
      <w:r>
        <w:t>Operating deficits of $4.6 billion and $2.2 billion are forecast for the GGS in 2023</w:t>
      </w:r>
      <w:r>
        <w:noBreakHyphen/>
        <w:t>24 and 2024-25, respectively, before an expected return to surplus in 2025</w:t>
      </w:r>
      <w:r>
        <w:noBreakHyphen/>
        <w:t>26. This would be the first surplus since 2018-19, with larger surpluses forecast for 2026-27 and 2027-28.</w:t>
      </w:r>
      <w:r w:rsidR="00592233">
        <w:rPr>
          <w:rStyle w:val="FootnoteReference"/>
        </w:rPr>
        <w:footnoteReference w:id="80"/>
      </w:r>
      <w:r>
        <w:t xml:space="preserve"> The </w:t>
      </w:r>
      <w:r w:rsidR="00410DBD" w:rsidRPr="005E331A">
        <w:t>Victorian</w:t>
      </w:r>
      <w:r w:rsidRPr="005E331A">
        <w:t xml:space="preserve"> Budget</w:t>
      </w:r>
      <w:r>
        <w:t xml:space="preserve"> noted that these surpluses will fund an increasing share of the Victorian Government’s capital program, reducing the amount of new borrowing required and helping to stabilise and reduce net debt.</w:t>
      </w:r>
      <w:r w:rsidR="00592233">
        <w:rPr>
          <w:rStyle w:val="FootnoteReference"/>
        </w:rPr>
        <w:footnoteReference w:id="81"/>
      </w:r>
    </w:p>
    <w:p w14:paraId="0AEFD3CF" w14:textId="1DE13496" w:rsidR="00516470" w:rsidRDefault="00516470" w:rsidP="00516470">
      <w:pPr>
        <w:pStyle w:val="05Paragraph"/>
      </w:pPr>
      <w:r>
        <w:t>Net debt for the GGS was $115 billion (20.2 per cent of GSP) at 30 June 2023, and is forecast to be around $136 billion (22.3 per cent of GSP) at 30 June 2024. Net debt as a proportion of GSP is expected to stabilise at around 25 per cent from June 2026, consistent with achieving steps 4 and 5 of the fiscal strategy. However, debt is forecast to continue rising in nominal terms, and is expected to be around $188 billion by 30 June 2027.</w:t>
      </w:r>
      <w:r>
        <w:rPr>
          <w:rStyle w:val="FootnoteReference"/>
        </w:rPr>
        <w:footnoteReference w:id="82"/>
      </w:r>
    </w:p>
    <w:p w14:paraId="54B4827B" w14:textId="27294C32" w:rsidR="00516470" w:rsidRDefault="005D3CFB" w:rsidP="00516470">
      <w:pPr>
        <w:pStyle w:val="03VIRTHeading3"/>
      </w:pPr>
      <w:r>
        <w:t>VAGO</w:t>
      </w:r>
      <w:r w:rsidR="00516470">
        <w:t xml:space="preserve"> has identified risks to Victoria’s fiscal outlook</w:t>
      </w:r>
    </w:p>
    <w:p w14:paraId="2BFE78A2" w14:textId="61C298D1" w:rsidR="00516470" w:rsidRDefault="00516470" w:rsidP="00516470">
      <w:pPr>
        <w:pStyle w:val="05Paragraph"/>
      </w:pPr>
      <w:r>
        <w:t xml:space="preserve">Each year, VAGO issues a report on the Annual Financial Report of the State of Victoria. The most recent such report, released in November 2023, examined Victoria’s </w:t>
      </w:r>
      <w:r w:rsidRPr="000E3511">
        <w:rPr>
          <w:i/>
          <w:iCs/>
        </w:rPr>
        <w:t>2022-23 Annual Financial Report</w:t>
      </w:r>
      <w:r>
        <w:t>.</w:t>
      </w:r>
    </w:p>
    <w:p w14:paraId="5C66B16C" w14:textId="016D760D" w:rsidR="00516470" w:rsidRDefault="00516470" w:rsidP="00516470">
      <w:pPr>
        <w:pStyle w:val="05Paragraph"/>
      </w:pPr>
      <w:r>
        <w:t xml:space="preserve">The report identified several emerging risks to Victoria’s fiscal outlook. Three of these </w:t>
      </w:r>
      <w:r w:rsidRPr="00B752C7">
        <w:t>—</w:t>
      </w:r>
      <w:r>
        <w:t xml:space="preserve"> employee expenses, interest expenses and infrastructure spending </w:t>
      </w:r>
      <w:r w:rsidRPr="00487500">
        <w:t>—</w:t>
      </w:r>
      <w:r>
        <w:t xml:space="preserve"> are </w:t>
      </w:r>
      <w:r w:rsidR="005D3CFB">
        <w:t>set out</w:t>
      </w:r>
      <w:r>
        <w:t xml:space="preserve"> in Box A.1.</w:t>
      </w:r>
    </w:p>
    <w:p w14:paraId="6AB15C84" w14:textId="77777777" w:rsidR="00516470" w:rsidRPr="00994AD9" w:rsidRDefault="00516470" w:rsidP="00516470">
      <w:pPr>
        <w:keepNext/>
        <w:spacing w:before="180" w:after="60"/>
        <w:rPr>
          <w:rFonts w:ascii="Calibri Light" w:hAnsi="Calibri Light" w:cs="Arial"/>
          <w:b/>
          <w:color w:val="26664E" w:themeColor="accent1"/>
          <w:spacing w:val="-2"/>
          <w:sz w:val="24"/>
          <w:szCs w:val="20"/>
          <w:lang w:val="en-US"/>
        </w:rPr>
      </w:pPr>
      <w:r w:rsidRPr="00994AD9">
        <w:rPr>
          <w:rFonts w:ascii="Calibri Light" w:hAnsi="Calibri Light" w:cs="Arial"/>
          <w:b/>
          <w:color w:val="26664E" w:themeColor="accent1"/>
          <w:spacing w:val="-2"/>
          <w:sz w:val="24"/>
          <w:szCs w:val="20"/>
          <w:lang w:val="en-US"/>
        </w:rPr>
        <w:t>Box A.1: Emerging risks to Victoria’s fiscal outlook as identified by VAGO, November 2023</w:t>
      </w:r>
    </w:p>
    <w:p w14:paraId="31371D74" w14:textId="1CF35968" w:rsidR="00516470" w:rsidRPr="00FC6EA6" w:rsidRDefault="00516470" w:rsidP="00516470">
      <w:pPr>
        <w:spacing w:after="0"/>
        <w:rPr>
          <w:rFonts w:ascii="Calibri Light" w:hAnsi="Calibri Light"/>
          <w:color w:val="000000" w:themeColor="text1"/>
          <w:sz w:val="18"/>
          <w:szCs w:val="20"/>
        </w:rPr>
      </w:pPr>
      <w:r w:rsidRPr="00FC6EA6">
        <w:rPr>
          <w:rFonts w:ascii="Calibri Light" w:hAnsi="Calibri Light"/>
          <w:noProof/>
          <w:color w:val="000000" w:themeColor="text1"/>
          <w:sz w:val="18"/>
          <w:szCs w:val="20"/>
        </w:rPr>
        <mc:AlternateContent>
          <mc:Choice Requires="wps">
            <w:drawing>
              <wp:inline distT="0" distB="0" distL="0" distR="0" wp14:anchorId="78392603" wp14:editId="0A440E5E">
                <wp:extent cx="5429250" cy="5164532"/>
                <wp:effectExtent l="0" t="0" r="19050" b="17145"/>
                <wp:docPr id="119326458" name="Text Box 119326458"/>
                <wp:cNvGraphicFramePr/>
                <a:graphic xmlns:a="http://schemas.openxmlformats.org/drawingml/2006/main">
                  <a:graphicData uri="http://schemas.microsoft.com/office/word/2010/wordprocessingShape">
                    <wps:wsp>
                      <wps:cNvSpPr txBox="1"/>
                      <wps:spPr>
                        <a:xfrm>
                          <a:off x="0" y="0"/>
                          <a:ext cx="5429250" cy="5164532"/>
                        </a:xfrm>
                        <a:prstGeom prst="rect">
                          <a:avLst/>
                        </a:prstGeom>
                        <a:solidFill>
                          <a:schemeClr val="bg1"/>
                        </a:solidFill>
                        <a:ln w="19050">
                          <a:solidFill>
                            <a:srgbClr val="148A5D"/>
                          </a:solidFill>
                        </a:ln>
                      </wps:spPr>
                      <wps:txbx>
                        <w:txbxContent>
                          <w:p w14:paraId="74F28DFE" w14:textId="77777777" w:rsidR="00516470" w:rsidRPr="007A0ABD" w:rsidRDefault="00516470" w:rsidP="00516470">
                            <w:pPr>
                              <w:pStyle w:val="Bulletsinatable"/>
                              <w:numPr>
                                <w:ilvl w:val="0"/>
                                <w:numId w:val="0"/>
                              </w:numPr>
                              <w:spacing w:before="120" w:after="120"/>
                              <w:rPr>
                                <w:rFonts w:cs="Calibri Light"/>
                                <w:b/>
                                <w:bCs w:val="0"/>
                              </w:rPr>
                            </w:pPr>
                            <w:r w:rsidRPr="007A0ABD">
                              <w:rPr>
                                <w:rFonts w:cs="Calibri Light"/>
                                <w:noProof/>
                              </w:rPr>
                              <w:drawing>
                                <wp:inline distT="0" distB="0" distL="0" distR="0" wp14:anchorId="3CAC7EAB" wp14:editId="40844847">
                                  <wp:extent cx="323385" cy="323385"/>
                                  <wp:effectExtent l="0" t="0" r="635" b="0"/>
                                  <wp:docPr id="1179895300" name="Graphic 15" descr="Users with solid fill">
                                    <a:extLst xmlns:a="http://schemas.openxmlformats.org/drawingml/2006/main">
                                      <a:ext uri="{FF2B5EF4-FFF2-40B4-BE49-F238E27FC236}">
                                        <a16:creationId xmlns:a16="http://schemas.microsoft.com/office/drawing/2014/main" id="{486FBEAE-7D1F-DCBA-9B2A-C8525A8F0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Users with solid fill">
                                            <a:extLst>
                                              <a:ext uri="{FF2B5EF4-FFF2-40B4-BE49-F238E27FC236}">
                                                <a16:creationId xmlns:a16="http://schemas.microsoft.com/office/drawing/2014/main" id="{486FBEAE-7D1F-DCBA-9B2A-C8525A8F028A}"/>
                                              </a:ext>
                                            </a:extLst>
                                          </pic:cNvPr>
                                          <pic:cNvPicPr>
                                            <a:picLocks noChangeAspect="1"/>
                                          </pic:cNvPicPr>
                                        </pic:nvPicPr>
                                        <pic:blipFill>
                                          <a:blip r:embed="rId42">
                                            <a:extLst>
                                              <a:ext uri="{96DAC541-7B7A-43D3-8B79-37D633B846F1}">
                                                <asvg:svgBlip xmlns:asvg="http://schemas.microsoft.com/office/drawing/2016/SVG/main" r:embed="rId43"/>
                                              </a:ext>
                                            </a:extLst>
                                          </a:blip>
                                          <a:stretch>
                                            <a:fillRect/>
                                          </a:stretch>
                                        </pic:blipFill>
                                        <pic:spPr>
                                          <a:xfrm>
                                            <a:off x="0" y="0"/>
                                            <a:ext cx="323385" cy="323385"/>
                                          </a:xfrm>
                                          <a:prstGeom prst="rect">
                                            <a:avLst/>
                                          </a:prstGeom>
                                        </pic:spPr>
                                      </pic:pic>
                                    </a:graphicData>
                                  </a:graphic>
                                </wp:inline>
                              </w:drawing>
                            </w:r>
                            <w:r w:rsidRPr="007A0ABD">
                              <w:rPr>
                                <w:rFonts w:cs="Calibri Light"/>
                                <w:b/>
                                <w:bCs w:val="0"/>
                              </w:rPr>
                              <w:t xml:space="preserve">  </w:t>
                            </w:r>
                            <w:r w:rsidRPr="007A0ABD">
                              <w:rPr>
                                <w:rFonts w:cs="Calibri Light"/>
                                <w:b/>
                                <w:bCs w:val="0"/>
                                <w:color w:val="26664E" w:themeColor="accent1"/>
                              </w:rPr>
                              <w:t>Employee expenses</w:t>
                            </w:r>
                          </w:p>
                          <w:p w14:paraId="183E46B5" w14:textId="425DA465" w:rsidR="00516470" w:rsidRPr="007A0ABD" w:rsidRDefault="00516470" w:rsidP="00516470">
                            <w:pPr>
                              <w:pStyle w:val="Bulletsinatable"/>
                              <w:rPr>
                                <w:rFonts w:cs="Calibri Light"/>
                              </w:rPr>
                            </w:pPr>
                            <w:r w:rsidRPr="007A0ABD">
                              <w:rPr>
                                <w:rFonts w:cs="Calibri Light"/>
                              </w:rPr>
                              <w:t xml:space="preserve">Employee costs are the </w:t>
                            </w:r>
                            <w:r w:rsidR="005F19B6">
                              <w:rPr>
                                <w:rFonts w:cs="Calibri Light"/>
                              </w:rPr>
                              <w:t>S</w:t>
                            </w:r>
                            <w:r w:rsidRPr="007A0ABD">
                              <w:rPr>
                                <w:rFonts w:cs="Calibri Light"/>
                              </w:rPr>
                              <w:t>tate’s single largest operating expense, accounting for around 36</w:t>
                            </w:r>
                            <w:r w:rsidR="00C35AEE">
                              <w:rPr>
                                <w:rFonts w:cs="Calibri Light"/>
                              </w:rPr>
                              <w:t xml:space="preserve"> per cent</w:t>
                            </w:r>
                            <w:r w:rsidRPr="007A0ABD">
                              <w:rPr>
                                <w:rFonts w:cs="Calibri Light"/>
                              </w:rPr>
                              <w:t xml:space="preserve"> of general government sector expenditure in 2022-23.</w:t>
                            </w:r>
                          </w:p>
                          <w:p w14:paraId="282B43EE" w14:textId="77FF0190" w:rsidR="00516470" w:rsidRPr="007A0ABD" w:rsidRDefault="00516470" w:rsidP="00516470">
                            <w:pPr>
                              <w:pStyle w:val="Bulletsinatable"/>
                              <w:rPr>
                                <w:rFonts w:cs="Calibri Light"/>
                              </w:rPr>
                            </w:pPr>
                            <w:r w:rsidRPr="007A0ABD">
                              <w:rPr>
                                <w:rFonts w:cs="Calibri Light"/>
                              </w:rPr>
                              <w:t>Employee costs increased by 45</w:t>
                            </w:r>
                            <w:r w:rsidR="0091409E">
                              <w:rPr>
                                <w:rFonts w:cs="Calibri Light"/>
                              </w:rPr>
                              <w:t xml:space="preserve"> per cent</w:t>
                            </w:r>
                            <w:r w:rsidRPr="007A0ABD">
                              <w:rPr>
                                <w:rFonts w:cs="Calibri Light"/>
                              </w:rPr>
                              <w:t xml:space="preserve"> between 2017</w:t>
                            </w:r>
                            <w:r w:rsidR="00FE774B">
                              <w:rPr>
                                <w:rFonts w:cs="Calibri Light"/>
                              </w:rPr>
                              <w:t>-</w:t>
                            </w:r>
                            <w:r w:rsidRPr="007A0ABD">
                              <w:rPr>
                                <w:rFonts w:cs="Calibri Light"/>
                              </w:rPr>
                              <w:t>18 and 2022</w:t>
                            </w:r>
                            <w:r w:rsidR="00FE774B">
                              <w:rPr>
                                <w:rFonts w:cs="Calibri Light"/>
                              </w:rPr>
                              <w:t>-</w:t>
                            </w:r>
                            <w:r w:rsidRPr="007A0ABD">
                              <w:rPr>
                                <w:rFonts w:cs="Calibri Light"/>
                              </w:rPr>
                              <w:t>23.</w:t>
                            </w:r>
                          </w:p>
                          <w:p w14:paraId="1ED9C174" w14:textId="77777777" w:rsidR="00516470" w:rsidRPr="007A0ABD" w:rsidRDefault="00516470" w:rsidP="00516470">
                            <w:pPr>
                              <w:pStyle w:val="Bulletsinatable"/>
                              <w:rPr>
                                <w:rFonts w:cs="Calibri Light"/>
                              </w:rPr>
                            </w:pPr>
                            <w:r w:rsidRPr="007A0ABD">
                              <w:rPr>
                                <w:rFonts w:cs="Calibri Light"/>
                              </w:rPr>
                              <w:t>The government determined that workforce transition, including staff reductions, is required to achieve its targeted cost reductions. If these initiatives are not implemented and realised as planned, future employee expenses may be greater than estimated.</w:t>
                            </w:r>
                          </w:p>
                          <w:p w14:paraId="22DF3744" w14:textId="77777777" w:rsidR="00516470" w:rsidRPr="007A0ABD" w:rsidRDefault="00516470" w:rsidP="00516470">
                            <w:pPr>
                              <w:pStyle w:val="Bulletsinatable"/>
                              <w:rPr>
                                <w:rFonts w:cs="Calibri Light"/>
                              </w:rPr>
                            </w:pPr>
                            <w:r w:rsidRPr="007A0ABD">
                              <w:rPr>
                                <w:rFonts w:cs="Calibri Light"/>
                              </w:rPr>
                              <w:t>The prevailing economic environment of high inflation, a tight labour market and high wages growth may compound the challenge.</w:t>
                            </w:r>
                          </w:p>
                          <w:p w14:paraId="6857E10D" w14:textId="77777777" w:rsidR="00516470" w:rsidRPr="007A0ABD" w:rsidRDefault="00516470" w:rsidP="00516470">
                            <w:pPr>
                              <w:pStyle w:val="Bulletsinatable"/>
                              <w:numPr>
                                <w:ilvl w:val="0"/>
                                <w:numId w:val="0"/>
                              </w:numPr>
                              <w:spacing w:before="120" w:after="120"/>
                              <w:ind w:left="357" w:hanging="357"/>
                              <w:rPr>
                                <w:rFonts w:cs="Calibri Light"/>
                                <w:b/>
                                <w:bCs w:val="0"/>
                              </w:rPr>
                            </w:pPr>
                            <w:r w:rsidRPr="007A0ABD">
                              <w:rPr>
                                <w:rFonts w:cs="Calibri Light"/>
                                <w:b/>
                                <w:bCs w:val="0"/>
                                <w:noProof/>
                              </w:rPr>
                              <w:drawing>
                                <wp:inline distT="0" distB="0" distL="0" distR="0" wp14:anchorId="2DD5A3AF" wp14:editId="77F54CE2">
                                  <wp:extent cx="308517" cy="308517"/>
                                  <wp:effectExtent l="0" t="0" r="0" b="0"/>
                                  <wp:docPr id="21" name="Graphic 20" descr="Loan with solid fill">
                                    <a:extLst xmlns:a="http://schemas.openxmlformats.org/drawingml/2006/main">
                                      <a:ext uri="{FF2B5EF4-FFF2-40B4-BE49-F238E27FC236}">
                                        <a16:creationId xmlns:a16="http://schemas.microsoft.com/office/drawing/2014/main" id="{22AF83E2-CCFE-C05B-5078-6BEF502E2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Loan with solid fill">
                                            <a:extLst>
                                              <a:ext uri="{FF2B5EF4-FFF2-40B4-BE49-F238E27FC236}">
                                                <a16:creationId xmlns:a16="http://schemas.microsoft.com/office/drawing/2014/main" id="{22AF83E2-CCFE-C05B-5078-6BEF502E2015}"/>
                                              </a:ext>
                                            </a:extLst>
                                          </pic:cNvPr>
                                          <pic:cNvPicPr>
                                            <a:picLocks noChangeAspect="1"/>
                                          </pic:cNvPicPr>
                                        </pic:nvPicPr>
                                        <pic:blipFill>
                                          <a:blip r:embed="rId44">
                                            <a:extLst>
                                              <a:ext uri="{96DAC541-7B7A-43D3-8B79-37D633B846F1}">
                                                <asvg:svgBlip xmlns:asvg="http://schemas.microsoft.com/office/drawing/2016/SVG/main" r:embed="rId45"/>
                                              </a:ext>
                                            </a:extLst>
                                          </a:blip>
                                          <a:stretch>
                                            <a:fillRect/>
                                          </a:stretch>
                                        </pic:blipFill>
                                        <pic:spPr>
                                          <a:xfrm>
                                            <a:off x="0" y="0"/>
                                            <a:ext cx="308517" cy="308517"/>
                                          </a:xfrm>
                                          <a:prstGeom prst="rect">
                                            <a:avLst/>
                                          </a:prstGeom>
                                        </pic:spPr>
                                      </pic:pic>
                                    </a:graphicData>
                                  </a:graphic>
                                </wp:inline>
                              </w:drawing>
                            </w:r>
                            <w:r w:rsidRPr="007A0ABD">
                              <w:rPr>
                                <w:rFonts w:cs="Calibri Light"/>
                                <w:b/>
                                <w:bCs w:val="0"/>
                                <w:color w:val="26664E" w:themeColor="accent1"/>
                              </w:rPr>
                              <w:t xml:space="preserve">  Interest expenses</w:t>
                            </w:r>
                          </w:p>
                          <w:p w14:paraId="0E619627" w14:textId="77777777" w:rsidR="00516470" w:rsidRPr="007A0ABD" w:rsidRDefault="00516470" w:rsidP="00516470">
                            <w:pPr>
                              <w:pStyle w:val="Bulletsinatable"/>
                              <w:rPr>
                                <w:rFonts w:cs="Calibri Light"/>
                              </w:rPr>
                            </w:pPr>
                            <w:r w:rsidRPr="007A0ABD">
                              <w:rPr>
                                <w:rFonts w:cs="Calibri Light"/>
                              </w:rPr>
                              <w:t>Most of Victoria’s debt is fixed-rate debt issued at a low interest rate.</w:t>
                            </w:r>
                          </w:p>
                          <w:p w14:paraId="50CA1542" w14:textId="77777777" w:rsidR="00516470" w:rsidRPr="007A0ABD" w:rsidRDefault="00516470" w:rsidP="00516470">
                            <w:pPr>
                              <w:pStyle w:val="Bulletsinatable"/>
                              <w:rPr>
                                <w:rFonts w:cs="Calibri Light"/>
                              </w:rPr>
                            </w:pPr>
                            <w:r w:rsidRPr="007A0ABD">
                              <w:rPr>
                                <w:rFonts w:cs="Calibri Light"/>
                              </w:rPr>
                              <w:t>$39 billion of debt needs to be refinanced by June 2027, which will likely be at a significantly higher interest rate.</w:t>
                            </w:r>
                          </w:p>
                          <w:p w14:paraId="739E5C91" w14:textId="77777777" w:rsidR="00516470" w:rsidRPr="007A0ABD" w:rsidRDefault="00516470" w:rsidP="00516470">
                            <w:pPr>
                              <w:pStyle w:val="Bulletsinatable"/>
                              <w:rPr>
                                <w:rFonts w:cs="Calibri Light"/>
                              </w:rPr>
                            </w:pPr>
                            <w:r w:rsidRPr="007A0ABD">
                              <w:rPr>
                                <w:rFonts w:cs="Calibri Light"/>
                              </w:rPr>
                              <w:t>Interest expenses on new and refinanced debt are expected to increase significantly over the coming years, from $1.6 billion in 2023-24 to $5.5 billion in 2026-27.</w:t>
                            </w:r>
                          </w:p>
                          <w:p w14:paraId="1D520D7B" w14:textId="77777777" w:rsidR="00516470" w:rsidRPr="007A0ABD" w:rsidRDefault="00516470" w:rsidP="00516470">
                            <w:pPr>
                              <w:pStyle w:val="Bulletsinatable"/>
                              <w:numPr>
                                <w:ilvl w:val="0"/>
                                <w:numId w:val="0"/>
                              </w:numPr>
                              <w:spacing w:before="120" w:after="120"/>
                              <w:ind w:left="357" w:hanging="357"/>
                              <w:rPr>
                                <w:rFonts w:cs="Calibri Light"/>
                                <w:b/>
                                <w:bCs w:val="0"/>
                              </w:rPr>
                            </w:pPr>
                            <w:r w:rsidRPr="007A0ABD">
                              <w:rPr>
                                <w:rFonts w:cs="Calibri Light"/>
                                <w:b/>
                                <w:bCs w:val="0"/>
                                <w:noProof/>
                              </w:rPr>
                              <w:drawing>
                                <wp:inline distT="0" distB="0" distL="0" distR="0" wp14:anchorId="189371EA" wp14:editId="6B85E291">
                                  <wp:extent cx="292380" cy="343413"/>
                                  <wp:effectExtent l="0" t="0" r="0" b="0"/>
                                  <wp:docPr id="967688160" name="Graphic 29" descr="Cement truck with solid fill">
                                    <a:extLst xmlns:a="http://schemas.openxmlformats.org/drawingml/2006/main">
                                      <a:ext uri="{FF2B5EF4-FFF2-40B4-BE49-F238E27FC236}">
                                        <a16:creationId xmlns:a16="http://schemas.microsoft.com/office/drawing/2014/main" id="{AA3D20AD-35B3-A817-6690-E31415888F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29" descr="Cement truck with solid fill">
                                            <a:extLst>
                                              <a:ext uri="{FF2B5EF4-FFF2-40B4-BE49-F238E27FC236}">
                                                <a16:creationId xmlns:a16="http://schemas.microsoft.com/office/drawing/2014/main" id="{AA3D20AD-35B3-A817-6690-E31415888F9C}"/>
                                              </a:ext>
                                            </a:extLst>
                                          </pic:cNvPr>
                                          <pic:cNvPicPr>
                                            <a:picLocks noChangeAspect="1"/>
                                          </pic:cNvPicPr>
                                        </pic:nvPicPr>
                                        <pic:blipFill>
                                          <a:blip r:embed="rId46">
                                            <a:extLst>
                                              <a:ext uri="{96DAC541-7B7A-43D3-8B79-37D633B846F1}">
                                                <asvg:svgBlip xmlns:asvg="http://schemas.microsoft.com/office/drawing/2016/SVG/main" r:embed="rId47"/>
                                              </a:ext>
                                            </a:extLst>
                                          </a:blip>
                                          <a:stretch>
                                            <a:fillRect/>
                                          </a:stretch>
                                        </pic:blipFill>
                                        <pic:spPr>
                                          <a:xfrm>
                                            <a:off x="0" y="0"/>
                                            <a:ext cx="292380" cy="343413"/>
                                          </a:xfrm>
                                          <a:prstGeom prst="rect">
                                            <a:avLst/>
                                          </a:prstGeom>
                                        </pic:spPr>
                                      </pic:pic>
                                    </a:graphicData>
                                  </a:graphic>
                                </wp:inline>
                              </w:drawing>
                            </w:r>
                            <w:r w:rsidRPr="007A0ABD">
                              <w:rPr>
                                <w:rFonts w:cs="Calibri Light"/>
                                <w:b/>
                                <w:bCs w:val="0"/>
                                <w:color w:val="26664E" w:themeColor="accent1"/>
                              </w:rPr>
                              <w:t xml:space="preserve">  Infrastructure spending</w:t>
                            </w:r>
                          </w:p>
                          <w:p w14:paraId="6FDBE340" w14:textId="408D8E29" w:rsidR="00516470" w:rsidRPr="007A0ABD" w:rsidRDefault="00516470" w:rsidP="00516470">
                            <w:pPr>
                              <w:pStyle w:val="Bulletsinatable"/>
                              <w:rPr>
                                <w:rFonts w:cs="Calibri Light"/>
                              </w:rPr>
                            </w:pPr>
                            <w:r w:rsidRPr="007A0ABD">
                              <w:rPr>
                                <w:rFonts w:cs="Calibri Light"/>
                              </w:rPr>
                              <w:t>As at November 2023, the total estimated investment (TEI) of 89 existing and completed major capital projects had increased by $11 billion (11</w:t>
                            </w:r>
                            <w:r w:rsidR="00C35AEE">
                              <w:rPr>
                                <w:rFonts w:cs="Calibri Light"/>
                              </w:rPr>
                              <w:t xml:space="preserve"> per cent</w:t>
                            </w:r>
                            <w:r w:rsidRPr="007A0ABD">
                              <w:rPr>
                                <w:rFonts w:cs="Calibri Light"/>
                              </w:rPr>
                              <w:t>).</w:t>
                            </w:r>
                          </w:p>
                          <w:p w14:paraId="61A9F799" w14:textId="77777777" w:rsidR="00516470" w:rsidRPr="007A0ABD" w:rsidRDefault="00516470" w:rsidP="00516470">
                            <w:pPr>
                              <w:pStyle w:val="Bulletsinatable"/>
                              <w:rPr>
                                <w:rFonts w:cs="Calibri Light"/>
                              </w:rPr>
                            </w:pPr>
                            <w:r w:rsidRPr="007A0ABD">
                              <w:rPr>
                                <w:rFonts w:cs="Calibri Light"/>
                              </w:rPr>
                              <w:t>Of the 101 new, existing or completed projects analysed by VAGO:</w:t>
                            </w:r>
                          </w:p>
                          <w:p w14:paraId="508C9168" w14:textId="0EABA550" w:rsidR="00516470" w:rsidRPr="007A0ABD" w:rsidRDefault="00516470" w:rsidP="00516470">
                            <w:pPr>
                              <w:pStyle w:val="Bulletsinatable"/>
                              <w:numPr>
                                <w:ilvl w:val="1"/>
                                <w:numId w:val="1"/>
                              </w:numPr>
                              <w:rPr>
                                <w:rFonts w:cs="Calibri Light"/>
                              </w:rPr>
                            </w:pPr>
                            <w:r w:rsidRPr="007A0ABD">
                              <w:rPr>
                                <w:rFonts w:cs="Calibri Light"/>
                              </w:rPr>
                              <w:t>28 projects had a TEI increase of more than 10</w:t>
                            </w:r>
                            <w:r w:rsidR="00ED11A2">
                              <w:rPr>
                                <w:rFonts w:cs="Calibri Light"/>
                              </w:rPr>
                              <w:t xml:space="preserve"> per cent</w:t>
                            </w:r>
                          </w:p>
                          <w:p w14:paraId="3BB3210B" w14:textId="67E05DD0" w:rsidR="00516470" w:rsidRPr="007A0ABD" w:rsidRDefault="00516470" w:rsidP="00516470">
                            <w:pPr>
                              <w:pStyle w:val="Bulletsinatable"/>
                              <w:numPr>
                                <w:ilvl w:val="1"/>
                                <w:numId w:val="1"/>
                              </w:numPr>
                              <w:rPr>
                                <w:rFonts w:cs="Calibri Light"/>
                              </w:rPr>
                            </w:pPr>
                            <w:r w:rsidRPr="007A0ABD">
                              <w:rPr>
                                <w:rFonts w:cs="Calibri Light"/>
                              </w:rPr>
                              <w:t>12 projects had a TEI increase of more than 50</w:t>
                            </w:r>
                            <w:r w:rsidR="00ED11A2">
                              <w:rPr>
                                <w:rFonts w:cs="Calibri Light"/>
                              </w:rPr>
                              <w:t xml:space="preserve"> per cent</w:t>
                            </w:r>
                            <w:r w:rsidRPr="007A0ABD">
                              <w:rPr>
                                <w:rFonts w:cs="Calibri Light"/>
                              </w:rPr>
                              <w:t>.</w:t>
                            </w:r>
                          </w:p>
                          <w:p w14:paraId="620769CD" w14:textId="77777777" w:rsidR="00516470" w:rsidRPr="007A0ABD" w:rsidRDefault="00516470" w:rsidP="00516470">
                            <w:pPr>
                              <w:pStyle w:val="Bulletsinatable"/>
                              <w:rPr>
                                <w:rFonts w:cs="Calibri Light"/>
                              </w:rPr>
                            </w:pPr>
                            <w:r w:rsidRPr="007A0ABD">
                              <w:rPr>
                                <w:rFonts w:cs="Calibri Light"/>
                              </w:rPr>
                              <w:t>VAGO noted that further TEI increases would lead to more unplanned debt unless the government’s capital program was curtailed.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392603" id="Text Box 119326458" o:spid="_x0000_s1028" type="#_x0000_t202" style="width:427.5pt;height:4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" fillcolor="white [3212]" strokecolor="#148a5d" strokeweight="1.5pt">
                <v:textbox>
                  <w:txbxContent>
                    <w:p w14:paraId="74F28DFE" w14:textId="77777777" w:rsidR="00516470" w:rsidRPr="007A0ABD" w:rsidRDefault="00516470" w:rsidP="00516470">
                      <w:pPr>
                        <w:pStyle w:val="Bulletsinatable"/>
                        <w:numPr>
                          <w:ilvl w:val="0"/>
                          <w:numId w:val="0"/>
                        </w:numPr>
                        <w:spacing w:before="120" w:after="120"/>
                        <w:rPr>
                          <w:rFonts w:cs="Calibri Light"/>
                          <w:b/>
                          <w:bCs w:val="0"/>
                        </w:rPr>
                      </w:pPr>
                      <w:r w:rsidRPr="007A0ABD">
                        <w:rPr>
                          <w:rFonts w:cs="Calibri Light"/>
                          <w:noProof/>
                        </w:rPr>
                        <w:drawing>
                          <wp:inline distT="0" distB="0" distL="0" distR="0" wp14:anchorId="3CAC7EAB" wp14:editId="40844847">
                            <wp:extent cx="323385" cy="323385"/>
                            <wp:effectExtent l="0" t="0" r="635" b="0"/>
                            <wp:docPr id="1179895300" name="Graphic 15" descr="Users with solid fill">
                              <a:extLst xmlns:a="http://schemas.openxmlformats.org/drawingml/2006/main">
                                <a:ext uri="{FF2B5EF4-FFF2-40B4-BE49-F238E27FC236}">
                                  <a16:creationId xmlns:a16="http://schemas.microsoft.com/office/drawing/2014/main" id="{486FBEAE-7D1F-DCBA-9B2A-C8525A8F0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Users with solid fill">
                                      <a:extLst>
                                        <a:ext uri="{FF2B5EF4-FFF2-40B4-BE49-F238E27FC236}">
                                          <a16:creationId xmlns:a16="http://schemas.microsoft.com/office/drawing/2014/main" id="{486FBEAE-7D1F-DCBA-9B2A-C8525A8F028A}"/>
                                        </a:ext>
                                      </a:extLst>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a:off x="0" y="0"/>
                                      <a:ext cx="323385" cy="323385"/>
                                    </a:xfrm>
                                    <a:prstGeom prst="rect">
                                      <a:avLst/>
                                    </a:prstGeom>
                                  </pic:spPr>
                                </pic:pic>
                              </a:graphicData>
                            </a:graphic>
                          </wp:inline>
                        </w:drawing>
                      </w:r>
                      <w:r w:rsidRPr="007A0ABD">
                        <w:rPr>
                          <w:rFonts w:cs="Calibri Light"/>
                          <w:b/>
                          <w:bCs w:val="0"/>
                        </w:rPr>
                        <w:t xml:space="preserve">  </w:t>
                      </w:r>
                      <w:r w:rsidRPr="007A0ABD">
                        <w:rPr>
                          <w:rFonts w:cs="Calibri Light"/>
                          <w:b/>
                          <w:bCs w:val="0"/>
                          <w:color w:val="26664E" w:themeColor="accent1"/>
                        </w:rPr>
                        <w:t>Employee expenses</w:t>
                      </w:r>
                    </w:p>
                    <w:p w14:paraId="183E46B5" w14:textId="425DA465" w:rsidR="00516470" w:rsidRPr="007A0ABD" w:rsidRDefault="00516470" w:rsidP="00516470">
                      <w:pPr>
                        <w:pStyle w:val="Bulletsinatable"/>
                        <w:rPr>
                          <w:rFonts w:cs="Calibri Light"/>
                        </w:rPr>
                      </w:pPr>
                      <w:r w:rsidRPr="007A0ABD">
                        <w:rPr>
                          <w:rFonts w:cs="Calibri Light"/>
                        </w:rPr>
                        <w:t xml:space="preserve">Employee costs are the </w:t>
                      </w:r>
                      <w:r w:rsidR="005F19B6">
                        <w:rPr>
                          <w:rFonts w:cs="Calibri Light"/>
                        </w:rPr>
                        <w:t>S</w:t>
                      </w:r>
                      <w:r w:rsidRPr="007A0ABD">
                        <w:rPr>
                          <w:rFonts w:cs="Calibri Light"/>
                        </w:rPr>
                        <w:t>tate’s single largest operating expense, accounting for around 36</w:t>
                      </w:r>
                      <w:r w:rsidR="00C35AEE">
                        <w:rPr>
                          <w:rFonts w:cs="Calibri Light"/>
                        </w:rPr>
                        <w:t xml:space="preserve"> per cent</w:t>
                      </w:r>
                      <w:r w:rsidRPr="007A0ABD">
                        <w:rPr>
                          <w:rFonts w:cs="Calibri Light"/>
                        </w:rPr>
                        <w:t xml:space="preserve"> of general government sector expenditure in 2022-23.</w:t>
                      </w:r>
                    </w:p>
                    <w:p w14:paraId="282B43EE" w14:textId="77FF0190" w:rsidR="00516470" w:rsidRPr="007A0ABD" w:rsidRDefault="00516470" w:rsidP="00516470">
                      <w:pPr>
                        <w:pStyle w:val="Bulletsinatable"/>
                        <w:rPr>
                          <w:rFonts w:cs="Calibri Light"/>
                        </w:rPr>
                      </w:pPr>
                      <w:r w:rsidRPr="007A0ABD">
                        <w:rPr>
                          <w:rFonts w:cs="Calibri Light"/>
                        </w:rPr>
                        <w:t>Employee costs increased by 45</w:t>
                      </w:r>
                      <w:r w:rsidR="0091409E">
                        <w:rPr>
                          <w:rFonts w:cs="Calibri Light"/>
                        </w:rPr>
                        <w:t xml:space="preserve"> per cent</w:t>
                      </w:r>
                      <w:r w:rsidRPr="007A0ABD">
                        <w:rPr>
                          <w:rFonts w:cs="Calibri Light"/>
                        </w:rPr>
                        <w:t xml:space="preserve"> between 2017</w:t>
                      </w:r>
                      <w:r w:rsidR="00FE774B">
                        <w:rPr>
                          <w:rFonts w:cs="Calibri Light"/>
                        </w:rPr>
                        <w:t>-</w:t>
                      </w:r>
                      <w:r w:rsidRPr="007A0ABD">
                        <w:rPr>
                          <w:rFonts w:cs="Calibri Light"/>
                        </w:rPr>
                        <w:t>18 and 2022</w:t>
                      </w:r>
                      <w:r w:rsidR="00FE774B">
                        <w:rPr>
                          <w:rFonts w:cs="Calibri Light"/>
                        </w:rPr>
                        <w:t>-</w:t>
                      </w:r>
                      <w:r w:rsidRPr="007A0ABD">
                        <w:rPr>
                          <w:rFonts w:cs="Calibri Light"/>
                        </w:rPr>
                        <w:t>23.</w:t>
                      </w:r>
                    </w:p>
                    <w:p w14:paraId="1ED9C174" w14:textId="77777777" w:rsidR="00516470" w:rsidRPr="007A0ABD" w:rsidRDefault="00516470" w:rsidP="00516470">
                      <w:pPr>
                        <w:pStyle w:val="Bulletsinatable"/>
                        <w:rPr>
                          <w:rFonts w:cs="Calibri Light"/>
                        </w:rPr>
                      </w:pPr>
                      <w:r w:rsidRPr="007A0ABD">
                        <w:rPr>
                          <w:rFonts w:cs="Calibri Light"/>
                        </w:rPr>
                        <w:t>The government determined that workforce transition, including staff reductions, is required to achieve its targeted cost reductions. If these initiatives are not implemented and realised as planned, future employee expenses may be greater than estimated.</w:t>
                      </w:r>
                    </w:p>
                    <w:p w14:paraId="22DF3744" w14:textId="77777777" w:rsidR="00516470" w:rsidRPr="007A0ABD" w:rsidRDefault="00516470" w:rsidP="00516470">
                      <w:pPr>
                        <w:pStyle w:val="Bulletsinatable"/>
                        <w:rPr>
                          <w:rFonts w:cs="Calibri Light"/>
                        </w:rPr>
                      </w:pPr>
                      <w:r w:rsidRPr="007A0ABD">
                        <w:rPr>
                          <w:rFonts w:cs="Calibri Light"/>
                        </w:rPr>
                        <w:t>The prevailing economic environment of high inflation, a tight labour market and high wages growth may compound the challenge.</w:t>
                      </w:r>
                    </w:p>
                    <w:p w14:paraId="6857E10D" w14:textId="77777777" w:rsidR="00516470" w:rsidRPr="007A0ABD" w:rsidRDefault="00516470" w:rsidP="00516470">
                      <w:pPr>
                        <w:pStyle w:val="Bulletsinatable"/>
                        <w:numPr>
                          <w:ilvl w:val="0"/>
                          <w:numId w:val="0"/>
                        </w:numPr>
                        <w:spacing w:before="120" w:after="120"/>
                        <w:ind w:left="357" w:hanging="357"/>
                        <w:rPr>
                          <w:rFonts w:cs="Calibri Light"/>
                          <w:b/>
                          <w:bCs w:val="0"/>
                        </w:rPr>
                      </w:pPr>
                      <w:r w:rsidRPr="007A0ABD">
                        <w:rPr>
                          <w:rFonts w:cs="Calibri Light"/>
                          <w:b/>
                          <w:bCs w:val="0"/>
                          <w:noProof/>
                        </w:rPr>
                        <w:drawing>
                          <wp:inline distT="0" distB="0" distL="0" distR="0" wp14:anchorId="2DD5A3AF" wp14:editId="77F54CE2">
                            <wp:extent cx="308517" cy="308517"/>
                            <wp:effectExtent l="0" t="0" r="0" b="0"/>
                            <wp:docPr id="21" name="Graphic 20" descr="Loan with solid fill">
                              <a:extLst xmlns:a="http://schemas.openxmlformats.org/drawingml/2006/main">
                                <a:ext uri="{FF2B5EF4-FFF2-40B4-BE49-F238E27FC236}">
                                  <a16:creationId xmlns:a16="http://schemas.microsoft.com/office/drawing/2014/main" id="{22AF83E2-CCFE-C05B-5078-6BEF502E2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Loan with solid fill">
                                      <a:extLst>
                                        <a:ext uri="{FF2B5EF4-FFF2-40B4-BE49-F238E27FC236}">
                                          <a16:creationId xmlns:a16="http://schemas.microsoft.com/office/drawing/2014/main" id="{22AF83E2-CCFE-C05B-5078-6BEF502E2015}"/>
                                        </a:ext>
                                      </a:extLst>
                                    </pic:cNvPr>
                                    <pic:cNvPicPr>
                                      <a:picLocks noChangeAspect="1"/>
                                    </pic:cNvPicPr>
                                  </pic:nvPicPr>
                                  <pic:blipFill>
                                    <a:blip r:embed="rId50">
                                      <a:extLst>
                                        <a:ext uri="{96DAC541-7B7A-43D3-8B79-37D633B846F1}">
                                          <asvg:svgBlip xmlns:asvg="http://schemas.microsoft.com/office/drawing/2016/SVG/main" r:embed="rId51"/>
                                        </a:ext>
                                      </a:extLst>
                                    </a:blip>
                                    <a:stretch>
                                      <a:fillRect/>
                                    </a:stretch>
                                  </pic:blipFill>
                                  <pic:spPr>
                                    <a:xfrm>
                                      <a:off x="0" y="0"/>
                                      <a:ext cx="308517" cy="308517"/>
                                    </a:xfrm>
                                    <a:prstGeom prst="rect">
                                      <a:avLst/>
                                    </a:prstGeom>
                                  </pic:spPr>
                                </pic:pic>
                              </a:graphicData>
                            </a:graphic>
                          </wp:inline>
                        </w:drawing>
                      </w:r>
                      <w:r w:rsidRPr="007A0ABD">
                        <w:rPr>
                          <w:rFonts w:cs="Calibri Light"/>
                          <w:b/>
                          <w:bCs w:val="0"/>
                          <w:color w:val="26664E" w:themeColor="accent1"/>
                        </w:rPr>
                        <w:t xml:space="preserve">  Interest expenses</w:t>
                      </w:r>
                    </w:p>
                    <w:p w14:paraId="0E619627" w14:textId="77777777" w:rsidR="00516470" w:rsidRPr="007A0ABD" w:rsidRDefault="00516470" w:rsidP="00516470">
                      <w:pPr>
                        <w:pStyle w:val="Bulletsinatable"/>
                        <w:rPr>
                          <w:rFonts w:cs="Calibri Light"/>
                        </w:rPr>
                      </w:pPr>
                      <w:r w:rsidRPr="007A0ABD">
                        <w:rPr>
                          <w:rFonts w:cs="Calibri Light"/>
                        </w:rPr>
                        <w:t>Most of Victoria’s debt is fixed-rate debt issued at a low interest rate.</w:t>
                      </w:r>
                    </w:p>
                    <w:p w14:paraId="50CA1542" w14:textId="77777777" w:rsidR="00516470" w:rsidRPr="007A0ABD" w:rsidRDefault="00516470" w:rsidP="00516470">
                      <w:pPr>
                        <w:pStyle w:val="Bulletsinatable"/>
                        <w:rPr>
                          <w:rFonts w:cs="Calibri Light"/>
                        </w:rPr>
                      </w:pPr>
                      <w:r w:rsidRPr="007A0ABD">
                        <w:rPr>
                          <w:rFonts w:cs="Calibri Light"/>
                        </w:rPr>
                        <w:t>$39 billion of debt needs to be refinanced by June 2027, which will likely be at a significantly higher interest rate.</w:t>
                      </w:r>
                    </w:p>
                    <w:p w14:paraId="739E5C91" w14:textId="77777777" w:rsidR="00516470" w:rsidRPr="007A0ABD" w:rsidRDefault="00516470" w:rsidP="00516470">
                      <w:pPr>
                        <w:pStyle w:val="Bulletsinatable"/>
                        <w:rPr>
                          <w:rFonts w:cs="Calibri Light"/>
                        </w:rPr>
                      </w:pPr>
                      <w:r w:rsidRPr="007A0ABD">
                        <w:rPr>
                          <w:rFonts w:cs="Calibri Light"/>
                        </w:rPr>
                        <w:t>Interest expenses on new and refinanced debt are expected to increase significantly over the coming years, from $1.6 billion in 2023-24 to $5.5 billion in 2026-27.</w:t>
                      </w:r>
                    </w:p>
                    <w:p w14:paraId="1D520D7B" w14:textId="77777777" w:rsidR="00516470" w:rsidRPr="007A0ABD" w:rsidRDefault="00516470" w:rsidP="00516470">
                      <w:pPr>
                        <w:pStyle w:val="Bulletsinatable"/>
                        <w:numPr>
                          <w:ilvl w:val="0"/>
                          <w:numId w:val="0"/>
                        </w:numPr>
                        <w:spacing w:before="120" w:after="120"/>
                        <w:ind w:left="357" w:hanging="357"/>
                        <w:rPr>
                          <w:rFonts w:cs="Calibri Light"/>
                          <w:b/>
                          <w:bCs w:val="0"/>
                        </w:rPr>
                      </w:pPr>
                      <w:r w:rsidRPr="007A0ABD">
                        <w:rPr>
                          <w:rFonts w:cs="Calibri Light"/>
                          <w:b/>
                          <w:bCs w:val="0"/>
                          <w:noProof/>
                        </w:rPr>
                        <w:drawing>
                          <wp:inline distT="0" distB="0" distL="0" distR="0" wp14:anchorId="189371EA" wp14:editId="6B85E291">
                            <wp:extent cx="292380" cy="343413"/>
                            <wp:effectExtent l="0" t="0" r="0" b="0"/>
                            <wp:docPr id="967688160" name="Graphic 29" descr="Cement truck with solid fill">
                              <a:extLst xmlns:a="http://schemas.openxmlformats.org/drawingml/2006/main">
                                <a:ext uri="{FF2B5EF4-FFF2-40B4-BE49-F238E27FC236}">
                                  <a16:creationId xmlns:a16="http://schemas.microsoft.com/office/drawing/2014/main" id="{AA3D20AD-35B3-A817-6690-E31415888F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29" descr="Cement truck with solid fill">
                                      <a:extLst>
                                        <a:ext uri="{FF2B5EF4-FFF2-40B4-BE49-F238E27FC236}">
                                          <a16:creationId xmlns:a16="http://schemas.microsoft.com/office/drawing/2014/main" id="{AA3D20AD-35B3-A817-6690-E31415888F9C}"/>
                                        </a:ext>
                                      </a:extLst>
                                    </pic:cNvPr>
                                    <pic:cNvPicPr>
                                      <a:picLocks noChangeAspect="1"/>
                                    </pic:cNvPicPr>
                                  </pic:nvPicPr>
                                  <pic:blipFill>
                                    <a:blip r:embed="rId52">
                                      <a:extLst>
                                        <a:ext uri="{96DAC541-7B7A-43D3-8B79-37D633B846F1}">
                                          <asvg:svgBlip xmlns:asvg="http://schemas.microsoft.com/office/drawing/2016/SVG/main" r:embed="rId53"/>
                                        </a:ext>
                                      </a:extLst>
                                    </a:blip>
                                    <a:stretch>
                                      <a:fillRect/>
                                    </a:stretch>
                                  </pic:blipFill>
                                  <pic:spPr>
                                    <a:xfrm>
                                      <a:off x="0" y="0"/>
                                      <a:ext cx="292380" cy="343413"/>
                                    </a:xfrm>
                                    <a:prstGeom prst="rect">
                                      <a:avLst/>
                                    </a:prstGeom>
                                  </pic:spPr>
                                </pic:pic>
                              </a:graphicData>
                            </a:graphic>
                          </wp:inline>
                        </w:drawing>
                      </w:r>
                      <w:r w:rsidRPr="007A0ABD">
                        <w:rPr>
                          <w:rFonts w:cs="Calibri Light"/>
                          <w:b/>
                          <w:bCs w:val="0"/>
                          <w:color w:val="26664E" w:themeColor="accent1"/>
                        </w:rPr>
                        <w:t xml:space="preserve">  Infrastructure spending</w:t>
                      </w:r>
                    </w:p>
                    <w:p w14:paraId="6FDBE340" w14:textId="408D8E29" w:rsidR="00516470" w:rsidRPr="007A0ABD" w:rsidRDefault="00516470" w:rsidP="00516470">
                      <w:pPr>
                        <w:pStyle w:val="Bulletsinatable"/>
                        <w:rPr>
                          <w:rFonts w:cs="Calibri Light"/>
                        </w:rPr>
                      </w:pPr>
                      <w:r w:rsidRPr="007A0ABD">
                        <w:rPr>
                          <w:rFonts w:cs="Calibri Light"/>
                        </w:rPr>
                        <w:t xml:space="preserve">As </w:t>
                      </w:r>
                      <w:proofErr w:type="gramStart"/>
                      <w:r w:rsidRPr="007A0ABD">
                        <w:rPr>
                          <w:rFonts w:cs="Calibri Light"/>
                        </w:rPr>
                        <w:t>at</w:t>
                      </w:r>
                      <w:proofErr w:type="gramEnd"/>
                      <w:r w:rsidRPr="007A0ABD">
                        <w:rPr>
                          <w:rFonts w:cs="Calibri Light"/>
                        </w:rPr>
                        <w:t xml:space="preserve"> November 2023, the total estimated investment (TEI) of 89 existing and completed major capital projects had increased by $11 billion (11</w:t>
                      </w:r>
                      <w:r w:rsidR="00C35AEE">
                        <w:rPr>
                          <w:rFonts w:cs="Calibri Light"/>
                        </w:rPr>
                        <w:t xml:space="preserve"> per cent</w:t>
                      </w:r>
                      <w:r w:rsidRPr="007A0ABD">
                        <w:rPr>
                          <w:rFonts w:cs="Calibri Light"/>
                        </w:rPr>
                        <w:t>).</w:t>
                      </w:r>
                    </w:p>
                    <w:p w14:paraId="61A9F799" w14:textId="77777777" w:rsidR="00516470" w:rsidRPr="007A0ABD" w:rsidRDefault="00516470" w:rsidP="00516470">
                      <w:pPr>
                        <w:pStyle w:val="Bulletsinatable"/>
                        <w:rPr>
                          <w:rFonts w:cs="Calibri Light"/>
                        </w:rPr>
                      </w:pPr>
                      <w:r w:rsidRPr="007A0ABD">
                        <w:rPr>
                          <w:rFonts w:cs="Calibri Light"/>
                        </w:rPr>
                        <w:t xml:space="preserve">Of the 101 new, </w:t>
                      </w:r>
                      <w:proofErr w:type="gramStart"/>
                      <w:r w:rsidRPr="007A0ABD">
                        <w:rPr>
                          <w:rFonts w:cs="Calibri Light"/>
                        </w:rPr>
                        <w:t>existing</w:t>
                      </w:r>
                      <w:proofErr w:type="gramEnd"/>
                      <w:r w:rsidRPr="007A0ABD">
                        <w:rPr>
                          <w:rFonts w:cs="Calibri Light"/>
                        </w:rPr>
                        <w:t xml:space="preserve"> or completed projects analysed by VAGO:</w:t>
                      </w:r>
                    </w:p>
                    <w:p w14:paraId="508C9168" w14:textId="0EABA550" w:rsidR="00516470" w:rsidRPr="007A0ABD" w:rsidRDefault="00516470" w:rsidP="00516470">
                      <w:pPr>
                        <w:pStyle w:val="Bulletsinatable"/>
                        <w:numPr>
                          <w:ilvl w:val="1"/>
                          <w:numId w:val="1"/>
                        </w:numPr>
                        <w:rPr>
                          <w:rFonts w:cs="Calibri Light"/>
                        </w:rPr>
                      </w:pPr>
                      <w:r w:rsidRPr="007A0ABD">
                        <w:rPr>
                          <w:rFonts w:cs="Calibri Light"/>
                        </w:rPr>
                        <w:t>28 projects had a TEI increase of more than 10</w:t>
                      </w:r>
                      <w:r w:rsidR="00ED11A2">
                        <w:rPr>
                          <w:rFonts w:cs="Calibri Light"/>
                        </w:rPr>
                        <w:t xml:space="preserve"> per </w:t>
                      </w:r>
                      <w:proofErr w:type="gramStart"/>
                      <w:r w:rsidR="00ED11A2">
                        <w:rPr>
                          <w:rFonts w:cs="Calibri Light"/>
                        </w:rPr>
                        <w:t>cent</w:t>
                      </w:r>
                      <w:proofErr w:type="gramEnd"/>
                    </w:p>
                    <w:p w14:paraId="3BB3210B" w14:textId="67E05DD0" w:rsidR="00516470" w:rsidRPr="007A0ABD" w:rsidRDefault="00516470" w:rsidP="00516470">
                      <w:pPr>
                        <w:pStyle w:val="Bulletsinatable"/>
                        <w:numPr>
                          <w:ilvl w:val="1"/>
                          <w:numId w:val="1"/>
                        </w:numPr>
                        <w:rPr>
                          <w:rFonts w:cs="Calibri Light"/>
                        </w:rPr>
                      </w:pPr>
                      <w:r w:rsidRPr="007A0ABD">
                        <w:rPr>
                          <w:rFonts w:cs="Calibri Light"/>
                        </w:rPr>
                        <w:t>12 projects had a TEI increase of more than 50</w:t>
                      </w:r>
                      <w:r w:rsidR="00ED11A2">
                        <w:rPr>
                          <w:rFonts w:cs="Calibri Light"/>
                        </w:rPr>
                        <w:t xml:space="preserve"> per cent</w:t>
                      </w:r>
                      <w:r w:rsidRPr="007A0ABD">
                        <w:rPr>
                          <w:rFonts w:cs="Calibri Light"/>
                        </w:rPr>
                        <w:t>.</w:t>
                      </w:r>
                    </w:p>
                    <w:p w14:paraId="620769CD" w14:textId="77777777" w:rsidR="00516470" w:rsidRPr="007A0ABD" w:rsidRDefault="00516470" w:rsidP="00516470">
                      <w:pPr>
                        <w:pStyle w:val="Bulletsinatable"/>
                        <w:rPr>
                          <w:rFonts w:cs="Calibri Light"/>
                        </w:rPr>
                      </w:pPr>
                      <w:r w:rsidRPr="007A0ABD">
                        <w:rPr>
                          <w:rFonts w:cs="Calibri Light"/>
                        </w:rPr>
                        <w:t>VAGO noted that further TEI increases would lead to more unplanned debt unless the government’s capital program was curtailed.</w:t>
                      </w:r>
                    </w:p>
                  </w:txbxContent>
                </v:textbox>
                <w10:anchorlock/>
              </v:shape>
            </w:pict>
          </mc:Fallback>
        </mc:AlternateContent>
      </w:r>
      <w:r w:rsidRPr="002A25C6">
        <w:rPr>
          <w:rStyle w:val="09SourcesandnotesfortablesfiguresboxesChar"/>
        </w:rPr>
        <w:t>Source</w:t>
      </w:r>
      <w:r w:rsidR="005F19B6">
        <w:rPr>
          <w:rStyle w:val="09SourcesandnotesfortablesfiguresboxesChar"/>
        </w:rPr>
        <w:t>s</w:t>
      </w:r>
      <w:r w:rsidRPr="002A25C6">
        <w:rPr>
          <w:rStyle w:val="09SourcesandnotesfortablesfiguresboxesChar"/>
        </w:rPr>
        <w:t xml:space="preserve">: </w:t>
      </w:r>
      <w:r w:rsidR="00A73788" w:rsidRPr="002A25C6">
        <w:rPr>
          <w:rStyle w:val="09SourcesandnotesfortablesfiguresboxesChar"/>
        </w:rPr>
        <w:t>VAGO (2023</w:t>
      </w:r>
      <w:r w:rsidR="00ED11A2">
        <w:rPr>
          <w:rStyle w:val="09SourcesandnotesfortablesfiguresboxesChar"/>
        </w:rPr>
        <w:t>a</w:t>
      </w:r>
      <w:r w:rsidR="00A73788" w:rsidRPr="002A25C6">
        <w:rPr>
          <w:rStyle w:val="09SourcesandnotesfortablesfiguresboxesChar"/>
        </w:rPr>
        <w:t>), pp</w:t>
      </w:r>
      <w:r w:rsidR="00FE774B">
        <w:rPr>
          <w:rStyle w:val="09SourcesandnotesfortablesfiguresboxesChar"/>
        </w:rPr>
        <w:t>.</w:t>
      </w:r>
      <w:r w:rsidR="00A73788" w:rsidRPr="002A25C6">
        <w:rPr>
          <w:rStyle w:val="09SourcesandnotesfortablesfiguresboxesChar"/>
        </w:rPr>
        <w:t> 20-25</w:t>
      </w:r>
      <w:r w:rsidR="00ED11A2">
        <w:rPr>
          <w:rStyle w:val="09SourcesandnotesfortablesfiguresboxesChar"/>
        </w:rPr>
        <w:t xml:space="preserve">; </w:t>
      </w:r>
      <w:bookmarkStart w:id="89" w:name="_Hlk170218141"/>
      <w:r w:rsidR="00ED11A2">
        <w:rPr>
          <w:rStyle w:val="09SourcesandnotesfortablesfiguresboxesChar"/>
        </w:rPr>
        <w:t>VAGO (2023b)</w:t>
      </w:r>
      <w:r w:rsidR="00ED11A2">
        <w:rPr>
          <w:rStyle w:val="09SourcesandnotesfortablesfiguresboxesChar"/>
          <w:i/>
          <w:iCs/>
        </w:rPr>
        <w:t xml:space="preserve">, </w:t>
      </w:r>
      <w:r w:rsidR="00ED11A2" w:rsidRPr="00ED11A2">
        <w:rPr>
          <w:rStyle w:val="09SourcesandnotesfortablesfiguresboxesChar"/>
        </w:rPr>
        <w:t>pp. 8-9.</w:t>
      </w:r>
    </w:p>
    <w:p w14:paraId="2A71BB64" w14:textId="5B809520" w:rsidR="00516470" w:rsidRDefault="00516470" w:rsidP="007A0ABD">
      <w:pPr>
        <w:pStyle w:val="02VIRTHeading2"/>
      </w:pPr>
      <w:bookmarkStart w:id="90" w:name="_Toc170383530"/>
      <w:bookmarkEnd w:id="89"/>
      <w:r>
        <w:t>A.4</w:t>
      </w:r>
      <w:r w:rsidRPr="003763C2">
        <w:rPr>
          <w:sz w:val="28"/>
          <w:szCs w:val="30"/>
        </w:rPr>
        <w:tab/>
      </w:r>
      <w:r>
        <w:t>Wages Policy</w:t>
      </w:r>
      <w:bookmarkEnd w:id="90"/>
    </w:p>
    <w:p w14:paraId="62A592F1" w14:textId="05FEC1E6" w:rsidR="00516470" w:rsidRDefault="00516470" w:rsidP="00C46A11">
      <w:pPr>
        <w:pStyle w:val="05Paragraph"/>
      </w:pPr>
      <w:r>
        <w:t xml:space="preserve">The </w:t>
      </w:r>
      <w:r w:rsidRPr="00677E21">
        <w:rPr>
          <w:rFonts w:eastAsia="Rockwell"/>
          <w:i/>
          <w:color w:val="000000"/>
        </w:rPr>
        <w:t xml:space="preserve">Wages Policy </w:t>
      </w:r>
      <w:r w:rsidR="00ED11A2" w:rsidRPr="00677E21">
        <w:rPr>
          <w:rFonts w:eastAsia="Rockwell"/>
          <w:i/>
          <w:iCs/>
          <w:color w:val="000000"/>
        </w:rPr>
        <w:t>and the Enterprise Bargaining Framework</w:t>
      </w:r>
      <w:r w:rsidR="00ED11A2" w:rsidRPr="00677E21">
        <w:rPr>
          <w:rFonts w:eastAsia="Rockwell"/>
          <w:color w:val="000000"/>
        </w:rPr>
        <w:t xml:space="preserve"> </w:t>
      </w:r>
      <w:r>
        <w:t xml:space="preserve">(Wages Policy) sets out the parameters within which Victorian public sector employers are required to bargain and make </w:t>
      </w:r>
      <w:r w:rsidR="00ED11A2">
        <w:t>EAs</w:t>
      </w:r>
      <w:r>
        <w:t>.</w:t>
      </w:r>
      <w:r w:rsidR="00C46A11">
        <w:t xml:space="preserve"> </w:t>
      </w:r>
      <w:r>
        <w:t>Box A.2 outlines the key features of the current Wages Policy, which was introduced by the Victorian Government in April 2023</w:t>
      </w:r>
      <w:r w:rsidR="00BD2A0A">
        <w:t>.</w:t>
      </w:r>
    </w:p>
    <w:p w14:paraId="1FD0315B" w14:textId="77777777" w:rsidR="00516470" w:rsidRPr="007C05D7" w:rsidRDefault="00516470" w:rsidP="00516470">
      <w:pPr>
        <w:pStyle w:val="08Figuretableboxheading"/>
        <w:rPr>
          <w:lang w:val="en-US"/>
        </w:rPr>
      </w:pPr>
      <w:bookmarkStart w:id="91" w:name="_Toc114570646"/>
      <w:bookmarkStart w:id="92" w:name="_Toc138082042"/>
      <w:bookmarkStart w:id="93" w:name="_Hlk167096990"/>
      <w:r w:rsidRPr="007C05D7">
        <w:rPr>
          <w:lang w:val="en-US"/>
        </w:rPr>
        <w:t xml:space="preserve">Box </w:t>
      </w:r>
      <w:r>
        <w:rPr>
          <w:lang w:val="en-US"/>
        </w:rPr>
        <w:t>A.2</w:t>
      </w:r>
      <w:r w:rsidRPr="007C05D7">
        <w:rPr>
          <w:lang w:val="en-US"/>
        </w:rPr>
        <w:t xml:space="preserve">: Victorian </w:t>
      </w:r>
      <w:r>
        <w:rPr>
          <w:lang w:val="en-US"/>
        </w:rPr>
        <w:t>Public Sector</w:t>
      </w:r>
      <w:r w:rsidRPr="007C05D7">
        <w:rPr>
          <w:lang w:val="en-US"/>
        </w:rPr>
        <w:t xml:space="preserve"> Wages Policy</w:t>
      </w:r>
      <w:bookmarkEnd w:id="91"/>
      <w:r>
        <w:rPr>
          <w:lang w:val="en-US"/>
        </w:rPr>
        <w:t xml:space="preserve"> </w:t>
      </w:r>
      <w:r w:rsidRPr="006E108D">
        <w:rPr>
          <w:lang w:val="en-US"/>
        </w:rPr>
        <w:t>—</w:t>
      </w:r>
      <w:r>
        <w:rPr>
          <w:lang w:val="en-US"/>
        </w:rPr>
        <w:t xml:space="preserve"> </w:t>
      </w:r>
      <w:bookmarkEnd w:id="92"/>
      <w:r>
        <w:rPr>
          <w:lang w:val="en-US"/>
        </w:rPr>
        <w:t>key features</w:t>
      </w:r>
    </w:p>
    <w:p w14:paraId="110220FD" w14:textId="3D4932BC" w:rsidR="00516470" w:rsidRPr="007C05D7" w:rsidRDefault="00516470" w:rsidP="00516470">
      <w:pPr>
        <w:spacing w:after="0"/>
        <w:rPr>
          <w:rFonts w:ascii="Calibri Light" w:hAnsi="Calibri Light"/>
          <w:color w:val="000000" w:themeColor="text1"/>
          <w:sz w:val="18"/>
          <w:szCs w:val="20"/>
        </w:rPr>
      </w:pPr>
      <w:r w:rsidRPr="007C05D7">
        <w:rPr>
          <w:rFonts w:ascii="Calibri Light" w:hAnsi="Calibri Light"/>
          <w:noProof/>
          <w:color w:val="000000" w:themeColor="text1"/>
          <w:sz w:val="18"/>
          <w:szCs w:val="20"/>
        </w:rPr>
        <mc:AlternateContent>
          <mc:Choice Requires="wps">
            <w:drawing>
              <wp:inline distT="0" distB="0" distL="0" distR="0" wp14:anchorId="5B61A9CA" wp14:editId="62A502F1">
                <wp:extent cx="5429250" cy="4000500"/>
                <wp:effectExtent l="0" t="0" r="19050" b="19050"/>
                <wp:docPr id="280" name="Text Box 280"/>
                <wp:cNvGraphicFramePr/>
                <a:graphic xmlns:a="http://schemas.openxmlformats.org/drawingml/2006/main">
                  <a:graphicData uri="http://schemas.microsoft.com/office/word/2010/wordprocessingShape">
                    <wps:wsp>
                      <wps:cNvSpPr txBox="1"/>
                      <wps:spPr>
                        <a:xfrm>
                          <a:off x="0" y="0"/>
                          <a:ext cx="5429250" cy="4000500"/>
                        </a:xfrm>
                        <a:prstGeom prst="rect">
                          <a:avLst/>
                        </a:prstGeom>
                        <a:solidFill>
                          <a:schemeClr val="bg1"/>
                        </a:solidFill>
                        <a:ln w="19050">
                          <a:solidFill>
                            <a:srgbClr val="148A5D"/>
                          </a:solidFill>
                        </a:ln>
                      </wps:spPr>
                      <wps:txbx>
                        <w:txbxContent>
                          <w:p w14:paraId="0A51B63C" w14:textId="77777777" w:rsidR="00516470" w:rsidRPr="007A0ABD" w:rsidRDefault="00516470" w:rsidP="00516470">
                            <w:pPr>
                              <w:pStyle w:val="12BoxText"/>
                              <w:spacing w:after="120"/>
                              <w:rPr>
                                <w:rFonts w:cs="Calibri Light"/>
                              </w:rPr>
                            </w:pPr>
                            <w:r w:rsidRPr="007A0ABD">
                              <w:rPr>
                                <w:rFonts w:cs="Calibri Light"/>
                              </w:rPr>
                              <w:t>The Victorian Public Sector Wages Policy has three pillars:</w:t>
                            </w:r>
                          </w:p>
                          <w:p w14:paraId="7BC8E273" w14:textId="77777777" w:rsidR="00516470" w:rsidRPr="007A0ABD" w:rsidRDefault="00516470" w:rsidP="00516470">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1: Wages</w:t>
                            </w:r>
                          </w:p>
                          <w:p w14:paraId="64A460FE" w14:textId="78EAE0EF" w:rsidR="00516470" w:rsidRPr="007A0ABD" w:rsidRDefault="00516470" w:rsidP="00516470">
                            <w:pPr>
                              <w:pStyle w:val="Bulletsinatable"/>
                              <w:rPr>
                                <w:rFonts w:cs="Calibri Light"/>
                              </w:rPr>
                            </w:pPr>
                            <w:r w:rsidRPr="007A0ABD">
                              <w:rPr>
                                <w:rFonts w:cs="Calibri Light"/>
                              </w:rPr>
                              <w:t>Increases in wages and conditions will be funded at a rate of growth of 3 per cent per annum over the life of the agreement. In practice, this means that employee wages and conditions will be allowed to grow at this rate.</w:t>
                            </w:r>
                          </w:p>
                          <w:p w14:paraId="1129DCFF" w14:textId="77777777" w:rsidR="00516470" w:rsidRPr="007A0ABD" w:rsidRDefault="00516470" w:rsidP="00516470">
                            <w:pPr>
                              <w:pStyle w:val="Bulletsinatable"/>
                              <w:rPr>
                                <w:rFonts w:cs="Calibri Light"/>
                              </w:rPr>
                            </w:pPr>
                            <w:r w:rsidRPr="007A0ABD">
                              <w:rPr>
                                <w:rFonts w:cs="Calibri Light"/>
                              </w:rPr>
                              <w:t>In addition to annual wage increases, a separate lump sum, cash payment will be available equivalent to an additional 0.5 per cent of overall agreement costs which for the purposes of this policy means a per annum amount calculated on wages and wage</w:t>
                            </w:r>
                            <w:r w:rsidRPr="007A0ABD">
                              <w:rPr>
                                <w:rFonts w:cs="Calibri Light"/>
                              </w:rPr>
                              <w:noBreakHyphen/>
                              <w:t>related conditions.</w:t>
                            </w:r>
                          </w:p>
                          <w:p w14:paraId="0E0FEB9F" w14:textId="77777777" w:rsidR="00516470" w:rsidRPr="007A0ABD" w:rsidRDefault="00516470" w:rsidP="00516470">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2: Best Practice Employment Commitment</w:t>
                            </w:r>
                          </w:p>
                          <w:p w14:paraId="13CEE318" w14:textId="77777777" w:rsidR="00516470" w:rsidRPr="007A0ABD" w:rsidRDefault="00516470" w:rsidP="00516470">
                            <w:pPr>
                              <w:pStyle w:val="Bulletsinatable"/>
                              <w:rPr>
                                <w:rFonts w:cs="Calibri Light"/>
                              </w:rPr>
                            </w:pPr>
                            <w:r w:rsidRPr="007A0ABD">
                              <w:rPr>
                                <w:rFonts w:cs="Calibri Light"/>
                              </w:rPr>
                              <w:t>Public sector agencies may make a Best Practice Employment Commitment which outlines measures to operationalise elements of the Government’s Public Sector Priorities</w:t>
                            </w:r>
                            <w:r w:rsidRPr="007A0ABD">
                              <w:rPr>
                                <w:rFonts w:cs="Calibri Light"/>
                                <w:vertAlign w:val="superscript"/>
                              </w:rPr>
                              <w:t>(a)</w:t>
                            </w:r>
                            <w:r w:rsidRPr="007A0ABD">
                              <w:rPr>
                                <w:rFonts w:cs="Calibri Light"/>
                              </w:rPr>
                              <w:t xml:space="preserve"> that reflect good practice within Government and can be implemented operationally or without significant costs.</w:t>
                            </w:r>
                          </w:p>
                          <w:p w14:paraId="02EAC945" w14:textId="77777777" w:rsidR="00516470" w:rsidRPr="007A0ABD" w:rsidRDefault="00516470" w:rsidP="00516470">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3: Additional strategic changes</w:t>
                            </w:r>
                          </w:p>
                          <w:p w14:paraId="0437FC5D" w14:textId="77777777" w:rsidR="00516470" w:rsidRPr="007A0ABD" w:rsidRDefault="00516470" w:rsidP="00516470">
                            <w:pPr>
                              <w:pStyle w:val="Bulletsinatable"/>
                              <w:rPr>
                                <w:rFonts w:cs="Calibri Light"/>
                              </w:rPr>
                            </w:pPr>
                            <w:r w:rsidRPr="007A0ABD">
                              <w:rPr>
                                <w:rFonts w:cs="Calibri Light"/>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61A9CA" id="Text Box 280" o:spid="_x0000_s1029" type="#_x0000_t202" style="width:42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" fillcolor="white [3212]" strokecolor="#148a5d" strokeweight="1.5pt">
                <v:textbox>
                  <w:txbxContent>
                    <w:p w14:paraId="0A51B63C" w14:textId="77777777" w:rsidR="00516470" w:rsidRPr="007A0ABD" w:rsidRDefault="00516470" w:rsidP="00516470">
                      <w:pPr>
                        <w:pStyle w:val="12BoxText"/>
                        <w:spacing w:after="120"/>
                        <w:rPr>
                          <w:rFonts w:cs="Calibri Light"/>
                        </w:rPr>
                      </w:pPr>
                      <w:r w:rsidRPr="007A0ABD">
                        <w:rPr>
                          <w:rFonts w:cs="Calibri Light"/>
                        </w:rPr>
                        <w:t>The Victorian Public Sector Wages Policy has three pillars:</w:t>
                      </w:r>
                    </w:p>
                    <w:p w14:paraId="7BC8E273" w14:textId="77777777" w:rsidR="00516470" w:rsidRPr="007A0ABD" w:rsidRDefault="00516470" w:rsidP="00516470">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1: Wages</w:t>
                      </w:r>
                    </w:p>
                    <w:p w14:paraId="64A460FE" w14:textId="78EAE0EF" w:rsidR="00516470" w:rsidRPr="007A0ABD" w:rsidRDefault="00516470" w:rsidP="00516470">
                      <w:pPr>
                        <w:pStyle w:val="Bulletsinatable"/>
                        <w:rPr>
                          <w:rFonts w:cs="Calibri Light"/>
                        </w:rPr>
                      </w:pPr>
                      <w:r w:rsidRPr="007A0ABD">
                        <w:rPr>
                          <w:rFonts w:cs="Calibri Light"/>
                        </w:rPr>
                        <w:t>Increases in wages and conditions will be funded at a rate of growth of 3 per cent per annum over the life of the agreement. In practice, this means that employee wages and conditions will be allowed to grow at this rate.</w:t>
                      </w:r>
                    </w:p>
                    <w:p w14:paraId="1129DCFF" w14:textId="77777777" w:rsidR="00516470" w:rsidRPr="007A0ABD" w:rsidRDefault="00516470" w:rsidP="00516470">
                      <w:pPr>
                        <w:pStyle w:val="Bulletsinatable"/>
                        <w:rPr>
                          <w:rFonts w:cs="Calibri Light"/>
                        </w:rPr>
                      </w:pPr>
                      <w:r w:rsidRPr="007A0ABD">
                        <w:rPr>
                          <w:rFonts w:cs="Calibri Light"/>
                        </w:rPr>
                        <w:t>In addition to annual wage increases, a separate lump sum, cash payment will be available equivalent to an additional 0.5 per cent of overall agreement costs which for the purposes of this policy means a per annum amount calculated on wages and wage</w:t>
                      </w:r>
                      <w:r w:rsidRPr="007A0ABD">
                        <w:rPr>
                          <w:rFonts w:cs="Calibri Light"/>
                        </w:rPr>
                        <w:noBreakHyphen/>
                        <w:t>related conditions.</w:t>
                      </w:r>
                    </w:p>
                    <w:p w14:paraId="0E0FEB9F" w14:textId="77777777" w:rsidR="00516470" w:rsidRPr="007A0ABD" w:rsidRDefault="00516470" w:rsidP="00516470">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2: Best Practice Employment Commitment</w:t>
                      </w:r>
                    </w:p>
                    <w:p w14:paraId="13CEE318" w14:textId="77777777" w:rsidR="00516470" w:rsidRPr="007A0ABD" w:rsidRDefault="00516470" w:rsidP="00516470">
                      <w:pPr>
                        <w:pStyle w:val="Bulletsinatable"/>
                        <w:rPr>
                          <w:rFonts w:cs="Calibri Light"/>
                        </w:rPr>
                      </w:pPr>
                      <w:r w:rsidRPr="007A0ABD">
                        <w:rPr>
                          <w:rFonts w:cs="Calibri Light"/>
                        </w:rPr>
                        <w:t>Public sector agencies may make a Best Practice Employment Commitment which outlines measures to operationalise elements of the Government’s Public Sector Priorities</w:t>
                      </w:r>
                      <w:r w:rsidRPr="007A0ABD">
                        <w:rPr>
                          <w:rFonts w:cs="Calibri Light"/>
                          <w:vertAlign w:val="superscript"/>
                        </w:rPr>
                        <w:t>(a)</w:t>
                      </w:r>
                      <w:r w:rsidRPr="007A0ABD">
                        <w:rPr>
                          <w:rFonts w:cs="Calibri Light"/>
                        </w:rPr>
                        <w:t xml:space="preserve"> that reflect good practice within Government and can be implemented operationally or without significant costs.</w:t>
                      </w:r>
                    </w:p>
                    <w:p w14:paraId="02EAC945" w14:textId="77777777" w:rsidR="00516470" w:rsidRPr="007A0ABD" w:rsidRDefault="00516470" w:rsidP="00516470">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3: Additional strategic changes</w:t>
                      </w:r>
                    </w:p>
                    <w:p w14:paraId="0437FC5D" w14:textId="77777777" w:rsidR="00516470" w:rsidRPr="007A0ABD" w:rsidRDefault="00516470" w:rsidP="00516470">
                      <w:pPr>
                        <w:pStyle w:val="Bulletsinatable"/>
                        <w:rPr>
                          <w:rFonts w:cs="Calibri Light"/>
                        </w:rPr>
                      </w:pPr>
                      <w:r w:rsidRPr="007A0ABD">
                        <w:rPr>
                          <w:rFonts w:cs="Calibri Light"/>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txbxContent>
                </v:textbox>
                <w10:anchorlock/>
              </v:shape>
            </w:pict>
          </mc:Fallback>
        </mc:AlternateContent>
      </w:r>
      <w:bookmarkStart w:id="94" w:name="_Hlk170218392"/>
      <w:r w:rsidRPr="007C05D7">
        <w:rPr>
          <w:rFonts w:ascii="Calibri Light" w:hAnsi="Calibri Light"/>
          <w:color w:val="000000" w:themeColor="text1"/>
          <w:sz w:val="18"/>
          <w:szCs w:val="20"/>
        </w:rPr>
        <w:t xml:space="preserve">Note: (a) The Public Sector Priorities are: </w:t>
      </w:r>
      <w:r w:rsidR="00ED11A2">
        <w:rPr>
          <w:rFonts w:ascii="Calibri Light" w:hAnsi="Calibri Light"/>
          <w:color w:val="000000" w:themeColor="text1"/>
          <w:sz w:val="18"/>
          <w:szCs w:val="20"/>
        </w:rPr>
        <w:t>‘deliver</w:t>
      </w:r>
      <w:r w:rsidRPr="007C05D7">
        <w:rPr>
          <w:rFonts w:ascii="Calibri Light" w:hAnsi="Calibri Light"/>
          <w:color w:val="000000" w:themeColor="text1"/>
          <w:sz w:val="18"/>
          <w:szCs w:val="20"/>
        </w:rPr>
        <w:t xml:space="preserve"> exceptional services and value for Victorians</w:t>
      </w:r>
      <w:r w:rsidR="00ED11A2">
        <w:rPr>
          <w:rFonts w:ascii="Calibri Light" w:hAnsi="Calibri Light"/>
          <w:color w:val="000000" w:themeColor="text1"/>
          <w:sz w:val="18"/>
          <w:szCs w:val="20"/>
        </w:rPr>
        <w:t xml:space="preserve">’, </w:t>
      </w:r>
      <w:r w:rsidR="00FE2572">
        <w:rPr>
          <w:rFonts w:ascii="Calibri Light" w:hAnsi="Calibri Light"/>
          <w:color w:val="000000" w:themeColor="text1"/>
          <w:sz w:val="18"/>
          <w:szCs w:val="20"/>
        </w:rPr>
        <w:t>‘</w:t>
      </w:r>
      <w:r w:rsidRPr="007C05D7">
        <w:rPr>
          <w:rFonts w:ascii="Calibri Light" w:hAnsi="Calibri Light"/>
          <w:color w:val="000000" w:themeColor="text1"/>
          <w:sz w:val="18"/>
          <w:szCs w:val="20"/>
        </w:rPr>
        <w:t>a professional and responsive public sector</w:t>
      </w:r>
      <w:r w:rsidR="00ED11A2">
        <w:rPr>
          <w:rFonts w:ascii="Calibri Light" w:hAnsi="Calibri Light"/>
          <w:color w:val="000000" w:themeColor="text1"/>
          <w:sz w:val="18"/>
          <w:szCs w:val="20"/>
        </w:rPr>
        <w:t>’,</w:t>
      </w:r>
      <w:r w:rsidRPr="007C05D7">
        <w:rPr>
          <w:rFonts w:ascii="Calibri Light" w:hAnsi="Calibri Light"/>
          <w:color w:val="000000" w:themeColor="text1"/>
          <w:sz w:val="18"/>
          <w:szCs w:val="20"/>
        </w:rPr>
        <w:t xml:space="preserve"> </w:t>
      </w:r>
      <w:r w:rsidR="00ED11A2">
        <w:rPr>
          <w:rFonts w:ascii="Calibri Light" w:hAnsi="Calibri Light"/>
          <w:color w:val="000000" w:themeColor="text1"/>
          <w:sz w:val="18"/>
          <w:szCs w:val="20"/>
        </w:rPr>
        <w:t>‘</w:t>
      </w:r>
      <w:r w:rsidRPr="007C05D7">
        <w:rPr>
          <w:rFonts w:ascii="Calibri Light" w:hAnsi="Calibri Light"/>
          <w:color w:val="000000" w:themeColor="text1"/>
          <w:sz w:val="18"/>
          <w:szCs w:val="20"/>
        </w:rPr>
        <w:t>government as a fair and best practice employer</w:t>
      </w:r>
      <w:r w:rsidR="00ED11A2">
        <w:rPr>
          <w:rFonts w:ascii="Calibri Light" w:hAnsi="Calibri Light"/>
          <w:color w:val="000000" w:themeColor="text1"/>
          <w:sz w:val="18"/>
          <w:szCs w:val="20"/>
        </w:rPr>
        <w:t>’</w:t>
      </w:r>
      <w:r w:rsidRPr="007C05D7">
        <w:rPr>
          <w:rFonts w:ascii="Calibri Light" w:hAnsi="Calibri Light"/>
          <w:color w:val="000000" w:themeColor="text1"/>
          <w:sz w:val="18"/>
          <w:szCs w:val="20"/>
        </w:rPr>
        <w:t>.</w:t>
      </w:r>
      <w:r>
        <w:rPr>
          <w:rFonts w:ascii="Calibri Light" w:hAnsi="Calibri Light"/>
          <w:color w:val="000000" w:themeColor="text1"/>
          <w:sz w:val="18"/>
          <w:szCs w:val="20"/>
        </w:rPr>
        <w:t xml:space="preserve"> </w:t>
      </w:r>
    </w:p>
    <w:bookmarkEnd w:id="93"/>
    <w:bookmarkEnd w:id="94"/>
    <w:p w14:paraId="19B854D7" w14:textId="7B7DE644" w:rsidR="00516470" w:rsidRDefault="004950BC" w:rsidP="00516470">
      <w:pPr>
        <w:spacing w:after="0"/>
        <w:rPr>
          <w:rFonts w:ascii="Calibri Light" w:hAnsi="Calibri Light"/>
          <w:color w:val="000000" w:themeColor="text1"/>
          <w:sz w:val="18"/>
          <w:szCs w:val="20"/>
        </w:rPr>
      </w:pPr>
      <w:r w:rsidRPr="007C05D7">
        <w:rPr>
          <w:rFonts w:ascii="Calibri Light" w:hAnsi="Calibri Light"/>
          <w:color w:val="000000" w:themeColor="text1"/>
          <w:sz w:val="18"/>
          <w:szCs w:val="20"/>
        </w:rPr>
        <w:t xml:space="preserve">Source: </w:t>
      </w:r>
      <w:r w:rsidR="00E05DC2">
        <w:rPr>
          <w:rFonts w:ascii="Calibri Light" w:hAnsi="Calibri Light"/>
          <w:color w:val="000000" w:themeColor="text1"/>
          <w:sz w:val="18"/>
          <w:szCs w:val="20"/>
        </w:rPr>
        <w:t>Industrial Relations Victoria</w:t>
      </w:r>
      <w:r w:rsidRPr="007114A9">
        <w:rPr>
          <w:rFonts w:ascii="Calibri Light" w:hAnsi="Calibri Light"/>
          <w:color w:val="000000" w:themeColor="text1"/>
          <w:sz w:val="18"/>
          <w:szCs w:val="20"/>
        </w:rPr>
        <w:t xml:space="preserve"> (2024)</w:t>
      </w:r>
      <w:r w:rsidR="00516470" w:rsidRPr="007C05D7">
        <w:rPr>
          <w:rFonts w:ascii="Calibri Light" w:hAnsi="Calibri Light"/>
          <w:color w:val="000000" w:themeColor="text1"/>
          <w:sz w:val="18"/>
          <w:szCs w:val="20"/>
        </w:rPr>
        <w:t>.</w:t>
      </w:r>
    </w:p>
    <w:p w14:paraId="4F9B8828" w14:textId="1DBE2AD8" w:rsidR="00516470" w:rsidRDefault="00516470" w:rsidP="00516470">
      <w:pPr>
        <w:pStyle w:val="03VIRTHeading3"/>
      </w:pPr>
      <w:r>
        <w:t>The</w:t>
      </w:r>
      <w:r w:rsidR="00361121">
        <w:t xml:space="preserve">re is </w:t>
      </w:r>
      <w:r>
        <w:t xml:space="preserve">in-principle agreement on a new </w:t>
      </w:r>
      <w:r w:rsidR="002C2E43">
        <w:t>Victorian Public Service</w:t>
      </w:r>
      <w:r>
        <w:t xml:space="preserve"> </w:t>
      </w:r>
      <w:r w:rsidR="006810CD">
        <w:t>EA</w:t>
      </w:r>
    </w:p>
    <w:p w14:paraId="1CC34E62" w14:textId="51B9E179" w:rsidR="00516470" w:rsidRDefault="00516470" w:rsidP="00516470">
      <w:pPr>
        <w:pStyle w:val="05Paragraph"/>
      </w:pPr>
      <w:r>
        <w:t xml:space="preserve">Non-executive </w:t>
      </w:r>
      <w:r w:rsidR="00091F3D">
        <w:t>VPS</w:t>
      </w:r>
      <w:r>
        <w:t xml:space="preserve"> employees are covered by an </w:t>
      </w:r>
      <w:r w:rsidR="00ED11A2">
        <w:t>EA</w:t>
      </w:r>
      <w:r>
        <w:t xml:space="preserve">. The current </w:t>
      </w:r>
      <w:r w:rsidR="00ED11A2">
        <w:t>EA</w:t>
      </w:r>
      <w:r>
        <w:t xml:space="preserve">, the </w:t>
      </w:r>
      <w:r w:rsidRPr="00A97E2C">
        <w:rPr>
          <w:i/>
        </w:rPr>
        <w:t>Victorian Public Service Enterprise Agreement 2020</w:t>
      </w:r>
      <w:r w:rsidRPr="004726E3">
        <w:t xml:space="preserve">, </w:t>
      </w:r>
      <w:r>
        <w:t>nominally expired in March 2024, but remained in operation while a new agreement was being negotiated.</w:t>
      </w:r>
    </w:p>
    <w:p w14:paraId="0BA2D601" w14:textId="02B271F2" w:rsidR="00516470" w:rsidRDefault="00516470" w:rsidP="00516470">
      <w:pPr>
        <w:pStyle w:val="05Paragraph"/>
      </w:pPr>
      <w:r>
        <w:t xml:space="preserve">Prior to the making </w:t>
      </w:r>
      <w:r w:rsidR="005F19B6">
        <w:t>of</w:t>
      </w:r>
      <w:r>
        <w:t xml:space="preserve"> this Determination, the Secretary</w:t>
      </w:r>
      <w:r w:rsidR="00812599">
        <w:t xml:space="preserve"> of </w:t>
      </w:r>
      <w:r w:rsidR="00305F35">
        <w:t>the Department of Premier and Cabinet</w:t>
      </w:r>
      <w:r w:rsidR="00876C2B">
        <w:t xml:space="preserve"> </w:t>
      </w:r>
      <w:r>
        <w:t>announced that the Victorian Government and the Community and Public Sector Union had reached in</w:t>
      </w:r>
      <w:r>
        <w:noBreakHyphen/>
        <w:t xml:space="preserve">principle agreement on the core terms and conditions that will form part of a new </w:t>
      </w:r>
      <w:r w:rsidR="00632686">
        <w:t>VPS</w:t>
      </w:r>
      <w:r>
        <w:t xml:space="preserve"> </w:t>
      </w:r>
      <w:r w:rsidR="00ED11A2">
        <w:t>EA</w:t>
      </w:r>
      <w:r>
        <w:t>.</w:t>
      </w:r>
      <w:r w:rsidR="00ED11A2">
        <w:rPr>
          <w:rStyle w:val="FootnoteReference"/>
        </w:rPr>
        <w:footnoteReference w:id="83"/>
      </w:r>
      <w:r>
        <w:t xml:space="preserve"> However, at the time of making this Determination, </w:t>
      </w:r>
      <w:r w:rsidR="00632686">
        <w:t>VPS</w:t>
      </w:r>
      <w:r>
        <w:t xml:space="preserve"> staff had yet to vote on the agreement. If approved, the agreement will also need to be lodged with the FWC for approval.</w:t>
      </w:r>
    </w:p>
    <w:p w14:paraId="00F89406" w14:textId="77777777" w:rsidR="00516470" w:rsidRDefault="00516470" w:rsidP="00994AD9">
      <w:pPr>
        <w:pStyle w:val="05Paragraph"/>
        <w:keepNext/>
      </w:pPr>
      <w:r>
        <w:t>The draft agreement provides for:</w:t>
      </w:r>
    </w:p>
    <w:p w14:paraId="5B534B5F" w14:textId="77777777" w:rsidR="00516470" w:rsidRDefault="00516470" w:rsidP="00ED11A2">
      <w:pPr>
        <w:pStyle w:val="06VIRTBulletpoints"/>
      </w:pPr>
      <w:r>
        <w:t>annual salary increases of 3 per cent over the life of the agreement, effective from 1 May each year</w:t>
      </w:r>
    </w:p>
    <w:p w14:paraId="257F6743" w14:textId="77777777" w:rsidR="00516470" w:rsidRDefault="00516470" w:rsidP="00ED11A2">
      <w:pPr>
        <w:pStyle w:val="06VIRTBulletpoints"/>
      </w:pPr>
      <w:r>
        <w:t>a once-off lump sum payment of $5,600 (pro-rata for part-time and eligible casual employees) for all non-executive employees, regardless of classification, who are employed on 28 June 2024</w:t>
      </w:r>
    </w:p>
    <w:p w14:paraId="23A93BED" w14:textId="77777777" w:rsidR="00516470" w:rsidRDefault="00516470" w:rsidP="00ED11A2">
      <w:pPr>
        <w:pStyle w:val="06VIRTBulletpoints"/>
      </w:pPr>
      <w:r>
        <w:t>an additional once-off payment of $1,000 (also calculated on a pro</w:t>
      </w:r>
      <w:r>
        <w:noBreakHyphen/>
        <w:t>rata basis) will also be payable to eligible shift workers employed on 1 October 2024</w:t>
      </w:r>
    </w:p>
    <w:p w14:paraId="2E6CAA9F" w14:textId="15B88317" w:rsidR="00516470" w:rsidRDefault="00516470" w:rsidP="00ED11A2">
      <w:pPr>
        <w:pStyle w:val="06VIRTBulletpoints"/>
      </w:pPr>
      <w:r>
        <w:t>an increase to the lump sum payment (from 1 per cent to 1.5 per cent of base salary) paid to employees at the top of their grade or value range who are assessed as having met their progression criteria.</w:t>
      </w:r>
    </w:p>
    <w:p w14:paraId="19DA6018" w14:textId="498E90E5" w:rsidR="00516470" w:rsidRPr="007664DF" w:rsidRDefault="00516470" w:rsidP="00516470">
      <w:pPr>
        <w:pStyle w:val="05Paragraph"/>
      </w:pPr>
      <w:r>
        <w:t xml:space="preserve">Under the draft agreement, </w:t>
      </w:r>
      <w:r w:rsidR="00632686">
        <w:t>VPS</w:t>
      </w:r>
      <w:r>
        <w:t xml:space="preserve"> staff would also retain access to annual progression payments and the mobility payment.</w:t>
      </w:r>
    </w:p>
    <w:bookmarkEnd w:id="84"/>
    <w:p w14:paraId="09E581C5" w14:textId="32CBCFD9" w:rsidR="005A6F84" w:rsidRDefault="005A6F84" w:rsidP="005A6F84">
      <w:pPr>
        <w:pStyle w:val="05Paragraph"/>
        <w:sectPr w:rsidR="005A6F84" w:rsidSect="0001367F">
          <w:pgSz w:w="11906" w:h="16838"/>
          <w:pgMar w:top="1701" w:right="1701" w:bottom="1559" w:left="1701" w:header="708" w:footer="708" w:gutter="0"/>
          <w:cols w:space="708"/>
          <w:titlePg/>
          <w:docGrid w:linePitch="360"/>
        </w:sectPr>
      </w:pPr>
    </w:p>
    <w:p w14:paraId="44A542F0" w14:textId="15F8DBCB" w:rsidR="00051414" w:rsidRPr="00907DBA" w:rsidRDefault="00051414" w:rsidP="007B1F44">
      <w:pPr>
        <w:pStyle w:val="01Chapterheading"/>
      </w:pPr>
      <w:bookmarkStart w:id="97" w:name="_Toc166014309"/>
      <w:bookmarkStart w:id="98" w:name="_Toc170383531"/>
      <w:bookmarkStart w:id="99" w:name="_Toc169172623"/>
      <w:r>
        <w:t>References</w:t>
      </w:r>
      <w:bookmarkEnd w:id="97"/>
      <w:bookmarkEnd w:id="98"/>
    </w:p>
    <w:p w14:paraId="33967650" w14:textId="22003EAF" w:rsidR="000072C0" w:rsidRDefault="00CE3F1A" w:rsidP="000072C0">
      <w:pPr>
        <w:pStyle w:val="05Paragraph"/>
        <w:ind w:left="720" w:hanging="720"/>
        <w:jc w:val="left"/>
        <w:rPr>
          <w:rFonts w:cs="Calibri Light"/>
        </w:rPr>
      </w:pPr>
      <w:bookmarkStart w:id="100" w:name="_Hlk169874500"/>
      <w:bookmarkEnd w:id="99"/>
      <w:r>
        <w:rPr>
          <w:rFonts w:cs="Calibri Light"/>
        </w:rPr>
        <w:t>ABS (</w:t>
      </w:r>
      <w:r w:rsidR="000072C0">
        <w:rPr>
          <w:rFonts w:cs="Calibri Light"/>
        </w:rPr>
        <w:t>Australian Bureau of Statistics</w:t>
      </w:r>
      <w:r>
        <w:rPr>
          <w:rFonts w:cs="Calibri Light"/>
        </w:rPr>
        <w:t>)</w:t>
      </w:r>
      <w:r w:rsidR="000072C0">
        <w:rPr>
          <w:rFonts w:cs="Calibri Light"/>
        </w:rPr>
        <w:t xml:space="preserve"> (202</w:t>
      </w:r>
      <w:r w:rsidR="005B66AC">
        <w:rPr>
          <w:rFonts w:cs="Calibri Light"/>
        </w:rPr>
        <w:t>3</w:t>
      </w:r>
      <w:r w:rsidR="000072C0">
        <w:rPr>
          <w:rFonts w:cs="Calibri Light"/>
        </w:rPr>
        <w:t xml:space="preserve">), </w:t>
      </w:r>
      <w:r w:rsidR="005B66AC">
        <w:rPr>
          <w:rFonts w:cs="Calibri Light"/>
          <w:i/>
          <w:iCs/>
        </w:rPr>
        <w:t>National, state and territory population</w:t>
      </w:r>
      <w:r w:rsidR="005B66AC">
        <w:rPr>
          <w:rFonts w:cs="Calibri Light"/>
        </w:rPr>
        <w:t>, December 2023</w:t>
      </w:r>
      <w:r w:rsidR="002D5168">
        <w:rPr>
          <w:rFonts w:cs="Calibri Light"/>
        </w:rPr>
        <w:t>.</w:t>
      </w:r>
    </w:p>
    <w:p w14:paraId="5F228595" w14:textId="6570BC30" w:rsidR="005B66AC" w:rsidRDefault="005B66AC" w:rsidP="005B66AC">
      <w:pPr>
        <w:pStyle w:val="05Paragraph"/>
        <w:ind w:left="720" w:hanging="720"/>
        <w:jc w:val="left"/>
        <w:rPr>
          <w:rFonts w:cs="Calibri Light"/>
        </w:rPr>
      </w:pPr>
      <w:r w:rsidRPr="00274C0A">
        <w:rPr>
          <w:rFonts w:cs="Calibri Light"/>
          <w:lang w:eastAsia="en-AU"/>
        </w:rPr>
        <w:t>———</w:t>
      </w:r>
      <w:r>
        <w:rPr>
          <w:rFonts w:cs="Calibri Light"/>
          <w:lang w:eastAsia="en-AU"/>
        </w:rPr>
        <w:t xml:space="preserve"> (2024a), </w:t>
      </w:r>
      <w:r w:rsidRPr="00583607">
        <w:rPr>
          <w:rFonts w:cs="Calibri Light"/>
          <w:i/>
          <w:iCs/>
        </w:rPr>
        <w:t>Australian National Accounts: National Income, Expenditure and Product</w:t>
      </w:r>
      <w:r>
        <w:rPr>
          <w:rFonts w:cs="Calibri Light"/>
        </w:rPr>
        <w:t>, March 2024</w:t>
      </w:r>
      <w:r w:rsidR="002D5168">
        <w:rPr>
          <w:rFonts w:cs="Calibri Light"/>
        </w:rPr>
        <w:t>.</w:t>
      </w:r>
    </w:p>
    <w:p w14:paraId="2E45B188" w14:textId="79D0B917" w:rsidR="000072C0" w:rsidRPr="0042652C" w:rsidRDefault="000072C0" w:rsidP="000072C0">
      <w:pPr>
        <w:pStyle w:val="05Paragraph"/>
        <w:ind w:left="720" w:hanging="720"/>
        <w:jc w:val="left"/>
        <w:rPr>
          <w:rFonts w:cs="Calibri Light"/>
          <w:lang w:eastAsia="en-AU"/>
        </w:rPr>
      </w:pPr>
      <w:r w:rsidRPr="00274C0A">
        <w:rPr>
          <w:rFonts w:cs="Calibri Light"/>
          <w:lang w:eastAsia="en-AU"/>
        </w:rPr>
        <w:t>———</w:t>
      </w:r>
      <w:r>
        <w:rPr>
          <w:rFonts w:cs="Calibri Light"/>
          <w:lang w:eastAsia="en-AU"/>
        </w:rPr>
        <w:t xml:space="preserve"> (2024b), </w:t>
      </w:r>
      <w:r>
        <w:rPr>
          <w:rFonts w:cs="Calibri Light"/>
          <w:i/>
          <w:iCs/>
          <w:lang w:eastAsia="en-AU"/>
        </w:rPr>
        <w:t>Average Weekly Earnings, Australia</w:t>
      </w:r>
      <w:r>
        <w:rPr>
          <w:rFonts w:cs="Calibri Light"/>
          <w:lang w:eastAsia="en-AU"/>
        </w:rPr>
        <w:t>, November 2023.</w:t>
      </w:r>
    </w:p>
    <w:p w14:paraId="42B87969" w14:textId="24FF8751" w:rsidR="000072C0" w:rsidRPr="00A37A90" w:rsidRDefault="000072C0" w:rsidP="000072C0">
      <w:pPr>
        <w:pStyle w:val="05Paragraph"/>
        <w:ind w:left="720" w:hanging="720"/>
        <w:jc w:val="left"/>
        <w:rPr>
          <w:rFonts w:cs="Calibri Light"/>
        </w:rPr>
      </w:pPr>
      <w:r w:rsidRPr="00274C0A">
        <w:rPr>
          <w:rFonts w:cs="Calibri Light"/>
          <w:lang w:eastAsia="en-AU"/>
        </w:rPr>
        <w:t>———</w:t>
      </w:r>
      <w:r>
        <w:rPr>
          <w:rFonts w:cs="Calibri Light"/>
          <w:lang w:eastAsia="en-AU"/>
        </w:rPr>
        <w:t xml:space="preserve"> (</w:t>
      </w:r>
      <w:r w:rsidRPr="00A37A90">
        <w:rPr>
          <w:rFonts w:cs="Calibri Light"/>
          <w:lang w:eastAsia="en-AU"/>
        </w:rPr>
        <w:t xml:space="preserve">2024c), </w:t>
      </w:r>
      <w:r w:rsidRPr="00A37A90">
        <w:rPr>
          <w:rFonts w:cs="Calibri Light"/>
          <w:i/>
          <w:iCs/>
          <w:lang w:eastAsia="en-AU"/>
        </w:rPr>
        <w:t xml:space="preserve">Consumer Price Index, Australia, </w:t>
      </w:r>
      <w:r w:rsidRPr="00A37A90">
        <w:rPr>
          <w:rFonts w:cs="Calibri Light"/>
          <w:lang w:eastAsia="en-AU"/>
        </w:rPr>
        <w:t>March quarter 2024.</w:t>
      </w:r>
    </w:p>
    <w:p w14:paraId="3A16842A" w14:textId="12056CE8" w:rsidR="000072C0" w:rsidRPr="00A37A90" w:rsidRDefault="000072C0" w:rsidP="000072C0">
      <w:pPr>
        <w:pStyle w:val="05Paragraph"/>
        <w:ind w:left="720" w:hanging="720"/>
        <w:jc w:val="left"/>
        <w:rPr>
          <w:rFonts w:cs="Calibri Light"/>
        </w:rPr>
      </w:pPr>
      <w:r w:rsidRPr="00A37A90">
        <w:rPr>
          <w:rFonts w:cs="Calibri Light"/>
          <w:lang w:eastAsia="en-AU"/>
        </w:rPr>
        <w:t xml:space="preserve">——— (2024d), </w:t>
      </w:r>
      <w:r w:rsidRPr="00A37A90">
        <w:rPr>
          <w:rFonts w:cs="Calibri Light"/>
          <w:i/>
          <w:iCs/>
          <w:lang w:eastAsia="en-AU"/>
        </w:rPr>
        <w:t>Labour Force, Australia</w:t>
      </w:r>
      <w:r w:rsidRPr="00A37A90">
        <w:rPr>
          <w:rFonts w:cs="Calibri Light"/>
          <w:lang w:eastAsia="en-AU"/>
        </w:rPr>
        <w:t xml:space="preserve">, </w:t>
      </w:r>
      <w:r w:rsidR="000C1E83">
        <w:rPr>
          <w:rFonts w:cs="Calibri Light"/>
          <w:lang w:eastAsia="en-AU"/>
        </w:rPr>
        <w:t>May</w:t>
      </w:r>
      <w:r w:rsidRPr="00A37A90">
        <w:rPr>
          <w:rFonts w:cs="Calibri Light"/>
          <w:lang w:eastAsia="en-AU"/>
        </w:rPr>
        <w:t xml:space="preserve"> 2024.</w:t>
      </w:r>
    </w:p>
    <w:p w14:paraId="0CD922FE" w14:textId="45ECBEA9" w:rsidR="000072C0" w:rsidRPr="00A37A90" w:rsidRDefault="000072C0" w:rsidP="000072C0">
      <w:pPr>
        <w:pStyle w:val="05Paragraph"/>
        <w:ind w:left="720" w:hanging="720"/>
        <w:jc w:val="left"/>
        <w:rPr>
          <w:rFonts w:cs="Calibri Light"/>
          <w:lang w:eastAsia="en-AU"/>
        </w:rPr>
      </w:pPr>
      <w:r w:rsidRPr="00A37A90">
        <w:rPr>
          <w:rFonts w:cs="Calibri Light"/>
          <w:lang w:eastAsia="en-AU"/>
        </w:rPr>
        <w:t xml:space="preserve">——— (2024e), </w:t>
      </w:r>
      <w:r w:rsidRPr="00A37A90">
        <w:rPr>
          <w:rFonts w:cs="Calibri Light"/>
          <w:i/>
          <w:iCs/>
          <w:lang w:eastAsia="en-AU"/>
        </w:rPr>
        <w:t xml:space="preserve">Monthly Consumer Price index Indicator, </w:t>
      </w:r>
      <w:r w:rsidRPr="00A37A90">
        <w:rPr>
          <w:rFonts w:cs="Calibri Light"/>
          <w:lang w:eastAsia="en-AU"/>
        </w:rPr>
        <w:t>April 2024.</w:t>
      </w:r>
    </w:p>
    <w:p w14:paraId="012014B0" w14:textId="1402D3E3" w:rsidR="000072C0" w:rsidRPr="00A37A90" w:rsidRDefault="000072C0" w:rsidP="000072C0">
      <w:pPr>
        <w:pStyle w:val="05Paragraph"/>
        <w:ind w:left="720" w:hanging="720"/>
        <w:jc w:val="left"/>
        <w:rPr>
          <w:rFonts w:cs="Calibri Light"/>
          <w:lang w:eastAsia="en-AU"/>
        </w:rPr>
      </w:pPr>
      <w:r w:rsidRPr="00A37A90">
        <w:rPr>
          <w:rFonts w:cs="Calibri Light"/>
          <w:lang w:eastAsia="en-AU"/>
        </w:rPr>
        <w:t xml:space="preserve">——— (2024f), </w:t>
      </w:r>
      <w:r w:rsidRPr="00A37A90">
        <w:rPr>
          <w:rFonts w:cs="Calibri Light"/>
          <w:i/>
          <w:iCs/>
          <w:lang w:eastAsia="en-AU"/>
        </w:rPr>
        <w:t>Wage Price Index, Australia</w:t>
      </w:r>
      <w:r w:rsidRPr="00A37A90">
        <w:rPr>
          <w:rFonts w:cs="Calibri Light"/>
          <w:lang w:eastAsia="en-AU"/>
        </w:rPr>
        <w:t>, March quarter 2024.</w:t>
      </w:r>
    </w:p>
    <w:p w14:paraId="46C65012" w14:textId="4B8758CC" w:rsidR="000072C0" w:rsidRPr="003A5D89" w:rsidRDefault="000072C0" w:rsidP="000072C0">
      <w:pPr>
        <w:pStyle w:val="05Paragraph"/>
        <w:ind w:left="720" w:hanging="720"/>
        <w:jc w:val="left"/>
        <w:rPr>
          <w:rFonts w:cs="Calibri Light"/>
        </w:rPr>
      </w:pPr>
      <w:r w:rsidRPr="00A37A90">
        <w:rPr>
          <w:rFonts w:cs="Calibri Light"/>
          <w:lang w:eastAsia="en-AU"/>
        </w:rPr>
        <w:t xml:space="preserve">——— (2024g), </w:t>
      </w:r>
      <w:r w:rsidRPr="00A37A90">
        <w:rPr>
          <w:rFonts w:cs="Calibri Light"/>
          <w:i/>
          <w:iCs/>
          <w:lang w:eastAsia="en-AU"/>
        </w:rPr>
        <w:t>Wage</w:t>
      </w:r>
      <w:r w:rsidRPr="000A0119">
        <w:rPr>
          <w:rFonts w:cs="Calibri Light"/>
          <w:i/>
          <w:iCs/>
          <w:lang w:eastAsia="en-AU"/>
        </w:rPr>
        <w:t xml:space="preserve"> </w:t>
      </w:r>
      <w:r w:rsidRPr="000A0119">
        <w:rPr>
          <w:rFonts w:cs="Calibri Light"/>
          <w:i/>
          <w:iCs/>
          <w:color w:val="auto"/>
          <w:lang w:eastAsia="en-AU"/>
        </w:rPr>
        <w:t>Price Index, Australia</w:t>
      </w:r>
      <w:r w:rsidRPr="000A0119">
        <w:rPr>
          <w:rFonts w:cs="Calibri Light"/>
          <w:color w:val="auto"/>
          <w:lang w:eastAsia="en-AU"/>
        </w:rPr>
        <w:t xml:space="preserve">, methodology, March quarter 2024, </w:t>
      </w:r>
      <w:hyperlink r:id="rId54" w:anchor="glossary" w:history="1">
        <w:r w:rsidRPr="000A0119">
          <w:rPr>
            <w:rStyle w:val="Hyperlink"/>
            <w:color w:val="auto"/>
          </w:rPr>
          <w:t>https://www.abs.gov.au/methodologies/wage-price-index-australia-methodology/mar-2024#glossary</w:t>
        </w:r>
      </w:hyperlink>
      <w:r w:rsidR="00CE3F1A">
        <w:rPr>
          <w:color w:val="auto"/>
        </w:rPr>
        <w:t>, updated 15 May 2024.</w:t>
      </w:r>
    </w:p>
    <w:p w14:paraId="40FA9BDB" w14:textId="77777777" w:rsidR="000072C0" w:rsidRPr="00C15AED" w:rsidRDefault="000072C0" w:rsidP="000072C0">
      <w:pPr>
        <w:pStyle w:val="05Paragraph"/>
        <w:ind w:left="720" w:hanging="720"/>
        <w:jc w:val="left"/>
        <w:rPr>
          <w:rFonts w:cs="Calibri Light"/>
        </w:rPr>
      </w:pPr>
      <w:r>
        <w:rPr>
          <w:rFonts w:cs="Calibri Light"/>
        </w:rPr>
        <w:t xml:space="preserve">Commonwealth of Australia (2024), </w:t>
      </w:r>
      <w:r>
        <w:rPr>
          <w:rFonts w:cs="Calibri Light"/>
          <w:i/>
          <w:iCs/>
        </w:rPr>
        <w:t>Budget 2024-25 – Budget Paper No. 1: Budget Strategy and Outlook</w:t>
      </w:r>
      <w:r>
        <w:rPr>
          <w:rFonts w:cs="Calibri Light"/>
        </w:rPr>
        <w:t>.</w:t>
      </w:r>
    </w:p>
    <w:p w14:paraId="6939F347" w14:textId="77777777" w:rsidR="000072C0" w:rsidRPr="006E7485" w:rsidRDefault="000072C0" w:rsidP="000072C0">
      <w:pPr>
        <w:pStyle w:val="05Paragraph"/>
        <w:ind w:left="720" w:hanging="720"/>
        <w:jc w:val="left"/>
        <w:rPr>
          <w:rFonts w:cs="Calibri Light"/>
        </w:rPr>
      </w:pPr>
      <w:r>
        <w:rPr>
          <w:rFonts w:cs="Calibri Light"/>
        </w:rPr>
        <w:t xml:space="preserve">Department of Employment and Workplace Relations (Commonwealth) (2024), </w:t>
      </w:r>
      <w:r>
        <w:rPr>
          <w:rFonts w:cs="Calibri Light"/>
          <w:i/>
          <w:iCs/>
        </w:rPr>
        <w:t>Trends in Federal Bargaining</w:t>
      </w:r>
      <w:r>
        <w:rPr>
          <w:rFonts w:cs="Calibri Light"/>
        </w:rPr>
        <w:t xml:space="preserve">, </w:t>
      </w:r>
      <w:r>
        <w:rPr>
          <w:rFonts w:cs="Calibri Light"/>
          <w:i/>
          <w:iCs/>
        </w:rPr>
        <w:t>December quarter 2023</w:t>
      </w:r>
      <w:r>
        <w:rPr>
          <w:rFonts w:cs="Calibri Light"/>
        </w:rPr>
        <w:t>.</w:t>
      </w:r>
    </w:p>
    <w:p w14:paraId="6F36D903" w14:textId="0E3885D3" w:rsidR="000072C0" w:rsidRDefault="00CE3F1A" w:rsidP="000072C0">
      <w:pPr>
        <w:pStyle w:val="05Paragraph"/>
        <w:ind w:left="720" w:hanging="720"/>
        <w:jc w:val="left"/>
        <w:rPr>
          <w:rFonts w:cs="Calibri Light"/>
        </w:rPr>
      </w:pPr>
      <w:r>
        <w:rPr>
          <w:rFonts w:cs="Calibri Light"/>
        </w:rPr>
        <w:t>DTF (</w:t>
      </w:r>
      <w:r w:rsidR="000072C0" w:rsidRPr="00B33602">
        <w:rPr>
          <w:rFonts w:cs="Calibri Light"/>
        </w:rPr>
        <w:t>Department of Treasury and Finance</w:t>
      </w:r>
      <w:r w:rsidR="000072C0" w:rsidRPr="00C33774">
        <w:rPr>
          <w:rFonts w:cs="Calibri Light"/>
        </w:rPr>
        <w:t>) (</w:t>
      </w:r>
      <w:r w:rsidR="000072C0">
        <w:rPr>
          <w:rFonts w:cs="Calibri Light"/>
        </w:rPr>
        <w:t xml:space="preserve">2023a), </w:t>
      </w:r>
      <w:r w:rsidR="000072C0">
        <w:rPr>
          <w:rFonts w:cs="Calibri Light"/>
          <w:i/>
          <w:iCs/>
          <w:lang w:eastAsia="en-AU"/>
        </w:rPr>
        <w:t>Victorian Budget 2023-24 – Budget Paper No. 3: Service Delivery.</w:t>
      </w:r>
    </w:p>
    <w:p w14:paraId="4C067FD7" w14:textId="24A3F021" w:rsidR="00680922" w:rsidRDefault="00680922" w:rsidP="000072C0">
      <w:pPr>
        <w:pStyle w:val="05Paragraph"/>
        <w:ind w:left="720" w:hanging="720"/>
        <w:jc w:val="left"/>
        <w:rPr>
          <w:rFonts w:cs="Calibri Light"/>
          <w:lang w:eastAsia="en-AU"/>
        </w:rPr>
      </w:pPr>
      <w:r w:rsidRPr="00A37A90">
        <w:rPr>
          <w:rFonts w:cs="Calibri Light"/>
          <w:lang w:eastAsia="en-AU"/>
        </w:rPr>
        <w:t>——— (202</w:t>
      </w:r>
      <w:r>
        <w:rPr>
          <w:rFonts w:cs="Calibri Light"/>
          <w:lang w:eastAsia="en-AU"/>
        </w:rPr>
        <w:t>3</w:t>
      </w:r>
      <w:r w:rsidRPr="00A37A90">
        <w:rPr>
          <w:rFonts w:cs="Calibri Light"/>
          <w:lang w:eastAsia="en-AU"/>
        </w:rPr>
        <w:t>b),</w:t>
      </w:r>
      <w:r>
        <w:rPr>
          <w:rFonts w:cs="Calibri Light"/>
          <w:lang w:eastAsia="en-AU"/>
        </w:rPr>
        <w:t xml:space="preserve"> </w:t>
      </w:r>
      <w:r>
        <w:rPr>
          <w:rFonts w:cs="Calibri Light"/>
          <w:i/>
          <w:iCs/>
          <w:lang w:eastAsia="en-AU"/>
        </w:rPr>
        <w:t>Victorian Budget 2023-24 – Budget Update</w:t>
      </w:r>
      <w:r>
        <w:rPr>
          <w:rFonts w:cs="Calibri Light"/>
          <w:lang w:eastAsia="en-AU"/>
        </w:rPr>
        <w:t>.</w:t>
      </w:r>
    </w:p>
    <w:p w14:paraId="6BBD7BF0" w14:textId="1B665AA4" w:rsidR="00680922" w:rsidRPr="00680922" w:rsidRDefault="00680922" w:rsidP="000072C0">
      <w:pPr>
        <w:pStyle w:val="05Paragraph"/>
        <w:ind w:left="720" w:hanging="720"/>
        <w:jc w:val="left"/>
        <w:rPr>
          <w:rFonts w:cs="Calibri Light"/>
          <w:lang w:eastAsia="en-AU"/>
        </w:rPr>
      </w:pPr>
      <w:r w:rsidRPr="00A37A90">
        <w:rPr>
          <w:rFonts w:cs="Calibri Light"/>
          <w:lang w:eastAsia="en-AU"/>
        </w:rPr>
        <w:t>——— (202</w:t>
      </w:r>
      <w:r>
        <w:rPr>
          <w:rFonts w:cs="Calibri Light"/>
          <w:lang w:eastAsia="en-AU"/>
        </w:rPr>
        <w:t>3c</w:t>
      </w:r>
      <w:r w:rsidRPr="00A37A90">
        <w:rPr>
          <w:rFonts w:cs="Calibri Light"/>
          <w:lang w:eastAsia="en-AU"/>
        </w:rPr>
        <w:t>),</w:t>
      </w:r>
      <w:r>
        <w:rPr>
          <w:rFonts w:cs="Calibri Light"/>
          <w:lang w:eastAsia="en-AU"/>
        </w:rPr>
        <w:t xml:space="preserve"> </w:t>
      </w:r>
      <w:r>
        <w:rPr>
          <w:rFonts w:cs="Calibri Light"/>
          <w:i/>
          <w:iCs/>
          <w:lang w:eastAsia="en-AU"/>
        </w:rPr>
        <w:t>Victorian Budget 2023-24 – Covid Debt Repayment Plan</w:t>
      </w:r>
      <w:r>
        <w:rPr>
          <w:rFonts w:cs="Calibri Light"/>
          <w:lang w:eastAsia="en-AU"/>
        </w:rPr>
        <w:t>.</w:t>
      </w:r>
    </w:p>
    <w:p w14:paraId="0DDCDE35" w14:textId="71930111" w:rsidR="00C35AEE" w:rsidRPr="00C35AEE" w:rsidRDefault="00C35AEE" w:rsidP="000072C0">
      <w:pPr>
        <w:pStyle w:val="05Paragraph"/>
        <w:ind w:left="720" w:hanging="720"/>
        <w:jc w:val="left"/>
        <w:rPr>
          <w:rFonts w:cs="Calibri Light"/>
          <w:lang w:eastAsia="en-AU"/>
        </w:rPr>
      </w:pPr>
      <w:r w:rsidRPr="00A37A90">
        <w:rPr>
          <w:rFonts w:cs="Calibri Light"/>
          <w:lang w:eastAsia="en-AU"/>
        </w:rPr>
        <w:t>——— (2024</w:t>
      </w:r>
      <w:r w:rsidR="00775B77">
        <w:rPr>
          <w:rFonts w:cs="Calibri Light"/>
          <w:lang w:eastAsia="en-AU"/>
        </w:rPr>
        <w:t>a</w:t>
      </w:r>
      <w:r w:rsidRPr="00A37A90">
        <w:rPr>
          <w:rFonts w:cs="Calibri Light"/>
          <w:lang w:eastAsia="en-AU"/>
        </w:rPr>
        <w:t>),</w:t>
      </w:r>
      <w:r>
        <w:rPr>
          <w:rFonts w:cs="Calibri Light"/>
          <w:lang w:eastAsia="en-AU"/>
        </w:rPr>
        <w:t xml:space="preserve"> </w:t>
      </w:r>
      <w:r>
        <w:rPr>
          <w:rFonts w:cs="Calibri Light"/>
          <w:i/>
          <w:iCs/>
          <w:lang w:eastAsia="en-AU"/>
        </w:rPr>
        <w:t xml:space="preserve">Other financial </w:t>
      </w:r>
      <w:r w:rsidRPr="00C35AEE">
        <w:rPr>
          <w:rFonts w:cs="Calibri Light"/>
          <w:i/>
          <w:iCs/>
          <w:color w:val="auto"/>
          <w:lang w:eastAsia="en-AU"/>
        </w:rPr>
        <w:t xml:space="preserve">aggregates, </w:t>
      </w:r>
      <w:hyperlink r:id="rId55" w:history="1">
        <w:r w:rsidRPr="00C35AEE">
          <w:rPr>
            <w:rStyle w:val="Hyperlink"/>
            <w:rFonts w:cs="Calibri Light"/>
            <w:color w:val="auto"/>
            <w:lang w:eastAsia="en-AU"/>
          </w:rPr>
          <w:t>https://www.dtf.vic.gov.au/state-financial-data-sets/other-financial-aggregates</w:t>
        </w:r>
      </w:hyperlink>
      <w:r w:rsidRPr="00C35AEE">
        <w:rPr>
          <w:rFonts w:cs="Calibri Light"/>
          <w:i/>
          <w:iCs/>
          <w:color w:val="auto"/>
          <w:lang w:eastAsia="en-AU"/>
        </w:rPr>
        <w:t xml:space="preserve">, </w:t>
      </w:r>
      <w:r w:rsidRPr="00C35AEE">
        <w:rPr>
          <w:rFonts w:cs="Calibri Light"/>
          <w:color w:val="auto"/>
          <w:lang w:eastAsia="en-AU"/>
        </w:rPr>
        <w:t xml:space="preserve">reviewed </w:t>
      </w:r>
      <w:r>
        <w:rPr>
          <w:rFonts w:cs="Calibri Light"/>
          <w:lang w:eastAsia="en-AU"/>
        </w:rPr>
        <w:t>7 May 2024.</w:t>
      </w:r>
    </w:p>
    <w:p w14:paraId="26302959" w14:textId="50317D9D" w:rsidR="000072C0" w:rsidRDefault="000072C0" w:rsidP="000072C0">
      <w:pPr>
        <w:pStyle w:val="05Paragraph"/>
        <w:ind w:left="720" w:hanging="720"/>
        <w:jc w:val="left"/>
        <w:rPr>
          <w:rFonts w:cs="Calibri Light"/>
          <w:lang w:eastAsia="en-AU"/>
        </w:rPr>
      </w:pPr>
      <w:r w:rsidRPr="00274C0A">
        <w:rPr>
          <w:rFonts w:cs="Calibri Light"/>
          <w:lang w:eastAsia="en-AU"/>
        </w:rPr>
        <w:t>———</w:t>
      </w:r>
      <w:r>
        <w:rPr>
          <w:rFonts w:cs="Calibri Light"/>
          <w:lang w:eastAsia="en-AU"/>
        </w:rPr>
        <w:t xml:space="preserve"> (</w:t>
      </w:r>
      <w:r w:rsidRPr="00C33774">
        <w:rPr>
          <w:rFonts w:cs="Calibri Light"/>
        </w:rPr>
        <w:t>2024</w:t>
      </w:r>
      <w:r w:rsidR="00775B77">
        <w:rPr>
          <w:rFonts w:cs="Calibri Light"/>
        </w:rPr>
        <w:t>b</w:t>
      </w:r>
      <w:r w:rsidRPr="00C33774">
        <w:rPr>
          <w:rFonts w:cs="Calibri Light"/>
        </w:rPr>
        <w:t xml:space="preserve">), </w:t>
      </w:r>
      <w:r w:rsidRPr="008729CF">
        <w:rPr>
          <w:rFonts w:cs="Calibri Light"/>
          <w:i/>
          <w:iCs/>
        </w:rPr>
        <w:t>Victorian Budget</w:t>
      </w:r>
      <w:r>
        <w:rPr>
          <w:rFonts w:cs="Calibri Light"/>
        </w:rPr>
        <w:t xml:space="preserve"> </w:t>
      </w:r>
      <w:r w:rsidRPr="00C33774">
        <w:rPr>
          <w:rFonts w:cs="Calibri Light"/>
          <w:i/>
          <w:iCs/>
        </w:rPr>
        <w:t>2024</w:t>
      </w:r>
      <w:r>
        <w:rPr>
          <w:rFonts w:cs="Calibri Light"/>
          <w:i/>
          <w:iCs/>
        </w:rPr>
        <w:t>-</w:t>
      </w:r>
      <w:r w:rsidRPr="00C33774">
        <w:rPr>
          <w:rFonts w:cs="Calibri Light"/>
          <w:i/>
          <w:iCs/>
        </w:rPr>
        <w:t>25</w:t>
      </w:r>
      <w:r>
        <w:rPr>
          <w:rFonts w:cs="Calibri Light"/>
          <w:i/>
          <w:iCs/>
        </w:rPr>
        <w:t xml:space="preserve"> – Budget Paper No. 2: Strategy and Outlook</w:t>
      </w:r>
      <w:r w:rsidRPr="00C33774">
        <w:rPr>
          <w:rFonts w:cs="Calibri Light"/>
        </w:rPr>
        <w:t>.</w:t>
      </w:r>
    </w:p>
    <w:p w14:paraId="20AF0C7B" w14:textId="53256D60" w:rsidR="000072C0" w:rsidRPr="00A2329E" w:rsidRDefault="000072C0" w:rsidP="000072C0">
      <w:pPr>
        <w:pStyle w:val="05Paragraph"/>
        <w:ind w:left="720" w:hanging="720"/>
        <w:jc w:val="left"/>
        <w:rPr>
          <w:rFonts w:cs="Calibri Light"/>
          <w:highlight w:val="yellow"/>
          <w:lang w:eastAsia="en-AU"/>
        </w:rPr>
      </w:pPr>
      <w:r w:rsidRPr="00A37A90">
        <w:rPr>
          <w:rFonts w:cs="Calibri Light"/>
          <w:lang w:eastAsia="en-AU"/>
        </w:rPr>
        <w:t>——— (2024</w:t>
      </w:r>
      <w:r w:rsidR="00775B77">
        <w:rPr>
          <w:rFonts w:cs="Calibri Light"/>
          <w:lang w:eastAsia="en-AU"/>
        </w:rPr>
        <w:t>c</w:t>
      </w:r>
      <w:r w:rsidRPr="00A37A90">
        <w:rPr>
          <w:rFonts w:cs="Calibri Light"/>
          <w:lang w:eastAsia="en-AU"/>
        </w:rPr>
        <w:t>),</w:t>
      </w:r>
      <w:r w:rsidR="00A2329E" w:rsidRPr="00A2329E">
        <w:rPr>
          <w:rFonts w:cs="Calibri Light"/>
          <w:lang w:eastAsia="en-AU"/>
        </w:rPr>
        <w:t xml:space="preserve"> </w:t>
      </w:r>
      <w:r w:rsidRPr="00A37A90">
        <w:rPr>
          <w:rFonts w:cs="Calibri Light"/>
          <w:i/>
          <w:iCs/>
          <w:lang w:eastAsia="en-AU"/>
        </w:rPr>
        <w:t>Victorian</w:t>
      </w:r>
      <w:r>
        <w:rPr>
          <w:rFonts w:cs="Calibri Light"/>
          <w:i/>
          <w:iCs/>
          <w:lang w:eastAsia="en-AU"/>
        </w:rPr>
        <w:t xml:space="preserve"> Government submission to the Annual Wage Review 2023-24</w:t>
      </w:r>
      <w:r>
        <w:rPr>
          <w:rFonts w:cs="Calibri Light"/>
          <w:lang w:eastAsia="en-AU"/>
        </w:rPr>
        <w:t>.</w:t>
      </w:r>
    </w:p>
    <w:p w14:paraId="767E99A8" w14:textId="2C542D92" w:rsidR="00130271" w:rsidRDefault="00CE3F1A" w:rsidP="00130271">
      <w:pPr>
        <w:pStyle w:val="05Paragraph"/>
        <w:ind w:left="720" w:hanging="720"/>
        <w:jc w:val="left"/>
        <w:rPr>
          <w:rFonts w:cs="Calibri Light"/>
        </w:rPr>
      </w:pPr>
      <w:r>
        <w:rPr>
          <w:rFonts w:cs="Calibri Light"/>
        </w:rPr>
        <w:t>ESC (</w:t>
      </w:r>
      <w:r w:rsidR="000072C0" w:rsidRPr="00176029">
        <w:rPr>
          <w:rFonts w:cs="Calibri Light"/>
        </w:rPr>
        <w:t>E</w:t>
      </w:r>
      <w:r w:rsidR="000072C0">
        <w:rPr>
          <w:rFonts w:cs="Calibri Light"/>
        </w:rPr>
        <w:t xml:space="preserve">ssential Services Commission) (2024a), </w:t>
      </w:r>
      <w:r w:rsidR="000072C0">
        <w:rPr>
          <w:rFonts w:cs="Calibri Light"/>
          <w:i/>
          <w:iCs/>
        </w:rPr>
        <w:t>Annual council rate caps</w:t>
      </w:r>
      <w:r w:rsidR="000072C0">
        <w:rPr>
          <w:rFonts w:cs="Calibri Light"/>
        </w:rPr>
        <w:t xml:space="preserve">, </w:t>
      </w:r>
      <w:hyperlink r:id="rId56" w:history="1">
        <w:r w:rsidR="00130271" w:rsidRPr="004B2682">
          <w:rPr>
            <w:rStyle w:val="Hyperlink"/>
            <w:rFonts w:cs="Calibri Light"/>
          </w:rPr>
          <w:t>https://www.esc.vic.gov.au/local-government/annual-council-rate-caps</w:t>
        </w:r>
      </w:hyperlink>
      <w:r w:rsidR="00130271">
        <w:rPr>
          <w:rFonts w:cs="Calibri Light"/>
        </w:rPr>
        <w:t xml:space="preserve">, </w:t>
      </w:r>
      <w:r w:rsidR="00130271" w:rsidRPr="00C20334">
        <w:rPr>
          <w:rFonts w:cs="Calibri Light"/>
        </w:rPr>
        <w:t xml:space="preserve">accessed </w:t>
      </w:r>
      <w:r w:rsidR="00C20334" w:rsidRPr="00C20334">
        <w:rPr>
          <w:rFonts w:cs="Calibri Light"/>
        </w:rPr>
        <w:t>21</w:t>
      </w:r>
      <w:r w:rsidR="00130271" w:rsidRPr="00C20334">
        <w:rPr>
          <w:rFonts w:cs="Calibri Light"/>
        </w:rPr>
        <w:t xml:space="preserve"> June 2024</w:t>
      </w:r>
      <w:r w:rsidR="00130271">
        <w:rPr>
          <w:rFonts w:cs="Calibri Light"/>
        </w:rPr>
        <w:t xml:space="preserve">. </w:t>
      </w:r>
    </w:p>
    <w:p w14:paraId="71D9AD1A" w14:textId="34651407" w:rsidR="00130271" w:rsidRPr="00E422B1" w:rsidRDefault="000072C0" w:rsidP="00130271">
      <w:pPr>
        <w:pStyle w:val="05Paragraph"/>
        <w:ind w:left="720" w:hanging="720"/>
        <w:jc w:val="left"/>
        <w:rPr>
          <w:rFonts w:cs="Calibri Light"/>
        </w:rPr>
      </w:pPr>
      <w:r w:rsidRPr="00274C0A">
        <w:rPr>
          <w:rFonts w:cs="Calibri Light"/>
          <w:lang w:eastAsia="en-AU"/>
        </w:rPr>
        <w:t>———</w:t>
      </w:r>
      <w:r>
        <w:rPr>
          <w:rFonts w:cs="Calibri Light"/>
          <w:lang w:eastAsia="en-AU"/>
        </w:rPr>
        <w:t xml:space="preserve"> (2024b), </w:t>
      </w:r>
      <w:r>
        <w:rPr>
          <w:rFonts w:cs="Calibri Light"/>
          <w:i/>
          <w:iCs/>
          <w:lang w:eastAsia="en-AU"/>
        </w:rPr>
        <w:t>Recent higher cap applications</w:t>
      </w:r>
      <w:r>
        <w:rPr>
          <w:rFonts w:cs="Calibri Light"/>
          <w:lang w:eastAsia="en-AU"/>
        </w:rPr>
        <w:t xml:space="preserve">, </w:t>
      </w:r>
      <w:hyperlink r:id="rId57" w:history="1">
        <w:r w:rsidR="00130271" w:rsidRPr="004B2682">
          <w:rPr>
            <w:rStyle w:val="Hyperlink"/>
            <w:rFonts w:cs="Calibri Light"/>
            <w:lang w:eastAsia="en-AU"/>
          </w:rPr>
          <w:t>https://www.esc.vic.gov.au/local-government/higher-rate-cap-applications/recent-higher-cap-applications</w:t>
        </w:r>
      </w:hyperlink>
      <w:r w:rsidR="00130271">
        <w:rPr>
          <w:rFonts w:cs="Calibri Light"/>
          <w:lang w:eastAsia="en-AU"/>
        </w:rPr>
        <w:t xml:space="preserve">, </w:t>
      </w:r>
      <w:r w:rsidR="00130271" w:rsidRPr="00C20334">
        <w:rPr>
          <w:rFonts w:cs="Calibri Light"/>
          <w:lang w:eastAsia="en-AU"/>
        </w:rPr>
        <w:t xml:space="preserve">accessed </w:t>
      </w:r>
      <w:r w:rsidR="00C20334" w:rsidRPr="00C20334">
        <w:rPr>
          <w:rFonts w:cs="Calibri Light"/>
          <w:lang w:eastAsia="en-AU"/>
        </w:rPr>
        <w:t>21</w:t>
      </w:r>
      <w:r w:rsidR="00130271" w:rsidRPr="00C20334">
        <w:rPr>
          <w:rFonts w:cs="Calibri Light"/>
          <w:lang w:eastAsia="en-AU"/>
        </w:rPr>
        <w:t xml:space="preserve"> June 2024</w:t>
      </w:r>
      <w:r w:rsidR="00130271">
        <w:rPr>
          <w:rFonts w:cs="Calibri Light"/>
          <w:lang w:eastAsia="en-AU"/>
        </w:rPr>
        <w:t xml:space="preserve">. </w:t>
      </w:r>
    </w:p>
    <w:p w14:paraId="46D2AE03" w14:textId="77777777" w:rsidR="000072C0" w:rsidRDefault="000072C0" w:rsidP="000072C0">
      <w:pPr>
        <w:pStyle w:val="05Paragraph"/>
        <w:ind w:left="720" w:hanging="720"/>
        <w:jc w:val="left"/>
        <w:rPr>
          <w:rFonts w:cs="Calibri Light"/>
        </w:rPr>
      </w:pPr>
      <w:r w:rsidRPr="00D65BB5">
        <w:rPr>
          <w:rFonts w:cs="Calibri Light"/>
        </w:rPr>
        <w:t>Fair Work Commission (202</w:t>
      </w:r>
      <w:r>
        <w:rPr>
          <w:rFonts w:cs="Calibri Light"/>
        </w:rPr>
        <w:t>4</w:t>
      </w:r>
      <w:r w:rsidRPr="00D65BB5">
        <w:rPr>
          <w:rFonts w:cs="Calibri Light"/>
        </w:rPr>
        <w:t xml:space="preserve">), </w:t>
      </w:r>
      <w:r w:rsidRPr="00D65BB5">
        <w:rPr>
          <w:rFonts w:cs="Calibri Light"/>
          <w:i/>
          <w:iCs/>
        </w:rPr>
        <w:t>Decision — Annual Wage Review 2023-24</w:t>
      </w:r>
      <w:r w:rsidRPr="00D65BB5">
        <w:rPr>
          <w:rFonts w:cs="Calibri Light"/>
        </w:rPr>
        <w:t>.</w:t>
      </w:r>
    </w:p>
    <w:p w14:paraId="1B6A94C4" w14:textId="0E38BAF3" w:rsidR="4BD26715" w:rsidRPr="00745716" w:rsidRDefault="4BD26715" w:rsidP="00592011">
      <w:pPr>
        <w:pStyle w:val="05Paragraph"/>
        <w:ind w:left="709" w:hanging="709"/>
        <w:rPr>
          <w:rFonts w:cs="Calibri Light"/>
        </w:rPr>
      </w:pPr>
      <w:r w:rsidRPr="00745716">
        <w:rPr>
          <w:rFonts w:cs="Calibri Light"/>
        </w:rPr>
        <w:t>Industrial Relations Victoria (202</w:t>
      </w:r>
      <w:r w:rsidR="00E05DC2">
        <w:rPr>
          <w:rFonts w:cs="Calibri Light"/>
        </w:rPr>
        <w:t>4</w:t>
      </w:r>
      <w:r w:rsidRPr="00745716">
        <w:rPr>
          <w:rFonts w:cs="Calibri Light"/>
        </w:rPr>
        <w:t xml:space="preserve">), </w:t>
      </w:r>
      <w:r w:rsidRPr="00745716">
        <w:rPr>
          <w:rFonts w:cs="Calibri Light"/>
          <w:i/>
        </w:rPr>
        <w:t>Wages Policy and the Enterprise Bargaining Framework</w:t>
      </w:r>
      <w:r w:rsidR="00910BDB">
        <w:rPr>
          <w:rFonts w:cs="Calibri Light"/>
        </w:rPr>
        <w:t>, accessed 21 June 2024</w:t>
      </w:r>
      <w:r w:rsidRPr="00745716">
        <w:rPr>
          <w:rFonts w:cs="Calibri Light"/>
        </w:rPr>
        <w:t>.</w:t>
      </w:r>
    </w:p>
    <w:p w14:paraId="62D9D75A" w14:textId="4B929031" w:rsidR="00130271" w:rsidRPr="003D4A5A" w:rsidRDefault="00130271" w:rsidP="00130271">
      <w:pPr>
        <w:pStyle w:val="05Paragraph"/>
        <w:ind w:left="720" w:hanging="720"/>
        <w:rPr>
          <w:rFonts w:cs="Calibri Light"/>
        </w:rPr>
      </w:pPr>
      <w:r>
        <w:rPr>
          <w:rFonts w:cs="Calibri Light"/>
        </w:rPr>
        <w:t xml:space="preserve">Local Government Association of South Australia (2023), </w:t>
      </w:r>
      <w:r>
        <w:rPr>
          <w:rFonts w:cs="Calibri Light"/>
          <w:i/>
          <w:iCs/>
        </w:rPr>
        <w:t>Periodic adjustment of council members allowances</w:t>
      </w:r>
      <w:r>
        <w:rPr>
          <w:rFonts w:cs="Calibri Light"/>
        </w:rPr>
        <w:t xml:space="preserve">, </w:t>
      </w:r>
      <w:hyperlink r:id="rId58" w:history="1">
        <w:r w:rsidRPr="004B2682">
          <w:rPr>
            <w:rStyle w:val="Hyperlink"/>
            <w:rFonts w:cs="Calibri Light"/>
          </w:rPr>
          <w:t>https://www.lga.sa.gov.au/news-and-events/news/latest-news/2023/periodic-adjustment-of-council-member-allowances</w:t>
        </w:r>
      </w:hyperlink>
      <w:r>
        <w:rPr>
          <w:rFonts w:cs="Calibri Light"/>
        </w:rPr>
        <w:t xml:space="preserve">, updated 2 November 2023. </w:t>
      </w:r>
    </w:p>
    <w:p w14:paraId="38A84A82" w14:textId="62C4735C" w:rsidR="000072C0" w:rsidRPr="00321E98" w:rsidRDefault="00130271" w:rsidP="00C20334">
      <w:pPr>
        <w:pStyle w:val="05Paragraph"/>
        <w:ind w:left="720" w:hanging="720"/>
        <w:rPr>
          <w:rFonts w:cs="Calibri Light"/>
        </w:rPr>
      </w:pPr>
      <w:r w:rsidRPr="00321E98">
        <w:rPr>
          <w:rFonts w:cs="Calibri Light"/>
        </w:rPr>
        <w:t>Local Government Remuneration Commission (Q</w:t>
      </w:r>
      <w:r>
        <w:rPr>
          <w:rFonts w:cs="Calibri Light"/>
        </w:rPr>
        <w:t>ueensland</w:t>
      </w:r>
      <w:r w:rsidRPr="00321E98">
        <w:rPr>
          <w:rFonts w:cs="Calibri Light"/>
        </w:rPr>
        <w:t xml:space="preserve">) (2023), </w:t>
      </w:r>
      <w:r w:rsidRPr="00321E98">
        <w:rPr>
          <w:rFonts w:cs="Calibri Light"/>
          <w:i/>
          <w:iCs/>
        </w:rPr>
        <w:t>Annual Report 2023</w:t>
      </w:r>
      <w:r w:rsidRPr="00321E98">
        <w:rPr>
          <w:rFonts w:cs="Calibri Light"/>
        </w:rPr>
        <w:t>.</w:t>
      </w:r>
      <w:r w:rsidR="000072C0">
        <w:rPr>
          <w:rFonts w:cs="Calibri Light"/>
        </w:rPr>
        <w:t xml:space="preserve"> </w:t>
      </w:r>
    </w:p>
    <w:p w14:paraId="2B3F2ED3" w14:textId="77777777" w:rsidR="00AC0775" w:rsidRDefault="00130271" w:rsidP="00130271">
      <w:pPr>
        <w:pStyle w:val="05Paragraph"/>
        <w:ind w:left="720" w:hanging="720"/>
        <w:rPr>
          <w:rFonts w:cs="Calibri Light"/>
        </w:rPr>
      </w:pPr>
      <w:r w:rsidRPr="00812AE6">
        <w:rPr>
          <w:rFonts w:cs="Calibri Light"/>
        </w:rPr>
        <w:t>Local Government Remuneration Tribunal (N</w:t>
      </w:r>
      <w:r>
        <w:rPr>
          <w:rFonts w:cs="Calibri Light"/>
        </w:rPr>
        <w:t xml:space="preserve">ew </w:t>
      </w:r>
      <w:r w:rsidRPr="00812AE6">
        <w:rPr>
          <w:rFonts w:cs="Calibri Light"/>
        </w:rPr>
        <w:t>S</w:t>
      </w:r>
      <w:r>
        <w:rPr>
          <w:rFonts w:cs="Calibri Light"/>
        </w:rPr>
        <w:t xml:space="preserve">outh </w:t>
      </w:r>
      <w:r w:rsidRPr="00812AE6">
        <w:rPr>
          <w:rFonts w:cs="Calibri Light"/>
        </w:rPr>
        <w:t>W</w:t>
      </w:r>
      <w:r>
        <w:rPr>
          <w:rFonts w:cs="Calibri Light"/>
        </w:rPr>
        <w:t>ales</w:t>
      </w:r>
      <w:r w:rsidRPr="00812AE6">
        <w:rPr>
          <w:rFonts w:cs="Calibri Light"/>
        </w:rPr>
        <w:t xml:space="preserve">) (2024), </w:t>
      </w:r>
      <w:r w:rsidRPr="00812AE6">
        <w:rPr>
          <w:rFonts w:cs="Calibri Light"/>
          <w:i/>
          <w:iCs/>
        </w:rPr>
        <w:t>Annual Determination</w:t>
      </w:r>
      <w:r w:rsidRPr="00812AE6">
        <w:rPr>
          <w:rFonts w:cs="Calibri Light"/>
        </w:rPr>
        <w:t>.</w:t>
      </w:r>
    </w:p>
    <w:p w14:paraId="7E8BD63F" w14:textId="77777777" w:rsidR="00E3421A" w:rsidRPr="00A93C90" w:rsidRDefault="00E3421A" w:rsidP="004C665E">
      <w:pPr>
        <w:pStyle w:val="05Paragraph"/>
        <w:ind w:left="720" w:hanging="720"/>
        <w:rPr>
          <w:rFonts w:cs="Calibri Light"/>
        </w:rPr>
      </w:pPr>
      <w:r w:rsidRPr="00A93C90">
        <w:rPr>
          <w:rFonts w:cs="Calibri Light"/>
        </w:rPr>
        <w:t>Northern Territory Remuneration Tribunal (</w:t>
      </w:r>
      <w:r w:rsidR="00130271" w:rsidRPr="00A93C90">
        <w:rPr>
          <w:rFonts w:cs="Calibri Light"/>
        </w:rPr>
        <w:t>2024</w:t>
      </w:r>
      <w:r w:rsidRPr="00A93C90">
        <w:rPr>
          <w:rFonts w:cs="Calibri Light"/>
        </w:rPr>
        <w:t xml:space="preserve">), </w:t>
      </w:r>
      <w:r w:rsidR="00402872" w:rsidRPr="00A93C90">
        <w:rPr>
          <w:rFonts w:cs="Calibri Light"/>
          <w:i/>
        </w:rPr>
        <w:t>Report and Determination No.</w:t>
      </w:r>
      <w:r w:rsidR="00327305" w:rsidRPr="00A93C90">
        <w:rPr>
          <w:rFonts w:cs="Calibri Light"/>
          <w:i/>
        </w:rPr>
        <w:t> </w:t>
      </w:r>
      <w:r w:rsidR="00402872" w:rsidRPr="00A93C90">
        <w:rPr>
          <w:rFonts w:cs="Calibri Light"/>
          <w:i/>
        </w:rPr>
        <w:t xml:space="preserve">1 of </w:t>
      </w:r>
      <w:r w:rsidR="00130271" w:rsidRPr="00A93C90">
        <w:rPr>
          <w:rFonts w:cs="Calibri Light"/>
          <w:i/>
          <w:iCs/>
        </w:rPr>
        <w:t>2024</w:t>
      </w:r>
      <w:r w:rsidR="00402872" w:rsidRPr="00A93C90">
        <w:rPr>
          <w:rFonts w:cs="Calibri Light"/>
          <w:i/>
        </w:rPr>
        <w:t xml:space="preserve"> – Allowances for Members of Local Government Councils</w:t>
      </w:r>
      <w:r w:rsidR="00E1110D" w:rsidRPr="00A93C90">
        <w:rPr>
          <w:rFonts w:cs="Calibri Light"/>
        </w:rPr>
        <w:t>.</w:t>
      </w:r>
    </w:p>
    <w:p w14:paraId="079B9024" w14:textId="7059E3FE" w:rsidR="000072C0" w:rsidRPr="00B33602" w:rsidRDefault="00CE3F1A" w:rsidP="000072C0">
      <w:pPr>
        <w:pStyle w:val="05Paragraph"/>
        <w:ind w:left="720" w:hanging="720"/>
        <w:rPr>
          <w:rFonts w:eastAsia="+mn-ea" w:cs="Calibri Light"/>
          <w:color w:val="auto"/>
          <w:kern w:val="24"/>
          <w:szCs w:val="18"/>
          <w:lang w:eastAsia="en-AU"/>
        </w:rPr>
      </w:pPr>
      <w:r>
        <w:rPr>
          <w:rStyle w:val="Hyperlink"/>
          <w:rFonts w:eastAsia="+mn-ea" w:cs="Calibri Light"/>
          <w:color w:val="auto"/>
          <w:kern w:val="24"/>
          <w:szCs w:val="18"/>
          <w:u w:val="none"/>
          <w:lang w:eastAsia="en-AU"/>
        </w:rPr>
        <w:t>RBA (</w:t>
      </w:r>
      <w:r w:rsidR="000072C0" w:rsidRPr="00E46853">
        <w:rPr>
          <w:rStyle w:val="Hyperlink"/>
          <w:rFonts w:eastAsia="+mn-ea" w:cs="Calibri Light"/>
          <w:color w:val="auto"/>
          <w:kern w:val="24"/>
          <w:szCs w:val="18"/>
          <w:u w:val="none"/>
          <w:lang w:eastAsia="en-AU"/>
        </w:rPr>
        <w:t>Reserve Bank of Australia</w:t>
      </w:r>
      <w:r w:rsidR="000072C0" w:rsidRPr="00A37A90">
        <w:rPr>
          <w:rStyle w:val="Hyperlink"/>
          <w:rFonts w:eastAsia="+mn-ea" w:cs="Calibri Light"/>
          <w:color w:val="auto"/>
          <w:kern w:val="24"/>
          <w:szCs w:val="18"/>
          <w:u w:val="none"/>
          <w:lang w:eastAsia="en-AU"/>
        </w:rPr>
        <w:t xml:space="preserve">) </w:t>
      </w:r>
      <w:r w:rsidR="000072C0" w:rsidRPr="00A37A90">
        <w:rPr>
          <w:rFonts w:cs="Calibri Light"/>
          <w:lang w:eastAsia="en-AU"/>
        </w:rPr>
        <w:t xml:space="preserve">(2024), </w:t>
      </w:r>
      <w:r w:rsidR="000072C0" w:rsidRPr="00A37A90">
        <w:rPr>
          <w:rFonts w:cs="Calibri Light"/>
          <w:i/>
          <w:iCs/>
          <w:lang w:eastAsia="en-AU"/>
        </w:rPr>
        <w:t>Statement</w:t>
      </w:r>
      <w:r w:rsidR="000072C0">
        <w:rPr>
          <w:rFonts w:cs="Calibri Light"/>
          <w:i/>
          <w:iCs/>
          <w:lang w:eastAsia="en-AU"/>
        </w:rPr>
        <w:t xml:space="preserve"> on Monetary Policy – May 2024</w:t>
      </w:r>
      <w:r w:rsidR="000072C0">
        <w:rPr>
          <w:rFonts w:cs="Calibri Light"/>
          <w:lang w:eastAsia="en-AU"/>
        </w:rPr>
        <w:t>.</w:t>
      </w:r>
    </w:p>
    <w:p w14:paraId="75F56BC6" w14:textId="77777777" w:rsidR="00130271" w:rsidRPr="00362B43" w:rsidRDefault="00130271" w:rsidP="00130271">
      <w:pPr>
        <w:pStyle w:val="05Paragraph"/>
        <w:ind w:left="720" w:hanging="720"/>
        <w:rPr>
          <w:rFonts w:cs="Calibri Light"/>
        </w:rPr>
      </w:pPr>
      <w:r w:rsidRPr="00362B43">
        <w:rPr>
          <w:rFonts w:cs="Calibri Light"/>
        </w:rPr>
        <w:t>Salaries and Allowances Tribunal (W</w:t>
      </w:r>
      <w:r>
        <w:rPr>
          <w:rFonts w:cs="Calibri Light"/>
        </w:rPr>
        <w:t xml:space="preserve">estern </w:t>
      </w:r>
      <w:r w:rsidRPr="00362B43">
        <w:rPr>
          <w:rFonts w:cs="Calibri Light"/>
        </w:rPr>
        <w:t>A</w:t>
      </w:r>
      <w:r>
        <w:rPr>
          <w:rFonts w:cs="Calibri Light"/>
        </w:rPr>
        <w:t>ustralia</w:t>
      </w:r>
      <w:r w:rsidRPr="00362B43">
        <w:rPr>
          <w:rFonts w:cs="Calibri Light"/>
        </w:rPr>
        <w:t xml:space="preserve">) (2024), </w:t>
      </w:r>
      <w:r w:rsidRPr="00362B43">
        <w:rPr>
          <w:rFonts w:cs="Calibri Light"/>
          <w:i/>
          <w:iCs/>
        </w:rPr>
        <w:t>Local Government Chief Executive Officers and Elected Members Determination No. 1 of 2024</w:t>
      </w:r>
      <w:r w:rsidRPr="00362B43">
        <w:rPr>
          <w:rFonts w:cs="Calibri Light"/>
        </w:rPr>
        <w:t>.</w:t>
      </w:r>
    </w:p>
    <w:p w14:paraId="6F7A43BD" w14:textId="7449BADC" w:rsidR="00130271" w:rsidRPr="00CA449D" w:rsidRDefault="00130271" w:rsidP="00130271">
      <w:pPr>
        <w:pStyle w:val="05Paragraph"/>
        <w:ind w:left="720" w:hanging="720"/>
        <w:rPr>
          <w:rFonts w:cs="Calibri Light"/>
        </w:rPr>
      </w:pPr>
      <w:r w:rsidRPr="00CA449D">
        <w:rPr>
          <w:rFonts w:cs="Calibri Light"/>
        </w:rPr>
        <w:t xml:space="preserve">State Government of Victoria (2023), </w:t>
      </w:r>
      <w:r w:rsidRPr="00CA449D">
        <w:rPr>
          <w:rFonts w:cs="Calibri Light"/>
          <w:i/>
          <w:iCs/>
        </w:rPr>
        <w:t>Council Rates Cap To Keep Costs Low For Victorian Families</w:t>
      </w:r>
      <w:r w:rsidRPr="00CA449D">
        <w:rPr>
          <w:rFonts w:cs="Calibri Light"/>
        </w:rPr>
        <w:t xml:space="preserve">, </w:t>
      </w:r>
      <w:hyperlink r:id="rId59" w:history="1">
        <w:r w:rsidRPr="00CA449D">
          <w:rPr>
            <w:rStyle w:val="Hyperlink"/>
            <w:rFonts w:cs="Calibri Light"/>
          </w:rPr>
          <w:t>https://www.premier.vic.gov.au/council-rates-cap-keep-costs-low-victorian-families</w:t>
        </w:r>
      </w:hyperlink>
      <w:r w:rsidRPr="00CA449D">
        <w:rPr>
          <w:rFonts w:cs="Calibri Light"/>
        </w:rPr>
        <w:t>,</w:t>
      </w:r>
      <w:r w:rsidRPr="00CA449D" w:rsidDel="00BF0E9E">
        <w:rPr>
          <w:rFonts w:cs="Calibri Light"/>
        </w:rPr>
        <w:t xml:space="preserve"> </w:t>
      </w:r>
      <w:r w:rsidRPr="00CA449D">
        <w:rPr>
          <w:rFonts w:cs="Calibri Light"/>
        </w:rPr>
        <w:t>updated 22 December 2023.</w:t>
      </w:r>
    </w:p>
    <w:p w14:paraId="40858EF7" w14:textId="77777777" w:rsidR="00AC0775" w:rsidRDefault="00130271" w:rsidP="00130271">
      <w:pPr>
        <w:pStyle w:val="05Paragraph"/>
        <w:ind w:left="720" w:hanging="720"/>
        <w:rPr>
          <w:rFonts w:cs="Calibri Light"/>
          <w:lang w:eastAsia="en-AU"/>
        </w:rPr>
      </w:pPr>
      <w:r>
        <w:rPr>
          <w:rFonts w:cs="Calibri Light"/>
          <w:lang w:eastAsia="en-AU"/>
        </w:rPr>
        <w:t xml:space="preserve">Office of Local Government (Tasmania) (2023), </w:t>
      </w:r>
      <w:r>
        <w:rPr>
          <w:rFonts w:cs="Calibri Light"/>
          <w:i/>
          <w:iCs/>
          <w:lang w:eastAsia="en-AU"/>
        </w:rPr>
        <w:t>Councillor Allowances</w:t>
      </w:r>
      <w:r w:rsidR="000072C0">
        <w:rPr>
          <w:rFonts w:cs="Calibri Light"/>
          <w:i/>
          <w:iCs/>
          <w:lang w:eastAsia="en-AU"/>
        </w:rPr>
        <w:t xml:space="preserve"> information sheet</w:t>
      </w:r>
      <w:r>
        <w:rPr>
          <w:rFonts w:cs="Calibri Light"/>
          <w:lang w:eastAsia="en-AU"/>
        </w:rPr>
        <w:t>.</w:t>
      </w:r>
    </w:p>
    <w:p w14:paraId="155395A6" w14:textId="0339829F" w:rsidR="000072C0" w:rsidRDefault="00CE3F1A" w:rsidP="000072C0">
      <w:pPr>
        <w:pStyle w:val="05Paragraph"/>
        <w:ind w:left="720" w:hanging="720"/>
        <w:rPr>
          <w:rFonts w:cs="Calibri Light"/>
          <w:lang w:eastAsia="en-AU"/>
        </w:rPr>
      </w:pPr>
      <w:r>
        <w:rPr>
          <w:rFonts w:cs="Calibri Light"/>
          <w:lang w:eastAsia="en-AU"/>
        </w:rPr>
        <w:t>VAGO (</w:t>
      </w:r>
      <w:r w:rsidR="000072C0">
        <w:rPr>
          <w:rFonts w:cs="Calibri Light"/>
          <w:lang w:eastAsia="en-AU"/>
        </w:rPr>
        <w:t>Victorian Auditor-General’s Office) (2023</w:t>
      </w:r>
      <w:r w:rsidR="00ED11A2">
        <w:rPr>
          <w:rFonts w:cs="Calibri Light"/>
          <w:lang w:eastAsia="en-AU"/>
        </w:rPr>
        <w:t>a</w:t>
      </w:r>
      <w:r w:rsidR="000072C0">
        <w:rPr>
          <w:rFonts w:cs="Calibri Light"/>
          <w:lang w:eastAsia="en-AU"/>
        </w:rPr>
        <w:t xml:space="preserve">), </w:t>
      </w:r>
      <w:r w:rsidR="000072C0" w:rsidRPr="00DE3E9E">
        <w:rPr>
          <w:rFonts w:cs="Calibri Light"/>
          <w:i/>
          <w:iCs/>
          <w:lang w:eastAsia="en-AU"/>
        </w:rPr>
        <w:t>Auditor-General’s Report on the Annual Financial Report of the State of Victoria 2022-23</w:t>
      </w:r>
      <w:r w:rsidR="000072C0">
        <w:rPr>
          <w:rFonts w:cs="Calibri Light"/>
          <w:lang w:eastAsia="en-AU"/>
        </w:rPr>
        <w:t>.</w:t>
      </w:r>
    </w:p>
    <w:p w14:paraId="524D6B55" w14:textId="515C7AAE" w:rsidR="00ED11A2" w:rsidRPr="00ED11A2" w:rsidRDefault="00ED11A2" w:rsidP="000072C0">
      <w:pPr>
        <w:pStyle w:val="05Paragraph"/>
        <w:ind w:left="720" w:hanging="720"/>
        <w:rPr>
          <w:rFonts w:cs="Calibri Light"/>
          <w:lang w:eastAsia="en-AU"/>
        </w:rPr>
      </w:pPr>
      <w:r w:rsidRPr="00274C0A">
        <w:rPr>
          <w:rFonts w:cs="Calibri Light"/>
          <w:lang w:eastAsia="en-AU"/>
        </w:rPr>
        <w:t>———</w:t>
      </w:r>
      <w:r>
        <w:rPr>
          <w:rFonts w:cs="Calibri Light"/>
          <w:lang w:eastAsia="en-AU"/>
        </w:rPr>
        <w:t xml:space="preserve"> (2023b), </w:t>
      </w:r>
      <w:bookmarkStart w:id="101" w:name="_Hlk170218295"/>
      <w:r>
        <w:rPr>
          <w:rFonts w:cs="Calibri Light"/>
          <w:i/>
          <w:iCs/>
          <w:lang w:eastAsia="en-AU"/>
        </w:rPr>
        <w:t>Major Projects Performance Reporting 2023</w:t>
      </w:r>
      <w:r>
        <w:rPr>
          <w:rFonts w:cs="Calibri Light"/>
          <w:lang w:eastAsia="en-AU"/>
        </w:rPr>
        <w:t>.</w:t>
      </w:r>
    </w:p>
    <w:bookmarkEnd w:id="101"/>
    <w:p w14:paraId="42A0BC20" w14:textId="77777777" w:rsidR="000072C0" w:rsidRDefault="000072C0" w:rsidP="000072C0">
      <w:pPr>
        <w:pStyle w:val="05Paragraph"/>
        <w:ind w:left="720" w:hanging="720"/>
        <w:rPr>
          <w:rFonts w:cs="Calibri Light"/>
          <w:lang w:eastAsia="en-AU"/>
        </w:rPr>
      </w:pPr>
      <w:r w:rsidRPr="00274C0A">
        <w:rPr>
          <w:rFonts w:cs="Calibri Light"/>
          <w:lang w:eastAsia="en-AU"/>
        </w:rPr>
        <w:t>———</w:t>
      </w:r>
      <w:r>
        <w:rPr>
          <w:rFonts w:cs="Calibri Light"/>
          <w:lang w:eastAsia="en-AU"/>
        </w:rPr>
        <w:t xml:space="preserve"> (2024), </w:t>
      </w:r>
      <w:r>
        <w:rPr>
          <w:rFonts w:cs="Calibri Light"/>
          <w:i/>
          <w:iCs/>
          <w:lang w:eastAsia="en-AU"/>
        </w:rPr>
        <w:t>Results of 2022-23 Audits: Local Government</w:t>
      </w:r>
      <w:r>
        <w:rPr>
          <w:rFonts w:cs="Calibri Light"/>
          <w:lang w:eastAsia="en-AU"/>
        </w:rPr>
        <w:t>.</w:t>
      </w:r>
    </w:p>
    <w:p w14:paraId="2B5DE1A8" w14:textId="77777777" w:rsidR="000072C0" w:rsidRDefault="000072C0" w:rsidP="000072C0">
      <w:pPr>
        <w:pStyle w:val="05Paragraph"/>
        <w:ind w:left="720" w:hanging="720"/>
        <w:rPr>
          <w:rFonts w:cs="Calibri Light"/>
          <w:lang w:eastAsia="en-AU"/>
        </w:rPr>
      </w:pPr>
      <w:r w:rsidRPr="00CB0219">
        <w:rPr>
          <w:rFonts w:cs="Calibri Light"/>
          <w:lang w:eastAsia="en-AU"/>
        </w:rPr>
        <w:t>Victorian Independent Remuneration Tribunal (2022</w:t>
      </w:r>
      <w:r>
        <w:rPr>
          <w:rFonts w:cs="Calibri Light"/>
          <w:lang w:eastAsia="en-AU"/>
        </w:rPr>
        <w:t>a</w:t>
      </w:r>
      <w:r w:rsidRPr="00CB0219">
        <w:rPr>
          <w:rFonts w:cs="Calibri Light"/>
          <w:lang w:eastAsia="en-AU"/>
        </w:rPr>
        <w:t xml:space="preserve">), </w:t>
      </w:r>
      <w:r w:rsidRPr="00CB0219">
        <w:rPr>
          <w:rFonts w:cs="Calibri Light"/>
          <w:i/>
          <w:lang w:eastAsia="en-AU"/>
        </w:rPr>
        <w:t>Allowance payable to Mayors, Deputy Mayors and Councillors (Victoria) Determination No. 01/2022</w:t>
      </w:r>
      <w:r w:rsidRPr="00CB0219">
        <w:rPr>
          <w:rFonts w:cs="Calibri Light"/>
          <w:lang w:eastAsia="en-AU"/>
        </w:rPr>
        <w:t>.</w:t>
      </w:r>
    </w:p>
    <w:p w14:paraId="4BA6AF31" w14:textId="77777777" w:rsidR="000072C0" w:rsidRDefault="000072C0" w:rsidP="000072C0">
      <w:pPr>
        <w:pStyle w:val="05Paragraph"/>
        <w:ind w:left="720" w:hanging="720"/>
        <w:rPr>
          <w:rFonts w:cs="Calibri Light"/>
          <w:i/>
          <w:iCs/>
          <w:lang w:eastAsia="en-AU"/>
        </w:rPr>
      </w:pPr>
      <w:r w:rsidRPr="00274C0A">
        <w:rPr>
          <w:rFonts w:cs="Calibri Light"/>
          <w:lang w:eastAsia="en-AU"/>
        </w:rPr>
        <w:t>———</w:t>
      </w:r>
      <w:r>
        <w:rPr>
          <w:rFonts w:cs="Calibri Light"/>
          <w:lang w:eastAsia="en-AU"/>
        </w:rPr>
        <w:t xml:space="preserve"> </w:t>
      </w:r>
      <w:r w:rsidRPr="00274C0A">
        <w:rPr>
          <w:rFonts w:cs="Calibri Light"/>
          <w:lang w:eastAsia="en-AU"/>
        </w:rPr>
        <w:t>(2023</w:t>
      </w:r>
      <w:r>
        <w:rPr>
          <w:rFonts w:cs="Calibri Light"/>
          <w:lang w:eastAsia="en-AU"/>
        </w:rPr>
        <w:t>a</w:t>
      </w:r>
      <w:r w:rsidRPr="00274C0A">
        <w:rPr>
          <w:rFonts w:cs="Calibri Light"/>
          <w:lang w:eastAsia="en-AU"/>
        </w:rPr>
        <w:t xml:space="preserve">), </w:t>
      </w:r>
      <w:r w:rsidRPr="00274C0A">
        <w:rPr>
          <w:rFonts w:cs="Calibri Light"/>
          <w:i/>
          <w:iCs/>
          <w:noProof/>
          <w:lang w:eastAsia="en-AU"/>
        </w:rPr>
        <w:t>Allowance payable to Mayors, Deputy Mayors and Councillors</w:t>
      </w:r>
      <w:r w:rsidRPr="00274C0A">
        <w:rPr>
          <w:rFonts w:cs="Calibri Light"/>
          <w:i/>
          <w:lang w:eastAsia="en-AU"/>
        </w:rPr>
        <w:t xml:space="preserve"> (Victoria) Annual Adjustment Determination 2023</w:t>
      </w:r>
      <w:r w:rsidRPr="00274C0A">
        <w:rPr>
          <w:rFonts w:cs="Calibri Light"/>
          <w:i/>
          <w:iCs/>
          <w:lang w:eastAsia="en-AU"/>
        </w:rPr>
        <w:t>.</w:t>
      </w:r>
    </w:p>
    <w:p w14:paraId="549BB760" w14:textId="77777777" w:rsidR="000072C0" w:rsidRDefault="000072C0" w:rsidP="000072C0">
      <w:pPr>
        <w:pStyle w:val="05Paragraph"/>
        <w:ind w:left="720" w:hanging="720"/>
        <w:rPr>
          <w:rFonts w:cs="Calibri Light"/>
          <w:noProof/>
          <w:lang w:eastAsia="en-AU"/>
        </w:rPr>
      </w:pPr>
      <w:r w:rsidRPr="00EB24B5">
        <w:rPr>
          <w:rFonts w:cs="Calibri Light"/>
          <w:noProof/>
          <w:lang w:eastAsia="en-AU"/>
        </w:rPr>
        <w:t>———</w:t>
      </w:r>
      <w:r>
        <w:rPr>
          <w:rFonts w:cs="Calibri Light"/>
          <w:noProof/>
          <w:lang w:eastAsia="en-AU"/>
        </w:rPr>
        <w:t xml:space="preserve"> </w:t>
      </w:r>
      <w:r w:rsidRPr="00EB24B5">
        <w:rPr>
          <w:rFonts w:cs="Calibri Light"/>
          <w:noProof/>
          <w:lang w:eastAsia="en-AU"/>
        </w:rPr>
        <w:t>(202</w:t>
      </w:r>
      <w:r>
        <w:rPr>
          <w:rFonts w:cs="Calibri Light"/>
          <w:noProof/>
          <w:lang w:eastAsia="en-AU"/>
        </w:rPr>
        <w:t>4a</w:t>
      </w:r>
      <w:r w:rsidRPr="00EB24B5">
        <w:rPr>
          <w:rFonts w:cs="Calibri Light"/>
          <w:lang w:eastAsia="en-AU"/>
        </w:rPr>
        <w:t xml:space="preserve">), </w:t>
      </w:r>
      <w:r w:rsidRPr="00EB24B5">
        <w:rPr>
          <w:rFonts w:cs="Calibri Light"/>
          <w:i/>
          <w:lang w:eastAsia="en-AU"/>
        </w:rPr>
        <w:t xml:space="preserve">Members of Parliament (Victoria) </w:t>
      </w:r>
      <w:r w:rsidRPr="00EB24B5">
        <w:rPr>
          <w:rFonts w:cs="Calibri Light"/>
          <w:i/>
          <w:iCs/>
          <w:noProof/>
          <w:lang w:eastAsia="en-AU"/>
        </w:rPr>
        <w:t>Annual Adjustment Determination 2024</w:t>
      </w:r>
      <w:r w:rsidRPr="00EB24B5">
        <w:rPr>
          <w:rFonts w:cs="Calibri Light"/>
          <w:noProof/>
          <w:lang w:eastAsia="en-AU"/>
        </w:rPr>
        <w:t>.</w:t>
      </w:r>
    </w:p>
    <w:bookmarkEnd w:id="100"/>
    <w:p w14:paraId="74D6D023" w14:textId="77777777" w:rsidR="000072C0" w:rsidRPr="00D65BB5" w:rsidRDefault="000072C0" w:rsidP="000072C0">
      <w:pPr>
        <w:pStyle w:val="05Paragraph"/>
        <w:rPr>
          <w:rFonts w:cs="Calibri Light"/>
        </w:rPr>
      </w:pPr>
    </w:p>
    <w:p w14:paraId="2C758AE8" w14:textId="0290C5C1" w:rsidR="006E023E" w:rsidRPr="00BF5F59" w:rsidRDefault="006E023E" w:rsidP="00AC0775">
      <w:pPr>
        <w:pStyle w:val="05Paragraph"/>
        <w:jc w:val="left"/>
        <w:rPr>
          <w:rFonts w:cs="Calibri Light"/>
        </w:rPr>
      </w:pPr>
    </w:p>
    <w:sectPr w:rsidR="006E023E" w:rsidRPr="00BF5F59" w:rsidSect="0001367F">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D593C" w14:textId="77777777" w:rsidR="005F3333" w:rsidRPr="00333B58" w:rsidRDefault="005F3333" w:rsidP="00333B58">
      <w:r>
        <w:separator/>
      </w:r>
    </w:p>
  </w:endnote>
  <w:endnote w:type="continuationSeparator" w:id="0">
    <w:p w14:paraId="73F0E304" w14:textId="77777777" w:rsidR="005F3333" w:rsidRPr="00333B58" w:rsidRDefault="005F3333" w:rsidP="00333B58">
      <w:r>
        <w:continuationSeparator/>
      </w:r>
    </w:p>
  </w:endnote>
  <w:endnote w:type="continuationNotice" w:id="1">
    <w:p w14:paraId="313AE6B5" w14:textId="77777777" w:rsidR="005F3333" w:rsidRDefault="005F3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FE845" w14:textId="38779E79" w:rsidR="00B03893" w:rsidRDefault="00B1701C">
    <w:pPr>
      <w:pStyle w:val="Footer"/>
    </w:pPr>
    <w:r>
      <w:rPr>
        <w:noProof/>
      </w:rPr>
      <mc:AlternateContent>
        <mc:Choice Requires="wps">
          <w:drawing>
            <wp:anchor distT="0" distB="0" distL="0" distR="0" simplePos="0" relativeHeight="251658253" behindDoc="0" locked="0" layoutInCell="1" allowOverlap="1" wp14:anchorId="6007568E" wp14:editId="2E88E497">
              <wp:simplePos x="635" y="635"/>
              <wp:positionH relativeFrom="page">
                <wp:align>left</wp:align>
              </wp:positionH>
              <wp:positionV relativeFrom="page">
                <wp:align>bottom</wp:align>
              </wp:positionV>
              <wp:extent cx="443865" cy="443865"/>
              <wp:effectExtent l="0" t="0" r="18415" b="0"/>
              <wp:wrapNone/>
              <wp:docPr id="3" name="Text Box 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6862C" w14:textId="5BF608E5"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7568E" id="_x0000_t202" coordsize="21600,21600" o:spt="202" path="m,l,21600r21600,l21600,xe">
              <v:stroke joinstyle="miter"/>
              <v:path gradientshapeok="t" o:connecttype="rect"/>
            </v:shapetype>
            <v:shape id="Text Box 3" o:spid="_x0000_s1030" type="#_x0000_t202" alt="OFFICIAL: Sensitive" style="position:absolute;margin-left:0;margin-top:0;width:34.95pt;height:34.95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26862C" w14:textId="5BF608E5"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v:textbox>
              <w10:wrap anchorx="page" anchory="page"/>
            </v:shape>
          </w:pict>
        </mc:Fallback>
      </mc:AlternateContent>
    </w:r>
  </w:p>
  <w:p w14:paraId="2D3C654C" w14:textId="77777777" w:rsidR="000C52C1" w:rsidRDefault="000C52C1">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89366" w14:textId="04881C44" w:rsidR="00FF6EB1" w:rsidRDefault="00765B7E" w:rsidP="00FF6EB1">
    <w:pPr>
      <w:pStyle w:val="Footer"/>
      <w:jc w:val="center"/>
    </w:pPr>
    <w:r>
      <w:rPr>
        <w:noProof/>
      </w:rPr>
      <mc:AlternateContent>
        <mc:Choice Requires="wps">
          <w:drawing>
            <wp:anchor distT="0" distB="0" distL="114300" distR="114300" simplePos="0" relativeHeight="251658240" behindDoc="0" locked="0" layoutInCell="0" allowOverlap="1" wp14:anchorId="336985B5" wp14:editId="724BAA8D">
              <wp:simplePos x="0" y="0"/>
              <wp:positionH relativeFrom="page">
                <wp:posOffset>0</wp:posOffset>
              </wp:positionH>
              <wp:positionV relativeFrom="page">
                <wp:posOffset>10227945</wp:posOffset>
              </wp:positionV>
              <wp:extent cx="7560310" cy="273050"/>
              <wp:effectExtent l="0" t="0" r="0" b="12700"/>
              <wp:wrapNone/>
              <wp:docPr id="2" name="Text Box 2" descr="{&quot;HashCode&quot;:15052990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450AED" w14:textId="6A7EDCB6" w:rsidR="00765B7E" w:rsidRPr="00765B7E" w:rsidRDefault="00765B7E" w:rsidP="00765B7E">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36985B5" id="_x0000_t202" coordsize="21600,21600" o:spt="202" path="m,l,21600r21600,l21600,xe">
              <v:stroke joinstyle="miter"/>
              <v:path gradientshapeok="t" o:connecttype="rect"/>
            </v:shapetype>
            <v:shape id="Text Box 2" o:spid="_x0000_s1031" type="#_x0000_t202" alt="{&quot;HashCode&quot;:150529909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6450AED" w14:textId="6A7EDCB6" w:rsidR="00765B7E" w:rsidRPr="00765B7E" w:rsidRDefault="00765B7E" w:rsidP="00765B7E">
                    <w:pPr>
                      <w:spacing w:after="0"/>
                      <w:rPr>
                        <w:rFonts w:ascii="Calibri" w:hAnsi="Calibri" w:cs="Calibri"/>
                        <w:color w:val="000000"/>
                        <w:sz w:val="22"/>
                      </w:rPr>
                    </w:pPr>
                  </w:p>
                </w:txbxContent>
              </v:textbox>
              <w10:wrap anchorx="page" anchory="page"/>
            </v:shape>
          </w:pict>
        </mc:Fallback>
      </mc:AlternateContent>
    </w:r>
    <w:sdt>
      <w:sdtPr>
        <w:id w:val="1900857742"/>
        <w:docPartObj>
          <w:docPartGallery w:val="Page Numbers (Bottom of Page)"/>
          <w:docPartUnique/>
        </w:docPartObj>
      </w:sdtPr>
      <w:sdtEndPr>
        <w:rPr>
          <w:noProof/>
        </w:rPr>
      </w:sdtEndPr>
      <w:sdtContent/>
    </w:sdt>
  </w:p>
  <w:p w14:paraId="4B94A478" w14:textId="2BE8D93E" w:rsidR="00B1131E" w:rsidRDefault="00B11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A3A18" w14:textId="3B80E9E1" w:rsidR="00D959C3" w:rsidRDefault="00B1701C">
    <w:pPr>
      <w:pStyle w:val="Footer"/>
      <w:jc w:val="center"/>
    </w:pPr>
    <w:r>
      <w:rPr>
        <w:noProof/>
      </w:rPr>
      <mc:AlternateContent>
        <mc:Choice Requires="wps">
          <w:drawing>
            <wp:anchor distT="0" distB="0" distL="0" distR="0" simplePos="0" relativeHeight="251658252" behindDoc="0" locked="0" layoutInCell="1" allowOverlap="1" wp14:anchorId="5B993E38" wp14:editId="25C820A0">
              <wp:simplePos x="1078173" y="9826388"/>
              <wp:positionH relativeFrom="page">
                <wp:align>left</wp:align>
              </wp:positionH>
              <wp:positionV relativeFrom="page">
                <wp:align>bottom</wp:align>
              </wp:positionV>
              <wp:extent cx="443865" cy="443865"/>
              <wp:effectExtent l="0" t="0" r="18415" b="0"/>
              <wp:wrapNone/>
              <wp:docPr id="1" name="Text Box 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2E12D" w14:textId="2DF53951"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993E38" id="_x0000_t202" coordsize="21600,21600" o:spt="202" path="m,l,21600r21600,l21600,xe">
              <v:stroke joinstyle="miter"/>
              <v:path gradientshapeok="t" o:connecttype="rect"/>
            </v:shapetype>
            <v:shape id="_x0000_s1032" type="#_x0000_t202" alt="OFFICIAL: Sensitive" style="position:absolute;left:0;text-align:left;margin-left:0;margin-top:0;width:34.95pt;height:34.95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F32E12D" w14:textId="2DF53951"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v:textbox>
              <w10:wrap anchorx="page" anchory="page"/>
            </v:shape>
          </w:pict>
        </mc:Fallback>
      </mc:AlternateContent>
    </w:r>
    <w:sdt>
      <w:sdtPr>
        <w:id w:val="-1165245005"/>
        <w:docPartObj>
          <w:docPartGallery w:val="Page Numbers (Bottom of Page)"/>
          <w:docPartUnique/>
        </w:docPartObj>
      </w:sdtPr>
      <w:sdtEndPr>
        <w:rPr>
          <w:noProof/>
        </w:rPr>
      </w:sdtEndPr>
      <w:sdtContent>
        <w:r w:rsidR="00D959C3" w:rsidRPr="00BC16F9">
          <w:rPr>
            <w:rFonts w:ascii="Calibri" w:hAnsi="Calibri" w:cs="Calibri"/>
          </w:rPr>
          <w:fldChar w:fldCharType="begin"/>
        </w:r>
        <w:r w:rsidR="00D959C3" w:rsidRPr="00BC16F9">
          <w:rPr>
            <w:rFonts w:ascii="Calibri" w:hAnsi="Calibri" w:cs="Calibri"/>
          </w:rPr>
          <w:instrText xml:space="preserve"> PAGE   \* MERGEFORMAT </w:instrText>
        </w:r>
        <w:r w:rsidR="00D959C3" w:rsidRPr="00BC16F9">
          <w:rPr>
            <w:rFonts w:ascii="Calibri" w:hAnsi="Calibri" w:cs="Calibri"/>
          </w:rPr>
          <w:fldChar w:fldCharType="separate"/>
        </w:r>
        <w:r w:rsidR="00D959C3" w:rsidRPr="00BC16F9">
          <w:rPr>
            <w:rFonts w:ascii="Calibri" w:hAnsi="Calibri" w:cs="Calibri"/>
            <w:noProof/>
          </w:rPr>
          <w:t>2</w:t>
        </w:r>
        <w:r w:rsidR="00D959C3" w:rsidRPr="00BC16F9">
          <w:rPr>
            <w:rFonts w:ascii="Calibri" w:hAnsi="Calibri" w:cs="Calibri"/>
            <w:noProof/>
          </w:rPr>
          <w:fldChar w:fldCharType="end"/>
        </w:r>
      </w:sdtContent>
    </w:sdt>
  </w:p>
  <w:p w14:paraId="122A27DF" w14:textId="76484C8E" w:rsidR="000C52C1" w:rsidRDefault="000C52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EE73" w14:textId="5FC1B8A3" w:rsidR="00B1701C" w:rsidRDefault="00B1701C">
    <w:pPr>
      <w:pStyle w:val="Footer"/>
    </w:pPr>
    <w:r>
      <w:rPr>
        <w:noProof/>
      </w:rPr>
      <mc:AlternateContent>
        <mc:Choice Requires="wps">
          <w:drawing>
            <wp:anchor distT="0" distB="0" distL="0" distR="0" simplePos="0" relativeHeight="251658255" behindDoc="0" locked="0" layoutInCell="1" allowOverlap="1" wp14:anchorId="25D53157" wp14:editId="0B52E291">
              <wp:simplePos x="635" y="635"/>
              <wp:positionH relativeFrom="page">
                <wp:align>left</wp:align>
              </wp:positionH>
              <wp:positionV relativeFrom="page">
                <wp:align>bottom</wp:align>
              </wp:positionV>
              <wp:extent cx="443865" cy="443865"/>
              <wp:effectExtent l="0" t="0" r="18415" b="0"/>
              <wp:wrapNone/>
              <wp:docPr id="10"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E0386C" w14:textId="4CE1711C"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D53157" id="_x0000_t202" coordsize="21600,21600" o:spt="202" path="m,l,21600r21600,l21600,xe">
              <v:stroke joinstyle="miter"/>
              <v:path gradientshapeok="t" o:connecttype="rect"/>
            </v:shapetype>
            <v:shape id="Text Box 10" o:spid="_x0000_s1033" type="#_x0000_t202" alt="OFFICIAL: Sensitive" style="position:absolute;margin-left:0;margin-top:0;width:34.95pt;height:34.95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8E0386C" w14:textId="4CE1711C"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223D6" w14:textId="28F6AB88" w:rsidR="00C3360F" w:rsidRPr="002F4084" w:rsidRDefault="00521E62" w:rsidP="00FF6EB1">
    <w:pPr>
      <w:pStyle w:val="Footer"/>
      <w:jc w:val="center"/>
      <w:rPr>
        <w:color w:val="auto"/>
      </w:rPr>
    </w:pPr>
    <w:sdt>
      <w:sdtPr>
        <w:rPr>
          <w:color w:val="auto"/>
        </w:rPr>
        <w:id w:val="-1742943516"/>
        <w:docPartObj>
          <w:docPartGallery w:val="Page Numbers (Bottom of Page)"/>
          <w:docPartUnique/>
        </w:docPartObj>
      </w:sdtPr>
      <w:sdtEndPr>
        <w:rPr>
          <w:rFonts w:ascii="Calibri" w:hAnsi="Calibri" w:cs="Calibri"/>
          <w:noProof/>
        </w:rPr>
      </w:sdtEndPr>
      <w:sdtContent>
        <w:r w:rsidR="00C3360F" w:rsidRPr="00E86C90">
          <w:rPr>
            <w:rFonts w:ascii="Calibri" w:hAnsi="Calibri" w:cs="Calibri"/>
            <w:color w:val="auto"/>
          </w:rPr>
          <w:fldChar w:fldCharType="begin"/>
        </w:r>
        <w:r w:rsidR="00C3360F" w:rsidRPr="00E86C90">
          <w:rPr>
            <w:rFonts w:ascii="Calibri" w:hAnsi="Calibri" w:cs="Calibri"/>
            <w:color w:val="auto"/>
          </w:rPr>
          <w:instrText xml:space="preserve"> PAGE   \* MERGEFORMAT </w:instrText>
        </w:r>
        <w:r w:rsidR="00C3360F" w:rsidRPr="00E86C90">
          <w:rPr>
            <w:rFonts w:ascii="Calibri" w:hAnsi="Calibri" w:cs="Calibri"/>
            <w:color w:val="auto"/>
          </w:rPr>
          <w:fldChar w:fldCharType="separate"/>
        </w:r>
        <w:r w:rsidR="00C3360F" w:rsidRPr="00E86C90">
          <w:rPr>
            <w:rFonts w:ascii="Calibri" w:hAnsi="Calibri" w:cs="Calibri"/>
            <w:color w:val="auto"/>
          </w:rPr>
          <w:t>25</w:t>
        </w:r>
        <w:r w:rsidR="00C3360F" w:rsidRPr="00E86C90">
          <w:rPr>
            <w:rFonts w:ascii="Calibri" w:hAnsi="Calibri" w:cs="Calibri"/>
            <w:noProof/>
            <w:color w:val="auto"/>
          </w:rPr>
          <w:fldChar w:fldCharType="end"/>
        </w:r>
      </w:sdtContent>
    </w:sdt>
  </w:p>
  <w:p w14:paraId="5935A9C6" w14:textId="0A35CAEB" w:rsidR="00C3360F" w:rsidRDefault="00C336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D7761" w14:textId="5CC8839C" w:rsidR="00B1701C" w:rsidRDefault="00B1701C">
    <w:pPr>
      <w:pStyle w:val="Footer"/>
    </w:pPr>
    <w:r>
      <w:rPr>
        <w:noProof/>
      </w:rPr>
      <mc:AlternateContent>
        <mc:Choice Requires="wps">
          <w:drawing>
            <wp:anchor distT="0" distB="0" distL="0" distR="0" simplePos="0" relativeHeight="251658254" behindDoc="0" locked="0" layoutInCell="1" allowOverlap="1" wp14:anchorId="136DE54C" wp14:editId="439F7E77">
              <wp:simplePos x="1078173" y="10099343"/>
              <wp:positionH relativeFrom="page">
                <wp:align>left</wp:align>
              </wp:positionH>
              <wp:positionV relativeFrom="page">
                <wp:align>bottom</wp:align>
              </wp:positionV>
              <wp:extent cx="443865" cy="443865"/>
              <wp:effectExtent l="0" t="0" r="18415" b="0"/>
              <wp:wrapNone/>
              <wp:docPr id="9"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AC60C4" w14:textId="3C0908EF"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6DE54C" id="_x0000_t202" coordsize="21600,21600" o:spt="202" path="m,l,21600r21600,l21600,xe">
              <v:stroke joinstyle="miter"/>
              <v:path gradientshapeok="t" o:connecttype="rect"/>
            </v:shapetype>
            <v:shape id="Text Box 9" o:spid="_x0000_s1034" type="#_x0000_t202" alt="OFFICIAL: Sensitive" style="position:absolute;margin-left:0;margin-top:0;width:34.95pt;height:34.95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3CAC60C4" w14:textId="3C0908EF"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24B2D" w14:textId="64ED86C6" w:rsidR="00B1701C" w:rsidRDefault="00B1701C">
    <w:pPr>
      <w:pStyle w:val="Footer"/>
    </w:pPr>
    <w:r>
      <w:rPr>
        <w:noProof/>
      </w:rPr>
      <mc:AlternateContent>
        <mc:Choice Requires="wps">
          <w:drawing>
            <wp:anchor distT="0" distB="0" distL="0" distR="0" simplePos="0" relativeHeight="251658256" behindDoc="0" locked="0" layoutInCell="1" allowOverlap="1" wp14:anchorId="07583AE4" wp14:editId="736E6986">
              <wp:simplePos x="635" y="635"/>
              <wp:positionH relativeFrom="page">
                <wp:align>left</wp:align>
              </wp:positionH>
              <wp:positionV relativeFrom="page">
                <wp:align>bottom</wp:align>
              </wp:positionV>
              <wp:extent cx="443865" cy="443865"/>
              <wp:effectExtent l="0" t="0" r="18415" b="0"/>
              <wp:wrapNone/>
              <wp:docPr id="16" name="Text Box 1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8E9B7" w14:textId="64FAC195"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583AE4" id="_x0000_t202" coordsize="21600,21600" o:spt="202" path="m,l,21600r21600,l21600,xe">
              <v:stroke joinstyle="miter"/>
              <v:path gradientshapeok="t" o:connecttype="rect"/>
            </v:shapetype>
            <v:shape id="Text Box 16" o:spid="_x0000_s1035" type="#_x0000_t202" alt="OFFICIAL: Sensitive" style="position:absolute;margin-left:0;margin-top:0;width:34.95pt;height:34.95pt;z-index:251658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0408E9B7" w14:textId="64FAC195" w:rsidR="00B1701C" w:rsidRPr="00B1701C" w:rsidRDefault="00B1701C" w:rsidP="00B1701C">
                    <w:pPr>
                      <w:spacing w:after="0"/>
                      <w:rPr>
                        <w:rFonts w:ascii="Calibri" w:eastAsia="Calibri" w:hAnsi="Calibri" w:cs="Calibri"/>
                        <w:noProof/>
                        <w:color w:val="000000"/>
                        <w:sz w:val="22"/>
                      </w:rPr>
                    </w:pPr>
                    <w:r w:rsidRPr="00B1701C">
                      <w:rPr>
                        <w:rFonts w:ascii="Calibri" w:eastAsia="Calibri" w:hAnsi="Calibri" w:cs="Calibri"/>
                        <w:noProof/>
                        <w:color w:val="000000"/>
                        <w:sz w:val="22"/>
                      </w:rPr>
                      <w:t>OFFICIAL: Sensitive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C56C" w14:textId="6B7AFB17" w:rsidR="003515D8" w:rsidRDefault="00BB31AD" w:rsidP="00735993">
    <w:pPr>
      <w:pStyle w:val="Footer"/>
      <w:jc w:val="center"/>
    </w:pPr>
    <w:r>
      <w:rPr>
        <w:noProof/>
      </w:rPr>
      <mc:AlternateContent>
        <mc:Choice Requires="wps">
          <w:drawing>
            <wp:anchor distT="0" distB="0" distL="114300" distR="114300" simplePos="0" relativeHeight="251658251" behindDoc="0" locked="0" layoutInCell="0" allowOverlap="1" wp14:anchorId="025B4908" wp14:editId="2F768317">
              <wp:simplePos x="0" y="0"/>
              <wp:positionH relativeFrom="page">
                <wp:posOffset>0</wp:posOffset>
              </wp:positionH>
              <wp:positionV relativeFrom="page">
                <wp:posOffset>10227945</wp:posOffset>
              </wp:positionV>
              <wp:extent cx="7560310" cy="273050"/>
              <wp:effectExtent l="0" t="0" r="0" b="12700"/>
              <wp:wrapNone/>
              <wp:docPr id="4" name="Text Box 4" descr="{&quot;HashCode&quot;:1505299096,&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14A2CC" w14:textId="1C568B3A" w:rsidR="00BB31AD" w:rsidRPr="00BB31AD" w:rsidRDefault="00BB31AD" w:rsidP="00BB31AD">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5B4908" id="_x0000_t202" coordsize="21600,21600" o:spt="202" path="m,l,21600r21600,l21600,xe">
              <v:stroke joinstyle="miter"/>
              <v:path gradientshapeok="t" o:connecttype="rect"/>
            </v:shapetype>
            <v:shape id="Text Box 4" o:spid="_x0000_s1036" type="#_x0000_t202" alt="{&quot;HashCode&quot;:1505299096,&quot;Height&quot;:841.0,&quot;Width&quot;:595.0,&quot;Placement&quot;:&quot;Footer&quot;,&quot;Index&quot;:&quot;Primary&quot;,&quot;Section&quot;:5,&quot;Top&quot;:0.0,&quot;Left&quot;:0.0}" style="position:absolute;left:0;text-align:left;margin-left:0;margin-top:805.35pt;width:595.3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D5qNIiGwIAACwEAAAOAAAAAAAAAAAAAAAAAC4CAABkcnMvZTJvRG9jLnhtbFBLAQIt&#10;ABQABgAIAAAAIQB8dgjh3wAAAAsBAAAPAAAAAAAAAAAAAAAAAHUEAABkcnMvZG93bnJldi54bWxQ&#10;SwUGAAAAAAQABADzAAAAgQUAAAAA&#10;" o:allowincell="f" filled="f" stroked="f" strokeweight=".5pt">
              <v:textbox inset="20pt,0,,0">
                <w:txbxContent>
                  <w:p w14:paraId="2814A2CC" w14:textId="1C568B3A" w:rsidR="00BB31AD" w:rsidRPr="00BB31AD" w:rsidRDefault="00BB31AD" w:rsidP="00BB31AD">
                    <w:pPr>
                      <w:spacing w:after="0"/>
                      <w:rPr>
                        <w:rFonts w:ascii="Calibri" w:hAnsi="Calibri" w:cs="Calibri"/>
                        <w:color w:val="000000"/>
                        <w:sz w:val="22"/>
                      </w:rPr>
                    </w:pPr>
                  </w:p>
                </w:txbxContent>
              </v:textbox>
              <w10:wrap anchorx="page" anchory="page"/>
            </v:shape>
          </w:pict>
        </mc:Fallback>
      </mc:AlternateContent>
    </w:r>
    <w:r w:rsidR="0001372A">
      <w:rPr>
        <w:noProof/>
      </w:rPr>
      <mc:AlternateContent>
        <mc:Choice Requires="wps">
          <w:drawing>
            <wp:anchor distT="0" distB="0" distL="114300" distR="114300" simplePos="0" relativeHeight="251658241" behindDoc="0" locked="0" layoutInCell="0" allowOverlap="1" wp14:anchorId="02793AA6" wp14:editId="14C4D7EC">
              <wp:simplePos x="0" y="0"/>
              <wp:positionH relativeFrom="page">
                <wp:align>left</wp:align>
              </wp:positionH>
              <wp:positionV relativeFrom="page">
                <wp:align>bottom</wp:align>
              </wp:positionV>
              <wp:extent cx="7772400" cy="463550"/>
              <wp:effectExtent l="0" t="0" r="0" b="12700"/>
              <wp:wrapNone/>
              <wp:docPr id="527" name="Text Box 527" descr="{&quot;HashCode&quot;:1505299096,&quot;Height&quot;:9999999.0,&quot;Width&quot;:9999999.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92D320" w14:textId="1836BDC0" w:rsidR="0001372A" w:rsidRPr="00CE4091" w:rsidRDefault="0001372A" w:rsidP="00CE4091">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02793AA6" id="Text Box 527" o:spid="_x0000_s1037" type="#_x0000_t202" alt="{&quot;HashCode&quot;:1505299096,&quot;Height&quot;:9999999.0,&quot;Width&quot;:9999999.0,&quot;Placement&quot;:&quot;Footer&quot;,&quot;Index&quot;:&quot;Primary&quot;,&quot;Section&quot;:14,&quot;Top&quot;:0.0,&quot;Left&quot;:0.0}" style="position:absolute;left:0;text-align:left;margin-left:0;margin-top:0;width:612pt;height:36.5pt;z-index:25165824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KE4Gw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bU0zLGF6kjjIZyY906uGuphLXx4&#10;FkhUU9u0vuGJDm2AasFZ4qwG/Pk3e4wnBsjLWUerU3L/Yy9QcWa+WeJmMiM04rIljQRMwufxdErK&#10;drDafXsPtJZj+iFOJjHGBjOIGqF9pfVexnLkElZS0ZLLgINyH067TB9EquUyhdFiORHWduNkTB4B&#10;jeC+9K8C3ZmBQNw9wrBfonhDxCn2RMVyH0A3iaUI8QnQM/K0lIm88weKW/+7nqKu33zxCw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NNyhOBsCAAAuBAAADgAAAAAAAAAAAAAAAAAuAgAAZHJzL2Uyb0RvYy54bWxQSwECLQAUAAYA&#10;CAAAACEA/vWNm9oAAAAFAQAADwAAAAAAAAAAAAAAAAB1BAAAZHJzL2Rvd25yZXYueG1sUEsFBgAA&#10;AAAEAAQA8wAAAHwFAAAAAA==&#10;" o:allowincell="f" filled="f" stroked="f" strokeweight=".5pt">
              <v:textbox inset="20pt,0,,0">
                <w:txbxContent>
                  <w:p w14:paraId="4092D320" w14:textId="1836BDC0" w:rsidR="0001372A" w:rsidRPr="00CE4091" w:rsidRDefault="0001372A" w:rsidP="00CE4091">
                    <w:pPr>
                      <w:spacing w:after="0"/>
                      <w:rPr>
                        <w:rFonts w:ascii="Calibri" w:hAnsi="Calibri" w:cs="Calibri"/>
                        <w:color w:val="000000"/>
                        <w:sz w:val="22"/>
                      </w:rPr>
                    </w:pPr>
                  </w:p>
                </w:txbxContent>
              </v:textbox>
              <w10:wrap anchorx="page" anchory="page"/>
            </v:shape>
          </w:pict>
        </mc:Fallback>
      </mc:AlternateContent>
    </w:r>
    <w:sdt>
      <w:sdtPr>
        <w:id w:val="-830684218"/>
        <w:docPartObj>
          <w:docPartGallery w:val="Page Numbers (Bottom of Page)"/>
          <w:docPartUnique/>
        </w:docPartObj>
      </w:sdtPr>
      <w:sdtEndPr>
        <w:rPr>
          <w:rFonts w:ascii="Calibri" w:hAnsi="Calibri" w:cs="Calibri"/>
          <w:noProof/>
        </w:rPr>
      </w:sdtEndPr>
      <w:sdtContent>
        <w:r w:rsidR="008448A9" w:rsidRPr="00BC16F9">
          <w:rPr>
            <w:rFonts w:ascii="Calibri" w:hAnsi="Calibri" w:cs="Calibri"/>
            <w:color w:val="auto"/>
          </w:rPr>
          <w:fldChar w:fldCharType="begin"/>
        </w:r>
        <w:r w:rsidR="008448A9" w:rsidRPr="00BC16F9">
          <w:rPr>
            <w:rFonts w:ascii="Calibri" w:hAnsi="Calibri" w:cs="Calibri"/>
            <w:color w:val="auto"/>
          </w:rPr>
          <w:instrText xml:space="preserve"> PAGE   \* MERGEFORMAT </w:instrText>
        </w:r>
        <w:r w:rsidR="008448A9" w:rsidRPr="00BC16F9">
          <w:rPr>
            <w:rFonts w:ascii="Calibri" w:hAnsi="Calibri" w:cs="Calibri"/>
            <w:color w:val="auto"/>
          </w:rPr>
          <w:fldChar w:fldCharType="separate"/>
        </w:r>
        <w:r w:rsidR="008448A9" w:rsidRPr="00BC16F9">
          <w:rPr>
            <w:rFonts w:ascii="Calibri" w:hAnsi="Calibri" w:cs="Calibri"/>
            <w:noProof/>
            <w:color w:val="auto"/>
          </w:rPr>
          <w:t>2</w:t>
        </w:r>
        <w:r w:rsidR="008448A9" w:rsidRPr="00BC16F9">
          <w:rPr>
            <w:rFonts w:ascii="Calibri" w:hAnsi="Calibri" w:cs="Calibri"/>
            <w:noProof/>
            <w:color w:val="auto"/>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8681"/>
      <w:docPartObj>
        <w:docPartGallery w:val="Page Numbers (Bottom of Page)"/>
        <w:docPartUnique/>
      </w:docPartObj>
    </w:sdtPr>
    <w:sdtEndPr>
      <w:rPr>
        <w:noProof/>
      </w:rPr>
    </w:sdtEndPr>
    <w:sdtContent>
      <w:p w14:paraId="2A4ABC0D" w14:textId="37A9997D" w:rsidR="0027463E" w:rsidRDefault="002746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8CE0D" w14:textId="0313D122" w:rsidR="00B1701C" w:rsidRDefault="00B17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1501A" w14:textId="77777777" w:rsidR="005F3333" w:rsidRPr="00333B58" w:rsidRDefault="005F3333" w:rsidP="0014700E">
      <w:pPr>
        <w:spacing w:after="0"/>
      </w:pPr>
      <w:r>
        <w:separator/>
      </w:r>
    </w:p>
  </w:footnote>
  <w:footnote w:type="continuationSeparator" w:id="0">
    <w:p w14:paraId="1AB177E5" w14:textId="77777777" w:rsidR="005F3333" w:rsidRPr="00FB39CD" w:rsidRDefault="005F3333" w:rsidP="00FB39CD">
      <w:pPr>
        <w:spacing w:after="0"/>
        <w:rPr>
          <w:sz w:val="2"/>
          <w:szCs w:val="2"/>
        </w:rPr>
      </w:pPr>
      <w:r>
        <w:continuationSeparator/>
      </w:r>
    </w:p>
  </w:footnote>
  <w:footnote w:type="continuationNotice" w:id="1">
    <w:p w14:paraId="396BD023" w14:textId="77777777" w:rsidR="005F3333" w:rsidRPr="00FB39CD" w:rsidRDefault="005F3333">
      <w:pPr>
        <w:spacing w:after="0"/>
        <w:rPr>
          <w:sz w:val="2"/>
          <w:szCs w:val="4"/>
        </w:rPr>
      </w:pPr>
    </w:p>
  </w:footnote>
  <w:footnote w:id="2">
    <w:p w14:paraId="0BAC281C" w14:textId="6BE9921A" w:rsidR="00EB76B7" w:rsidRPr="006F4FD4" w:rsidRDefault="00EB76B7" w:rsidP="0024419C">
      <w:pPr>
        <w:pStyle w:val="Footnotes"/>
        <w:rPr>
          <w:rFonts w:cs="Calibri Light"/>
        </w:rPr>
      </w:pPr>
      <w:r w:rsidRPr="006F4FD4">
        <w:rPr>
          <w:rStyle w:val="FootnoteReference"/>
          <w:rFonts w:cs="Calibri Light"/>
        </w:rPr>
        <w:footnoteRef/>
      </w:r>
      <w:r w:rsidRPr="006F4FD4">
        <w:rPr>
          <w:rFonts w:cs="Calibri Light"/>
        </w:rPr>
        <w:t xml:space="preserve"> </w:t>
      </w:r>
      <w:r w:rsidR="001F7240" w:rsidRPr="006F4FD4">
        <w:rPr>
          <w:rFonts w:cs="Calibri Light"/>
        </w:rPr>
        <w:tab/>
      </w:r>
      <w:r w:rsidRPr="006F4FD4">
        <w:rPr>
          <w:rFonts w:cs="Calibri Light"/>
        </w:rPr>
        <w:t>VIRTIPS Act, s 23</w:t>
      </w:r>
      <w:r w:rsidR="0071016B" w:rsidRPr="006F4FD4">
        <w:rPr>
          <w:rFonts w:cs="Calibri Light"/>
        </w:rPr>
        <w:t>B.</w:t>
      </w:r>
    </w:p>
  </w:footnote>
  <w:footnote w:id="3">
    <w:p w14:paraId="79FF9D98" w14:textId="1D004858" w:rsidR="0051565E" w:rsidRPr="00911A44" w:rsidRDefault="0051565E" w:rsidP="0051565E">
      <w:pPr>
        <w:pStyle w:val="Footnotes"/>
        <w:rPr>
          <w:rFonts w:cs="Calibri Light"/>
        </w:rPr>
      </w:pPr>
      <w:r w:rsidRPr="00911A44">
        <w:rPr>
          <w:rStyle w:val="FootnoteReference"/>
          <w:rFonts w:cs="Calibri Light"/>
        </w:rPr>
        <w:footnoteRef/>
      </w:r>
      <w:r w:rsidRPr="00911A44">
        <w:rPr>
          <w:rFonts w:cs="Calibri Light"/>
        </w:rPr>
        <w:tab/>
        <w:t>VIRTIPS Act, s 5.</w:t>
      </w:r>
    </w:p>
  </w:footnote>
  <w:footnote w:id="4">
    <w:p w14:paraId="3936E7FE" w14:textId="21B8B56A" w:rsidR="00F01996" w:rsidRPr="006F4FD4" w:rsidRDefault="00F01996" w:rsidP="0024419C">
      <w:pPr>
        <w:pStyle w:val="Footnotes"/>
        <w:rPr>
          <w:rFonts w:cs="Calibri Light"/>
        </w:rPr>
      </w:pPr>
      <w:r w:rsidRPr="006F4FD4">
        <w:rPr>
          <w:rStyle w:val="FootnoteReference"/>
          <w:rFonts w:cs="Calibri Light"/>
        </w:rPr>
        <w:footnoteRef/>
      </w:r>
      <w:r w:rsidRPr="006F4FD4">
        <w:rPr>
          <w:rFonts w:cs="Calibri Light"/>
        </w:rPr>
        <w:t xml:space="preserve"> </w:t>
      </w:r>
      <w:r w:rsidR="0024419C" w:rsidRPr="006F4FD4">
        <w:rPr>
          <w:rFonts w:cs="Calibri Light"/>
        </w:rPr>
        <w:tab/>
      </w:r>
      <w:r w:rsidRPr="006F4FD4">
        <w:rPr>
          <w:rFonts w:cs="Calibri Light"/>
        </w:rPr>
        <w:t>Victorian Independent Remuneration Tribunal (2022</w:t>
      </w:r>
      <w:r w:rsidR="00F276D6">
        <w:rPr>
          <w:rFonts w:cs="Calibri Light"/>
        </w:rPr>
        <w:t>a</w:t>
      </w:r>
      <w:r w:rsidRPr="006F4FD4">
        <w:rPr>
          <w:rFonts w:cs="Calibri Light"/>
        </w:rPr>
        <w:t>)</w:t>
      </w:r>
      <w:r w:rsidR="00DA71DC" w:rsidRPr="006F4FD4">
        <w:rPr>
          <w:rFonts w:cs="Calibri Light"/>
        </w:rPr>
        <w:t>.</w:t>
      </w:r>
    </w:p>
  </w:footnote>
  <w:footnote w:id="5">
    <w:p w14:paraId="40A5A5D1" w14:textId="6735A70F" w:rsidR="001E251B" w:rsidRDefault="001E251B" w:rsidP="001E251B">
      <w:pPr>
        <w:pStyle w:val="FootnoteText"/>
      </w:pPr>
      <w:r w:rsidRPr="006F4FD4">
        <w:rPr>
          <w:rStyle w:val="FootnoteReference"/>
          <w:rFonts w:cs="Calibri Light"/>
        </w:rPr>
        <w:footnoteRef/>
      </w:r>
      <w:r w:rsidRPr="006F4FD4">
        <w:rPr>
          <w:rFonts w:cs="Calibri Light"/>
        </w:rPr>
        <w:t xml:space="preserve"> </w:t>
      </w:r>
      <w:r w:rsidRPr="006F4FD4">
        <w:rPr>
          <w:rFonts w:cs="Calibri Light"/>
        </w:rPr>
        <w:tab/>
        <w:t>Victorian Independent Remu</w:t>
      </w:r>
      <w:r w:rsidR="00601141">
        <w:rPr>
          <w:rFonts w:cs="Calibri Light"/>
        </w:rPr>
        <w:t>ne</w:t>
      </w:r>
      <w:r w:rsidRPr="006F4FD4">
        <w:rPr>
          <w:rFonts w:cs="Calibri Light"/>
        </w:rPr>
        <w:t>ration Tribunal (2023</w:t>
      </w:r>
      <w:r w:rsidR="003F50A1">
        <w:rPr>
          <w:rFonts w:cs="Calibri Light"/>
        </w:rPr>
        <w:t>a</w:t>
      </w:r>
      <w:r w:rsidRPr="006F4FD4">
        <w:rPr>
          <w:rFonts w:cs="Calibri Light"/>
        </w:rPr>
        <w:t>)</w:t>
      </w:r>
      <w:r w:rsidR="005A6479">
        <w:rPr>
          <w:rFonts w:cs="Calibri Light"/>
        </w:rPr>
        <w:t xml:space="preserve">, </w:t>
      </w:r>
      <w:r w:rsidRPr="006F4FD4">
        <w:rPr>
          <w:rFonts w:cs="Calibri Light"/>
        </w:rPr>
        <w:t>p</w:t>
      </w:r>
      <w:r w:rsidR="00231ECA">
        <w:rPr>
          <w:rFonts w:cs="Calibri Light"/>
        </w:rPr>
        <w:t>.</w:t>
      </w:r>
      <w:r w:rsidRPr="006F4FD4">
        <w:rPr>
          <w:rFonts w:cs="Calibri Light"/>
        </w:rPr>
        <w:t xml:space="preserve"> 15.</w:t>
      </w:r>
    </w:p>
  </w:footnote>
  <w:footnote w:id="6">
    <w:p w14:paraId="3E858B8E" w14:textId="7A96D9EA" w:rsidR="00D87B6D" w:rsidRPr="00911A44" w:rsidRDefault="00D87B6D" w:rsidP="0024419C">
      <w:pPr>
        <w:pStyle w:val="Footnotes"/>
        <w:rPr>
          <w:rFonts w:cs="Calibri Light"/>
        </w:rPr>
      </w:pPr>
      <w:r w:rsidRPr="006F4FD4">
        <w:rPr>
          <w:rStyle w:val="FootnoteReference"/>
          <w:rFonts w:cs="Calibri Light"/>
        </w:rPr>
        <w:footnoteRef/>
      </w:r>
      <w:r w:rsidRPr="006F4FD4">
        <w:rPr>
          <w:rFonts w:cs="Calibri Light"/>
        </w:rPr>
        <w:t xml:space="preserve"> </w:t>
      </w:r>
      <w:r w:rsidR="0024419C" w:rsidRPr="006F4FD4">
        <w:rPr>
          <w:rFonts w:cs="Calibri Light"/>
        </w:rPr>
        <w:tab/>
      </w:r>
      <w:r w:rsidRPr="006F4FD4">
        <w:rPr>
          <w:rFonts w:cs="Calibri Light"/>
        </w:rPr>
        <w:t>VIRTIPS Act, s</w:t>
      </w:r>
      <w:r w:rsidR="001F2D67">
        <w:rPr>
          <w:rFonts w:cs="Calibri Light"/>
        </w:rPr>
        <w:t xml:space="preserve"> </w:t>
      </w:r>
      <w:r w:rsidRPr="006F4FD4">
        <w:rPr>
          <w:rFonts w:cs="Calibri Light"/>
        </w:rPr>
        <w:t>24(3).</w:t>
      </w:r>
    </w:p>
  </w:footnote>
  <w:footnote w:id="7">
    <w:p w14:paraId="20CDAF6B" w14:textId="0832EA8F" w:rsidR="000C54C0" w:rsidRPr="00911A44" w:rsidRDefault="000C54C0" w:rsidP="0024419C">
      <w:pPr>
        <w:pStyle w:val="Footnotes"/>
        <w:rPr>
          <w:rFonts w:cs="Calibri Light"/>
        </w:rPr>
      </w:pPr>
      <w:r w:rsidRPr="00911A44">
        <w:rPr>
          <w:rStyle w:val="FootnoteReference"/>
          <w:rFonts w:cs="Calibri Light"/>
        </w:rPr>
        <w:footnoteRef/>
      </w:r>
      <w:r w:rsidRPr="00911A44">
        <w:rPr>
          <w:rFonts w:cs="Calibri Light"/>
        </w:rPr>
        <w:t xml:space="preserve"> </w:t>
      </w:r>
      <w:r w:rsidR="0024419C" w:rsidRPr="00911A44">
        <w:rPr>
          <w:rFonts w:cs="Calibri Light"/>
        </w:rPr>
        <w:tab/>
      </w:r>
      <w:r w:rsidRPr="00911A44">
        <w:rPr>
          <w:rFonts w:cs="Calibri Light"/>
        </w:rPr>
        <w:t>VIRTIPS Act, s</w:t>
      </w:r>
      <w:r w:rsidR="00D45BE7">
        <w:rPr>
          <w:rFonts w:cs="Calibri Light"/>
        </w:rPr>
        <w:t xml:space="preserve"> </w:t>
      </w:r>
      <w:r w:rsidRPr="00911A44">
        <w:rPr>
          <w:rFonts w:cs="Calibri Light"/>
        </w:rPr>
        <w:t>24(1).</w:t>
      </w:r>
    </w:p>
  </w:footnote>
  <w:footnote w:id="8">
    <w:p w14:paraId="2649ABF0" w14:textId="245D2FDD" w:rsidR="000C54C0" w:rsidRPr="0024419C" w:rsidRDefault="000C54C0" w:rsidP="0024419C">
      <w:pPr>
        <w:pStyle w:val="Footnotes"/>
      </w:pPr>
      <w:r w:rsidRPr="00911A44">
        <w:rPr>
          <w:rStyle w:val="FootnoteReference"/>
          <w:rFonts w:cs="Calibri Light"/>
        </w:rPr>
        <w:footnoteRef/>
      </w:r>
      <w:r w:rsidR="0024419C" w:rsidRPr="00911A44">
        <w:rPr>
          <w:rFonts w:cs="Calibri Light"/>
        </w:rPr>
        <w:tab/>
      </w:r>
      <w:r w:rsidRPr="00911A44">
        <w:rPr>
          <w:rFonts w:cs="Calibri Light"/>
        </w:rPr>
        <w:t>VIRTIPS Act, s 24(2).</w:t>
      </w:r>
    </w:p>
  </w:footnote>
  <w:footnote w:id="9">
    <w:p w14:paraId="6D6733C8" w14:textId="7026C394" w:rsidR="004F7E6F" w:rsidRDefault="004F7E6F">
      <w:pPr>
        <w:pStyle w:val="FootnoteText"/>
      </w:pPr>
      <w:r>
        <w:rPr>
          <w:rStyle w:val="FootnoteReference"/>
        </w:rPr>
        <w:footnoteRef/>
      </w:r>
      <w:r>
        <w:t xml:space="preserve"> </w:t>
      </w:r>
      <w:r w:rsidR="00350CF6" w:rsidRPr="005171F9">
        <w:tab/>
      </w:r>
      <w:r w:rsidR="002525F1" w:rsidRPr="005171F9">
        <w:t>ABS (2024</w:t>
      </w:r>
      <w:r w:rsidR="00E60AB0">
        <w:t>a</w:t>
      </w:r>
      <w:r w:rsidR="002525F1" w:rsidRPr="005171F9">
        <w:t>)</w:t>
      </w:r>
      <w:r w:rsidR="008D73A7">
        <w:rPr>
          <w:rStyle w:val="normaltextrun"/>
          <w:rFonts w:cs="Calibri Light"/>
          <w:color w:val="000000"/>
          <w:szCs w:val="18"/>
          <w:shd w:val="clear" w:color="auto" w:fill="FFFFFF"/>
        </w:rPr>
        <w:t>.</w:t>
      </w:r>
      <w:r w:rsidR="008D73A7">
        <w:rPr>
          <w:rStyle w:val="eop"/>
          <w:rFonts w:cs="Calibri Light"/>
          <w:color w:val="000000"/>
          <w:szCs w:val="18"/>
          <w:shd w:val="clear" w:color="auto" w:fill="FFFFFF"/>
        </w:rPr>
        <w:t> </w:t>
      </w:r>
    </w:p>
  </w:footnote>
  <w:footnote w:id="10">
    <w:p w14:paraId="484ACBF8" w14:textId="5946ED41" w:rsidR="00CB375C" w:rsidRPr="00FA130D" w:rsidRDefault="00CB375C" w:rsidP="00CB375C">
      <w:pPr>
        <w:pStyle w:val="FootnoteText"/>
        <w:rPr>
          <w:rFonts w:cs="Calibri Light"/>
          <w:iCs/>
        </w:rPr>
      </w:pPr>
      <w:r w:rsidRPr="00182559">
        <w:rPr>
          <w:rStyle w:val="FootnoteReference"/>
          <w:rFonts w:cs="Calibri Light"/>
        </w:rPr>
        <w:footnoteRef/>
      </w:r>
      <w:r w:rsidRPr="00182559">
        <w:rPr>
          <w:rFonts w:cs="Calibri Light"/>
        </w:rPr>
        <w:t xml:space="preserve"> </w:t>
      </w:r>
      <w:r w:rsidR="00182559" w:rsidRPr="00182559">
        <w:rPr>
          <w:rFonts w:cs="Calibri Light"/>
        </w:rPr>
        <w:tab/>
      </w:r>
      <w:r w:rsidR="00FA130D">
        <w:rPr>
          <w:rFonts w:cs="Calibri Light"/>
        </w:rPr>
        <w:t>DTF</w:t>
      </w:r>
      <w:r w:rsidR="00FA130D" w:rsidRPr="00182559">
        <w:rPr>
          <w:rFonts w:cs="Calibri Light"/>
        </w:rPr>
        <w:t xml:space="preserve"> (2024</w:t>
      </w:r>
      <w:r w:rsidR="00775B77">
        <w:rPr>
          <w:rFonts w:cs="Calibri Light"/>
        </w:rPr>
        <w:t>b</w:t>
      </w:r>
      <w:r w:rsidR="00FA130D" w:rsidRPr="00182559">
        <w:rPr>
          <w:rFonts w:cs="Calibri Light"/>
        </w:rPr>
        <w:t>)</w:t>
      </w:r>
      <w:r w:rsidR="00FA130D" w:rsidRPr="00FA130D">
        <w:rPr>
          <w:rStyle w:val="Hyperlink"/>
          <w:rFonts w:cs="Calibri Light"/>
          <w:iCs/>
          <w:u w:val="none"/>
        </w:rPr>
        <w:t>.</w:t>
      </w:r>
    </w:p>
  </w:footnote>
  <w:footnote w:id="11">
    <w:p w14:paraId="7F6F3D8F" w14:textId="7916C018" w:rsidR="004F7E6F" w:rsidRDefault="004F7E6F">
      <w:pPr>
        <w:pStyle w:val="FootnoteText"/>
      </w:pPr>
      <w:r w:rsidRPr="003A7786">
        <w:rPr>
          <w:rStyle w:val="FootnoteReference"/>
        </w:rPr>
        <w:footnoteRef/>
      </w:r>
      <w:r w:rsidRPr="003A7786">
        <w:t xml:space="preserve"> </w:t>
      </w:r>
      <w:r w:rsidR="005171F9" w:rsidRPr="003A7786">
        <w:tab/>
      </w:r>
      <w:r w:rsidR="0025194C" w:rsidRPr="003A7786">
        <w:t>RBA (2024)</w:t>
      </w:r>
      <w:hyperlink r:id="rId1" w:history="1"/>
      <w:r w:rsidR="0025194C">
        <w:t>.</w:t>
      </w:r>
    </w:p>
  </w:footnote>
  <w:footnote w:id="12">
    <w:p w14:paraId="2901FD8E" w14:textId="17746CF4" w:rsidR="00797D5D" w:rsidRPr="0025194C" w:rsidRDefault="00797D5D" w:rsidP="00797D5D">
      <w:pPr>
        <w:pStyle w:val="FootnoteText"/>
        <w:rPr>
          <w:rFonts w:cs="Calibri Light"/>
          <w:iCs/>
        </w:rPr>
      </w:pPr>
      <w:r w:rsidRPr="00797D5D">
        <w:rPr>
          <w:rStyle w:val="FootnoteReference"/>
          <w:rFonts w:cs="Calibri Light"/>
        </w:rPr>
        <w:footnoteRef/>
      </w:r>
      <w:r w:rsidRPr="00797D5D">
        <w:rPr>
          <w:rFonts w:cs="Calibri Light"/>
        </w:rPr>
        <w:t xml:space="preserve"> </w:t>
      </w:r>
      <w:r w:rsidRPr="00797D5D">
        <w:rPr>
          <w:rFonts w:cs="Calibri Light"/>
        </w:rPr>
        <w:tab/>
      </w:r>
      <w:r w:rsidR="0025194C">
        <w:rPr>
          <w:rFonts w:cs="Calibri Light"/>
        </w:rPr>
        <w:t>DTF</w:t>
      </w:r>
      <w:r w:rsidR="0025194C" w:rsidRPr="00182559">
        <w:rPr>
          <w:rFonts w:cs="Calibri Light"/>
        </w:rPr>
        <w:t xml:space="preserve"> (2024</w:t>
      </w:r>
      <w:r w:rsidR="00775B77">
        <w:rPr>
          <w:rFonts w:cs="Calibri Light"/>
        </w:rPr>
        <w:t>b</w:t>
      </w:r>
      <w:r w:rsidR="0025194C" w:rsidRPr="00182559">
        <w:rPr>
          <w:rFonts w:cs="Calibri Light"/>
        </w:rPr>
        <w:t>)</w:t>
      </w:r>
      <w:r w:rsidR="0025194C" w:rsidRPr="0025194C">
        <w:rPr>
          <w:rStyle w:val="Hyperlink"/>
          <w:rFonts w:cs="Calibri Light"/>
          <w:iCs/>
          <w:u w:val="none"/>
        </w:rPr>
        <w:t>.</w:t>
      </w:r>
    </w:p>
  </w:footnote>
  <w:footnote w:id="13">
    <w:p w14:paraId="153D5540" w14:textId="7BC7184C" w:rsidR="00797D5D" w:rsidRPr="00DF2C34" w:rsidRDefault="00797D5D">
      <w:pPr>
        <w:pStyle w:val="FootnoteText"/>
        <w:rPr>
          <w:rFonts w:cs="Calibri Light"/>
        </w:rPr>
      </w:pPr>
      <w:r w:rsidRPr="00797D5D">
        <w:rPr>
          <w:rStyle w:val="FootnoteReference"/>
          <w:rFonts w:cs="Calibri Light"/>
        </w:rPr>
        <w:footnoteRef/>
      </w:r>
      <w:r w:rsidRPr="00797D5D">
        <w:rPr>
          <w:rFonts w:cs="Calibri Light"/>
        </w:rPr>
        <w:t xml:space="preserve"> </w:t>
      </w:r>
      <w:r w:rsidRPr="00DF2C34">
        <w:rPr>
          <w:rFonts w:cs="Calibri Light"/>
        </w:rPr>
        <w:tab/>
      </w:r>
      <w:r w:rsidR="009B5857" w:rsidRPr="00DF2C34">
        <w:rPr>
          <w:rFonts w:cs="Calibri Light"/>
        </w:rPr>
        <w:t>ABS (2024</w:t>
      </w:r>
      <w:r w:rsidR="009B5857">
        <w:rPr>
          <w:rFonts w:cs="Calibri Light"/>
        </w:rPr>
        <w:t>c</w:t>
      </w:r>
      <w:r w:rsidR="009B5857" w:rsidRPr="00DF2C34">
        <w:rPr>
          <w:rFonts w:cs="Calibri Light"/>
        </w:rPr>
        <w:t>)</w:t>
      </w:r>
      <w:r w:rsidR="008D73A7">
        <w:rPr>
          <w:rStyle w:val="normaltextrun"/>
          <w:rFonts w:cs="Calibri Light"/>
          <w:color w:val="000000"/>
          <w:szCs w:val="18"/>
          <w:shd w:val="clear" w:color="auto" w:fill="FFFFFF"/>
        </w:rPr>
        <w:t>.</w:t>
      </w:r>
    </w:p>
  </w:footnote>
  <w:footnote w:id="14">
    <w:p w14:paraId="3819AF7F" w14:textId="15B7CE56" w:rsidR="005171F9" w:rsidRDefault="005171F9">
      <w:pPr>
        <w:pStyle w:val="FootnoteText"/>
      </w:pPr>
      <w:r>
        <w:rPr>
          <w:rStyle w:val="FootnoteReference"/>
        </w:rPr>
        <w:footnoteRef/>
      </w:r>
      <w:r>
        <w:t xml:space="preserve"> </w:t>
      </w:r>
      <w:r>
        <w:tab/>
      </w:r>
      <w:r w:rsidR="00A23F8A" w:rsidRPr="003A7786">
        <w:t>RBA (2024)</w:t>
      </w:r>
      <w:r w:rsidR="00A23F8A">
        <w:rPr>
          <w:i/>
          <w:iCs/>
        </w:rPr>
        <w:t xml:space="preserve">; </w:t>
      </w:r>
      <w:r w:rsidR="005241BE">
        <w:t>Commonwealth of Australia (2024)</w:t>
      </w:r>
      <w:hyperlink r:id="rId2" w:history="1"/>
      <w:r w:rsidR="005241BE">
        <w:t>.</w:t>
      </w:r>
    </w:p>
  </w:footnote>
  <w:footnote w:id="15">
    <w:p w14:paraId="1A52724E" w14:textId="3565FAC1" w:rsidR="00797D5D" w:rsidRPr="00DF2C34" w:rsidRDefault="00797D5D">
      <w:pPr>
        <w:pStyle w:val="FootnoteText"/>
        <w:rPr>
          <w:rFonts w:cs="Calibri Light"/>
        </w:rPr>
      </w:pPr>
      <w:r w:rsidRPr="00DF2C34">
        <w:rPr>
          <w:rStyle w:val="FootnoteReference"/>
          <w:rFonts w:cs="Calibri Light"/>
        </w:rPr>
        <w:footnoteRef/>
      </w:r>
      <w:r w:rsidRPr="00DF2C34">
        <w:rPr>
          <w:rFonts w:cs="Calibri Light"/>
        </w:rPr>
        <w:t xml:space="preserve"> </w:t>
      </w:r>
      <w:r w:rsidRPr="00DF2C34">
        <w:rPr>
          <w:rFonts w:cs="Calibri Light"/>
        </w:rPr>
        <w:tab/>
      </w:r>
      <w:r w:rsidR="00645061">
        <w:rPr>
          <w:rFonts w:cs="Calibri Light"/>
        </w:rPr>
        <w:t>DTF</w:t>
      </w:r>
      <w:r w:rsidR="00645061" w:rsidRPr="00182559">
        <w:rPr>
          <w:rFonts w:cs="Calibri Light"/>
        </w:rPr>
        <w:t xml:space="preserve"> (2024</w:t>
      </w:r>
      <w:r w:rsidR="00775B77">
        <w:rPr>
          <w:rFonts w:cs="Calibri Light"/>
        </w:rPr>
        <w:t>b</w:t>
      </w:r>
      <w:r w:rsidR="00645061" w:rsidRPr="00182559">
        <w:rPr>
          <w:rFonts w:cs="Calibri Light"/>
        </w:rPr>
        <w:t>)</w:t>
      </w:r>
      <w:r w:rsidR="00645061">
        <w:rPr>
          <w:rFonts w:cs="Calibri Light"/>
          <w:i/>
          <w:iCs/>
        </w:rPr>
        <w:t>.</w:t>
      </w:r>
    </w:p>
  </w:footnote>
  <w:footnote w:id="16">
    <w:p w14:paraId="34FC8B25" w14:textId="28C3C0AA" w:rsidR="00797D5D" w:rsidRPr="00DF2C34" w:rsidRDefault="00797D5D">
      <w:pPr>
        <w:pStyle w:val="FootnoteText"/>
        <w:rPr>
          <w:rFonts w:cs="Calibri Light"/>
        </w:rPr>
      </w:pPr>
      <w:r w:rsidRPr="00DF2C34">
        <w:rPr>
          <w:rStyle w:val="FootnoteReference"/>
          <w:rFonts w:cs="Calibri Light"/>
        </w:rPr>
        <w:footnoteRef/>
      </w:r>
      <w:r w:rsidRPr="00DF2C34">
        <w:rPr>
          <w:rFonts w:cs="Calibri Light"/>
        </w:rPr>
        <w:t xml:space="preserve"> </w:t>
      </w:r>
      <w:r w:rsidRPr="00DF2C34">
        <w:rPr>
          <w:rFonts w:cs="Calibri Light"/>
        </w:rPr>
        <w:tab/>
      </w:r>
      <w:r w:rsidR="009E7272" w:rsidRPr="00DF2C34">
        <w:rPr>
          <w:rFonts w:cs="Calibri Light"/>
        </w:rPr>
        <w:t>ABS (2024</w:t>
      </w:r>
      <w:r w:rsidR="002D5168">
        <w:rPr>
          <w:rFonts w:cs="Calibri Light"/>
        </w:rPr>
        <w:t>f</w:t>
      </w:r>
      <w:r w:rsidR="009E7272" w:rsidRPr="00DF2C34">
        <w:rPr>
          <w:rFonts w:cs="Calibri Light"/>
        </w:rPr>
        <w:t>)</w:t>
      </w:r>
      <w:r w:rsidR="008D73A7">
        <w:rPr>
          <w:rStyle w:val="normaltextrun"/>
          <w:rFonts w:cs="Calibri Light"/>
          <w:color w:val="000000"/>
          <w:szCs w:val="18"/>
          <w:shd w:val="clear" w:color="auto" w:fill="FFFFFF"/>
        </w:rPr>
        <w:t>.</w:t>
      </w:r>
    </w:p>
  </w:footnote>
  <w:footnote w:id="17">
    <w:p w14:paraId="5FE35027" w14:textId="46D61E1F" w:rsidR="008D73A7" w:rsidRDefault="008D73A7">
      <w:pPr>
        <w:pStyle w:val="FootnoteText"/>
      </w:pPr>
      <w:r>
        <w:rPr>
          <w:rStyle w:val="FootnoteReference"/>
        </w:rPr>
        <w:footnoteRef/>
      </w:r>
      <w:r>
        <w:t xml:space="preserve"> </w:t>
      </w:r>
      <w:r>
        <w:tab/>
      </w:r>
      <w:r w:rsidR="009E7272" w:rsidRPr="00DF2C34">
        <w:rPr>
          <w:rFonts w:cs="Calibri Light"/>
        </w:rPr>
        <w:t>ABS (2024</w:t>
      </w:r>
      <w:r w:rsidR="002D5168">
        <w:rPr>
          <w:rFonts w:cs="Calibri Light"/>
        </w:rPr>
        <w:t>f</w:t>
      </w:r>
      <w:r w:rsidR="009E7272" w:rsidRPr="00DF2C34">
        <w:rPr>
          <w:rFonts w:cs="Calibri Light"/>
        </w:rPr>
        <w:t>)</w:t>
      </w:r>
      <w:r>
        <w:rPr>
          <w:rStyle w:val="normaltextrun"/>
          <w:rFonts w:cs="Calibri Light"/>
          <w:color w:val="000000"/>
          <w:szCs w:val="18"/>
          <w:shd w:val="clear" w:color="auto" w:fill="FFFFFF"/>
        </w:rPr>
        <w:t>.</w:t>
      </w:r>
    </w:p>
  </w:footnote>
  <w:footnote w:id="18">
    <w:p w14:paraId="4A0CA469" w14:textId="7891CA30" w:rsidR="00797D5D" w:rsidRPr="00DF2C34" w:rsidRDefault="00797D5D">
      <w:pPr>
        <w:pStyle w:val="FootnoteText"/>
        <w:rPr>
          <w:rFonts w:cs="Calibri Light"/>
        </w:rPr>
      </w:pPr>
      <w:r w:rsidRPr="00DF2C34">
        <w:rPr>
          <w:rStyle w:val="FootnoteReference"/>
          <w:rFonts w:cs="Calibri Light"/>
        </w:rPr>
        <w:footnoteRef/>
      </w:r>
      <w:r w:rsidRPr="00DF2C34">
        <w:rPr>
          <w:rFonts w:cs="Calibri Light"/>
        </w:rPr>
        <w:t xml:space="preserve"> </w:t>
      </w:r>
      <w:r w:rsidRPr="00DF2C34">
        <w:rPr>
          <w:rFonts w:cs="Calibri Light"/>
        </w:rPr>
        <w:tab/>
      </w:r>
      <w:r w:rsidR="004F35D9">
        <w:t>ABS (2024</w:t>
      </w:r>
      <w:r w:rsidR="002D5168">
        <w:t>g</w:t>
      </w:r>
      <w:r w:rsidR="004F35D9">
        <w:t>)</w:t>
      </w:r>
      <w:r w:rsidR="008D73A7">
        <w:rPr>
          <w:rStyle w:val="normaltextrun"/>
          <w:rFonts w:cs="Calibri Light"/>
          <w:color w:val="000000"/>
          <w:szCs w:val="18"/>
          <w:shd w:val="clear" w:color="auto" w:fill="FFFFFF"/>
        </w:rPr>
        <w:t>.</w:t>
      </w:r>
    </w:p>
  </w:footnote>
  <w:footnote w:id="19">
    <w:p w14:paraId="46DA1B01" w14:textId="55E93315" w:rsidR="00DF2C34" w:rsidRPr="00DF2C34" w:rsidRDefault="00DF2C34">
      <w:pPr>
        <w:pStyle w:val="FootnoteText"/>
        <w:rPr>
          <w:rFonts w:cs="Calibri Light"/>
        </w:rPr>
      </w:pPr>
      <w:r w:rsidRPr="00DF2C34">
        <w:rPr>
          <w:rStyle w:val="FootnoteReference"/>
          <w:rFonts w:cs="Calibri Light"/>
        </w:rPr>
        <w:footnoteRef/>
      </w:r>
      <w:r w:rsidRPr="00DF2C34">
        <w:rPr>
          <w:rFonts w:cs="Calibri Light"/>
        </w:rPr>
        <w:t xml:space="preserve"> </w:t>
      </w:r>
      <w:r w:rsidRPr="00DF2C34">
        <w:rPr>
          <w:rFonts w:cs="Calibri Light"/>
        </w:rPr>
        <w:tab/>
      </w:r>
      <w:r w:rsidR="004F35D9" w:rsidRPr="00DF2C34">
        <w:rPr>
          <w:rFonts w:cs="Calibri Light"/>
        </w:rPr>
        <w:t>ABS (2024</w:t>
      </w:r>
      <w:r w:rsidR="002D5168">
        <w:rPr>
          <w:rFonts w:cs="Calibri Light"/>
        </w:rPr>
        <w:t>f</w:t>
      </w:r>
      <w:r w:rsidR="004F35D9" w:rsidRPr="00DF2C34">
        <w:rPr>
          <w:rFonts w:cs="Calibri Light"/>
        </w:rPr>
        <w:t>)</w:t>
      </w:r>
      <w:r w:rsidR="00231ECA">
        <w:rPr>
          <w:rFonts w:cs="Calibri Light"/>
        </w:rPr>
        <w:t xml:space="preserve">; </w:t>
      </w:r>
      <w:r w:rsidR="00231ECA" w:rsidRPr="00DF2C34">
        <w:rPr>
          <w:rFonts w:cs="Calibri Light"/>
        </w:rPr>
        <w:t>ABS (2024</w:t>
      </w:r>
      <w:r w:rsidR="00231ECA">
        <w:rPr>
          <w:rFonts w:cs="Calibri Light"/>
        </w:rPr>
        <w:t>c</w:t>
      </w:r>
      <w:r w:rsidR="00231ECA" w:rsidRPr="00DF2C34">
        <w:rPr>
          <w:rFonts w:cs="Calibri Light"/>
        </w:rPr>
        <w:t>)</w:t>
      </w:r>
      <w:r w:rsidR="00231ECA">
        <w:rPr>
          <w:rStyle w:val="normaltextrun"/>
          <w:rFonts w:cs="Calibri Light"/>
          <w:color w:val="000000"/>
          <w:szCs w:val="18"/>
          <w:shd w:val="clear" w:color="auto" w:fill="FFFFFF"/>
        </w:rPr>
        <w:t>.</w:t>
      </w:r>
    </w:p>
  </w:footnote>
  <w:footnote w:id="20">
    <w:p w14:paraId="4DA558FF" w14:textId="7D15296A" w:rsidR="00DF2C34" w:rsidRDefault="00DF2C34" w:rsidP="00DF2C34">
      <w:pPr>
        <w:pStyle w:val="FootnoteText"/>
      </w:pPr>
      <w:r w:rsidRPr="00DF2C34">
        <w:rPr>
          <w:rStyle w:val="FootnoteReference"/>
          <w:rFonts w:cs="Calibri Light"/>
        </w:rPr>
        <w:footnoteRef/>
      </w:r>
      <w:r w:rsidRPr="00DF2C34">
        <w:rPr>
          <w:rFonts w:cs="Calibri Light"/>
        </w:rPr>
        <w:t xml:space="preserve"> </w:t>
      </w:r>
      <w:r w:rsidRPr="00DF2C34">
        <w:rPr>
          <w:rFonts w:cs="Calibri Light"/>
        </w:rPr>
        <w:tab/>
      </w:r>
      <w:r w:rsidR="0060577B" w:rsidRPr="003A7786">
        <w:t>RBA (2024)</w:t>
      </w:r>
      <w:r w:rsidR="0060577B">
        <w:rPr>
          <w:i/>
          <w:iCs/>
        </w:rPr>
        <w:t>.</w:t>
      </w:r>
    </w:p>
  </w:footnote>
  <w:footnote w:id="21">
    <w:p w14:paraId="62B6B74F" w14:textId="17F40D15" w:rsidR="00DF2C34" w:rsidRPr="0060577B" w:rsidRDefault="00DF2C34">
      <w:pPr>
        <w:pStyle w:val="FootnoteText"/>
      </w:pPr>
      <w:r>
        <w:rPr>
          <w:rStyle w:val="FootnoteReference"/>
        </w:rPr>
        <w:footnoteRef/>
      </w:r>
      <w:r>
        <w:t xml:space="preserve"> </w:t>
      </w:r>
      <w:r>
        <w:tab/>
      </w:r>
      <w:r w:rsidR="0060577B">
        <w:rPr>
          <w:rFonts w:cs="Calibri Light"/>
        </w:rPr>
        <w:t>DTF</w:t>
      </w:r>
      <w:r w:rsidR="0060577B" w:rsidRPr="00182559">
        <w:rPr>
          <w:rFonts w:cs="Calibri Light"/>
        </w:rPr>
        <w:t xml:space="preserve"> (2024</w:t>
      </w:r>
      <w:r w:rsidR="00775B77">
        <w:rPr>
          <w:rFonts w:cs="Calibri Light"/>
        </w:rPr>
        <w:t>b</w:t>
      </w:r>
      <w:r w:rsidR="0060577B" w:rsidRPr="00182559">
        <w:rPr>
          <w:rFonts w:cs="Calibri Light"/>
        </w:rPr>
        <w:t>)</w:t>
      </w:r>
      <w:r w:rsidR="0060577B">
        <w:rPr>
          <w:rFonts w:cs="Calibri Light"/>
          <w:i/>
          <w:iCs/>
        </w:rPr>
        <w:t>,</w:t>
      </w:r>
      <w:r w:rsidR="0060577B">
        <w:rPr>
          <w:rFonts w:cs="Calibri Light"/>
        </w:rPr>
        <w:t xml:space="preserve"> p</w:t>
      </w:r>
      <w:r w:rsidR="002D5168">
        <w:rPr>
          <w:rFonts w:cs="Calibri Light"/>
        </w:rPr>
        <w:t>.</w:t>
      </w:r>
      <w:r w:rsidR="0060577B">
        <w:rPr>
          <w:rFonts w:cs="Calibri Light"/>
        </w:rPr>
        <w:t xml:space="preserve"> 4.</w:t>
      </w:r>
    </w:p>
  </w:footnote>
  <w:footnote w:id="22">
    <w:p w14:paraId="2582E5F5" w14:textId="6065372E" w:rsidR="00DF2C34" w:rsidRDefault="00DF2C34">
      <w:pPr>
        <w:pStyle w:val="FootnoteText"/>
      </w:pPr>
      <w:r>
        <w:rPr>
          <w:rStyle w:val="FootnoteReference"/>
        </w:rPr>
        <w:footnoteRef/>
      </w:r>
      <w:r>
        <w:t xml:space="preserve"> </w:t>
      </w:r>
      <w:r>
        <w:tab/>
      </w:r>
      <w:r w:rsidR="0060577B">
        <w:rPr>
          <w:rFonts w:cs="Calibri Light"/>
        </w:rPr>
        <w:t>DTF</w:t>
      </w:r>
      <w:r w:rsidR="0060577B" w:rsidRPr="00182559">
        <w:rPr>
          <w:rFonts w:cs="Calibri Light"/>
        </w:rPr>
        <w:t xml:space="preserve"> (2024</w:t>
      </w:r>
      <w:r w:rsidR="00775B77">
        <w:rPr>
          <w:rFonts w:cs="Calibri Light"/>
        </w:rPr>
        <w:t>b</w:t>
      </w:r>
      <w:r w:rsidR="0060577B" w:rsidRPr="00182559">
        <w:rPr>
          <w:rFonts w:cs="Calibri Light"/>
        </w:rPr>
        <w:t>)</w:t>
      </w:r>
      <w:r w:rsidR="0060577B">
        <w:rPr>
          <w:rFonts w:cs="Calibri Light"/>
          <w:i/>
          <w:iCs/>
        </w:rPr>
        <w:t>,</w:t>
      </w:r>
      <w:r w:rsidR="0060577B">
        <w:rPr>
          <w:rFonts w:cs="Calibri Light"/>
        </w:rPr>
        <w:t xml:space="preserve"> p</w:t>
      </w:r>
      <w:r w:rsidR="002D5168">
        <w:rPr>
          <w:rFonts w:cs="Calibri Light"/>
        </w:rPr>
        <w:t>.</w:t>
      </w:r>
      <w:r w:rsidR="0060577B">
        <w:rPr>
          <w:rFonts w:cs="Calibri Light"/>
        </w:rPr>
        <w:t xml:space="preserve"> 6.</w:t>
      </w:r>
    </w:p>
  </w:footnote>
  <w:footnote w:id="23">
    <w:p w14:paraId="28594749" w14:textId="214D890D" w:rsidR="006F4FD4" w:rsidRPr="002F0C3E" w:rsidRDefault="006F4FD4" w:rsidP="006F4FD4">
      <w:pPr>
        <w:pStyle w:val="FootnoteText"/>
        <w:rPr>
          <w:rFonts w:cs="Calibri Light"/>
        </w:rPr>
      </w:pPr>
      <w:r w:rsidRPr="00DF2C34">
        <w:rPr>
          <w:rStyle w:val="FootnoteReference"/>
          <w:rFonts w:cs="Calibri Light"/>
        </w:rPr>
        <w:footnoteRef/>
      </w:r>
      <w:r w:rsidRPr="00DF2C34">
        <w:rPr>
          <w:rFonts w:cs="Calibri Light"/>
        </w:rPr>
        <w:t xml:space="preserve"> </w:t>
      </w:r>
      <w:r w:rsidRPr="00DF2C34">
        <w:rPr>
          <w:rFonts w:cs="Calibri Light"/>
        </w:rPr>
        <w:tab/>
      </w:r>
      <w:r w:rsidR="00E05DC2">
        <w:rPr>
          <w:rFonts w:cs="Calibri Light"/>
        </w:rPr>
        <w:t>Industrial Relations Victoria</w:t>
      </w:r>
      <w:r w:rsidR="00D36C48" w:rsidRPr="00DF2C34">
        <w:rPr>
          <w:rFonts w:cs="Calibri Light"/>
        </w:rPr>
        <w:t xml:space="preserve"> (</w:t>
      </w:r>
      <w:r w:rsidR="00D36C48" w:rsidRPr="00CF52C9">
        <w:rPr>
          <w:rFonts w:cs="Calibri Light"/>
        </w:rPr>
        <w:t>202</w:t>
      </w:r>
      <w:r w:rsidR="00396A0A">
        <w:rPr>
          <w:rFonts w:cs="Calibri Light"/>
        </w:rPr>
        <w:t>4</w:t>
      </w:r>
      <w:r w:rsidR="00D36C48" w:rsidRPr="00CF52C9">
        <w:rPr>
          <w:rFonts w:cs="Calibri Light"/>
        </w:rPr>
        <w:t>)</w:t>
      </w:r>
      <w:r w:rsidR="00D36C48">
        <w:rPr>
          <w:rFonts w:cs="Calibri Light"/>
        </w:rPr>
        <w:t>.</w:t>
      </w:r>
    </w:p>
  </w:footnote>
  <w:footnote w:id="24">
    <w:p w14:paraId="6DE3BF24" w14:textId="0DC57FF3" w:rsidR="00E36199" w:rsidRPr="00CA4E2B" w:rsidRDefault="00E36199" w:rsidP="00E36199">
      <w:pPr>
        <w:pStyle w:val="FootnoteText"/>
        <w:rPr>
          <w:rFonts w:cs="Calibri Light"/>
        </w:rPr>
      </w:pPr>
      <w:r w:rsidRPr="00CA4E2B">
        <w:rPr>
          <w:rStyle w:val="FootnoteReference"/>
          <w:rFonts w:cs="Calibri Light"/>
        </w:rPr>
        <w:footnoteRef/>
      </w:r>
      <w:r w:rsidRPr="00CA4E2B">
        <w:rPr>
          <w:rFonts w:cs="Calibri Light"/>
        </w:rPr>
        <w:t xml:space="preserve"> </w:t>
      </w:r>
      <w:r w:rsidRPr="00CA4E2B">
        <w:rPr>
          <w:rFonts w:cs="Calibri Light"/>
        </w:rPr>
        <w:tab/>
      </w:r>
      <w:r w:rsidR="003E249D" w:rsidRPr="006F4FD4">
        <w:rPr>
          <w:rFonts w:cs="Calibri Light"/>
        </w:rPr>
        <w:t>Victorian Independent Remuneration Tribunal (2022</w:t>
      </w:r>
      <w:r w:rsidR="003E249D">
        <w:rPr>
          <w:rFonts w:cs="Calibri Light"/>
        </w:rPr>
        <w:t>a</w:t>
      </w:r>
      <w:r w:rsidR="003E249D" w:rsidRPr="006F4FD4">
        <w:rPr>
          <w:rFonts w:cs="Calibri Light"/>
        </w:rPr>
        <w:t>)</w:t>
      </w:r>
      <w:r w:rsidR="003E249D">
        <w:rPr>
          <w:rFonts w:cs="Calibri Light"/>
          <w:i/>
        </w:rPr>
        <w:t xml:space="preserve">, </w:t>
      </w:r>
      <w:r w:rsidRPr="00CA4E2B">
        <w:rPr>
          <w:rFonts w:cs="Calibri Light"/>
        </w:rPr>
        <w:t>p</w:t>
      </w:r>
      <w:r w:rsidR="002D5168">
        <w:rPr>
          <w:rFonts w:cs="Calibri Light"/>
        </w:rPr>
        <w:t>.</w:t>
      </w:r>
      <w:r w:rsidRPr="00CA4E2B">
        <w:rPr>
          <w:rFonts w:cs="Calibri Light"/>
        </w:rPr>
        <w:t xml:space="preserve"> 56</w:t>
      </w:r>
      <w:r>
        <w:rPr>
          <w:rFonts w:cs="Calibri Light"/>
        </w:rPr>
        <w:t>.</w:t>
      </w:r>
    </w:p>
  </w:footnote>
  <w:footnote w:id="25">
    <w:p w14:paraId="0793A73E" w14:textId="4A7608BE" w:rsidR="000E4B2B" w:rsidRPr="00FC120E" w:rsidDel="00C618C9" w:rsidRDefault="000E4B2B" w:rsidP="000E4B2B">
      <w:pPr>
        <w:pStyle w:val="Footnotes"/>
        <w:rPr>
          <w:rFonts w:cs="Calibri Light"/>
        </w:rPr>
      </w:pPr>
      <w:r w:rsidRPr="00FC120E">
        <w:rPr>
          <w:rStyle w:val="FootnoteReference"/>
          <w:rFonts w:cs="Calibri Light"/>
        </w:rPr>
        <w:footnoteRef/>
      </w:r>
      <w:r w:rsidRPr="00FC120E">
        <w:rPr>
          <w:rFonts w:cs="Calibri Light"/>
        </w:rPr>
        <w:t xml:space="preserve"> </w:t>
      </w:r>
      <w:r w:rsidRPr="00FC120E">
        <w:rPr>
          <w:rFonts w:cs="Calibri Light"/>
        </w:rPr>
        <w:tab/>
      </w:r>
      <w:r>
        <w:rPr>
          <w:rFonts w:cs="Calibri Light"/>
        </w:rPr>
        <w:t xml:space="preserve">Victorian Independent Remuneration Tribunal </w:t>
      </w:r>
      <w:r w:rsidR="00214137">
        <w:rPr>
          <w:rFonts w:cs="Calibri Light"/>
        </w:rPr>
        <w:t>(2024</w:t>
      </w:r>
      <w:r w:rsidR="00280DDA">
        <w:rPr>
          <w:rFonts w:cs="Calibri Light"/>
        </w:rPr>
        <w:t>a</w:t>
      </w:r>
      <w:r w:rsidR="00214137">
        <w:rPr>
          <w:rFonts w:cs="Calibri Light"/>
        </w:rPr>
        <w:t>)</w:t>
      </w:r>
      <w:r w:rsidR="00280DDA">
        <w:rPr>
          <w:rFonts w:cs="Calibri Light"/>
        </w:rPr>
        <w:t>.</w:t>
      </w:r>
    </w:p>
  </w:footnote>
  <w:footnote w:id="26">
    <w:p w14:paraId="7559A00A" w14:textId="5773C826" w:rsidR="006F4FD4" w:rsidRPr="00FC120E" w:rsidRDefault="006F4FD4" w:rsidP="006F4FD4">
      <w:pPr>
        <w:pStyle w:val="FootnoteText"/>
        <w:rPr>
          <w:rFonts w:cs="Calibri Light"/>
        </w:rPr>
      </w:pPr>
      <w:r w:rsidRPr="00FC120E">
        <w:rPr>
          <w:rStyle w:val="FootnoteReference"/>
          <w:rFonts w:cs="Calibri Light"/>
        </w:rPr>
        <w:footnoteRef/>
      </w:r>
      <w:r w:rsidRPr="002D5168">
        <w:rPr>
          <w:rFonts w:cs="Calibri Light"/>
        </w:rPr>
        <w:t xml:space="preserve"> </w:t>
      </w:r>
      <w:r w:rsidRPr="002D5168">
        <w:rPr>
          <w:rFonts w:cs="Calibri Light"/>
        </w:rPr>
        <w:tab/>
      </w:r>
      <w:r w:rsidR="002D5168" w:rsidRPr="002D5168">
        <w:rPr>
          <w:rFonts w:cs="Calibri Light"/>
        </w:rPr>
        <w:t xml:space="preserve">State Government of </w:t>
      </w:r>
      <w:r w:rsidR="00E46904" w:rsidRPr="002D5168">
        <w:rPr>
          <w:rFonts w:cs="Calibri Light"/>
        </w:rPr>
        <w:t>Victoria</w:t>
      </w:r>
      <w:r w:rsidR="002D5168" w:rsidRPr="002D5168">
        <w:rPr>
          <w:rFonts w:cs="Calibri Light"/>
        </w:rPr>
        <w:t xml:space="preserve"> (2023)</w:t>
      </w:r>
      <w:r w:rsidR="00E15479" w:rsidRPr="002D5168">
        <w:rPr>
          <w:rFonts w:cs="Calibri Light"/>
        </w:rPr>
        <w:t>.</w:t>
      </w:r>
    </w:p>
  </w:footnote>
  <w:footnote w:id="27">
    <w:p w14:paraId="39521694" w14:textId="28641F83" w:rsidR="00280DDA" w:rsidRDefault="00280DDA">
      <w:pPr>
        <w:pStyle w:val="FootnoteText"/>
      </w:pPr>
      <w:r>
        <w:rPr>
          <w:rStyle w:val="FootnoteReference"/>
        </w:rPr>
        <w:footnoteRef/>
      </w:r>
      <w:r>
        <w:t xml:space="preserve"> </w:t>
      </w:r>
      <w:r>
        <w:tab/>
      </w:r>
      <w:r>
        <w:rPr>
          <w:rFonts w:cs="Calibri Light"/>
        </w:rPr>
        <w:t>ESC (2024a)</w:t>
      </w:r>
      <w:r w:rsidR="00E75B88">
        <w:t>.</w:t>
      </w:r>
    </w:p>
  </w:footnote>
  <w:footnote w:id="28">
    <w:p w14:paraId="21B06FF7" w14:textId="091EA57C" w:rsidR="007768E3" w:rsidRPr="00FC120E" w:rsidRDefault="007768E3">
      <w:pPr>
        <w:pStyle w:val="FootnoteText"/>
        <w:rPr>
          <w:rFonts w:cs="Calibri Light"/>
        </w:rPr>
      </w:pPr>
      <w:r w:rsidRPr="00FC120E">
        <w:rPr>
          <w:rStyle w:val="FootnoteReference"/>
          <w:rFonts w:cs="Calibri Light"/>
        </w:rPr>
        <w:footnoteRef/>
      </w:r>
      <w:r w:rsidRPr="00FC120E">
        <w:rPr>
          <w:rFonts w:cs="Calibri Light"/>
        </w:rPr>
        <w:t xml:space="preserve"> </w:t>
      </w:r>
      <w:r w:rsidRPr="00FC120E">
        <w:rPr>
          <w:rFonts w:cs="Calibri Light"/>
        </w:rPr>
        <w:tab/>
      </w:r>
      <w:r w:rsidR="002570E8">
        <w:rPr>
          <w:rFonts w:cs="Calibri Light"/>
        </w:rPr>
        <w:t>ESC (</w:t>
      </w:r>
      <w:r w:rsidR="006F4FD4">
        <w:rPr>
          <w:rFonts w:cs="Calibri Light"/>
        </w:rPr>
        <w:t>2024</w:t>
      </w:r>
      <w:r w:rsidR="00280DDA">
        <w:rPr>
          <w:rFonts w:cs="Calibri Light"/>
        </w:rPr>
        <w:t>b</w:t>
      </w:r>
      <w:r w:rsidR="006F4FD4">
        <w:rPr>
          <w:rFonts w:cs="Calibri Light"/>
        </w:rPr>
        <w:t>)</w:t>
      </w:r>
      <w:r w:rsidR="0036444F">
        <w:rPr>
          <w:rFonts w:cs="Calibri Light"/>
        </w:rPr>
        <w:t>.</w:t>
      </w:r>
    </w:p>
  </w:footnote>
  <w:footnote w:id="29">
    <w:p w14:paraId="389EF01D" w14:textId="7CFAA7C3" w:rsidR="001F0748" w:rsidRDefault="001F0748">
      <w:pPr>
        <w:pStyle w:val="FootnoteText"/>
      </w:pPr>
      <w:r w:rsidRPr="00FC120E">
        <w:rPr>
          <w:rStyle w:val="FootnoteReference"/>
          <w:rFonts w:cs="Calibri Light"/>
        </w:rPr>
        <w:footnoteRef/>
      </w:r>
      <w:r w:rsidRPr="00FC120E">
        <w:rPr>
          <w:rFonts w:cs="Calibri Light"/>
        </w:rPr>
        <w:t xml:space="preserve"> </w:t>
      </w:r>
      <w:r w:rsidRPr="00FC120E">
        <w:rPr>
          <w:rFonts w:cs="Calibri Light"/>
        </w:rPr>
        <w:tab/>
      </w:r>
      <w:r w:rsidR="002570E8">
        <w:rPr>
          <w:rFonts w:cs="Calibri Light"/>
        </w:rPr>
        <w:t>VAGO (2024)</w:t>
      </w:r>
      <w:r w:rsidR="002766E3">
        <w:t>.</w:t>
      </w:r>
    </w:p>
  </w:footnote>
  <w:footnote w:id="30">
    <w:p w14:paraId="3C83C54C" w14:textId="3045A37E" w:rsidR="00992672" w:rsidRPr="002F0C3E" w:rsidRDefault="00992672" w:rsidP="00992672">
      <w:pPr>
        <w:pStyle w:val="FootnoteText"/>
        <w:rPr>
          <w:rFonts w:cs="Calibri Light"/>
        </w:rPr>
      </w:pPr>
      <w:r w:rsidRPr="002F0C3E">
        <w:rPr>
          <w:rStyle w:val="FootnoteReference"/>
          <w:rFonts w:cs="Calibri Light"/>
        </w:rPr>
        <w:footnoteRef/>
      </w:r>
      <w:r w:rsidRPr="002F0C3E">
        <w:rPr>
          <w:rFonts w:cs="Calibri Light"/>
        </w:rPr>
        <w:t xml:space="preserve"> </w:t>
      </w:r>
      <w:r w:rsidRPr="002F0C3E">
        <w:rPr>
          <w:rFonts w:cs="Calibri Light"/>
        </w:rPr>
        <w:tab/>
      </w:r>
      <w:r w:rsidR="00FE2572">
        <w:rPr>
          <w:rFonts w:cs="Calibri Light"/>
        </w:rPr>
        <w:t>FWC</w:t>
      </w:r>
      <w:r w:rsidR="00D03779" w:rsidRPr="002F0C3E">
        <w:rPr>
          <w:rFonts w:cs="Calibri Light"/>
        </w:rPr>
        <w:t xml:space="preserve"> (2024), </w:t>
      </w:r>
      <w:r w:rsidR="00D03779" w:rsidRPr="00C71CCB">
        <w:t>p</w:t>
      </w:r>
      <w:r w:rsidR="00D03779">
        <w:t>p</w:t>
      </w:r>
      <w:r w:rsidR="002D5168">
        <w:t>.</w:t>
      </w:r>
      <w:r w:rsidR="00D03779" w:rsidRPr="002F0C3E">
        <w:rPr>
          <w:rFonts w:cs="Calibri Light"/>
        </w:rPr>
        <w:t xml:space="preserve"> 60</w:t>
      </w:r>
      <w:r w:rsidR="00D55188">
        <w:t>-</w:t>
      </w:r>
      <w:r w:rsidR="00D03779" w:rsidRPr="002F0C3E">
        <w:rPr>
          <w:rFonts w:cs="Calibri Light"/>
        </w:rPr>
        <w:t>61</w:t>
      </w:r>
      <w:r w:rsidR="00D03779">
        <w:rPr>
          <w:rFonts w:cs="Calibri Light"/>
        </w:rPr>
        <w:t>.</w:t>
      </w:r>
      <w:r w:rsidR="009D68BC">
        <w:rPr>
          <w:rFonts w:cs="Calibri Light"/>
        </w:rPr>
        <w:t xml:space="preserve"> </w:t>
      </w:r>
    </w:p>
  </w:footnote>
  <w:footnote w:id="31">
    <w:p w14:paraId="47A31C0D" w14:textId="7DBF2D2C" w:rsidR="00516470" w:rsidRDefault="00516470" w:rsidP="00516470">
      <w:pPr>
        <w:pStyle w:val="FootnoteText"/>
      </w:pPr>
      <w:r>
        <w:rPr>
          <w:rStyle w:val="FootnoteReference"/>
        </w:rPr>
        <w:footnoteRef/>
      </w:r>
      <w:r>
        <w:t xml:space="preserve"> </w:t>
      </w:r>
      <w:r w:rsidR="0059444D">
        <w:tab/>
      </w:r>
      <w:r w:rsidR="00E0034E" w:rsidRPr="005171F9">
        <w:t>ABS (2024</w:t>
      </w:r>
      <w:r w:rsidR="00E0034E">
        <w:t>a</w:t>
      </w:r>
      <w:r w:rsidR="00E0034E" w:rsidRPr="005171F9">
        <w:t>)</w:t>
      </w:r>
      <w:r w:rsidR="00073050">
        <w:t>.</w:t>
      </w:r>
      <w:r w:rsidR="00E0034E">
        <w:t xml:space="preserve"> Throughout this chapter, unless referring to an observation made by the RBA, long-run (excluding the pandemic) average refers to the average over the period from 2000 to 2019 (inclusive) as calculated by the Tribunal.</w:t>
      </w:r>
    </w:p>
  </w:footnote>
  <w:footnote w:id="32">
    <w:p w14:paraId="5777F4E4" w14:textId="598F415A" w:rsidR="00516470" w:rsidRDefault="00516470" w:rsidP="00516470">
      <w:pPr>
        <w:pStyle w:val="FootnoteText"/>
      </w:pPr>
      <w:r>
        <w:rPr>
          <w:rStyle w:val="FootnoteReference"/>
        </w:rPr>
        <w:footnoteRef/>
      </w:r>
      <w:r>
        <w:t xml:space="preserve"> </w:t>
      </w:r>
      <w:r w:rsidR="0059444D">
        <w:tab/>
      </w:r>
      <w:r w:rsidR="00A3436F" w:rsidRPr="005171F9">
        <w:t>ABS (2024</w:t>
      </w:r>
      <w:r w:rsidR="00A3436F">
        <w:t>a</w:t>
      </w:r>
      <w:r w:rsidR="00A3436F" w:rsidRPr="005171F9">
        <w:t>)</w:t>
      </w:r>
      <w:r w:rsidR="003E285E" w:rsidRPr="00D40CF0">
        <w:t>.</w:t>
      </w:r>
    </w:p>
  </w:footnote>
  <w:footnote w:id="33">
    <w:p w14:paraId="2FFAA453" w14:textId="73A33373" w:rsidR="00516470" w:rsidRDefault="00516470" w:rsidP="00516470">
      <w:pPr>
        <w:pStyle w:val="FootnoteText"/>
      </w:pPr>
      <w:r>
        <w:rPr>
          <w:rStyle w:val="FootnoteReference"/>
        </w:rPr>
        <w:footnoteRef/>
      </w:r>
      <w:r>
        <w:t xml:space="preserve"> </w:t>
      </w:r>
      <w:r w:rsidR="0059444D">
        <w:tab/>
      </w:r>
      <w:r w:rsidR="00D81DD7">
        <w:rPr>
          <w:rFonts w:cs="Calibri Light"/>
        </w:rPr>
        <w:t>DTF</w:t>
      </w:r>
      <w:r w:rsidR="00D81DD7" w:rsidRPr="00182559">
        <w:rPr>
          <w:rFonts w:cs="Calibri Light"/>
        </w:rPr>
        <w:t xml:space="preserve"> (2024</w:t>
      </w:r>
      <w:r w:rsidR="00775B77">
        <w:rPr>
          <w:rFonts w:cs="Calibri Light"/>
        </w:rPr>
        <w:t>b</w:t>
      </w:r>
      <w:r w:rsidR="00D81DD7" w:rsidRPr="00182559">
        <w:rPr>
          <w:rFonts w:cs="Calibri Light"/>
        </w:rPr>
        <w:t>)</w:t>
      </w:r>
      <w:r w:rsidR="00D81DD7">
        <w:t>, p</w:t>
      </w:r>
      <w:r w:rsidR="002D5168">
        <w:t>.</w:t>
      </w:r>
      <w:r w:rsidR="00D81DD7">
        <w:t xml:space="preserve"> 18</w:t>
      </w:r>
      <w:r w:rsidR="00334097">
        <w:t>.</w:t>
      </w:r>
    </w:p>
  </w:footnote>
  <w:footnote w:id="34">
    <w:p w14:paraId="33B58E30" w14:textId="439DACD4" w:rsidR="001D3A15" w:rsidRDefault="001D3A15">
      <w:pPr>
        <w:pStyle w:val="FootnoteText"/>
      </w:pPr>
      <w:r>
        <w:rPr>
          <w:rStyle w:val="FootnoteReference"/>
        </w:rPr>
        <w:footnoteRef/>
      </w:r>
      <w:r>
        <w:t xml:space="preserve"> </w:t>
      </w:r>
      <w:r>
        <w:tab/>
        <w:t>ABS (2023).</w:t>
      </w:r>
    </w:p>
  </w:footnote>
  <w:footnote w:id="35">
    <w:p w14:paraId="3D7EC14B" w14:textId="7E4C059A" w:rsidR="00516470" w:rsidRDefault="00516470" w:rsidP="00516470">
      <w:pPr>
        <w:pStyle w:val="FootnoteText"/>
      </w:pPr>
      <w:r>
        <w:rPr>
          <w:rStyle w:val="FootnoteReference"/>
        </w:rPr>
        <w:footnoteRef/>
      </w:r>
      <w:r>
        <w:t xml:space="preserve"> </w:t>
      </w:r>
      <w:r w:rsidR="0059444D">
        <w:tab/>
      </w:r>
      <w:r w:rsidR="00A439F4" w:rsidRPr="005171F9">
        <w:t>ABS (2024</w:t>
      </w:r>
      <w:r w:rsidR="00A439F4">
        <w:t>a</w:t>
      </w:r>
      <w:r w:rsidR="00A439F4" w:rsidRPr="005171F9">
        <w:t>)</w:t>
      </w:r>
      <w:r w:rsidR="0083517E" w:rsidRPr="00D40CF0">
        <w:t>.</w:t>
      </w:r>
    </w:p>
  </w:footnote>
  <w:footnote w:id="36">
    <w:p w14:paraId="42CA3C7A" w14:textId="2C58CF09" w:rsidR="00516470" w:rsidRDefault="00516470" w:rsidP="00516470">
      <w:pPr>
        <w:pStyle w:val="FootnoteText"/>
      </w:pPr>
      <w:r>
        <w:rPr>
          <w:rStyle w:val="FootnoteReference"/>
        </w:rPr>
        <w:footnoteRef/>
      </w:r>
      <w:r>
        <w:t xml:space="preserve"> </w:t>
      </w:r>
      <w:r w:rsidR="0059444D">
        <w:tab/>
      </w:r>
      <w:r w:rsidR="00A439F4" w:rsidRPr="005171F9">
        <w:t>ABS (2024</w:t>
      </w:r>
      <w:r w:rsidR="00A439F4">
        <w:t>a</w:t>
      </w:r>
      <w:r w:rsidR="00A439F4" w:rsidRPr="005171F9">
        <w:t>)</w:t>
      </w:r>
      <w:r w:rsidR="0083517E" w:rsidRPr="00D40CF0">
        <w:t>.</w:t>
      </w:r>
    </w:p>
  </w:footnote>
  <w:footnote w:id="37">
    <w:p w14:paraId="637EF32D" w14:textId="7DCEFE9B" w:rsidR="00516470" w:rsidRDefault="00516470" w:rsidP="00516470">
      <w:pPr>
        <w:pStyle w:val="FootnoteText"/>
      </w:pPr>
      <w:r>
        <w:rPr>
          <w:rStyle w:val="FootnoteReference"/>
        </w:rPr>
        <w:footnoteRef/>
      </w:r>
      <w:r>
        <w:t xml:space="preserve"> </w:t>
      </w:r>
      <w:r w:rsidR="0059444D">
        <w:tab/>
      </w:r>
      <w:r w:rsidR="00F43E54" w:rsidRPr="003A7786">
        <w:t>RBA (2024)</w:t>
      </w:r>
      <w:r w:rsidR="00F43E54">
        <w:t>, pp</w:t>
      </w:r>
      <w:r w:rsidR="002D5168">
        <w:t>.</w:t>
      </w:r>
      <w:r w:rsidR="00F43E54">
        <w:t xml:space="preserve"> 29, 44</w:t>
      </w:r>
      <w:r>
        <w:t>.</w:t>
      </w:r>
    </w:p>
  </w:footnote>
  <w:footnote w:id="38">
    <w:p w14:paraId="067BE7FD" w14:textId="290177E7" w:rsidR="00516470" w:rsidRDefault="00516470" w:rsidP="00516470">
      <w:pPr>
        <w:pStyle w:val="FootnoteText"/>
      </w:pPr>
      <w:r>
        <w:rPr>
          <w:rStyle w:val="FootnoteReference"/>
        </w:rPr>
        <w:footnoteRef/>
      </w:r>
      <w:r>
        <w:t xml:space="preserve"> </w:t>
      </w:r>
      <w:r w:rsidR="0059444D">
        <w:tab/>
      </w:r>
      <w:r w:rsidR="0058289B" w:rsidRPr="00DF2C34">
        <w:rPr>
          <w:rFonts w:cs="Calibri Light"/>
        </w:rPr>
        <w:t>ABS (2024</w:t>
      </w:r>
      <w:r w:rsidR="0058289B">
        <w:rPr>
          <w:rFonts w:cs="Calibri Light"/>
        </w:rPr>
        <w:t>c</w:t>
      </w:r>
      <w:r w:rsidR="0058289B" w:rsidRPr="00DF2C34">
        <w:rPr>
          <w:rFonts w:cs="Calibri Light"/>
        </w:rPr>
        <w:t>)</w:t>
      </w:r>
      <w:r w:rsidR="00673CD5" w:rsidRPr="000E3D79">
        <w:t>.</w:t>
      </w:r>
    </w:p>
  </w:footnote>
  <w:footnote w:id="39">
    <w:p w14:paraId="5A7F9AE4" w14:textId="54ACA95D" w:rsidR="00516470" w:rsidRDefault="00516470" w:rsidP="00516470">
      <w:pPr>
        <w:pStyle w:val="FootnoteText"/>
      </w:pPr>
      <w:r>
        <w:rPr>
          <w:rStyle w:val="FootnoteReference"/>
        </w:rPr>
        <w:footnoteRef/>
      </w:r>
      <w:r>
        <w:t xml:space="preserve"> </w:t>
      </w:r>
      <w:r w:rsidR="0059444D">
        <w:tab/>
      </w:r>
      <w:r w:rsidR="002458DA" w:rsidRPr="000E3D79">
        <w:t>ABS (2024</w:t>
      </w:r>
      <w:r w:rsidR="002458DA">
        <w:t>e</w:t>
      </w:r>
      <w:r w:rsidR="002458DA" w:rsidRPr="000E3D79">
        <w:t>)</w:t>
      </w:r>
      <w:r w:rsidR="00A55080" w:rsidRPr="000E3D79">
        <w:t>.</w:t>
      </w:r>
    </w:p>
  </w:footnote>
  <w:footnote w:id="40">
    <w:p w14:paraId="18472FDD" w14:textId="688E7F52" w:rsidR="00FD7D72" w:rsidRDefault="00FD7D72" w:rsidP="00FD7D72">
      <w:pPr>
        <w:pStyle w:val="FootnoteText"/>
        <w:ind w:left="0" w:firstLine="0"/>
      </w:pPr>
      <w:r>
        <w:rPr>
          <w:rStyle w:val="FootnoteReference"/>
        </w:rPr>
        <w:footnoteRef/>
      </w:r>
      <w:r>
        <w:t xml:space="preserve">   </w:t>
      </w:r>
      <w:r w:rsidR="009946ED" w:rsidRPr="00DF2C34">
        <w:rPr>
          <w:rFonts w:cs="Calibri Light"/>
        </w:rPr>
        <w:t>ABS (2024</w:t>
      </w:r>
      <w:r w:rsidR="009946ED">
        <w:rPr>
          <w:rFonts w:cs="Calibri Light"/>
        </w:rPr>
        <w:t>c</w:t>
      </w:r>
      <w:r w:rsidR="009946ED" w:rsidRPr="00DF2C34">
        <w:rPr>
          <w:rFonts w:cs="Calibri Light"/>
        </w:rPr>
        <w:t>)</w:t>
      </w:r>
      <w:r w:rsidRPr="000E3D79">
        <w:t>.</w:t>
      </w:r>
    </w:p>
  </w:footnote>
  <w:footnote w:id="41">
    <w:p w14:paraId="79729F9D" w14:textId="4DAA9156" w:rsidR="00516470" w:rsidRDefault="00516470" w:rsidP="00516470">
      <w:pPr>
        <w:pStyle w:val="FootnoteText"/>
      </w:pPr>
      <w:r>
        <w:rPr>
          <w:rStyle w:val="FootnoteReference"/>
        </w:rPr>
        <w:footnoteRef/>
      </w:r>
      <w:r>
        <w:t xml:space="preserve"> </w:t>
      </w:r>
      <w:r w:rsidR="0059444D">
        <w:tab/>
      </w:r>
      <w:r w:rsidR="009946ED" w:rsidRPr="003A7786">
        <w:t>RBA (2024)</w:t>
      </w:r>
      <w:r w:rsidR="009946ED">
        <w:t>,</w:t>
      </w:r>
      <w:r w:rsidR="00A97FD7">
        <w:t xml:space="preserve"> </w:t>
      </w:r>
      <w:r w:rsidR="00A8777D">
        <w:t>p</w:t>
      </w:r>
      <w:r w:rsidR="002D5168">
        <w:t>.</w:t>
      </w:r>
      <w:r w:rsidR="00A8777D">
        <w:t xml:space="preserve"> 28.</w:t>
      </w:r>
    </w:p>
  </w:footnote>
  <w:footnote w:id="42">
    <w:p w14:paraId="240CA636" w14:textId="77777777" w:rsidR="00EF3489" w:rsidRDefault="00EF3489" w:rsidP="00EF3489">
      <w:pPr>
        <w:pStyle w:val="FootnoteText"/>
      </w:pPr>
      <w:r>
        <w:rPr>
          <w:rStyle w:val="FootnoteReference"/>
        </w:rPr>
        <w:footnoteRef/>
      </w:r>
      <w:r>
        <w:t xml:space="preserve"> </w:t>
      </w:r>
      <w:r>
        <w:tab/>
      </w:r>
      <w:r w:rsidRPr="00C26E28">
        <w:t>ABS (2024</w:t>
      </w:r>
      <w:r>
        <w:t>d</w:t>
      </w:r>
      <w:r w:rsidRPr="00C26E28">
        <w:t>).</w:t>
      </w:r>
    </w:p>
  </w:footnote>
  <w:footnote w:id="43">
    <w:p w14:paraId="6AFF80AD" w14:textId="3D460853" w:rsidR="000C1E83" w:rsidRDefault="000C1E83" w:rsidP="000C1E83">
      <w:pPr>
        <w:pStyle w:val="FootnoteText"/>
      </w:pPr>
      <w:r>
        <w:rPr>
          <w:rStyle w:val="FootnoteReference"/>
        </w:rPr>
        <w:footnoteRef/>
      </w:r>
      <w:r>
        <w:t xml:space="preserve"> </w:t>
      </w:r>
      <w:r>
        <w:tab/>
      </w:r>
      <w:r w:rsidRPr="00C26E28">
        <w:t>ABS (2024</w:t>
      </w:r>
      <w:r>
        <w:t>d</w:t>
      </w:r>
      <w:r w:rsidRPr="00C26E28">
        <w:t>).</w:t>
      </w:r>
    </w:p>
  </w:footnote>
  <w:footnote w:id="44">
    <w:p w14:paraId="2191EFCF" w14:textId="63AF9956" w:rsidR="00516470" w:rsidRDefault="00516470" w:rsidP="00516470">
      <w:pPr>
        <w:pStyle w:val="FootnoteText"/>
      </w:pPr>
      <w:r>
        <w:rPr>
          <w:rStyle w:val="FootnoteReference"/>
        </w:rPr>
        <w:footnoteRef/>
      </w:r>
      <w:r>
        <w:t xml:space="preserve"> </w:t>
      </w:r>
      <w:r w:rsidR="0059444D">
        <w:tab/>
      </w:r>
      <w:r w:rsidR="00775B77">
        <w:rPr>
          <w:rFonts w:cs="Calibri Light"/>
        </w:rPr>
        <w:t>DTF (2024b</w:t>
      </w:r>
      <w:r w:rsidR="0005423B" w:rsidRPr="00182559">
        <w:rPr>
          <w:rFonts w:cs="Calibri Light"/>
        </w:rPr>
        <w:t>)</w:t>
      </w:r>
      <w:r w:rsidR="0005423B">
        <w:t>, p</w:t>
      </w:r>
      <w:r w:rsidR="002D5168">
        <w:t>.</w:t>
      </w:r>
      <w:r w:rsidR="0005423B">
        <w:t xml:space="preserve"> 27</w:t>
      </w:r>
      <w:r w:rsidR="004C6B97">
        <w:t>.</w:t>
      </w:r>
    </w:p>
  </w:footnote>
  <w:footnote w:id="45">
    <w:p w14:paraId="1D8D71B1" w14:textId="72990762" w:rsidR="00516470" w:rsidRDefault="00516470" w:rsidP="00516470">
      <w:pPr>
        <w:pStyle w:val="FootnoteText"/>
      </w:pPr>
      <w:r>
        <w:rPr>
          <w:rStyle w:val="FootnoteReference"/>
        </w:rPr>
        <w:footnoteRef/>
      </w:r>
      <w:r w:rsidR="000C1E83">
        <w:t xml:space="preserve"> </w:t>
      </w:r>
      <w:r w:rsidR="000C1E83">
        <w:tab/>
      </w:r>
      <w:r w:rsidR="000C1E83" w:rsidRPr="00C26E28">
        <w:t>ABS (2024</w:t>
      </w:r>
      <w:r w:rsidR="000C1E83">
        <w:t>d</w:t>
      </w:r>
      <w:r w:rsidR="000C1E83" w:rsidRPr="00C26E28">
        <w:t>).</w:t>
      </w:r>
    </w:p>
  </w:footnote>
  <w:footnote w:id="46">
    <w:p w14:paraId="62FE2AE5" w14:textId="4D728EC6" w:rsidR="00516470" w:rsidRDefault="00516470" w:rsidP="00516470">
      <w:pPr>
        <w:pStyle w:val="FootnoteText"/>
      </w:pPr>
      <w:r>
        <w:rPr>
          <w:rStyle w:val="FootnoteReference"/>
        </w:rPr>
        <w:footnoteRef/>
      </w:r>
      <w:r>
        <w:t xml:space="preserve"> </w:t>
      </w:r>
      <w:r w:rsidR="0059444D">
        <w:tab/>
      </w:r>
      <w:r w:rsidR="00A97FD7" w:rsidRPr="00DF2C34">
        <w:rPr>
          <w:rFonts w:cs="Calibri Light"/>
        </w:rPr>
        <w:t>ABS (2024</w:t>
      </w:r>
      <w:r w:rsidR="00A97FD7">
        <w:rPr>
          <w:rFonts w:cs="Calibri Light"/>
        </w:rPr>
        <w:t>f</w:t>
      </w:r>
      <w:r w:rsidR="00A97FD7" w:rsidRPr="00DF2C34">
        <w:rPr>
          <w:rFonts w:cs="Calibri Light"/>
        </w:rPr>
        <w:t>)</w:t>
      </w:r>
      <w:r w:rsidR="00782B27">
        <w:t>.</w:t>
      </w:r>
    </w:p>
  </w:footnote>
  <w:footnote w:id="47">
    <w:p w14:paraId="4BC0811C" w14:textId="72D18B96" w:rsidR="00516470" w:rsidRDefault="00516470" w:rsidP="00516470">
      <w:pPr>
        <w:pStyle w:val="FootnoteText"/>
      </w:pPr>
      <w:r>
        <w:rPr>
          <w:rStyle w:val="FootnoteReference"/>
        </w:rPr>
        <w:footnoteRef/>
      </w:r>
      <w:r>
        <w:t xml:space="preserve"> </w:t>
      </w:r>
      <w:r w:rsidR="0059444D">
        <w:tab/>
      </w:r>
      <w:r w:rsidR="00A97FD7" w:rsidRPr="003A7786">
        <w:t>RBA (2024)</w:t>
      </w:r>
      <w:r w:rsidR="00A97FD7">
        <w:t>, p</w:t>
      </w:r>
      <w:r w:rsidR="002D5168">
        <w:t>.</w:t>
      </w:r>
      <w:r w:rsidR="00A97FD7">
        <w:t xml:space="preserve"> 29</w:t>
      </w:r>
      <w:r w:rsidR="004E7A23">
        <w:t>.</w:t>
      </w:r>
    </w:p>
  </w:footnote>
  <w:footnote w:id="48">
    <w:p w14:paraId="3325FAEB" w14:textId="6D24AEB6" w:rsidR="00516470" w:rsidRDefault="00516470" w:rsidP="00516470">
      <w:pPr>
        <w:pStyle w:val="FootnoteText"/>
      </w:pPr>
      <w:r>
        <w:rPr>
          <w:rStyle w:val="FootnoteReference"/>
        </w:rPr>
        <w:footnoteRef/>
      </w:r>
      <w:r>
        <w:t xml:space="preserve"> </w:t>
      </w:r>
      <w:r w:rsidR="0059444D">
        <w:tab/>
      </w:r>
      <w:r w:rsidR="0088670B" w:rsidRPr="005D25DE">
        <w:t>Department of Employment and Workplace Relations (C</w:t>
      </w:r>
      <w:r w:rsidR="002D5168">
        <w:t>ommonweal</w:t>
      </w:r>
      <w:r w:rsidR="0088670B" w:rsidRPr="005D25DE">
        <w:t>th) (2024)</w:t>
      </w:r>
      <w:r w:rsidR="0088670B">
        <w:t>, p</w:t>
      </w:r>
      <w:r w:rsidR="002D5168">
        <w:t>.</w:t>
      </w:r>
      <w:r w:rsidR="0088670B">
        <w:t xml:space="preserve"> 7</w:t>
      </w:r>
      <w:r w:rsidR="00D86624">
        <w:t>.</w:t>
      </w:r>
    </w:p>
  </w:footnote>
  <w:footnote w:id="49">
    <w:p w14:paraId="138BA4BE" w14:textId="7E1C7124" w:rsidR="000C1E83" w:rsidRDefault="000C1E83" w:rsidP="000C1E83">
      <w:pPr>
        <w:pStyle w:val="FootnoteText"/>
      </w:pPr>
      <w:r>
        <w:rPr>
          <w:rStyle w:val="FootnoteReference"/>
        </w:rPr>
        <w:footnoteRef/>
      </w:r>
      <w:r>
        <w:t xml:space="preserve"> </w:t>
      </w:r>
      <w:r>
        <w:tab/>
      </w:r>
      <w:r w:rsidR="00FE2572">
        <w:t>FWC</w:t>
      </w:r>
      <w:r w:rsidRPr="00842B6A">
        <w:t xml:space="preserve"> (2024)</w:t>
      </w:r>
      <w:r>
        <w:t>, p</w:t>
      </w:r>
      <w:r w:rsidR="00FE774B">
        <w:t>.</w:t>
      </w:r>
      <w:r>
        <w:t xml:space="preserve"> 8.</w:t>
      </w:r>
    </w:p>
  </w:footnote>
  <w:footnote w:id="50">
    <w:p w14:paraId="3CC382D8" w14:textId="529117EC" w:rsidR="00763306" w:rsidRDefault="00763306" w:rsidP="00763306">
      <w:pPr>
        <w:pStyle w:val="FootnoteText"/>
      </w:pPr>
      <w:r>
        <w:rPr>
          <w:rStyle w:val="FootnoteReference"/>
        </w:rPr>
        <w:footnoteRef/>
      </w:r>
      <w:r>
        <w:t xml:space="preserve"> </w:t>
      </w:r>
      <w:r w:rsidR="008D73A7">
        <w:tab/>
      </w:r>
      <w:r w:rsidR="00F50119" w:rsidRPr="00DF2C34">
        <w:rPr>
          <w:rFonts w:cs="Calibri Light"/>
        </w:rPr>
        <w:t>ABS (2024</w:t>
      </w:r>
      <w:r w:rsidR="00F50119">
        <w:rPr>
          <w:rFonts w:cs="Calibri Light"/>
        </w:rPr>
        <w:t>f</w:t>
      </w:r>
      <w:r w:rsidR="00F50119" w:rsidRPr="00DF2C34">
        <w:rPr>
          <w:rFonts w:cs="Calibri Light"/>
        </w:rPr>
        <w:t>)</w:t>
      </w:r>
      <w:r>
        <w:t>.</w:t>
      </w:r>
    </w:p>
  </w:footnote>
  <w:footnote w:id="51">
    <w:p w14:paraId="39AD011F" w14:textId="3666040B" w:rsidR="00516470" w:rsidRDefault="00516470" w:rsidP="00516470">
      <w:pPr>
        <w:pStyle w:val="FootnoteText"/>
      </w:pPr>
      <w:r>
        <w:rPr>
          <w:rStyle w:val="FootnoteReference"/>
        </w:rPr>
        <w:footnoteRef/>
      </w:r>
      <w:r>
        <w:t xml:space="preserve"> </w:t>
      </w:r>
      <w:r w:rsidR="0059444D">
        <w:tab/>
      </w:r>
      <w:r w:rsidR="00E823AC">
        <w:t>ABS (2024g)</w:t>
      </w:r>
      <w:r>
        <w:t>.</w:t>
      </w:r>
    </w:p>
  </w:footnote>
  <w:footnote w:id="52">
    <w:p w14:paraId="3D10D056" w14:textId="03C1269C" w:rsidR="00516470" w:rsidRDefault="00516470" w:rsidP="00516470">
      <w:pPr>
        <w:pStyle w:val="FootnoteText"/>
      </w:pPr>
      <w:r>
        <w:rPr>
          <w:rStyle w:val="FootnoteReference"/>
        </w:rPr>
        <w:footnoteRef/>
      </w:r>
      <w:r>
        <w:t xml:space="preserve"> </w:t>
      </w:r>
      <w:r w:rsidR="0059444D">
        <w:tab/>
      </w:r>
      <w:r w:rsidR="00E823AC" w:rsidRPr="00DF2C34">
        <w:rPr>
          <w:rFonts w:cs="Calibri Light"/>
        </w:rPr>
        <w:t>ABS (2024</w:t>
      </w:r>
      <w:r w:rsidR="00E823AC">
        <w:rPr>
          <w:rFonts w:cs="Calibri Light"/>
        </w:rPr>
        <w:t>f</w:t>
      </w:r>
      <w:r w:rsidR="00E823AC" w:rsidRPr="00DF2C34">
        <w:rPr>
          <w:rFonts w:cs="Calibri Light"/>
        </w:rPr>
        <w:t>)</w:t>
      </w:r>
      <w:r w:rsidR="001512EB">
        <w:t>.</w:t>
      </w:r>
    </w:p>
  </w:footnote>
  <w:footnote w:id="53">
    <w:p w14:paraId="4915576C" w14:textId="0C4CC800" w:rsidR="00516470" w:rsidRDefault="00516470" w:rsidP="00516470">
      <w:pPr>
        <w:pStyle w:val="FootnoteText"/>
      </w:pPr>
      <w:r>
        <w:rPr>
          <w:rStyle w:val="FootnoteReference"/>
        </w:rPr>
        <w:footnoteRef/>
      </w:r>
      <w:r>
        <w:t xml:space="preserve"> </w:t>
      </w:r>
      <w:r w:rsidR="0059444D">
        <w:tab/>
      </w:r>
      <w:r w:rsidR="00CF7EF8" w:rsidRPr="00C512B7">
        <w:t>DTF (2024</w:t>
      </w:r>
      <w:r w:rsidR="00775B77">
        <w:t>c</w:t>
      </w:r>
      <w:r w:rsidR="00CF7EF8" w:rsidRPr="00C512B7">
        <w:t>),</w:t>
      </w:r>
      <w:r w:rsidR="00CF7EF8">
        <w:t xml:space="preserve"> p</w:t>
      </w:r>
      <w:r w:rsidR="00FE774B">
        <w:t>.</w:t>
      </w:r>
      <w:r w:rsidR="00CF7EF8">
        <w:t xml:space="preserve"> 8</w:t>
      </w:r>
      <w:r w:rsidR="00A22853">
        <w:t>.</w:t>
      </w:r>
    </w:p>
  </w:footnote>
  <w:footnote w:id="54">
    <w:p w14:paraId="52C79E74" w14:textId="56EE3C22" w:rsidR="00516470" w:rsidRDefault="00516470" w:rsidP="00516470">
      <w:pPr>
        <w:pStyle w:val="FootnoteText"/>
      </w:pPr>
      <w:r>
        <w:rPr>
          <w:rStyle w:val="FootnoteReference"/>
        </w:rPr>
        <w:footnoteRef/>
      </w:r>
      <w:r>
        <w:t xml:space="preserve"> </w:t>
      </w:r>
      <w:r w:rsidR="0059444D">
        <w:tab/>
      </w:r>
      <w:r w:rsidR="002C09F2" w:rsidRPr="005171F9">
        <w:t>ABS (2024</w:t>
      </w:r>
      <w:r w:rsidR="002C09F2">
        <w:t>a</w:t>
      </w:r>
      <w:r w:rsidR="002C09F2" w:rsidRPr="005171F9">
        <w:t>)</w:t>
      </w:r>
      <w:r w:rsidR="00F609A2" w:rsidRPr="00D40CF0">
        <w:t>.</w:t>
      </w:r>
    </w:p>
  </w:footnote>
  <w:footnote w:id="55">
    <w:p w14:paraId="4F16A846" w14:textId="266EE5A4" w:rsidR="00516470" w:rsidRDefault="00516470" w:rsidP="00516470">
      <w:pPr>
        <w:pStyle w:val="FootnoteText"/>
      </w:pPr>
      <w:r>
        <w:rPr>
          <w:rStyle w:val="FootnoteReference"/>
        </w:rPr>
        <w:footnoteRef/>
      </w:r>
      <w:r>
        <w:t xml:space="preserve"> </w:t>
      </w:r>
      <w:r w:rsidR="0059444D">
        <w:tab/>
      </w:r>
      <w:r w:rsidR="005E2D8B" w:rsidRPr="008A077E">
        <w:t>ABS (2024b)</w:t>
      </w:r>
      <w:r w:rsidR="00985F19" w:rsidRPr="008A077E">
        <w:t>.</w:t>
      </w:r>
    </w:p>
  </w:footnote>
  <w:footnote w:id="56">
    <w:p w14:paraId="334260FE" w14:textId="5AEC0978" w:rsidR="00516470" w:rsidRDefault="00516470" w:rsidP="00516470">
      <w:pPr>
        <w:pStyle w:val="FootnoteText"/>
      </w:pPr>
      <w:r>
        <w:rPr>
          <w:rStyle w:val="FootnoteReference"/>
        </w:rPr>
        <w:footnoteRef/>
      </w:r>
      <w:r>
        <w:t xml:space="preserve"> </w:t>
      </w:r>
      <w:r w:rsidR="0059444D">
        <w:tab/>
      </w:r>
      <w:r w:rsidR="00F007E0" w:rsidRPr="00DF2C34">
        <w:rPr>
          <w:rFonts w:cs="Calibri Light"/>
        </w:rPr>
        <w:t>ABS (2024</w:t>
      </w:r>
      <w:r w:rsidR="00F007E0">
        <w:rPr>
          <w:rFonts w:cs="Calibri Light"/>
        </w:rPr>
        <w:t>f</w:t>
      </w:r>
      <w:r w:rsidR="00F007E0" w:rsidRPr="00DF2C34">
        <w:rPr>
          <w:rFonts w:cs="Calibri Light"/>
        </w:rPr>
        <w:t>)</w:t>
      </w:r>
      <w:r w:rsidR="005B5167" w:rsidRPr="008A077E">
        <w:t>.</w:t>
      </w:r>
    </w:p>
  </w:footnote>
  <w:footnote w:id="57">
    <w:p w14:paraId="148FC8C4" w14:textId="498C03B9" w:rsidR="00516470" w:rsidRDefault="00516470" w:rsidP="00516470">
      <w:pPr>
        <w:pStyle w:val="FootnoteText"/>
      </w:pPr>
      <w:r>
        <w:rPr>
          <w:rStyle w:val="FootnoteReference"/>
        </w:rPr>
        <w:footnoteRef/>
      </w:r>
      <w:r>
        <w:t xml:space="preserve"> </w:t>
      </w:r>
      <w:r w:rsidR="0059444D">
        <w:tab/>
      </w:r>
      <w:r w:rsidR="00A515CB" w:rsidRPr="003A7786">
        <w:t>RBA (2024)</w:t>
      </w:r>
      <w:r w:rsidR="00A515CB">
        <w:t>, pp</w:t>
      </w:r>
      <w:r w:rsidR="00FE774B">
        <w:t>.</w:t>
      </w:r>
      <w:r w:rsidR="00A515CB">
        <w:t xml:space="preserve"> 43, 51</w:t>
      </w:r>
      <w:r w:rsidR="005F3F47">
        <w:t>.</w:t>
      </w:r>
    </w:p>
  </w:footnote>
  <w:footnote w:id="58">
    <w:p w14:paraId="6B15CE88" w14:textId="1CEE6DE4" w:rsidR="00516470" w:rsidRDefault="00516470" w:rsidP="00516470">
      <w:pPr>
        <w:pStyle w:val="FootnoteText"/>
      </w:pPr>
      <w:r>
        <w:rPr>
          <w:rStyle w:val="FootnoteReference"/>
        </w:rPr>
        <w:footnoteRef/>
      </w:r>
      <w:r>
        <w:t xml:space="preserve"> </w:t>
      </w:r>
      <w:r w:rsidR="0059444D">
        <w:tab/>
      </w:r>
      <w:r w:rsidR="00775B77">
        <w:rPr>
          <w:rFonts w:cs="Calibri Light"/>
        </w:rPr>
        <w:t>DTF (2024b</w:t>
      </w:r>
      <w:r w:rsidR="0011264B" w:rsidRPr="00182559">
        <w:rPr>
          <w:rFonts w:cs="Calibri Light"/>
        </w:rPr>
        <w:t>)</w:t>
      </w:r>
      <w:r w:rsidR="0011264B" w:rsidRPr="000E57B7">
        <w:rPr>
          <w:rFonts w:cs="Calibri Light"/>
        </w:rPr>
        <w:t>, pp</w:t>
      </w:r>
      <w:r w:rsidR="00FE774B">
        <w:rPr>
          <w:rFonts w:cs="Calibri Light"/>
        </w:rPr>
        <w:t>.</w:t>
      </w:r>
      <w:r w:rsidR="0011264B" w:rsidRPr="000E57B7">
        <w:rPr>
          <w:rFonts w:cs="Calibri Light"/>
        </w:rPr>
        <w:t xml:space="preserve"> 23</w:t>
      </w:r>
      <w:r w:rsidR="00D55188">
        <w:rPr>
          <w:rFonts w:cs="Calibri Light"/>
        </w:rPr>
        <w:t>-</w:t>
      </w:r>
      <w:r w:rsidR="0011264B" w:rsidRPr="000E57B7">
        <w:rPr>
          <w:rFonts w:cs="Calibri Light"/>
        </w:rPr>
        <w:t>24, 26</w:t>
      </w:r>
      <w:r w:rsidR="00A22685">
        <w:t>.</w:t>
      </w:r>
    </w:p>
  </w:footnote>
  <w:footnote w:id="59">
    <w:p w14:paraId="3EA1349D" w14:textId="0004E56B" w:rsidR="00516470" w:rsidRDefault="00516470" w:rsidP="00516470">
      <w:pPr>
        <w:pStyle w:val="FootnoteText"/>
      </w:pPr>
      <w:r>
        <w:rPr>
          <w:rStyle w:val="FootnoteReference"/>
        </w:rPr>
        <w:footnoteRef/>
      </w:r>
      <w:r>
        <w:t xml:space="preserve"> </w:t>
      </w:r>
      <w:r w:rsidR="0059444D">
        <w:tab/>
      </w:r>
      <w:r w:rsidR="008A615B" w:rsidRPr="003A7786">
        <w:t>RBA (2024)</w:t>
      </w:r>
      <w:r w:rsidR="008A615B">
        <w:t>, pp</w:t>
      </w:r>
      <w:r w:rsidR="00FE774B">
        <w:t>.</w:t>
      </w:r>
      <w:r w:rsidR="008A615B">
        <w:t xml:space="preserve"> 50</w:t>
      </w:r>
      <w:r w:rsidR="00D55188">
        <w:t>-</w:t>
      </w:r>
      <w:r w:rsidR="008A615B">
        <w:t>51</w:t>
      </w:r>
      <w:r w:rsidR="003218FE">
        <w:t>.</w:t>
      </w:r>
    </w:p>
  </w:footnote>
  <w:footnote w:id="60">
    <w:p w14:paraId="496C3297" w14:textId="343039F1" w:rsidR="00516470" w:rsidRDefault="00516470" w:rsidP="00516470">
      <w:pPr>
        <w:pStyle w:val="FootnoteText"/>
      </w:pPr>
      <w:r>
        <w:rPr>
          <w:rStyle w:val="FootnoteReference"/>
        </w:rPr>
        <w:footnoteRef/>
      </w:r>
      <w:r>
        <w:t xml:space="preserve"> </w:t>
      </w:r>
      <w:r w:rsidR="0059444D">
        <w:tab/>
      </w:r>
      <w:r w:rsidR="008A615B" w:rsidRPr="003A7786">
        <w:t>RBA (2024)</w:t>
      </w:r>
      <w:r w:rsidR="008A615B">
        <w:t>, pp</w:t>
      </w:r>
      <w:r w:rsidR="00FE774B">
        <w:t>.</w:t>
      </w:r>
      <w:r w:rsidR="008A615B">
        <w:t xml:space="preserve"> 44</w:t>
      </w:r>
      <w:r w:rsidR="00D55188">
        <w:t>-</w:t>
      </w:r>
      <w:r w:rsidR="008A615B">
        <w:t>45</w:t>
      </w:r>
      <w:r w:rsidR="002C7E42">
        <w:t>.</w:t>
      </w:r>
    </w:p>
  </w:footnote>
  <w:footnote w:id="61">
    <w:p w14:paraId="56DDB69A" w14:textId="5B140EEA" w:rsidR="00516470" w:rsidRDefault="00516470" w:rsidP="00516470">
      <w:pPr>
        <w:pStyle w:val="FootnoteText"/>
      </w:pPr>
      <w:r>
        <w:rPr>
          <w:rStyle w:val="FootnoteReference"/>
        </w:rPr>
        <w:footnoteRef/>
      </w:r>
      <w:r>
        <w:t xml:space="preserve"> </w:t>
      </w:r>
      <w:r w:rsidR="0059444D">
        <w:tab/>
      </w:r>
      <w:r w:rsidR="008A615B" w:rsidRPr="003A7786">
        <w:t>RBA (2024)</w:t>
      </w:r>
      <w:r w:rsidR="008A615B">
        <w:t>, pp</w:t>
      </w:r>
      <w:r w:rsidR="00FE774B">
        <w:t>.</w:t>
      </w:r>
      <w:r w:rsidR="008A615B">
        <w:t xml:space="preserve"> 45</w:t>
      </w:r>
      <w:r w:rsidR="00D55188">
        <w:t>-</w:t>
      </w:r>
      <w:r w:rsidR="008A615B">
        <w:t>46</w:t>
      </w:r>
      <w:r w:rsidR="001E0CF2">
        <w:t>.</w:t>
      </w:r>
    </w:p>
  </w:footnote>
  <w:footnote w:id="62">
    <w:p w14:paraId="10E09595" w14:textId="23606896" w:rsidR="00A85EED" w:rsidRDefault="00A85EED">
      <w:pPr>
        <w:pStyle w:val="FootnoteText"/>
      </w:pPr>
      <w:r>
        <w:rPr>
          <w:rStyle w:val="FootnoteReference"/>
        </w:rPr>
        <w:footnoteRef/>
      </w:r>
      <w:r w:rsidR="003952EB">
        <w:tab/>
      </w:r>
      <w:r w:rsidR="00566016">
        <w:t>Commonwealth of Australia (2024), p</w:t>
      </w:r>
      <w:r w:rsidR="00FE774B">
        <w:t>.</w:t>
      </w:r>
      <w:r w:rsidR="00566016">
        <w:t xml:space="preserve"> 53</w:t>
      </w:r>
      <w:r w:rsidR="00084543" w:rsidRPr="008478FE">
        <w:t>.</w:t>
      </w:r>
    </w:p>
  </w:footnote>
  <w:footnote w:id="63">
    <w:p w14:paraId="7AFD227F" w14:textId="76071F60" w:rsidR="00516470" w:rsidRDefault="00516470" w:rsidP="00516470">
      <w:pPr>
        <w:pStyle w:val="FootnoteText"/>
      </w:pPr>
      <w:r>
        <w:rPr>
          <w:rStyle w:val="FootnoteReference"/>
        </w:rPr>
        <w:footnoteRef/>
      </w:r>
      <w:r w:rsidR="003952EB">
        <w:tab/>
      </w:r>
      <w:r w:rsidR="00775B77">
        <w:rPr>
          <w:rFonts w:cs="Calibri Light"/>
        </w:rPr>
        <w:t>DTF (2024b</w:t>
      </w:r>
      <w:r w:rsidR="002C6DA0" w:rsidRPr="00182559">
        <w:rPr>
          <w:rFonts w:cs="Calibri Light"/>
        </w:rPr>
        <w:t>)</w:t>
      </w:r>
      <w:r w:rsidR="002C6DA0">
        <w:t>, p</w:t>
      </w:r>
      <w:r w:rsidR="00FE774B">
        <w:t>.</w:t>
      </w:r>
      <w:r w:rsidR="002C6DA0">
        <w:t xml:space="preserve"> 29</w:t>
      </w:r>
      <w:r w:rsidR="00AE4820">
        <w:t>.</w:t>
      </w:r>
    </w:p>
  </w:footnote>
  <w:footnote w:id="64">
    <w:p w14:paraId="5C216389" w14:textId="4EF3FA2F" w:rsidR="00516470" w:rsidRDefault="00516470" w:rsidP="00516470">
      <w:pPr>
        <w:pStyle w:val="FootnoteText"/>
      </w:pPr>
      <w:r>
        <w:rPr>
          <w:rStyle w:val="FootnoteReference"/>
        </w:rPr>
        <w:footnoteRef/>
      </w:r>
      <w:r w:rsidR="003952EB">
        <w:tab/>
      </w:r>
      <w:r w:rsidR="00BA7961" w:rsidRPr="003A7786">
        <w:t>RBA (2024)</w:t>
      </w:r>
      <w:r w:rsidR="00BA7961">
        <w:t>, pp</w:t>
      </w:r>
      <w:r w:rsidR="00FE774B">
        <w:t>.</w:t>
      </w:r>
      <w:r w:rsidR="00BA7961">
        <w:t xml:space="preserve"> 44, 51</w:t>
      </w:r>
      <w:r w:rsidR="00690A48">
        <w:t>.</w:t>
      </w:r>
    </w:p>
  </w:footnote>
  <w:footnote w:id="65">
    <w:p w14:paraId="07F47349" w14:textId="07826273" w:rsidR="00516470" w:rsidRDefault="00516470" w:rsidP="00516470">
      <w:pPr>
        <w:pStyle w:val="FootnoteText"/>
      </w:pPr>
      <w:r>
        <w:rPr>
          <w:rStyle w:val="FootnoteReference"/>
        </w:rPr>
        <w:footnoteRef/>
      </w:r>
      <w:r w:rsidR="003952EB">
        <w:tab/>
      </w:r>
      <w:r w:rsidR="00674B6C">
        <w:t>Commonwealth of Australia (2024), p</w:t>
      </w:r>
      <w:r w:rsidR="00FE774B">
        <w:t>.</w:t>
      </w:r>
      <w:r w:rsidR="00674B6C">
        <w:t xml:space="preserve"> 53</w:t>
      </w:r>
      <w:r w:rsidR="007614B3" w:rsidRPr="008478FE">
        <w:t>.</w:t>
      </w:r>
    </w:p>
  </w:footnote>
  <w:footnote w:id="66">
    <w:p w14:paraId="47F77C4E" w14:textId="65D2D24F" w:rsidR="00516470" w:rsidRDefault="00516470" w:rsidP="00516470">
      <w:pPr>
        <w:pStyle w:val="FootnoteText"/>
      </w:pPr>
      <w:r>
        <w:rPr>
          <w:rStyle w:val="FootnoteReference"/>
        </w:rPr>
        <w:footnoteRef/>
      </w:r>
      <w:r w:rsidR="003952EB">
        <w:tab/>
      </w:r>
      <w:r w:rsidR="00775B77">
        <w:rPr>
          <w:rFonts w:cs="Calibri Light"/>
        </w:rPr>
        <w:t>DTF (2024b</w:t>
      </w:r>
      <w:r w:rsidR="00CC2C39" w:rsidRPr="00182559">
        <w:rPr>
          <w:rFonts w:cs="Calibri Light"/>
        </w:rPr>
        <w:t>)</w:t>
      </w:r>
      <w:r w:rsidR="00CC2C39">
        <w:t>, p</w:t>
      </w:r>
      <w:r w:rsidR="00FE774B">
        <w:t>.</w:t>
      </w:r>
      <w:r w:rsidR="00CC2C39">
        <w:t xml:space="preserve"> 18</w:t>
      </w:r>
      <w:r w:rsidR="00F279B4">
        <w:t>.</w:t>
      </w:r>
    </w:p>
  </w:footnote>
  <w:footnote w:id="67">
    <w:p w14:paraId="7C688C6E" w14:textId="11359270" w:rsidR="00516470" w:rsidRDefault="00516470" w:rsidP="00516470">
      <w:pPr>
        <w:pStyle w:val="FootnoteText"/>
      </w:pPr>
      <w:r>
        <w:rPr>
          <w:rStyle w:val="FootnoteReference"/>
        </w:rPr>
        <w:footnoteRef/>
      </w:r>
      <w:r w:rsidR="003952EB">
        <w:tab/>
      </w:r>
      <w:r w:rsidR="00815067" w:rsidRPr="003A7786">
        <w:t>RBA (2024)</w:t>
      </w:r>
      <w:r w:rsidR="00815067">
        <w:t>, p</w:t>
      </w:r>
      <w:r w:rsidR="00FE774B">
        <w:t>.</w:t>
      </w:r>
      <w:r w:rsidR="00815067">
        <w:t xml:space="preserve"> 51</w:t>
      </w:r>
      <w:r w:rsidR="00F94CDE">
        <w:t>.</w:t>
      </w:r>
    </w:p>
  </w:footnote>
  <w:footnote w:id="68">
    <w:p w14:paraId="51E05ED5" w14:textId="66DA3F82" w:rsidR="00516470" w:rsidRDefault="00516470" w:rsidP="00516470">
      <w:pPr>
        <w:pStyle w:val="FootnoteText"/>
      </w:pPr>
      <w:r>
        <w:rPr>
          <w:rStyle w:val="FootnoteReference"/>
        </w:rPr>
        <w:footnoteRef/>
      </w:r>
      <w:r w:rsidR="003952EB">
        <w:tab/>
      </w:r>
      <w:r w:rsidR="00304A30">
        <w:t>Commonwealth of Australia (2024), p</w:t>
      </w:r>
      <w:r w:rsidR="00FE774B">
        <w:t>.</w:t>
      </w:r>
      <w:r w:rsidR="00304A30">
        <w:t xml:space="preserve"> 53</w:t>
      </w:r>
      <w:r w:rsidR="00FD6399">
        <w:t>.</w:t>
      </w:r>
    </w:p>
  </w:footnote>
  <w:footnote w:id="69">
    <w:p w14:paraId="72BB4F11" w14:textId="7E88EFCF" w:rsidR="00871AAC" w:rsidRDefault="00871AAC">
      <w:pPr>
        <w:pStyle w:val="FootnoteText"/>
      </w:pPr>
      <w:r>
        <w:rPr>
          <w:rStyle w:val="FootnoteReference"/>
        </w:rPr>
        <w:footnoteRef/>
      </w:r>
      <w:r w:rsidR="004871C8">
        <w:tab/>
      </w:r>
      <w:r w:rsidR="00775B77">
        <w:rPr>
          <w:rFonts w:cs="Calibri Light"/>
        </w:rPr>
        <w:t>DTF (2024b</w:t>
      </w:r>
      <w:r w:rsidR="002E4CF5" w:rsidRPr="00182559">
        <w:rPr>
          <w:rFonts w:cs="Calibri Light"/>
        </w:rPr>
        <w:t>)</w:t>
      </w:r>
      <w:r w:rsidR="002E4CF5">
        <w:rPr>
          <w:rFonts w:cs="Calibri Light"/>
        </w:rPr>
        <w:t>,</w:t>
      </w:r>
      <w:r w:rsidR="002E4CF5">
        <w:t xml:space="preserve"> p</w:t>
      </w:r>
      <w:r w:rsidR="00FE774B">
        <w:t>.</w:t>
      </w:r>
      <w:r w:rsidR="002E4CF5">
        <w:t xml:space="preserve"> </w:t>
      </w:r>
      <w:r w:rsidR="002E4CF5" w:rsidRPr="008E1E4F">
        <w:t>18</w:t>
      </w:r>
      <w:r w:rsidR="004871C8">
        <w:t>.</w:t>
      </w:r>
    </w:p>
  </w:footnote>
  <w:footnote w:id="70">
    <w:p w14:paraId="27A2E96C" w14:textId="368CB201" w:rsidR="00516470" w:rsidRDefault="00516470" w:rsidP="00516470">
      <w:pPr>
        <w:pStyle w:val="FootnoteText"/>
      </w:pPr>
      <w:r>
        <w:rPr>
          <w:rStyle w:val="FootnoteReference"/>
        </w:rPr>
        <w:footnoteRef/>
      </w:r>
      <w:r>
        <w:t xml:space="preserve"> </w:t>
      </w:r>
      <w:r w:rsidR="0059444D">
        <w:tab/>
      </w:r>
      <w:r w:rsidR="001D7026" w:rsidRPr="003A7786">
        <w:t>RBA (2024)</w:t>
      </w:r>
      <w:r w:rsidR="001D7026">
        <w:t>, pp</w:t>
      </w:r>
      <w:r w:rsidR="00FE774B">
        <w:t>.</w:t>
      </w:r>
      <w:r w:rsidR="001D7026">
        <w:t xml:space="preserve"> 44, 51</w:t>
      </w:r>
      <w:r w:rsidR="002E4F09">
        <w:t>.</w:t>
      </w:r>
    </w:p>
  </w:footnote>
  <w:footnote w:id="71">
    <w:p w14:paraId="2FE1981F" w14:textId="5BCDD1D9" w:rsidR="00516470" w:rsidRDefault="00516470" w:rsidP="00516470">
      <w:pPr>
        <w:pStyle w:val="FootnoteText"/>
      </w:pPr>
      <w:r>
        <w:rPr>
          <w:rStyle w:val="FootnoteReference"/>
        </w:rPr>
        <w:footnoteRef/>
      </w:r>
      <w:r>
        <w:t xml:space="preserve"> </w:t>
      </w:r>
      <w:r w:rsidR="0059444D">
        <w:tab/>
      </w:r>
      <w:r w:rsidR="002605AB" w:rsidRPr="003A7786">
        <w:t>RBA (2024)</w:t>
      </w:r>
      <w:r w:rsidR="002605AB">
        <w:t>, pp</w:t>
      </w:r>
      <w:r w:rsidR="00FE774B">
        <w:t>.</w:t>
      </w:r>
      <w:r w:rsidR="002605AB">
        <w:t xml:space="preserve"> 5, 48</w:t>
      </w:r>
      <w:r w:rsidR="00D55188">
        <w:t>-</w:t>
      </w:r>
      <w:r w:rsidR="002605AB">
        <w:t>49</w:t>
      </w:r>
      <w:r w:rsidR="00FA066C">
        <w:t>.</w:t>
      </w:r>
    </w:p>
  </w:footnote>
  <w:footnote w:id="72">
    <w:p w14:paraId="7C95A677" w14:textId="2E2E0F24" w:rsidR="00516470" w:rsidRDefault="00516470" w:rsidP="00516470">
      <w:pPr>
        <w:pStyle w:val="FootnoteText"/>
      </w:pPr>
      <w:r>
        <w:rPr>
          <w:rStyle w:val="FootnoteReference"/>
        </w:rPr>
        <w:footnoteRef/>
      </w:r>
      <w:r>
        <w:t xml:space="preserve"> </w:t>
      </w:r>
      <w:r w:rsidR="0059444D">
        <w:tab/>
      </w:r>
      <w:r w:rsidR="008E59AA" w:rsidRPr="003A7786">
        <w:t>RBA (2024)</w:t>
      </w:r>
      <w:r w:rsidR="008E59AA">
        <w:t>, pp</w:t>
      </w:r>
      <w:r w:rsidR="00FE774B">
        <w:t>.</w:t>
      </w:r>
      <w:r w:rsidR="008E59AA">
        <w:t xml:space="preserve"> 48</w:t>
      </w:r>
      <w:r w:rsidR="00D55188">
        <w:t>-</w:t>
      </w:r>
      <w:r w:rsidR="008E59AA">
        <w:t>49</w:t>
      </w:r>
      <w:r w:rsidR="0029556E">
        <w:t>.</w:t>
      </w:r>
    </w:p>
  </w:footnote>
  <w:footnote w:id="73">
    <w:p w14:paraId="14200ED5" w14:textId="4F699668" w:rsidR="00516470" w:rsidRDefault="00516470" w:rsidP="00516470">
      <w:pPr>
        <w:pStyle w:val="FootnoteText"/>
      </w:pPr>
      <w:r>
        <w:rPr>
          <w:rStyle w:val="FootnoteReference"/>
        </w:rPr>
        <w:footnoteRef/>
      </w:r>
      <w:r>
        <w:t xml:space="preserve"> </w:t>
      </w:r>
      <w:r w:rsidR="0059444D">
        <w:tab/>
      </w:r>
      <w:r w:rsidR="00607A92" w:rsidRPr="003A7786">
        <w:t>RBA (2024)</w:t>
      </w:r>
      <w:r w:rsidR="00607A92">
        <w:t>, p</w:t>
      </w:r>
      <w:r w:rsidR="00FE774B">
        <w:t>.</w:t>
      </w:r>
      <w:r w:rsidR="00607A92">
        <w:t xml:space="preserve"> 5</w:t>
      </w:r>
      <w:r>
        <w:t>.</w:t>
      </w:r>
    </w:p>
  </w:footnote>
  <w:footnote w:id="74">
    <w:p w14:paraId="2CE5AE90" w14:textId="16649989" w:rsidR="00516470" w:rsidRDefault="00516470" w:rsidP="00516470">
      <w:pPr>
        <w:pStyle w:val="FootnoteText"/>
      </w:pPr>
      <w:r>
        <w:rPr>
          <w:rStyle w:val="FootnoteReference"/>
        </w:rPr>
        <w:footnoteRef/>
      </w:r>
      <w:r>
        <w:t xml:space="preserve"> </w:t>
      </w:r>
      <w:r w:rsidR="0059444D">
        <w:tab/>
      </w:r>
      <w:r w:rsidR="00775B77">
        <w:rPr>
          <w:rFonts w:cs="Calibri Light"/>
        </w:rPr>
        <w:t>DTF (2024b</w:t>
      </w:r>
      <w:r w:rsidR="004F1017" w:rsidRPr="00182559">
        <w:rPr>
          <w:rFonts w:cs="Calibri Light"/>
        </w:rPr>
        <w:t>)</w:t>
      </w:r>
      <w:r w:rsidR="004F1017">
        <w:rPr>
          <w:rFonts w:cs="Calibri Light"/>
        </w:rPr>
        <w:t xml:space="preserve">, </w:t>
      </w:r>
      <w:r w:rsidR="004F1017">
        <w:t>pp</w:t>
      </w:r>
      <w:r w:rsidR="00FE774B">
        <w:t>.</w:t>
      </w:r>
      <w:r w:rsidR="004F1017">
        <w:t xml:space="preserve"> 36</w:t>
      </w:r>
      <w:r w:rsidR="00D55188">
        <w:t>-</w:t>
      </w:r>
      <w:r w:rsidR="004F1017">
        <w:t>37</w:t>
      </w:r>
      <w:r>
        <w:t>.</w:t>
      </w:r>
    </w:p>
  </w:footnote>
  <w:footnote w:id="75">
    <w:p w14:paraId="33FF7D02" w14:textId="66EE557E" w:rsidR="00516470" w:rsidRDefault="00516470" w:rsidP="00516470">
      <w:pPr>
        <w:pStyle w:val="FootnoteText"/>
      </w:pPr>
      <w:r>
        <w:rPr>
          <w:rStyle w:val="FootnoteReference"/>
        </w:rPr>
        <w:footnoteRef/>
      </w:r>
      <w:r>
        <w:t xml:space="preserve"> </w:t>
      </w:r>
      <w:r w:rsidR="00AC0775">
        <w:tab/>
      </w:r>
      <w:r w:rsidR="0033078E" w:rsidRPr="0092526E">
        <w:t>DTF (2023</w:t>
      </w:r>
      <w:r w:rsidR="0033078E">
        <w:t>a</w:t>
      </w:r>
      <w:r w:rsidR="0033078E" w:rsidRPr="0092526E">
        <w:t>)</w:t>
      </w:r>
      <w:r w:rsidR="0033078E">
        <w:t>, p</w:t>
      </w:r>
      <w:r w:rsidR="00FE774B">
        <w:t>.</w:t>
      </w:r>
      <w:r w:rsidR="0033078E">
        <w:t xml:space="preserve"> 6</w:t>
      </w:r>
      <w:r w:rsidR="002C2E43">
        <w:t xml:space="preserve">; </w:t>
      </w:r>
      <w:r w:rsidR="002C2E43">
        <w:rPr>
          <w:rFonts w:cs="Calibri Light"/>
        </w:rPr>
        <w:t>DTF</w:t>
      </w:r>
      <w:r w:rsidR="002C2E43" w:rsidRPr="00182559">
        <w:rPr>
          <w:rFonts w:cs="Calibri Light"/>
        </w:rPr>
        <w:t xml:space="preserve"> (202</w:t>
      </w:r>
      <w:r w:rsidR="002C2E43">
        <w:rPr>
          <w:rFonts w:cs="Calibri Light"/>
        </w:rPr>
        <w:t>3c</w:t>
      </w:r>
      <w:r w:rsidR="002C2E43" w:rsidRPr="00182559">
        <w:rPr>
          <w:rFonts w:cs="Calibri Light"/>
        </w:rPr>
        <w:t>)</w:t>
      </w:r>
      <w:r w:rsidR="002C2E43">
        <w:t>, p</w:t>
      </w:r>
      <w:r w:rsidR="00FE774B">
        <w:t>.</w:t>
      </w:r>
      <w:r w:rsidR="002C2E43">
        <w:t xml:space="preserve"> 20.</w:t>
      </w:r>
    </w:p>
  </w:footnote>
  <w:footnote w:id="76">
    <w:p w14:paraId="2AC364E3" w14:textId="1E2B304F" w:rsidR="009E28DB" w:rsidRDefault="009E28DB">
      <w:pPr>
        <w:pStyle w:val="FootnoteText"/>
      </w:pPr>
      <w:r>
        <w:rPr>
          <w:rStyle w:val="FootnoteReference"/>
        </w:rPr>
        <w:footnoteRef/>
      </w:r>
      <w:r>
        <w:t xml:space="preserve"> </w:t>
      </w:r>
      <w:r w:rsidR="00702D00">
        <w:tab/>
      </w:r>
      <w:r w:rsidR="00775B77">
        <w:rPr>
          <w:rFonts w:cs="Calibri Light"/>
        </w:rPr>
        <w:t>DTF (2024b</w:t>
      </w:r>
      <w:r w:rsidR="00C75C61" w:rsidRPr="00182559">
        <w:rPr>
          <w:rFonts w:cs="Calibri Light"/>
        </w:rPr>
        <w:t>)</w:t>
      </w:r>
      <w:r w:rsidR="00C75C61">
        <w:t>, p</w:t>
      </w:r>
      <w:r w:rsidR="00FE774B">
        <w:t>.</w:t>
      </w:r>
      <w:r w:rsidR="00C75C61">
        <w:t xml:space="preserve"> </w:t>
      </w:r>
      <w:r w:rsidR="00C75C61" w:rsidRPr="00591340">
        <w:t>6</w:t>
      </w:r>
      <w:r w:rsidR="00702D00" w:rsidRPr="00D0579A">
        <w:t>.</w:t>
      </w:r>
    </w:p>
  </w:footnote>
  <w:footnote w:id="77">
    <w:p w14:paraId="4BEE90F5" w14:textId="1EEE3F1E" w:rsidR="00AC0775" w:rsidRDefault="00AC0775">
      <w:pPr>
        <w:pStyle w:val="FootnoteText"/>
      </w:pPr>
      <w:r>
        <w:rPr>
          <w:rStyle w:val="FootnoteReference"/>
        </w:rPr>
        <w:footnoteRef/>
      </w:r>
      <w:r>
        <w:t xml:space="preserve"> </w:t>
      </w:r>
      <w:r w:rsidR="008D73A7">
        <w:tab/>
      </w:r>
      <w:r w:rsidR="00775B77">
        <w:rPr>
          <w:rFonts w:cs="Calibri Light"/>
        </w:rPr>
        <w:t>DTF (2024b</w:t>
      </w:r>
      <w:r w:rsidR="00B90B1B" w:rsidRPr="00182559">
        <w:rPr>
          <w:rFonts w:cs="Calibri Light"/>
        </w:rPr>
        <w:t>)</w:t>
      </w:r>
      <w:r w:rsidR="00B90B1B">
        <w:rPr>
          <w:rFonts w:cs="Calibri Light"/>
        </w:rPr>
        <w:t xml:space="preserve">, </w:t>
      </w:r>
      <w:r w:rsidR="00B90B1B">
        <w:t>pp</w:t>
      </w:r>
      <w:r w:rsidR="00FE774B">
        <w:t>.</w:t>
      </w:r>
      <w:r w:rsidR="00B90B1B">
        <w:t xml:space="preserve"> 6, </w:t>
      </w:r>
      <w:r w:rsidR="00B90B1B" w:rsidRPr="00895FB7">
        <w:t>53</w:t>
      </w:r>
      <w:r w:rsidR="00680922">
        <w:t>; DTF (2023b), p. 17.</w:t>
      </w:r>
    </w:p>
  </w:footnote>
  <w:footnote w:id="78">
    <w:p w14:paraId="42A6E123" w14:textId="69E983DF" w:rsidR="00417689" w:rsidRDefault="00417689">
      <w:pPr>
        <w:pStyle w:val="FootnoteText"/>
      </w:pPr>
      <w:r>
        <w:rPr>
          <w:rStyle w:val="FootnoteReference"/>
        </w:rPr>
        <w:footnoteRef/>
      </w:r>
      <w:r w:rsidR="00307FA6">
        <w:t xml:space="preserve"> </w:t>
      </w:r>
      <w:r w:rsidR="008D73A7">
        <w:tab/>
      </w:r>
      <w:r w:rsidR="00775B77">
        <w:rPr>
          <w:rFonts w:cs="Calibri Light"/>
        </w:rPr>
        <w:t>DTF (2024b</w:t>
      </w:r>
      <w:r w:rsidR="00AA30D6" w:rsidRPr="00182559">
        <w:rPr>
          <w:rFonts w:cs="Calibri Light"/>
        </w:rPr>
        <w:t>)</w:t>
      </w:r>
      <w:r w:rsidR="00AA30D6">
        <w:t>, p</w:t>
      </w:r>
      <w:r w:rsidR="00F11413">
        <w:t>p</w:t>
      </w:r>
      <w:r w:rsidR="00FE774B">
        <w:t>.</w:t>
      </w:r>
      <w:r w:rsidR="00AA30D6">
        <w:t xml:space="preserve"> </w:t>
      </w:r>
      <w:r w:rsidR="00F11413">
        <w:t>3</w:t>
      </w:r>
      <w:r w:rsidR="00D55188">
        <w:t>-</w:t>
      </w:r>
      <w:r w:rsidR="00AA30D6">
        <w:t>4</w:t>
      </w:r>
      <w:r>
        <w:t>.</w:t>
      </w:r>
    </w:p>
  </w:footnote>
  <w:footnote w:id="79">
    <w:p w14:paraId="5E635EDD" w14:textId="572BD6E6" w:rsidR="000659F1" w:rsidRDefault="000659F1">
      <w:pPr>
        <w:pStyle w:val="FootnoteText"/>
      </w:pPr>
      <w:r>
        <w:rPr>
          <w:rStyle w:val="FootnoteReference"/>
        </w:rPr>
        <w:footnoteRef/>
      </w:r>
      <w:r>
        <w:t xml:space="preserve"> </w:t>
      </w:r>
      <w:r w:rsidR="008D73A7">
        <w:tab/>
      </w:r>
      <w:r w:rsidR="00775B77">
        <w:rPr>
          <w:rFonts w:cs="Calibri Light"/>
        </w:rPr>
        <w:t>DTF (2024b</w:t>
      </w:r>
      <w:r w:rsidR="000A001C" w:rsidRPr="00182559">
        <w:rPr>
          <w:rFonts w:cs="Calibri Light"/>
        </w:rPr>
        <w:t>)</w:t>
      </w:r>
      <w:r w:rsidR="000A001C">
        <w:t>, p</w:t>
      </w:r>
      <w:r w:rsidR="00FE774B">
        <w:t>.</w:t>
      </w:r>
      <w:r w:rsidR="000A001C">
        <w:t xml:space="preserve"> </w:t>
      </w:r>
      <w:r w:rsidR="000A001C" w:rsidRPr="00EC2F07">
        <w:rPr>
          <w:rFonts w:cs="Calibri Light"/>
        </w:rPr>
        <w:t>53</w:t>
      </w:r>
      <w:r w:rsidR="00307FA6" w:rsidRPr="00EC2F07">
        <w:rPr>
          <w:rFonts w:cs="Calibri Light"/>
        </w:rPr>
        <w:t>.</w:t>
      </w:r>
    </w:p>
  </w:footnote>
  <w:footnote w:id="80">
    <w:p w14:paraId="714E6956" w14:textId="590BBA13" w:rsidR="00592233" w:rsidRDefault="00592233">
      <w:pPr>
        <w:pStyle w:val="FootnoteText"/>
      </w:pPr>
      <w:r>
        <w:rPr>
          <w:rStyle w:val="FootnoteReference"/>
        </w:rPr>
        <w:footnoteRef/>
      </w:r>
      <w:r>
        <w:t xml:space="preserve"> </w:t>
      </w:r>
      <w:r w:rsidR="008D73A7">
        <w:tab/>
      </w:r>
      <w:r w:rsidR="00C35AEE">
        <w:rPr>
          <w:rFonts w:cs="Calibri Light"/>
        </w:rPr>
        <w:t>DTF (2024</w:t>
      </w:r>
      <w:r w:rsidR="00775B77">
        <w:rPr>
          <w:rFonts w:cs="Calibri Light"/>
        </w:rPr>
        <w:t>a</w:t>
      </w:r>
      <w:r w:rsidR="00C35AEE">
        <w:rPr>
          <w:rFonts w:cs="Calibri Light"/>
        </w:rPr>
        <w:t xml:space="preserve">); </w:t>
      </w:r>
      <w:r w:rsidR="00775B77">
        <w:rPr>
          <w:rFonts w:cs="Calibri Light"/>
        </w:rPr>
        <w:t>DTF (2024b</w:t>
      </w:r>
      <w:r w:rsidR="000A001C" w:rsidRPr="00182559">
        <w:rPr>
          <w:rFonts w:cs="Calibri Light"/>
        </w:rPr>
        <w:t>)</w:t>
      </w:r>
      <w:r w:rsidR="000A001C">
        <w:t>, p</w:t>
      </w:r>
      <w:r w:rsidR="00FE774B">
        <w:t>.</w:t>
      </w:r>
      <w:r w:rsidR="000A001C">
        <w:t xml:space="preserve"> </w:t>
      </w:r>
      <w:r w:rsidR="000A001C" w:rsidRPr="00EC2F07">
        <w:rPr>
          <w:rFonts w:cs="Calibri Light"/>
        </w:rPr>
        <w:t>53</w:t>
      </w:r>
      <w:r w:rsidR="00C35AEE">
        <w:rPr>
          <w:rFonts w:cs="Calibri Light"/>
        </w:rPr>
        <w:t>.</w:t>
      </w:r>
    </w:p>
  </w:footnote>
  <w:footnote w:id="81">
    <w:p w14:paraId="33F7CAAB" w14:textId="7BE7A15F" w:rsidR="00592233" w:rsidRDefault="00592233">
      <w:pPr>
        <w:pStyle w:val="FootnoteText"/>
      </w:pPr>
      <w:r>
        <w:rPr>
          <w:rStyle w:val="FootnoteReference"/>
        </w:rPr>
        <w:footnoteRef/>
      </w:r>
      <w:r>
        <w:t xml:space="preserve"> </w:t>
      </w:r>
      <w:r w:rsidR="008D73A7">
        <w:tab/>
      </w:r>
      <w:r w:rsidR="00775B77">
        <w:rPr>
          <w:rFonts w:cs="Calibri Light"/>
        </w:rPr>
        <w:t>DTF (2024b</w:t>
      </w:r>
      <w:r w:rsidR="00444312" w:rsidRPr="00182559">
        <w:rPr>
          <w:rFonts w:cs="Calibri Light"/>
        </w:rPr>
        <w:t>)</w:t>
      </w:r>
      <w:r w:rsidR="00444312">
        <w:t>, p</w:t>
      </w:r>
      <w:r w:rsidR="00FE774B">
        <w:t>.</w:t>
      </w:r>
      <w:r w:rsidR="00444312">
        <w:t xml:space="preserve"> 4</w:t>
      </w:r>
      <w:r w:rsidR="003674C2" w:rsidRPr="00EC2F07">
        <w:rPr>
          <w:rFonts w:cs="Calibri Light"/>
        </w:rPr>
        <w:t>.</w:t>
      </w:r>
    </w:p>
  </w:footnote>
  <w:footnote w:id="82">
    <w:p w14:paraId="17BA7E80" w14:textId="2D327D75" w:rsidR="00516470" w:rsidRDefault="00516470" w:rsidP="00516470">
      <w:pPr>
        <w:pStyle w:val="FootnoteText"/>
      </w:pPr>
      <w:r>
        <w:rPr>
          <w:rStyle w:val="FootnoteReference"/>
        </w:rPr>
        <w:footnoteRef/>
      </w:r>
      <w:r>
        <w:t xml:space="preserve"> </w:t>
      </w:r>
      <w:r w:rsidR="00417689">
        <w:tab/>
      </w:r>
      <w:r w:rsidR="00775B77">
        <w:rPr>
          <w:rFonts w:cs="Calibri Light"/>
        </w:rPr>
        <w:t>DTF (2024b</w:t>
      </w:r>
      <w:r w:rsidR="00444312" w:rsidRPr="00182559">
        <w:rPr>
          <w:rFonts w:cs="Calibri Light"/>
        </w:rPr>
        <w:t>)</w:t>
      </w:r>
      <w:r w:rsidR="00444312">
        <w:t>, p</w:t>
      </w:r>
      <w:r w:rsidR="00FE774B">
        <w:t>.</w:t>
      </w:r>
      <w:r w:rsidR="00444312">
        <w:t xml:space="preserve"> </w:t>
      </w:r>
      <w:r w:rsidR="00444312" w:rsidRPr="00EC2F07">
        <w:rPr>
          <w:rFonts w:cs="Calibri Light"/>
        </w:rPr>
        <w:t>53</w:t>
      </w:r>
      <w:r w:rsidR="00F2107F" w:rsidRPr="00895FB7">
        <w:t>.</w:t>
      </w:r>
    </w:p>
  </w:footnote>
  <w:footnote w:id="83">
    <w:p w14:paraId="2EF1A500" w14:textId="63D1992C" w:rsidR="00ED11A2" w:rsidRDefault="00ED11A2">
      <w:pPr>
        <w:pStyle w:val="FootnoteText"/>
      </w:pPr>
      <w:r>
        <w:rPr>
          <w:rStyle w:val="FootnoteReference"/>
        </w:rPr>
        <w:footnoteRef/>
      </w:r>
      <w:r>
        <w:t xml:space="preserve"> </w:t>
      </w:r>
      <w:r>
        <w:tab/>
      </w:r>
      <w:bookmarkStart w:id="95" w:name="_Hlk170218470"/>
      <w:bookmarkStart w:id="96" w:name="_Hlk170218471"/>
      <w:r>
        <w:t xml:space="preserve">Email from Jeremi Moule, Secretary of the Department of Premier and Cabinet, to </w:t>
      </w:r>
      <w:r w:rsidR="00632686">
        <w:t>VPS</w:t>
      </w:r>
      <w:r>
        <w:t xml:space="preserve"> staff</w:t>
      </w:r>
      <w:r w:rsidR="00632686">
        <w:t xml:space="preserve"> (2024)</w:t>
      </w:r>
      <w:r>
        <w:t>, 9 April.</w:t>
      </w:r>
      <w:bookmarkEnd w:id="95"/>
      <w:bookmarkEnd w:id="9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644AA" w14:textId="75944865" w:rsidR="004753FE" w:rsidRDefault="00521E62">
    <w:pPr>
      <w:pStyle w:val="Header"/>
    </w:pPr>
    <w:r>
      <w:rPr>
        <w:noProof/>
      </w:rPr>
      <w:pict w14:anchorId="14BE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5" type="#_x0000_t136" style="position:absolute;margin-left:0;margin-top:0;width:304pt;height:121.55pt;rotation:315;z-index:-25165823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DB42925">
        <v:shape id="_x0000_s1096"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496D2FF5">
        <v:shape id="_x0000_s1097" type="#_x0000_t136" style="position:absolute;margin-left:0;margin-top:0;width:266pt;height:159.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32BC" w14:textId="2603A9C2" w:rsidR="009C1981" w:rsidRDefault="009C1981">
    <w:pPr>
      <w:pStyle w:val="Header"/>
      <w:rPr>
        <w:noProof/>
      </w:rPr>
    </w:pPr>
  </w:p>
  <w:p w14:paraId="2259B325" w14:textId="3C4A3A7C" w:rsidR="00B03893" w:rsidRDefault="00B03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9B308" w14:textId="4AE6B1EC" w:rsidR="004753FE" w:rsidRDefault="00521E62">
    <w:pPr>
      <w:pStyle w:val="Header"/>
    </w:pPr>
    <w:r>
      <w:rPr>
        <w:noProof/>
      </w:rPr>
      <w:pict w14:anchorId="243F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1101" type="#_x0000_t136" style="position:absolute;margin-left:0;margin-top:0;width:304pt;height:121.55pt;rotation:315;z-index:-251658233;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1102" type="#_x0000_t136" style="position:absolute;margin-left:0;margin-top:0;width:266pt;height:159.6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7656" w14:textId="0F4495CF" w:rsidR="009C1981" w:rsidRDefault="009C1981">
    <w:pPr>
      <w:pStyle w:val="Header"/>
      <w:rPr>
        <w:noProof/>
      </w:rPr>
    </w:pPr>
  </w:p>
  <w:p w14:paraId="4228A6CD" w14:textId="7A200D22" w:rsidR="004753FE" w:rsidRDefault="004753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D90D8" w14:textId="2504F98F" w:rsidR="004753FE" w:rsidRDefault="00521E62">
    <w:pPr>
      <w:pStyle w:val="Header"/>
    </w:pPr>
    <w:r>
      <w:rPr>
        <w:noProof/>
      </w:rPr>
      <w:pict w14:anchorId="5F79F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304pt;height:121.55pt;rotation:315;z-index:-251658231;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1105" type="#_x0000_t136" style="position:absolute;margin-left:0;margin-top:0;width:304pt;height:121.55pt;rotation:315;z-index:-25165823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1106" type="#_x0000_t136" style="position:absolute;margin-left:0;margin-top:0;width:266pt;height:159.6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CF09" w14:textId="44714E25" w:rsidR="009C1981" w:rsidRDefault="009C19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3698" w14:textId="49CFB91B" w:rsidR="009C1981" w:rsidRDefault="009C19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82B78" w14:textId="5533EF54"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7B51CE"/>
    <w:multiLevelType w:val="hybridMultilevel"/>
    <w:tmpl w:val="21786D98"/>
    <w:lvl w:ilvl="0" w:tplc="02C6BB5A">
      <w:start w:val="1"/>
      <w:numFmt w:val="bullet"/>
      <w:pStyle w:val="Bulletswithinnumberedparaslvl1"/>
      <w:lvlText w:val="‒"/>
      <w:lvlJc w:val="left"/>
      <w:pPr>
        <w:ind w:left="1077" w:hanging="360"/>
      </w:pPr>
      <w:rPr>
        <w:rFonts w:ascii="Calibri Light" w:hAnsi="Calibri Light"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11563430"/>
    <w:multiLevelType w:val="hybridMultilevel"/>
    <w:tmpl w:val="B1C8E1B0"/>
    <w:lvl w:ilvl="0" w:tplc="A7724564">
      <w:start w:val="1"/>
      <w:numFmt w:val="bullet"/>
      <w:lvlText w:val=""/>
      <w:lvlJc w:val="left"/>
      <w:pPr>
        <w:tabs>
          <w:tab w:val="num" w:pos="360"/>
        </w:tabs>
        <w:ind w:left="360" w:hanging="360"/>
      </w:pPr>
      <w:rPr>
        <w:rFonts w:ascii="Symbol" w:hAnsi="Symbol" w:hint="default"/>
      </w:rPr>
    </w:lvl>
    <w:lvl w:ilvl="1" w:tplc="780256C4" w:tentative="1">
      <w:start w:val="1"/>
      <w:numFmt w:val="bullet"/>
      <w:lvlText w:val=""/>
      <w:lvlJc w:val="left"/>
      <w:pPr>
        <w:tabs>
          <w:tab w:val="num" w:pos="1080"/>
        </w:tabs>
        <w:ind w:left="1080" w:hanging="360"/>
      </w:pPr>
      <w:rPr>
        <w:rFonts w:ascii="Symbol" w:hAnsi="Symbol" w:hint="default"/>
      </w:rPr>
    </w:lvl>
    <w:lvl w:ilvl="2" w:tplc="1B7E2C24" w:tentative="1">
      <w:start w:val="1"/>
      <w:numFmt w:val="bullet"/>
      <w:lvlText w:val=""/>
      <w:lvlJc w:val="left"/>
      <w:pPr>
        <w:tabs>
          <w:tab w:val="num" w:pos="1800"/>
        </w:tabs>
        <w:ind w:left="1800" w:hanging="360"/>
      </w:pPr>
      <w:rPr>
        <w:rFonts w:ascii="Symbol" w:hAnsi="Symbol" w:hint="default"/>
      </w:rPr>
    </w:lvl>
    <w:lvl w:ilvl="3" w:tplc="A90CB6F6" w:tentative="1">
      <w:start w:val="1"/>
      <w:numFmt w:val="bullet"/>
      <w:lvlText w:val=""/>
      <w:lvlJc w:val="left"/>
      <w:pPr>
        <w:tabs>
          <w:tab w:val="num" w:pos="2520"/>
        </w:tabs>
        <w:ind w:left="2520" w:hanging="360"/>
      </w:pPr>
      <w:rPr>
        <w:rFonts w:ascii="Symbol" w:hAnsi="Symbol" w:hint="default"/>
      </w:rPr>
    </w:lvl>
    <w:lvl w:ilvl="4" w:tplc="AC108186" w:tentative="1">
      <w:start w:val="1"/>
      <w:numFmt w:val="bullet"/>
      <w:lvlText w:val=""/>
      <w:lvlJc w:val="left"/>
      <w:pPr>
        <w:tabs>
          <w:tab w:val="num" w:pos="3240"/>
        </w:tabs>
        <w:ind w:left="3240" w:hanging="360"/>
      </w:pPr>
      <w:rPr>
        <w:rFonts w:ascii="Symbol" w:hAnsi="Symbol" w:hint="default"/>
      </w:rPr>
    </w:lvl>
    <w:lvl w:ilvl="5" w:tplc="64A8162A" w:tentative="1">
      <w:start w:val="1"/>
      <w:numFmt w:val="bullet"/>
      <w:lvlText w:val=""/>
      <w:lvlJc w:val="left"/>
      <w:pPr>
        <w:tabs>
          <w:tab w:val="num" w:pos="3960"/>
        </w:tabs>
        <w:ind w:left="3960" w:hanging="360"/>
      </w:pPr>
      <w:rPr>
        <w:rFonts w:ascii="Symbol" w:hAnsi="Symbol" w:hint="default"/>
      </w:rPr>
    </w:lvl>
    <w:lvl w:ilvl="6" w:tplc="8A72C264" w:tentative="1">
      <w:start w:val="1"/>
      <w:numFmt w:val="bullet"/>
      <w:lvlText w:val=""/>
      <w:lvlJc w:val="left"/>
      <w:pPr>
        <w:tabs>
          <w:tab w:val="num" w:pos="4680"/>
        </w:tabs>
        <w:ind w:left="4680" w:hanging="360"/>
      </w:pPr>
      <w:rPr>
        <w:rFonts w:ascii="Symbol" w:hAnsi="Symbol" w:hint="default"/>
      </w:rPr>
    </w:lvl>
    <w:lvl w:ilvl="7" w:tplc="F0CA13F6" w:tentative="1">
      <w:start w:val="1"/>
      <w:numFmt w:val="bullet"/>
      <w:lvlText w:val=""/>
      <w:lvlJc w:val="left"/>
      <w:pPr>
        <w:tabs>
          <w:tab w:val="num" w:pos="5400"/>
        </w:tabs>
        <w:ind w:left="5400" w:hanging="360"/>
      </w:pPr>
      <w:rPr>
        <w:rFonts w:ascii="Symbol" w:hAnsi="Symbol" w:hint="default"/>
      </w:rPr>
    </w:lvl>
    <w:lvl w:ilvl="8" w:tplc="41B4F4C8"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183E4344"/>
    <w:multiLevelType w:val="hybridMultilevel"/>
    <w:tmpl w:val="871E0D5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3AD57F8"/>
    <w:multiLevelType w:val="hybridMultilevel"/>
    <w:tmpl w:val="0D7CA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862582"/>
    <w:multiLevelType w:val="hybridMultilevel"/>
    <w:tmpl w:val="32345C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26B6624"/>
    <w:multiLevelType w:val="hybridMultilevel"/>
    <w:tmpl w:val="B57AB7FE"/>
    <w:lvl w:ilvl="0" w:tplc="8AB6138E">
      <w:start w:val="1"/>
      <w:numFmt w:val="decimal"/>
      <w:lvlText w:val="A.%1"/>
      <w:lvlJc w:val="left"/>
      <w:pPr>
        <w:ind w:left="1191" w:hanging="471"/>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15:restartNumberingAfterBreak="0">
    <w:nsid w:val="32F46780"/>
    <w:multiLevelType w:val="hybridMultilevel"/>
    <w:tmpl w:val="C5E6A546"/>
    <w:lvl w:ilvl="0" w:tplc="D8DA9B74">
      <w:start w:val="1"/>
      <w:numFmt w:val="bullet"/>
      <w:lvlText w:val=""/>
      <w:lvlJc w:val="left"/>
      <w:pPr>
        <w:tabs>
          <w:tab w:val="num" w:pos="720"/>
        </w:tabs>
        <w:ind w:left="720" w:hanging="360"/>
      </w:pPr>
      <w:rPr>
        <w:rFonts w:ascii="Symbol" w:hAnsi="Symbol" w:hint="default"/>
      </w:rPr>
    </w:lvl>
    <w:lvl w:ilvl="1" w:tplc="17E068C0" w:tentative="1">
      <w:start w:val="1"/>
      <w:numFmt w:val="bullet"/>
      <w:lvlText w:val=""/>
      <w:lvlJc w:val="left"/>
      <w:pPr>
        <w:tabs>
          <w:tab w:val="num" w:pos="1440"/>
        </w:tabs>
        <w:ind w:left="1440" w:hanging="360"/>
      </w:pPr>
      <w:rPr>
        <w:rFonts w:ascii="Symbol" w:hAnsi="Symbol" w:hint="default"/>
      </w:rPr>
    </w:lvl>
    <w:lvl w:ilvl="2" w:tplc="FA66D240" w:tentative="1">
      <w:start w:val="1"/>
      <w:numFmt w:val="bullet"/>
      <w:lvlText w:val=""/>
      <w:lvlJc w:val="left"/>
      <w:pPr>
        <w:tabs>
          <w:tab w:val="num" w:pos="2160"/>
        </w:tabs>
        <w:ind w:left="2160" w:hanging="360"/>
      </w:pPr>
      <w:rPr>
        <w:rFonts w:ascii="Symbol" w:hAnsi="Symbol" w:hint="default"/>
      </w:rPr>
    </w:lvl>
    <w:lvl w:ilvl="3" w:tplc="8EFCD886" w:tentative="1">
      <w:start w:val="1"/>
      <w:numFmt w:val="bullet"/>
      <w:lvlText w:val=""/>
      <w:lvlJc w:val="left"/>
      <w:pPr>
        <w:tabs>
          <w:tab w:val="num" w:pos="2880"/>
        </w:tabs>
        <w:ind w:left="2880" w:hanging="360"/>
      </w:pPr>
      <w:rPr>
        <w:rFonts w:ascii="Symbol" w:hAnsi="Symbol" w:hint="default"/>
      </w:rPr>
    </w:lvl>
    <w:lvl w:ilvl="4" w:tplc="2710E56A" w:tentative="1">
      <w:start w:val="1"/>
      <w:numFmt w:val="bullet"/>
      <w:lvlText w:val=""/>
      <w:lvlJc w:val="left"/>
      <w:pPr>
        <w:tabs>
          <w:tab w:val="num" w:pos="3600"/>
        </w:tabs>
        <w:ind w:left="3600" w:hanging="360"/>
      </w:pPr>
      <w:rPr>
        <w:rFonts w:ascii="Symbol" w:hAnsi="Symbol" w:hint="default"/>
      </w:rPr>
    </w:lvl>
    <w:lvl w:ilvl="5" w:tplc="AD6C7E24" w:tentative="1">
      <w:start w:val="1"/>
      <w:numFmt w:val="bullet"/>
      <w:lvlText w:val=""/>
      <w:lvlJc w:val="left"/>
      <w:pPr>
        <w:tabs>
          <w:tab w:val="num" w:pos="4320"/>
        </w:tabs>
        <w:ind w:left="4320" w:hanging="360"/>
      </w:pPr>
      <w:rPr>
        <w:rFonts w:ascii="Symbol" w:hAnsi="Symbol" w:hint="default"/>
      </w:rPr>
    </w:lvl>
    <w:lvl w:ilvl="6" w:tplc="C00617C6" w:tentative="1">
      <w:start w:val="1"/>
      <w:numFmt w:val="bullet"/>
      <w:lvlText w:val=""/>
      <w:lvlJc w:val="left"/>
      <w:pPr>
        <w:tabs>
          <w:tab w:val="num" w:pos="5040"/>
        </w:tabs>
        <w:ind w:left="5040" w:hanging="360"/>
      </w:pPr>
      <w:rPr>
        <w:rFonts w:ascii="Symbol" w:hAnsi="Symbol" w:hint="default"/>
      </w:rPr>
    </w:lvl>
    <w:lvl w:ilvl="7" w:tplc="7BA85ED2" w:tentative="1">
      <w:start w:val="1"/>
      <w:numFmt w:val="bullet"/>
      <w:lvlText w:val=""/>
      <w:lvlJc w:val="left"/>
      <w:pPr>
        <w:tabs>
          <w:tab w:val="num" w:pos="5760"/>
        </w:tabs>
        <w:ind w:left="5760" w:hanging="360"/>
      </w:pPr>
      <w:rPr>
        <w:rFonts w:ascii="Symbol" w:hAnsi="Symbol" w:hint="default"/>
      </w:rPr>
    </w:lvl>
    <w:lvl w:ilvl="8" w:tplc="2F3EA2E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5733804"/>
    <w:multiLevelType w:val="hybridMultilevel"/>
    <w:tmpl w:val="4F4C9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5A66171"/>
    <w:multiLevelType w:val="hybridMultilevel"/>
    <w:tmpl w:val="C9E85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D93215"/>
    <w:multiLevelType w:val="hybridMultilevel"/>
    <w:tmpl w:val="068EEA00"/>
    <w:lvl w:ilvl="0" w:tplc="AAAC316A">
      <w:start w:val="1"/>
      <w:numFmt w:val="bullet"/>
      <w:lvlText w:val=""/>
      <w:lvlJc w:val="left"/>
      <w:pPr>
        <w:ind w:left="720" w:hanging="360"/>
      </w:pPr>
      <w:rPr>
        <w:rFonts w:ascii="Symbol" w:hAnsi="Symbol"/>
      </w:rPr>
    </w:lvl>
    <w:lvl w:ilvl="1" w:tplc="34225276">
      <w:start w:val="1"/>
      <w:numFmt w:val="bullet"/>
      <w:lvlText w:val=""/>
      <w:lvlJc w:val="left"/>
      <w:pPr>
        <w:ind w:left="720" w:hanging="360"/>
      </w:pPr>
      <w:rPr>
        <w:rFonts w:ascii="Symbol" w:hAnsi="Symbol"/>
      </w:rPr>
    </w:lvl>
    <w:lvl w:ilvl="2" w:tplc="EB7A6B40">
      <w:start w:val="1"/>
      <w:numFmt w:val="bullet"/>
      <w:lvlText w:val=""/>
      <w:lvlJc w:val="left"/>
      <w:pPr>
        <w:ind w:left="720" w:hanging="360"/>
      </w:pPr>
      <w:rPr>
        <w:rFonts w:ascii="Symbol" w:hAnsi="Symbol"/>
      </w:rPr>
    </w:lvl>
    <w:lvl w:ilvl="3" w:tplc="0974076C">
      <w:start w:val="1"/>
      <w:numFmt w:val="bullet"/>
      <w:lvlText w:val=""/>
      <w:lvlJc w:val="left"/>
      <w:pPr>
        <w:ind w:left="720" w:hanging="360"/>
      </w:pPr>
      <w:rPr>
        <w:rFonts w:ascii="Symbol" w:hAnsi="Symbol"/>
      </w:rPr>
    </w:lvl>
    <w:lvl w:ilvl="4" w:tplc="01D0E0DE">
      <w:start w:val="1"/>
      <w:numFmt w:val="bullet"/>
      <w:lvlText w:val=""/>
      <w:lvlJc w:val="left"/>
      <w:pPr>
        <w:ind w:left="720" w:hanging="360"/>
      </w:pPr>
      <w:rPr>
        <w:rFonts w:ascii="Symbol" w:hAnsi="Symbol"/>
      </w:rPr>
    </w:lvl>
    <w:lvl w:ilvl="5" w:tplc="6436DA56">
      <w:start w:val="1"/>
      <w:numFmt w:val="bullet"/>
      <w:lvlText w:val=""/>
      <w:lvlJc w:val="left"/>
      <w:pPr>
        <w:ind w:left="720" w:hanging="360"/>
      </w:pPr>
      <w:rPr>
        <w:rFonts w:ascii="Symbol" w:hAnsi="Symbol"/>
      </w:rPr>
    </w:lvl>
    <w:lvl w:ilvl="6" w:tplc="AB00AF14">
      <w:start w:val="1"/>
      <w:numFmt w:val="bullet"/>
      <w:lvlText w:val=""/>
      <w:lvlJc w:val="left"/>
      <w:pPr>
        <w:ind w:left="720" w:hanging="360"/>
      </w:pPr>
      <w:rPr>
        <w:rFonts w:ascii="Symbol" w:hAnsi="Symbol"/>
      </w:rPr>
    </w:lvl>
    <w:lvl w:ilvl="7" w:tplc="1EE0F0E2">
      <w:start w:val="1"/>
      <w:numFmt w:val="bullet"/>
      <w:lvlText w:val=""/>
      <w:lvlJc w:val="left"/>
      <w:pPr>
        <w:ind w:left="720" w:hanging="360"/>
      </w:pPr>
      <w:rPr>
        <w:rFonts w:ascii="Symbol" w:hAnsi="Symbol"/>
      </w:rPr>
    </w:lvl>
    <w:lvl w:ilvl="8" w:tplc="A60A3F24">
      <w:start w:val="1"/>
      <w:numFmt w:val="bullet"/>
      <w:lvlText w:val=""/>
      <w:lvlJc w:val="left"/>
      <w:pPr>
        <w:ind w:left="720" w:hanging="360"/>
      </w:pPr>
      <w:rPr>
        <w:rFonts w:ascii="Symbol" w:hAnsi="Symbol"/>
      </w:rPr>
    </w:lvl>
  </w:abstractNum>
  <w:abstractNum w:abstractNumId="23" w15:restartNumberingAfterBreak="0">
    <w:nsid w:val="3C1C2CF2"/>
    <w:multiLevelType w:val="hybridMultilevel"/>
    <w:tmpl w:val="FC2A74E4"/>
    <w:lvl w:ilvl="0" w:tplc="FFFFFFFF">
      <w:start w:val="1"/>
      <w:numFmt w:val="lowerLetter"/>
      <w:lvlText w:val="(%1)"/>
      <w:lvlJc w:val="left"/>
      <w:pPr>
        <w:ind w:left="1110" w:hanging="360"/>
      </w:pPr>
      <w:rPr>
        <w:rFonts w:hint="default"/>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4" w15:restartNumberingAfterBreak="0">
    <w:nsid w:val="3DF472CF"/>
    <w:multiLevelType w:val="hybridMultilevel"/>
    <w:tmpl w:val="B4C0B958"/>
    <w:lvl w:ilvl="0" w:tplc="E124C270">
      <w:start w:val="1"/>
      <w:numFmt w:val="bullet"/>
      <w:pStyle w:val="06VIRTBulletpoints"/>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44342ECE"/>
    <w:multiLevelType w:val="hybridMultilevel"/>
    <w:tmpl w:val="37344652"/>
    <w:lvl w:ilvl="0" w:tplc="12441B0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CE2343"/>
    <w:multiLevelType w:val="multilevel"/>
    <w:tmpl w:val="D50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8" w15:restartNumberingAfterBreak="0">
    <w:nsid w:val="4632219C"/>
    <w:multiLevelType w:val="multilevel"/>
    <w:tmpl w:val="10FA84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481F025B"/>
    <w:multiLevelType w:val="hybridMultilevel"/>
    <w:tmpl w:val="2A2E811C"/>
    <w:lvl w:ilvl="0" w:tplc="9C8054F8">
      <w:start w:val="1"/>
      <w:numFmt w:val="bullet"/>
      <w:lvlText w:val="•"/>
      <w:lvlJc w:val="left"/>
      <w:pPr>
        <w:tabs>
          <w:tab w:val="num" w:pos="720"/>
        </w:tabs>
        <w:ind w:left="720" w:hanging="360"/>
      </w:pPr>
      <w:rPr>
        <w:rFonts w:ascii="Arial" w:hAnsi="Arial" w:hint="default"/>
      </w:rPr>
    </w:lvl>
    <w:lvl w:ilvl="1" w:tplc="41301E50">
      <w:numFmt w:val="bullet"/>
      <w:lvlText w:val="o"/>
      <w:lvlJc w:val="left"/>
      <w:pPr>
        <w:tabs>
          <w:tab w:val="num" w:pos="1440"/>
        </w:tabs>
        <w:ind w:left="1440" w:hanging="360"/>
      </w:pPr>
      <w:rPr>
        <w:rFonts w:ascii="Courier New" w:hAnsi="Courier New" w:hint="default"/>
      </w:rPr>
    </w:lvl>
    <w:lvl w:ilvl="2" w:tplc="23946CF2" w:tentative="1">
      <w:start w:val="1"/>
      <w:numFmt w:val="bullet"/>
      <w:lvlText w:val="•"/>
      <w:lvlJc w:val="left"/>
      <w:pPr>
        <w:tabs>
          <w:tab w:val="num" w:pos="2160"/>
        </w:tabs>
        <w:ind w:left="2160" w:hanging="360"/>
      </w:pPr>
      <w:rPr>
        <w:rFonts w:ascii="Arial" w:hAnsi="Arial" w:hint="default"/>
      </w:rPr>
    </w:lvl>
    <w:lvl w:ilvl="3" w:tplc="20A0EF82" w:tentative="1">
      <w:start w:val="1"/>
      <w:numFmt w:val="bullet"/>
      <w:lvlText w:val="•"/>
      <w:lvlJc w:val="left"/>
      <w:pPr>
        <w:tabs>
          <w:tab w:val="num" w:pos="2880"/>
        </w:tabs>
        <w:ind w:left="2880" w:hanging="360"/>
      </w:pPr>
      <w:rPr>
        <w:rFonts w:ascii="Arial" w:hAnsi="Arial" w:hint="default"/>
      </w:rPr>
    </w:lvl>
    <w:lvl w:ilvl="4" w:tplc="D8DE4548" w:tentative="1">
      <w:start w:val="1"/>
      <w:numFmt w:val="bullet"/>
      <w:lvlText w:val="•"/>
      <w:lvlJc w:val="left"/>
      <w:pPr>
        <w:tabs>
          <w:tab w:val="num" w:pos="3600"/>
        </w:tabs>
        <w:ind w:left="3600" w:hanging="360"/>
      </w:pPr>
      <w:rPr>
        <w:rFonts w:ascii="Arial" w:hAnsi="Arial" w:hint="default"/>
      </w:rPr>
    </w:lvl>
    <w:lvl w:ilvl="5" w:tplc="420A0438" w:tentative="1">
      <w:start w:val="1"/>
      <w:numFmt w:val="bullet"/>
      <w:lvlText w:val="•"/>
      <w:lvlJc w:val="left"/>
      <w:pPr>
        <w:tabs>
          <w:tab w:val="num" w:pos="4320"/>
        </w:tabs>
        <w:ind w:left="4320" w:hanging="360"/>
      </w:pPr>
      <w:rPr>
        <w:rFonts w:ascii="Arial" w:hAnsi="Arial" w:hint="default"/>
      </w:rPr>
    </w:lvl>
    <w:lvl w:ilvl="6" w:tplc="15EEB3E4" w:tentative="1">
      <w:start w:val="1"/>
      <w:numFmt w:val="bullet"/>
      <w:lvlText w:val="•"/>
      <w:lvlJc w:val="left"/>
      <w:pPr>
        <w:tabs>
          <w:tab w:val="num" w:pos="5040"/>
        </w:tabs>
        <w:ind w:left="5040" w:hanging="360"/>
      </w:pPr>
      <w:rPr>
        <w:rFonts w:ascii="Arial" w:hAnsi="Arial" w:hint="default"/>
      </w:rPr>
    </w:lvl>
    <w:lvl w:ilvl="7" w:tplc="C6100486" w:tentative="1">
      <w:start w:val="1"/>
      <w:numFmt w:val="bullet"/>
      <w:lvlText w:val="•"/>
      <w:lvlJc w:val="left"/>
      <w:pPr>
        <w:tabs>
          <w:tab w:val="num" w:pos="5760"/>
        </w:tabs>
        <w:ind w:left="5760" w:hanging="360"/>
      </w:pPr>
      <w:rPr>
        <w:rFonts w:ascii="Arial" w:hAnsi="Arial" w:hint="default"/>
      </w:rPr>
    </w:lvl>
    <w:lvl w:ilvl="8" w:tplc="ED02EC9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C477999"/>
    <w:multiLevelType w:val="multilevel"/>
    <w:tmpl w:val="88BE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9F133E"/>
    <w:multiLevelType w:val="hybridMultilevel"/>
    <w:tmpl w:val="D5FA5AE8"/>
    <w:lvl w:ilvl="0" w:tplc="E854827A">
      <w:start w:val="1"/>
      <w:numFmt w:val="bullet"/>
      <w:lvlText w:val="•"/>
      <w:lvlJc w:val="left"/>
      <w:pPr>
        <w:tabs>
          <w:tab w:val="num" w:pos="720"/>
        </w:tabs>
        <w:ind w:left="720" w:hanging="360"/>
      </w:pPr>
      <w:rPr>
        <w:rFonts w:ascii="Arial" w:hAnsi="Arial" w:hint="default"/>
      </w:rPr>
    </w:lvl>
    <w:lvl w:ilvl="1" w:tplc="E4DEB1E6" w:tentative="1">
      <w:start w:val="1"/>
      <w:numFmt w:val="bullet"/>
      <w:lvlText w:val="•"/>
      <w:lvlJc w:val="left"/>
      <w:pPr>
        <w:tabs>
          <w:tab w:val="num" w:pos="1440"/>
        </w:tabs>
        <w:ind w:left="1440" w:hanging="360"/>
      </w:pPr>
      <w:rPr>
        <w:rFonts w:ascii="Arial" w:hAnsi="Arial" w:hint="default"/>
      </w:rPr>
    </w:lvl>
    <w:lvl w:ilvl="2" w:tplc="2FFA0774" w:tentative="1">
      <w:start w:val="1"/>
      <w:numFmt w:val="bullet"/>
      <w:lvlText w:val="•"/>
      <w:lvlJc w:val="left"/>
      <w:pPr>
        <w:tabs>
          <w:tab w:val="num" w:pos="2160"/>
        </w:tabs>
        <w:ind w:left="2160" w:hanging="360"/>
      </w:pPr>
      <w:rPr>
        <w:rFonts w:ascii="Arial" w:hAnsi="Arial" w:hint="default"/>
      </w:rPr>
    </w:lvl>
    <w:lvl w:ilvl="3" w:tplc="29D089EE" w:tentative="1">
      <w:start w:val="1"/>
      <w:numFmt w:val="bullet"/>
      <w:lvlText w:val="•"/>
      <w:lvlJc w:val="left"/>
      <w:pPr>
        <w:tabs>
          <w:tab w:val="num" w:pos="2880"/>
        </w:tabs>
        <w:ind w:left="2880" w:hanging="360"/>
      </w:pPr>
      <w:rPr>
        <w:rFonts w:ascii="Arial" w:hAnsi="Arial" w:hint="default"/>
      </w:rPr>
    </w:lvl>
    <w:lvl w:ilvl="4" w:tplc="085649EE" w:tentative="1">
      <w:start w:val="1"/>
      <w:numFmt w:val="bullet"/>
      <w:lvlText w:val="•"/>
      <w:lvlJc w:val="left"/>
      <w:pPr>
        <w:tabs>
          <w:tab w:val="num" w:pos="3600"/>
        </w:tabs>
        <w:ind w:left="3600" w:hanging="360"/>
      </w:pPr>
      <w:rPr>
        <w:rFonts w:ascii="Arial" w:hAnsi="Arial" w:hint="default"/>
      </w:rPr>
    </w:lvl>
    <w:lvl w:ilvl="5" w:tplc="9CE221B2" w:tentative="1">
      <w:start w:val="1"/>
      <w:numFmt w:val="bullet"/>
      <w:lvlText w:val="•"/>
      <w:lvlJc w:val="left"/>
      <w:pPr>
        <w:tabs>
          <w:tab w:val="num" w:pos="4320"/>
        </w:tabs>
        <w:ind w:left="4320" w:hanging="360"/>
      </w:pPr>
      <w:rPr>
        <w:rFonts w:ascii="Arial" w:hAnsi="Arial" w:hint="default"/>
      </w:rPr>
    </w:lvl>
    <w:lvl w:ilvl="6" w:tplc="24923DE6" w:tentative="1">
      <w:start w:val="1"/>
      <w:numFmt w:val="bullet"/>
      <w:lvlText w:val="•"/>
      <w:lvlJc w:val="left"/>
      <w:pPr>
        <w:tabs>
          <w:tab w:val="num" w:pos="5040"/>
        </w:tabs>
        <w:ind w:left="5040" w:hanging="360"/>
      </w:pPr>
      <w:rPr>
        <w:rFonts w:ascii="Arial" w:hAnsi="Arial" w:hint="default"/>
      </w:rPr>
    </w:lvl>
    <w:lvl w:ilvl="7" w:tplc="F182B2DA" w:tentative="1">
      <w:start w:val="1"/>
      <w:numFmt w:val="bullet"/>
      <w:lvlText w:val="•"/>
      <w:lvlJc w:val="left"/>
      <w:pPr>
        <w:tabs>
          <w:tab w:val="num" w:pos="5760"/>
        </w:tabs>
        <w:ind w:left="5760" w:hanging="360"/>
      </w:pPr>
      <w:rPr>
        <w:rFonts w:ascii="Arial" w:hAnsi="Arial" w:hint="default"/>
      </w:rPr>
    </w:lvl>
    <w:lvl w:ilvl="8" w:tplc="FE080A0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A32922"/>
    <w:multiLevelType w:val="hybridMultilevel"/>
    <w:tmpl w:val="94FCFE58"/>
    <w:lvl w:ilvl="0" w:tplc="26644502">
      <w:start w:val="1"/>
      <w:numFmt w:val="bullet"/>
      <w:lvlText w:val=""/>
      <w:lvlJc w:val="left"/>
      <w:pPr>
        <w:tabs>
          <w:tab w:val="num" w:pos="720"/>
        </w:tabs>
        <w:ind w:left="720" w:hanging="360"/>
      </w:pPr>
      <w:rPr>
        <w:rFonts w:ascii="Symbol" w:hAnsi="Symbol" w:hint="default"/>
      </w:rPr>
    </w:lvl>
    <w:lvl w:ilvl="1" w:tplc="D034DB3A" w:tentative="1">
      <w:start w:val="1"/>
      <w:numFmt w:val="bullet"/>
      <w:lvlText w:val=""/>
      <w:lvlJc w:val="left"/>
      <w:pPr>
        <w:tabs>
          <w:tab w:val="num" w:pos="1440"/>
        </w:tabs>
        <w:ind w:left="1440" w:hanging="360"/>
      </w:pPr>
      <w:rPr>
        <w:rFonts w:ascii="Symbol" w:hAnsi="Symbol" w:hint="default"/>
      </w:rPr>
    </w:lvl>
    <w:lvl w:ilvl="2" w:tplc="EF1240CA" w:tentative="1">
      <w:start w:val="1"/>
      <w:numFmt w:val="bullet"/>
      <w:lvlText w:val=""/>
      <w:lvlJc w:val="left"/>
      <w:pPr>
        <w:tabs>
          <w:tab w:val="num" w:pos="2160"/>
        </w:tabs>
        <w:ind w:left="2160" w:hanging="360"/>
      </w:pPr>
      <w:rPr>
        <w:rFonts w:ascii="Symbol" w:hAnsi="Symbol" w:hint="default"/>
      </w:rPr>
    </w:lvl>
    <w:lvl w:ilvl="3" w:tplc="F256628C" w:tentative="1">
      <w:start w:val="1"/>
      <w:numFmt w:val="bullet"/>
      <w:lvlText w:val=""/>
      <w:lvlJc w:val="left"/>
      <w:pPr>
        <w:tabs>
          <w:tab w:val="num" w:pos="2880"/>
        </w:tabs>
        <w:ind w:left="2880" w:hanging="360"/>
      </w:pPr>
      <w:rPr>
        <w:rFonts w:ascii="Symbol" w:hAnsi="Symbol" w:hint="default"/>
      </w:rPr>
    </w:lvl>
    <w:lvl w:ilvl="4" w:tplc="051EA89C" w:tentative="1">
      <w:start w:val="1"/>
      <w:numFmt w:val="bullet"/>
      <w:lvlText w:val=""/>
      <w:lvlJc w:val="left"/>
      <w:pPr>
        <w:tabs>
          <w:tab w:val="num" w:pos="3600"/>
        </w:tabs>
        <w:ind w:left="3600" w:hanging="360"/>
      </w:pPr>
      <w:rPr>
        <w:rFonts w:ascii="Symbol" w:hAnsi="Symbol" w:hint="default"/>
      </w:rPr>
    </w:lvl>
    <w:lvl w:ilvl="5" w:tplc="13C6EB4A" w:tentative="1">
      <w:start w:val="1"/>
      <w:numFmt w:val="bullet"/>
      <w:lvlText w:val=""/>
      <w:lvlJc w:val="left"/>
      <w:pPr>
        <w:tabs>
          <w:tab w:val="num" w:pos="4320"/>
        </w:tabs>
        <w:ind w:left="4320" w:hanging="360"/>
      </w:pPr>
      <w:rPr>
        <w:rFonts w:ascii="Symbol" w:hAnsi="Symbol" w:hint="default"/>
      </w:rPr>
    </w:lvl>
    <w:lvl w:ilvl="6" w:tplc="0638CF9E" w:tentative="1">
      <w:start w:val="1"/>
      <w:numFmt w:val="bullet"/>
      <w:lvlText w:val=""/>
      <w:lvlJc w:val="left"/>
      <w:pPr>
        <w:tabs>
          <w:tab w:val="num" w:pos="5040"/>
        </w:tabs>
        <w:ind w:left="5040" w:hanging="360"/>
      </w:pPr>
      <w:rPr>
        <w:rFonts w:ascii="Symbol" w:hAnsi="Symbol" w:hint="default"/>
      </w:rPr>
    </w:lvl>
    <w:lvl w:ilvl="7" w:tplc="5642B546" w:tentative="1">
      <w:start w:val="1"/>
      <w:numFmt w:val="bullet"/>
      <w:lvlText w:val=""/>
      <w:lvlJc w:val="left"/>
      <w:pPr>
        <w:tabs>
          <w:tab w:val="num" w:pos="5760"/>
        </w:tabs>
        <w:ind w:left="5760" w:hanging="360"/>
      </w:pPr>
      <w:rPr>
        <w:rFonts w:ascii="Symbol" w:hAnsi="Symbol" w:hint="default"/>
      </w:rPr>
    </w:lvl>
    <w:lvl w:ilvl="8" w:tplc="B84CE9C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1F454A9"/>
    <w:multiLevelType w:val="hybridMultilevel"/>
    <w:tmpl w:val="478AFEE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BF5636"/>
    <w:multiLevelType w:val="hybridMultilevel"/>
    <w:tmpl w:val="4F92EB50"/>
    <w:lvl w:ilvl="0" w:tplc="1DFEE3CA">
      <w:start w:val="1"/>
      <w:numFmt w:val="bullet"/>
      <w:lvlText w:val=""/>
      <w:lvlJc w:val="left"/>
      <w:pPr>
        <w:ind w:left="720" w:hanging="360"/>
      </w:pPr>
      <w:rPr>
        <w:rFonts w:ascii="Symbol" w:hAnsi="Symbol"/>
      </w:rPr>
    </w:lvl>
    <w:lvl w:ilvl="1" w:tplc="7BC80400">
      <w:start w:val="1"/>
      <w:numFmt w:val="bullet"/>
      <w:lvlText w:val=""/>
      <w:lvlJc w:val="left"/>
      <w:pPr>
        <w:ind w:left="720" w:hanging="360"/>
      </w:pPr>
      <w:rPr>
        <w:rFonts w:ascii="Symbol" w:hAnsi="Symbol"/>
      </w:rPr>
    </w:lvl>
    <w:lvl w:ilvl="2" w:tplc="E2986B50">
      <w:start w:val="1"/>
      <w:numFmt w:val="bullet"/>
      <w:lvlText w:val=""/>
      <w:lvlJc w:val="left"/>
      <w:pPr>
        <w:ind w:left="720" w:hanging="360"/>
      </w:pPr>
      <w:rPr>
        <w:rFonts w:ascii="Symbol" w:hAnsi="Symbol"/>
      </w:rPr>
    </w:lvl>
    <w:lvl w:ilvl="3" w:tplc="6C66F478">
      <w:start w:val="1"/>
      <w:numFmt w:val="bullet"/>
      <w:lvlText w:val=""/>
      <w:lvlJc w:val="left"/>
      <w:pPr>
        <w:ind w:left="720" w:hanging="360"/>
      </w:pPr>
      <w:rPr>
        <w:rFonts w:ascii="Symbol" w:hAnsi="Symbol"/>
      </w:rPr>
    </w:lvl>
    <w:lvl w:ilvl="4" w:tplc="4EB87462">
      <w:start w:val="1"/>
      <w:numFmt w:val="bullet"/>
      <w:lvlText w:val=""/>
      <w:lvlJc w:val="left"/>
      <w:pPr>
        <w:ind w:left="720" w:hanging="360"/>
      </w:pPr>
      <w:rPr>
        <w:rFonts w:ascii="Symbol" w:hAnsi="Symbol"/>
      </w:rPr>
    </w:lvl>
    <w:lvl w:ilvl="5" w:tplc="33B89782">
      <w:start w:val="1"/>
      <w:numFmt w:val="bullet"/>
      <w:lvlText w:val=""/>
      <w:lvlJc w:val="left"/>
      <w:pPr>
        <w:ind w:left="720" w:hanging="360"/>
      </w:pPr>
      <w:rPr>
        <w:rFonts w:ascii="Symbol" w:hAnsi="Symbol"/>
      </w:rPr>
    </w:lvl>
    <w:lvl w:ilvl="6" w:tplc="D722CE2C">
      <w:start w:val="1"/>
      <w:numFmt w:val="bullet"/>
      <w:lvlText w:val=""/>
      <w:lvlJc w:val="left"/>
      <w:pPr>
        <w:ind w:left="720" w:hanging="360"/>
      </w:pPr>
      <w:rPr>
        <w:rFonts w:ascii="Symbol" w:hAnsi="Symbol"/>
      </w:rPr>
    </w:lvl>
    <w:lvl w:ilvl="7" w:tplc="F5EE53E4">
      <w:start w:val="1"/>
      <w:numFmt w:val="bullet"/>
      <w:lvlText w:val=""/>
      <w:lvlJc w:val="left"/>
      <w:pPr>
        <w:ind w:left="720" w:hanging="360"/>
      </w:pPr>
      <w:rPr>
        <w:rFonts w:ascii="Symbol" w:hAnsi="Symbol"/>
      </w:rPr>
    </w:lvl>
    <w:lvl w:ilvl="8" w:tplc="E8E422FE">
      <w:start w:val="1"/>
      <w:numFmt w:val="bullet"/>
      <w:lvlText w:val=""/>
      <w:lvlJc w:val="left"/>
      <w:pPr>
        <w:ind w:left="720" w:hanging="360"/>
      </w:pPr>
      <w:rPr>
        <w:rFonts w:ascii="Symbol" w:hAnsi="Symbol"/>
      </w:rPr>
    </w:lvl>
  </w:abstractNum>
  <w:abstractNum w:abstractNumId="36" w15:restartNumberingAfterBreak="0">
    <w:nsid w:val="60375E30"/>
    <w:multiLevelType w:val="multilevel"/>
    <w:tmpl w:val="209AFB9E"/>
    <w:lvl w:ilvl="0">
      <w:start w:val="2"/>
      <w:numFmt w:val="decimal"/>
      <w:lvlText w:val="%1"/>
      <w:lvlJc w:val="left"/>
      <w:pPr>
        <w:ind w:left="1420" w:hanging="1420"/>
      </w:pPr>
      <w:rPr>
        <w:rFonts w:hint="default"/>
      </w:rPr>
    </w:lvl>
    <w:lvl w:ilvl="1">
      <w:start w:val="2"/>
      <w:numFmt w:val="decimal"/>
      <w:lvlText w:val="%1.%2"/>
      <w:lvlJc w:val="left"/>
      <w:pPr>
        <w:ind w:left="1420" w:hanging="1420"/>
      </w:pPr>
      <w:rPr>
        <w:rFonts w:hint="default"/>
      </w:rPr>
    </w:lvl>
    <w:lvl w:ilvl="2">
      <w:start w:val="1"/>
      <w:numFmt w:val="decimal"/>
      <w:lvlText w:val="%1.%2.%3"/>
      <w:lvlJc w:val="left"/>
      <w:pPr>
        <w:ind w:left="1420" w:hanging="1420"/>
      </w:pPr>
      <w:rPr>
        <w:rFonts w:hint="default"/>
      </w:rPr>
    </w:lvl>
    <w:lvl w:ilvl="3">
      <w:start w:val="1"/>
      <w:numFmt w:val="decimal"/>
      <w:lvlText w:val="%1.%2.%3.%4"/>
      <w:lvlJc w:val="left"/>
      <w:pPr>
        <w:ind w:left="1420" w:hanging="1420"/>
      </w:pPr>
      <w:rPr>
        <w:rFonts w:hint="default"/>
      </w:rPr>
    </w:lvl>
    <w:lvl w:ilvl="4">
      <w:start w:val="1"/>
      <w:numFmt w:val="decimal"/>
      <w:lvlText w:val="%1.%2.%3.%4.%5"/>
      <w:lvlJc w:val="left"/>
      <w:pPr>
        <w:ind w:left="1420" w:hanging="1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9353D0"/>
    <w:multiLevelType w:val="hybridMultilevel"/>
    <w:tmpl w:val="BB74F35C"/>
    <w:lvl w:ilvl="0" w:tplc="A0AC5198">
      <w:start w:val="2"/>
      <w:numFmt w:val="decimal"/>
      <w:lvlText w:val="%1"/>
      <w:lvlJc w:val="left"/>
      <w:pPr>
        <w:ind w:left="720" w:hanging="720"/>
      </w:pPr>
      <w:rPr>
        <w:rFonts w:cs="Times New Roman (Body CS)" w:hint="default"/>
        <w:color w:val="007449"/>
        <w:sz w:val="4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B17222A"/>
    <w:multiLevelType w:val="multilevel"/>
    <w:tmpl w:val="83F023C0"/>
    <w:lvl w:ilvl="0">
      <w:start w:val="7"/>
      <w:numFmt w:val="decimal"/>
      <w:lvlText w:val="%1."/>
      <w:lvlJc w:val="left"/>
      <w:pPr>
        <w:ind w:left="1446" w:hanging="360"/>
      </w:pPr>
      <w:rPr>
        <w:rFonts w:hint="default"/>
        <w:b/>
        <w:bCs/>
        <w:i w:val="0"/>
        <w:iCs/>
      </w:rPr>
    </w:lvl>
    <w:lvl w:ilvl="1">
      <w:start w:val="1"/>
      <w:numFmt w:val="decimal"/>
      <w:pStyle w:val="Instrumentclauses"/>
      <w:lvlText w:val="%1.%2"/>
      <w:lvlJc w:val="left"/>
      <w:pPr>
        <w:ind w:left="1993" w:hanging="547"/>
      </w:pPr>
      <w:rPr>
        <w:rFonts w:hint="default"/>
        <w:b w:val="0"/>
        <w:bCs w:val="0"/>
        <w:i w:val="0"/>
        <w:iCs/>
      </w:rPr>
    </w:lvl>
    <w:lvl w:ilvl="2">
      <w:start w:val="1"/>
      <w:numFmt w:val="decimal"/>
      <w:lvlText w:val="%1.%2.%3"/>
      <w:lvlJc w:val="left"/>
      <w:pPr>
        <w:ind w:left="2526"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606" w:hanging="1080"/>
      </w:pPr>
      <w:rPr>
        <w:rFonts w:hint="default"/>
      </w:rPr>
    </w:lvl>
    <w:lvl w:ilvl="5">
      <w:start w:val="1"/>
      <w:numFmt w:val="decimal"/>
      <w:lvlText w:val="%1.%2.%3.%4.%5.%6"/>
      <w:lvlJc w:val="left"/>
      <w:pPr>
        <w:ind w:left="4326" w:hanging="144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406" w:hanging="1800"/>
      </w:pPr>
      <w:rPr>
        <w:rFonts w:hint="default"/>
      </w:rPr>
    </w:lvl>
    <w:lvl w:ilvl="8">
      <w:start w:val="1"/>
      <w:numFmt w:val="decimal"/>
      <w:lvlText w:val="%1.%2.%3.%4.%5.%6.%7.%8.%9"/>
      <w:lvlJc w:val="left"/>
      <w:pPr>
        <w:ind w:left="5766" w:hanging="1800"/>
      </w:pPr>
      <w:rPr>
        <w:rFonts w:hint="default"/>
      </w:rPr>
    </w:lvl>
  </w:abstractNum>
  <w:abstractNum w:abstractNumId="39" w15:restartNumberingAfterBreak="0">
    <w:nsid w:val="6C107752"/>
    <w:multiLevelType w:val="hybridMultilevel"/>
    <w:tmpl w:val="C77A3CBE"/>
    <w:lvl w:ilvl="0" w:tplc="B6102306">
      <w:start w:val="1"/>
      <w:numFmt w:val="bullet"/>
      <w:lvlText w:val=""/>
      <w:lvlJc w:val="left"/>
      <w:pPr>
        <w:ind w:left="720" w:hanging="360"/>
      </w:pPr>
      <w:rPr>
        <w:rFonts w:ascii="Symbol" w:hAnsi="Symbol"/>
      </w:rPr>
    </w:lvl>
    <w:lvl w:ilvl="1" w:tplc="F6EC6672">
      <w:start w:val="1"/>
      <w:numFmt w:val="bullet"/>
      <w:lvlText w:val=""/>
      <w:lvlJc w:val="left"/>
      <w:pPr>
        <w:ind w:left="720" w:hanging="360"/>
      </w:pPr>
      <w:rPr>
        <w:rFonts w:ascii="Symbol" w:hAnsi="Symbol"/>
      </w:rPr>
    </w:lvl>
    <w:lvl w:ilvl="2" w:tplc="9C90BB5C">
      <w:start w:val="1"/>
      <w:numFmt w:val="bullet"/>
      <w:lvlText w:val=""/>
      <w:lvlJc w:val="left"/>
      <w:pPr>
        <w:ind w:left="720" w:hanging="360"/>
      </w:pPr>
      <w:rPr>
        <w:rFonts w:ascii="Symbol" w:hAnsi="Symbol"/>
      </w:rPr>
    </w:lvl>
    <w:lvl w:ilvl="3" w:tplc="409C2228">
      <w:start w:val="1"/>
      <w:numFmt w:val="bullet"/>
      <w:lvlText w:val=""/>
      <w:lvlJc w:val="left"/>
      <w:pPr>
        <w:ind w:left="720" w:hanging="360"/>
      </w:pPr>
      <w:rPr>
        <w:rFonts w:ascii="Symbol" w:hAnsi="Symbol"/>
      </w:rPr>
    </w:lvl>
    <w:lvl w:ilvl="4" w:tplc="98EE6F0C">
      <w:start w:val="1"/>
      <w:numFmt w:val="bullet"/>
      <w:lvlText w:val=""/>
      <w:lvlJc w:val="left"/>
      <w:pPr>
        <w:ind w:left="720" w:hanging="360"/>
      </w:pPr>
      <w:rPr>
        <w:rFonts w:ascii="Symbol" w:hAnsi="Symbol"/>
      </w:rPr>
    </w:lvl>
    <w:lvl w:ilvl="5" w:tplc="9340872E">
      <w:start w:val="1"/>
      <w:numFmt w:val="bullet"/>
      <w:lvlText w:val=""/>
      <w:lvlJc w:val="left"/>
      <w:pPr>
        <w:ind w:left="720" w:hanging="360"/>
      </w:pPr>
      <w:rPr>
        <w:rFonts w:ascii="Symbol" w:hAnsi="Symbol"/>
      </w:rPr>
    </w:lvl>
    <w:lvl w:ilvl="6" w:tplc="540A8246">
      <w:start w:val="1"/>
      <w:numFmt w:val="bullet"/>
      <w:lvlText w:val=""/>
      <w:lvlJc w:val="left"/>
      <w:pPr>
        <w:ind w:left="720" w:hanging="360"/>
      </w:pPr>
      <w:rPr>
        <w:rFonts w:ascii="Symbol" w:hAnsi="Symbol"/>
      </w:rPr>
    </w:lvl>
    <w:lvl w:ilvl="7" w:tplc="285A64D8">
      <w:start w:val="1"/>
      <w:numFmt w:val="bullet"/>
      <w:lvlText w:val=""/>
      <w:lvlJc w:val="left"/>
      <w:pPr>
        <w:ind w:left="720" w:hanging="360"/>
      </w:pPr>
      <w:rPr>
        <w:rFonts w:ascii="Symbol" w:hAnsi="Symbol"/>
      </w:rPr>
    </w:lvl>
    <w:lvl w:ilvl="8" w:tplc="2D7A07D4">
      <w:start w:val="1"/>
      <w:numFmt w:val="bullet"/>
      <w:lvlText w:val=""/>
      <w:lvlJc w:val="left"/>
      <w:pPr>
        <w:ind w:left="720" w:hanging="360"/>
      </w:pPr>
      <w:rPr>
        <w:rFonts w:ascii="Symbol" w:hAnsi="Symbol"/>
      </w:rPr>
    </w:lvl>
  </w:abstractNum>
  <w:abstractNum w:abstractNumId="40"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1"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42" w15:restartNumberingAfterBreak="0">
    <w:nsid w:val="74A952C6"/>
    <w:multiLevelType w:val="hybridMultilevel"/>
    <w:tmpl w:val="619ABFDC"/>
    <w:lvl w:ilvl="0" w:tplc="E77897D6">
      <w:start w:val="1"/>
      <w:numFmt w:val="bullet"/>
      <w:lvlText w:val="•"/>
      <w:lvlJc w:val="left"/>
      <w:pPr>
        <w:tabs>
          <w:tab w:val="num" w:pos="720"/>
        </w:tabs>
        <w:ind w:left="720" w:hanging="360"/>
      </w:pPr>
      <w:rPr>
        <w:rFonts w:ascii="Arial" w:hAnsi="Arial" w:hint="default"/>
      </w:rPr>
    </w:lvl>
    <w:lvl w:ilvl="1" w:tplc="7F40185C" w:tentative="1">
      <w:start w:val="1"/>
      <w:numFmt w:val="bullet"/>
      <w:lvlText w:val="•"/>
      <w:lvlJc w:val="left"/>
      <w:pPr>
        <w:tabs>
          <w:tab w:val="num" w:pos="1440"/>
        </w:tabs>
        <w:ind w:left="1440" w:hanging="360"/>
      </w:pPr>
      <w:rPr>
        <w:rFonts w:ascii="Arial" w:hAnsi="Arial" w:hint="default"/>
      </w:rPr>
    </w:lvl>
    <w:lvl w:ilvl="2" w:tplc="E8A22988" w:tentative="1">
      <w:start w:val="1"/>
      <w:numFmt w:val="bullet"/>
      <w:lvlText w:val="•"/>
      <w:lvlJc w:val="left"/>
      <w:pPr>
        <w:tabs>
          <w:tab w:val="num" w:pos="2160"/>
        </w:tabs>
        <w:ind w:left="2160" w:hanging="360"/>
      </w:pPr>
      <w:rPr>
        <w:rFonts w:ascii="Arial" w:hAnsi="Arial" w:hint="default"/>
      </w:rPr>
    </w:lvl>
    <w:lvl w:ilvl="3" w:tplc="A262F342" w:tentative="1">
      <w:start w:val="1"/>
      <w:numFmt w:val="bullet"/>
      <w:lvlText w:val="•"/>
      <w:lvlJc w:val="left"/>
      <w:pPr>
        <w:tabs>
          <w:tab w:val="num" w:pos="2880"/>
        </w:tabs>
        <w:ind w:left="2880" w:hanging="360"/>
      </w:pPr>
      <w:rPr>
        <w:rFonts w:ascii="Arial" w:hAnsi="Arial" w:hint="default"/>
      </w:rPr>
    </w:lvl>
    <w:lvl w:ilvl="4" w:tplc="C6EE4994" w:tentative="1">
      <w:start w:val="1"/>
      <w:numFmt w:val="bullet"/>
      <w:lvlText w:val="•"/>
      <w:lvlJc w:val="left"/>
      <w:pPr>
        <w:tabs>
          <w:tab w:val="num" w:pos="3600"/>
        </w:tabs>
        <w:ind w:left="3600" w:hanging="360"/>
      </w:pPr>
      <w:rPr>
        <w:rFonts w:ascii="Arial" w:hAnsi="Arial" w:hint="default"/>
      </w:rPr>
    </w:lvl>
    <w:lvl w:ilvl="5" w:tplc="FF7CD450" w:tentative="1">
      <w:start w:val="1"/>
      <w:numFmt w:val="bullet"/>
      <w:lvlText w:val="•"/>
      <w:lvlJc w:val="left"/>
      <w:pPr>
        <w:tabs>
          <w:tab w:val="num" w:pos="4320"/>
        </w:tabs>
        <w:ind w:left="4320" w:hanging="360"/>
      </w:pPr>
      <w:rPr>
        <w:rFonts w:ascii="Arial" w:hAnsi="Arial" w:hint="default"/>
      </w:rPr>
    </w:lvl>
    <w:lvl w:ilvl="6" w:tplc="7EC0F4A2" w:tentative="1">
      <w:start w:val="1"/>
      <w:numFmt w:val="bullet"/>
      <w:lvlText w:val="•"/>
      <w:lvlJc w:val="left"/>
      <w:pPr>
        <w:tabs>
          <w:tab w:val="num" w:pos="5040"/>
        </w:tabs>
        <w:ind w:left="5040" w:hanging="360"/>
      </w:pPr>
      <w:rPr>
        <w:rFonts w:ascii="Arial" w:hAnsi="Arial" w:hint="default"/>
      </w:rPr>
    </w:lvl>
    <w:lvl w:ilvl="7" w:tplc="7B1EC31E" w:tentative="1">
      <w:start w:val="1"/>
      <w:numFmt w:val="bullet"/>
      <w:lvlText w:val="•"/>
      <w:lvlJc w:val="left"/>
      <w:pPr>
        <w:tabs>
          <w:tab w:val="num" w:pos="5760"/>
        </w:tabs>
        <w:ind w:left="5760" w:hanging="360"/>
      </w:pPr>
      <w:rPr>
        <w:rFonts w:ascii="Arial" w:hAnsi="Arial" w:hint="default"/>
      </w:rPr>
    </w:lvl>
    <w:lvl w:ilvl="8" w:tplc="FFF27DC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821E95"/>
    <w:multiLevelType w:val="hybridMultilevel"/>
    <w:tmpl w:val="0CA6903A"/>
    <w:lvl w:ilvl="0" w:tplc="399678B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77100944">
    <w:abstractNumId w:val="44"/>
  </w:num>
  <w:num w:numId="2" w16cid:durableId="1953441793">
    <w:abstractNumId w:val="34"/>
  </w:num>
  <w:num w:numId="3" w16cid:durableId="1206020245">
    <w:abstractNumId w:val="9"/>
  </w:num>
  <w:num w:numId="4" w16cid:durableId="620577822">
    <w:abstractNumId w:val="7"/>
  </w:num>
  <w:num w:numId="5" w16cid:durableId="172234134">
    <w:abstractNumId w:val="6"/>
  </w:num>
  <w:num w:numId="6" w16cid:durableId="1797332868">
    <w:abstractNumId w:val="5"/>
  </w:num>
  <w:num w:numId="7" w16cid:durableId="1655646921">
    <w:abstractNumId w:val="4"/>
  </w:num>
  <w:num w:numId="8" w16cid:durableId="1007756396">
    <w:abstractNumId w:val="8"/>
  </w:num>
  <w:num w:numId="9" w16cid:durableId="116219982">
    <w:abstractNumId w:val="3"/>
  </w:num>
  <w:num w:numId="10" w16cid:durableId="650909958">
    <w:abstractNumId w:val="2"/>
  </w:num>
  <w:num w:numId="11" w16cid:durableId="1624996025">
    <w:abstractNumId w:val="1"/>
  </w:num>
  <w:num w:numId="12" w16cid:durableId="1579943623">
    <w:abstractNumId w:val="0"/>
  </w:num>
  <w:num w:numId="13" w16cid:durableId="1624924389">
    <w:abstractNumId w:val="16"/>
  </w:num>
  <w:num w:numId="14" w16cid:durableId="645203542">
    <w:abstractNumId w:val="38"/>
  </w:num>
  <w:num w:numId="15" w16cid:durableId="742407621">
    <w:abstractNumId w:val="20"/>
  </w:num>
  <w:num w:numId="16" w16cid:durableId="944506084">
    <w:abstractNumId w:val="41"/>
  </w:num>
  <w:num w:numId="17" w16cid:durableId="1352533976">
    <w:abstractNumId w:val="21"/>
  </w:num>
  <w:num w:numId="18" w16cid:durableId="885987386">
    <w:abstractNumId w:val="24"/>
  </w:num>
  <w:num w:numId="19" w16cid:durableId="449739243">
    <w:abstractNumId w:val="15"/>
  </w:num>
  <w:num w:numId="20" w16cid:durableId="1735228890">
    <w:abstractNumId w:val="12"/>
  </w:num>
  <w:num w:numId="21" w16cid:durableId="1927305260">
    <w:abstractNumId w:val="43"/>
  </w:num>
  <w:num w:numId="22" w16cid:durableId="1689721676">
    <w:abstractNumId w:val="40"/>
  </w:num>
  <w:num w:numId="23" w16cid:durableId="1719889902">
    <w:abstractNumId w:val="27"/>
  </w:num>
  <w:num w:numId="24" w16cid:durableId="223833550">
    <w:abstractNumId w:val="23"/>
  </w:num>
  <w:num w:numId="25" w16cid:durableId="1818692625">
    <w:abstractNumId w:val="30"/>
  </w:num>
  <w:num w:numId="26" w16cid:durableId="2090612137">
    <w:abstractNumId w:val="44"/>
  </w:num>
  <w:num w:numId="27" w16cid:durableId="2143034352">
    <w:abstractNumId w:val="11"/>
  </w:num>
  <w:num w:numId="28" w16cid:durableId="903613046">
    <w:abstractNumId w:val="32"/>
  </w:num>
  <w:num w:numId="29" w16cid:durableId="484275577">
    <w:abstractNumId w:val="17"/>
  </w:num>
  <w:num w:numId="30" w16cid:durableId="1810979481">
    <w:abstractNumId w:val="44"/>
  </w:num>
  <w:num w:numId="31" w16cid:durableId="290477548">
    <w:abstractNumId w:val="44"/>
  </w:num>
  <w:num w:numId="32" w16cid:durableId="1175261748">
    <w:abstractNumId w:val="44"/>
  </w:num>
  <w:num w:numId="33" w16cid:durableId="614025663">
    <w:abstractNumId w:val="44"/>
  </w:num>
  <w:num w:numId="34" w16cid:durableId="1670863939">
    <w:abstractNumId w:val="10"/>
  </w:num>
  <w:num w:numId="35" w16cid:durableId="586882439">
    <w:abstractNumId w:val="26"/>
  </w:num>
  <w:num w:numId="36" w16cid:durableId="1606231904">
    <w:abstractNumId w:val="33"/>
  </w:num>
  <w:num w:numId="37" w16cid:durableId="1834908147">
    <w:abstractNumId w:val="14"/>
  </w:num>
  <w:num w:numId="38" w16cid:durableId="2014019376">
    <w:abstractNumId w:val="35"/>
  </w:num>
  <w:num w:numId="39" w16cid:durableId="944265105">
    <w:abstractNumId w:val="18"/>
  </w:num>
  <w:num w:numId="40" w16cid:durableId="1282810185">
    <w:abstractNumId w:val="39"/>
  </w:num>
  <w:num w:numId="41" w16cid:durableId="1387993944">
    <w:abstractNumId w:val="22"/>
  </w:num>
  <w:num w:numId="42" w16cid:durableId="280575388">
    <w:abstractNumId w:val="37"/>
  </w:num>
  <w:num w:numId="43" w16cid:durableId="908928396">
    <w:abstractNumId w:val="36"/>
  </w:num>
  <w:num w:numId="44" w16cid:durableId="2054767727">
    <w:abstractNumId w:val="25"/>
  </w:num>
  <w:num w:numId="45" w16cid:durableId="1145052663">
    <w:abstractNumId w:val="19"/>
  </w:num>
  <w:num w:numId="46" w16cid:durableId="1246260645">
    <w:abstractNumId w:val="13"/>
  </w:num>
  <w:num w:numId="47" w16cid:durableId="1665862215">
    <w:abstractNumId w:val="31"/>
  </w:num>
  <w:num w:numId="48" w16cid:durableId="1527869009">
    <w:abstractNumId w:val="42"/>
  </w:num>
  <w:num w:numId="49" w16cid:durableId="1811634394">
    <w:abstractNumId w:val="29"/>
  </w:num>
  <w:num w:numId="50" w16cid:durableId="94780810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30"/>
  <w:displayBackgroundShape/>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1DC"/>
    <w:rsid w:val="00000354"/>
    <w:rsid w:val="00000378"/>
    <w:rsid w:val="0000050A"/>
    <w:rsid w:val="0000051C"/>
    <w:rsid w:val="00000724"/>
    <w:rsid w:val="0000076B"/>
    <w:rsid w:val="00000870"/>
    <w:rsid w:val="00000892"/>
    <w:rsid w:val="000008AA"/>
    <w:rsid w:val="000008B2"/>
    <w:rsid w:val="0000090E"/>
    <w:rsid w:val="000009A2"/>
    <w:rsid w:val="00000A16"/>
    <w:rsid w:val="00000AE4"/>
    <w:rsid w:val="00000AEE"/>
    <w:rsid w:val="00000B61"/>
    <w:rsid w:val="00000B97"/>
    <w:rsid w:val="00000C1F"/>
    <w:rsid w:val="00000E9F"/>
    <w:rsid w:val="00000F98"/>
    <w:rsid w:val="00001014"/>
    <w:rsid w:val="0000108C"/>
    <w:rsid w:val="000010D6"/>
    <w:rsid w:val="00001145"/>
    <w:rsid w:val="00001245"/>
    <w:rsid w:val="000013F4"/>
    <w:rsid w:val="00001481"/>
    <w:rsid w:val="000015E7"/>
    <w:rsid w:val="00001716"/>
    <w:rsid w:val="000017D2"/>
    <w:rsid w:val="00001913"/>
    <w:rsid w:val="00001A68"/>
    <w:rsid w:val="00001BC7"/>
    <w:rsid w:val="00001C07"/>
    <w:rsid w:val="00001D42"/>
    <w:rsid w:val="00001D6D"/>
    <w:rsid w:val="00001E28"/>
    <w:rsid w:val="00001EE1"/>
    <w:rsid w:val="00001F08"/>
    <w:rsid w:val="00001F9F"/>
    <w:rsid w:val="00001FCD"/>
    <w:rsid w:val="00002114"/>
    <w:rsid w:val="00002344"/>
    <w:rsid w:val="00002391"/>
    <w:rsid w:val="000024AC"/>
    <w:rsid w:val="0000253A"/>
    <w:rsid w:val="00002541"/>
    <w:rsid w:val="00002549"/>
    <w:rsid w:val="0000256C"/>
    <w:rsid w:val="00002605"/>
    <w:rsid w:val="0000261B"/>
    <w:rsid w:val="0000273D"/>
    <w:rsid w:val="000027A7"/>
    <w:rsid w:val="0000293F"/>
    <w:rsid w:val="00002943"/>
    <w:rsid w:val="00002A77"/>
    <w:rsid w:val="00002AEB"/>
    <w:rsid w:val="00002B79"/>
    <w:rsid w:val="00002CD7"/>
    <w:rsid w:val="00002D24"/>
    <w:rsid w:val="00002E5D"/>
    <w:rsid w:val="000030FB"/>
    <w:rsid w:val="0000312C"/>
    <w:rsid w:val="000032D9"/>
    <w:rsid w:val="0000332A"/>
    <w:rsid w:val="0000345A"/>
    <w:rsid w:val="00003462"/>
    <w:rsid w:val="00003597"/>
    <w:rsid w:val="00003617"/>
    <w:rsid w:val="00003649"/>
    <w:rsid w:val="000036ED"/>
    <w:rsid w:val="00003712"/>
    <w:rsid w:val="00003726"/>
    <w:rsid w:val="00003759"/>
    <w:rsid w:val="000037B5"/>
    <w:rsid w:val="000037E9"/>
    <w:rsid w:val="000037F3"/>
    <w:rsid w:val="0000388F"/>
    <w:rsid w:val="00003914"/>
    <w:rsid w:val="00003AA0"/>
    <w:rsid w:val="00003C05"/>
    <w:rsid w:val="00003C08"/>
    <w:rsid w:val="00003CEA"/>
    <w:rsid w:val="00003D77"/>
    <w:rsid w:val="00003DD7"/>
    <w:rsid w:val="00003E34"/>
    <w:rsid w:val="00003E65"/>
    <w:rsid w:val="00004012"/>
    <w:rsid w:val="00004020"/>
    <w:rsid w:val="0000407E"/>
    <w:rsid w:val="00004177"/>
    <w:rsid w:val="00004220"/>
    <w:rsid w:val="000042B5"/>
    <w:rsid w:val="00004397"/>
    <w:rsid w:val="000043BD"/>
    <w:rsid w:val="00004421"/>
    <w:rsid w:val="0000453D"/>
    <w:rsid w:val="0000457B"/>
    <w:rsid w:val="00004682"/>
    <w:rsid w:val="000049B4"/>
    <w:rsid w:val="000049C3"/>
    <w:rsid w:val="00004A24"/>
    <w:rsid w:val="00004AFF"/>
    <w:rsid w:val="00004B64"/>
    <w:rsid w:val="00004B87"/>
    <w:rsid w:val="00004C19"/>
    <w:rsid w:val="00004C7B"/>
    <w:rsid w:val="00004F53"/>
    <w:rsid w:val="00005000"/>
    <w:rsid w:val="00005058"/>
    <w:rsid w:val="00005146"/>
    <w:rsid w:val="0000514C"/>
    <w:rsid w:val="000051AA"/>
    <w:rsid w:val="00005275"/>
    <w:rsid w:val="000052D7"/>
    <w:rsid w:val="0000530C"/>
    <w:rsid w:val="00005323"/>
    <w:rsid w:val="000055BE"/>
    <w:rsid w:val="00005732"/>
    <w:rsid w:val="0000585E"/>
    <w:rsid w:val="00005919"/>
    <w:rsid w:val="00005921"/>
    <w:rsid w:val="0000596F"/>
    <w:rsid w:val="00005990"/>
    <w:rsid w:val="00005B92"/>
    <w:rsid w:val="00005B9A"/>
    <w:rsid w:val="00005D9C"/>
    <w:rsid w:val="00005E91"/>
    <w:rsid w:val="00006054"/>
    <w:rsid w:val="00006074"/>
    <w:rsid w:val="0000610C"/>
    <w:rsid w:val="00006253"/>
    <w:rsid w:val="00006294"/>
    <w:rsid w:val="000062DB"/>
    <w:rsid w:val="00006324"/>
    <w:rsid w:val="00006333"/>
    <w:rsid w:val="000063AD"/>
    <w:rsid w:val="000063C3"/>
    <w:rsid w:val="0000646F"/>
    <w:rsid w:val="00006530"/>
    <w:rsid w:val="00006553"/>
    <w:rsid w:val="0000655F"/>
    <w:rsid w:val="00006599"/>
    <w:rsid w:val="000065C1"/>
    <w:rsid w:val="000065F6"/>
    <w:rsid w:val="00006699"/>
    <w:rsid w:val="0000682E"/>
    <w:rsid w:val="0000692D"/>
    <w:rsid w:val="00006CCD"/>
    <w:rsid w:val="00006D62"/>
    <w:rsid w:val="00006D76"/>
    <w:rsid w:val="00006F88"/>
    <w:rsid w:val="0000702D"/>
    <w:rsid w:val="00007205"/>
    <w:rsid w:val="000072C0"/>
    <w:rsid w:val="0000734C"/>
    <w:rsid w:val="000073D2"/>
    <w:rsid w:val="00007578"/>
    <w:rsid w:val="0000779E"/>
    <w:rsid w:val="00007979"/>
    <w:rsid w:val="000079FD"/>
    <w:rsid w:val="00007A9E"/>
    <w:rsid w:val="00007B58"/>
    <w:rsid w:val="00007BEE"/>
    <w:rsid w:val="00007D97"/>
    <w:rsid w:val="00007D99"/>
    <w:rsid w:val="00007DFA"/>
    <w:rsid w:val="00007E59"/>
    <w:rsid w:val="000100E5"/>
    <w:rsid w:val="00010299"/>
    <w:rsid w:val="0001036F"/>
    <w:rsid w:val="0001058B"/>
    <w:rsid w:val="000105C4"/>
    <w:rsid w:val="00010675"/>
    <w:rsid w:val="000107CE"/>
    <w:rsid w:val="000109C8"/>
    <w:rsid w:val="00010A70"/>
    <w:rsid w:val="00010AEA"/>
    <w:rsid w:val="00010B6A"/>
    <w:rsid w:val="00010C38"/>
    <w:rsid w:val="00010D43"/>
    <w:rsid w:val="00010D8D"/>
    <w:rsid w:val="00010E3D"/>
    <w:rsid w:val="00010EFB"/>
    <w:rsid w:val="00010F28"/>
    <w:rsid w:val="000110B7"/>
    <w:rsid w:val="000110B9"/>
    <w:rsid w:val="00011181"/>
    <w:rsid w:val="00011378"/>
    <w:rsid w:val="00011596"/>
    <w:rsid w:val="000115DF"/>
    <w:rsid w:val="00011701"/>
    <w:rsid w:val="0001181E"/>
    <w:rsid w:val="00011864"/>
    <w:rsid w:val="000118D0"/>
    <w:rsid w:val="0001194E"/>
    <w:rsid w:val="00011CCC"/>
    <w:rsid w:val="00011E97"/>
    <w:rsid w:val="000120E8"/>
    <w:rsid w:val="00012188"/>
    <w:rsid w:val="00012194"/>
    <w:rsid w:val="000121F8"/>
    <w:rsid w:val="00012257"/>
    <w:rsid w:val="000122E6"/>
    <w:rsid w:val="000122EA"/>
    <w:rsid w:val="00012378"/>
    <w:rsid w:val="000123D7"/>
    <w:rsid w:val="00012467"/>
    <w:rsid w:val="00012494"/>
    <w:rsid w:val="0001253B"/>
    <w:rsid w:val="000125F0"/>
    <w:rsid w:val="000126E5"/>
    <w:rsid w:val="00012864"/>
    <w:rsid w:val="00012903"/>
    <w:rsid w:val="000129A9"/>
    <w:rsid w:val="000129C8"/>
    <w:rsid w:val="00012C11"/>
    <w:rsid w:val="00012C6D"/>
    <w:rsid w:val="00012ED4"/>
    <w:rsid w:val="00012EE8"/>
    <w:rsid w:val="00012FCF"/>
    <w:rsid w:val="0001308A"/>
    <w:rsid w:val="000130EF"/>
    <w:rsid w:val="0001367F"/>
    <w:rsid w:val="0001372A"/>
    <w:rsid w:val="00013912"/>
    <w:rsid w:val="00013B13"/>
    <w:rsid w:val="00013BAA"/>
    <w:rsid w:val="00013BEF"/>
    <w:rsid w:val="00013C66"/>
    <w:rsid w:val="00013D7D"/>
    <w:rsid w:val="0001406F"/>
    <w:rsid w:val="000143DB"/>
    <w:rsid w:val="000143FC"/>
    <w:rsid w:val="000145FA"/>
    <w:rsid w:val="0001465C"/>
    <w:rsid w:val="00014691"/>
    <w:rsid w:val="000147A0"/>
    <w:rsid w:val="000148E9"/>
    <w:rsid w:val="0001499F"/>
    <w:rsid w:val="00014DA1"/>
    <w:rsid w:val="00014DEF"/>
    <w:rsid w:val="00014E4F"/>
    <w:rsid w:val="00014ED5"/>
    <w:rsid w:val="00014FB5"/>
    <w:rsid w:val="00015074"/>
    <w:rsid w:val="000151C7"/>
    <w:rsid w:val="00015377"/>
    <w:rsid w:val="000153FC"/>
    <w:rsid w:val="00015475"/>
    <w:rsid w:val="00015680"/>
    <w:rsid w:val="00015739"/>
    <w:rsid w:val="000157BD"/>
    <w:rsid w:val="00015A39"/>
    <w:rsid w:val="00015BD6"/>
    <w:rsid w:val="00015C12"/>
    <w:rsid w:val="00015CD3"/>
    <w:rsid w:val="00015D28"/>
    <w:rsid w:val="00015D37"/>
    <w:rsid w:val="00015D82"/>
    <w:rsid w:val="00015EB9"/>
    <w:rsid w:val="00015FCB"/>
    <w:rsid w:val="00015FE8"/>
    <w:rsid w:val="0001608A"/>
    <w:rsid w:val="0001611F"/>
    <w:rsid w:val="00016261"/>
    <w:rsid w:val="0001628D"/>
    <w:rsid w:val="000162EE"/>
    <w:rsid w:val="00016377"/>
    <w:rsid w:val="00016507"/>
    <w:rsid w:val="0001655B"/>
    <w:rsid w:val="0001663C"/>
    <w:rsid w:val="000166FC"/>
    <w:rsid w:val="0001670D"/>
    <w:rsid w:val="000167B9"/>
    <w:rsid w:val="00016D87"/>
    <w:rsid w:val="00017083"/>
    <w:rsid w:val="000170F1"/>
    <w:rsid w:val="000170F2"/>
    <w:rsid w:val="0001713F"/>
    <w:rsid w:val="000171EC"/>
    <w:rsid w:val="000172EC"/>
    <w:rsid w:val="000173F5"/>
    <w:rsid w:val="000174BC"/>
    <w:rsid w:val="00017803"/>
    <w:rsid w:val="0001786E"/>
    <w:rsid w:val="00017A6E"/>
    <w:rsid w:val="00017A82"/>
    <w:rsid w:val="00017AC4"/>
    <w:rsid w:val="00017CB6"/>
    <w:rsid w:val="00017D4D"/>
    <w:rsid w:val="00017EAD"/>
    <w:rsid w:val="00017EB6"/>
    <w:rsid w:val="00020098"/>
    <w:rsid w:val="00020179"/>
    <w:rsid w:val="000201A2"/>
    <w:rsid w:val="00020206"/>
    <w:rsid w:val="0002025C"/>
    <w:rsid w:val="00020266"/>
    <w:rsid w:val="000202A0"/>
    <w:rsid w:val="00020301"/>
    <w:rsid w:val="0002035F"/>
    <w:rsid w:val="000204D4"/>
    <w:rsid w:val="0002051F"/>
    <w:rsid w:val="0002052F"/>
    <w:rsid w:val="000205D1"/>
    <w:rsid w:val="000205FD"/>
    <w:rsid w:val="00020614"/>
    <w:rsid w:val="00020AB8"/>
    <w:rsid w:val="00020B83"/>
    <w:rsid w:val="00020BBA"/>
    <w:rsid w:val="00020BC0"/>
    <w:rsid w:val="00020D1C"/>
    <w:rsid w:val="00020D24"/>
    <w:rsid w:val="00020D7F"/>
    <w:rsid w:val="00020DD4"/>
    <w:rsid w:val="00020E2F"/>
    <w:rsid w:val="00020F31"/>
    <w:rsid w:val="00020F43"/>
    <w:rsid w:val="00021079"/>
    <w:rsid w:val="00021102"/>
    <w:rsid w:val="0002113C"/>
    <w:rsid w:val="000212F6"/>
    <w:rsid w:val="0002140D"/>
    <w:rsid w:val="0002149B"/>
    <w:rsid w:val="0002153A"/>
    <w:rsid w:val="0002157C"/>
    <w:rsid w:val="00021636"/>
    <w:rsid w:val="0002171B"/>
    <w:rsid w:val="0002180C"/>
    <w:rsid w:val="00021A62"/>
    <w:rsid w:val="00021B46"/>
    <w:rsid w:val="00021D76"/>
    <w:rsid w:val="0002204C"/>
    <w:rsid w:val="000220AB"/>
    <w:rsid w:val="0002228E"/>
    <w:rsid w:val="00022325"/>
    <w:rsid w:val="00022467"/>
    <w:rsid w:val="000226F9"/>
    <w:rsid w:val="00022781"/>
    <w:rsid w:val="000227FB"/>
    <w:rsid w:val="00022818"/>
    <w:rsid w:val="00022AE1"/>
    <w:rsid w:val="00022B70"/>
    <w:rsid w:val="00022EDA"/>
    <w:rsid w:val="00022EFB"/>
    <w:rsid w:val="00023034"/>
    <w:rsid w:val="00023064"/>
    <w:rsid w:val="0002310F"/>
    <w:rsid w:val="00023146"/>
    <w:rsid w:val="0002316B"/>
    <w:rsid w:val="000231BC"/>
    <w:rsid w:val="0002328B"/>
    <w:rsid w:val="000232D5"/>
    <w:rsid w:val="0002350E"/>
    <w:rsid w:val="00023547"/>
    <w:rsid w:val="000235C3"/>
    <w:rsid w:val="00023773"/>
    <w:rsid w:val="0002378A"/>
    <w:rsid w:val="000237D0"/>
    <w:rsid w:val="000238E3"/>
    <w:rsid w:val="000238F4"/>
    <w:rsid w:val="00023A55"/>
    <w:rsid w:val="00023B9D"/>
    <w:rsid w:val="00023BB2"/>
    <w:rsid w:val="00023D36"/>
    <w:rsid w:val="00023DFB"/>
    <w:rsid w:val="00023F4D"/>
    <w:rsid w:val="00023FB4"/>
    <w:rsid w:val="000240AC"/>
    <w:rsid w:val="00024447"/>
    <w:rsid w:val="000245FE"/>
    <w:rsid w:val="00024698"/>
    <w:rsid w:val="000246DD"/>
    <w:rsid w:val="000246F7"/>
    <w:rsid w:val="000248AD"/>
    <w:rsid w:val="00024929"/>
    <w:rsid w:val="00024A45"/>
    <w:rsid w:val="00024B96"/>
    <w:rsid w:val="00024C72"/>
    <w:rsid w:val="00024DCD"/>
    <w:rsid w:val="00024EA8"/>
    <w:rsid w:val="00024F18"/>
    <w:rsid w:val="00024FA4"/>
    <w:rsid w:val="00024FCE"/>
    <w:rsid w:val="00024FDF"/>
    <w:rsid w:val="000250BD"/>
    <w:rsid w:val="000250C2"/>
    <w:rsid w:val="0002519C"/>
    <w:rsid w:val="00025281"/>
    <w:rsid w:val="000252E8"/>
    <w:rsid w:val="0002534A"/>
    <w:rsid w:val="00025456"/>
    <w:rsid w:val="0002584F"/>
    <w:rsid w:val="000258C2"/>
    <w:rsid w:val="00025AE8"/>
    <w:rsid w:val="00025BD7"/>
    <w:rsid w:val="00025D64"/>
    <w:rsid w:val="00025DF9"/>
    <w:rsid w:val="00025E22"/>
    <w:rsid w:val="00025E4C"/>
    <w:rsid w:val="00025ED1"/>
    <w:rsid w:val="00025EF8"/>
    <w:rsid w:val="00025F6F"/>
    <w:rsid w:val="00025FA9"/>
    <w:rsid w:val="0002628F"/>
    <w:rsid w:val="000263BA"/>
    <w:rsid w:val="000263CA"/>
    <w:rsid w:val="0002644C"/>
    <w:rsid w:val="0002655F"/>
    <w:rsid w:val="000265CF"/>
    <w:rsid w:val="00026667"/>
    <w:rsid w:val="000266C6"/>
    <w:rsid w:val="00026702"/>
    <w:rsid w:val="00026775"/>
    <w:rsid w:val="0002690E"/>
    <w:rsid w:val="00026A65"/>
    <w:rsid w:val="00026B30"/>
    <w:rsid w:val="00026BA0"/>
    <w:rsid w:val="00026BA7"/>
    <w:rsid w:val="00026DD1"/>
    <w:rsid w:val="00026EB0"/>
    <w:rsid w:val="00026FC0"/>
    <w:rsid w:val="000270A6"/>
    <w:rsid w:val="000271BB"/>
    <w:rsid w:val="0002721C"/>
    <w:rsid w:val="00027463"/>
    <w:rsid w:val="000274FF"/>
    <w:rsid w:val="000275DE"/>
    <w:rsid w:val="000276CD"/>
    <w:rsid w:val="000277AD"/>
    <w:rsid w:val="000277C6"/>
    <w:rsid w:val="00027867"/>
    <w:rsid w:val="00027B19"/>
    <w:rsid w:val="00027C11"/>
    <w:rsid w:val="00027E30"/>
    <w:rsid w:val="00027F74"/>
    <w:rsid w:val="00027FE9"/>
    <w:rsid w:val="0003001D"/>
    <w:rsid w:val="000301FC"/>
    <w:rsid w:val="00030285"/>
    <w:rsid w:val="00030316"/>
    <w:rsid w:val="00030332"/>
    <w:rsid w:val="000303D6"/>
    <w:rsid w:val="0003058D"/>
    <w:rsid w:val="00030713"/>
    <w:rsid w:val="0003076D"/>
    <w:rsid w:val="00030926"/>
    <w:rsid w:val="00030AB3"/>
    <w:rsid w:val="00030AD7"/>
    <w:rsid w:val="00030E02"/>
    <w:rsid w:val="00030E0C"/>
    <w:rsid w:val="00030F28"/>
    <w:rsid w:val="00030F86"/>
    <w:rsid w:val="000311AE"/>
    <w:rsid w:val="0003124F"/>
    <w:rsid w:val="00031309"/>
    <w:rsid w:val="0003135A"/>
    <w:rsid w:val="00031437"/>
    <w:rsid w:val="000314CB"/>
    <w:rsid w:val="000315FA"/>
    <w:rsid w:val="000316DF"/>
    <w:rsid w:val="00031856"/>
    <w:rsid w:val="000318C1"/>
    <w:rsid w:val="00031BCB"/>
    <w:rsid w:val="00031C39"/>
    <w:rsid w:val="00031DAD"/>
    <w:rsid w:val="00031E28"/>
    <w:rsid w:val="00031E89"/>
    <w:rsid w:val="00031EEB"/>
    <w:rsid w:val="00032068"/>
    <w:rsid w:val="000320C9"/>
    <w:rsid w:val="000320F3"/>
    <w:rsid w:val="00032165"/>
    <w:rsid w:val="00032268"/>
    <w:rsid w:val="000322B6"/>
    <w:rsid w:val="000323D6"/>
    <w:rsid w:val="00032652"/>
    <w:rsid w:val="0003285C"/>
    <w:rsid w:val="000329D1"/>
    <w:rsid w:val="00032A8A"/>
    <w:rsid w:val="00032C65"/>
    <w:rsid w:val="00032D5B"/>
    <w:rsid w:val="00032D92"/>
    <w:rsid w:val="00032E89"/>
    <w:rsid w:val="00032EC5"/>
    <w:rsid w:val="00033039"/>
    <w:rsid w:val="000330E0"/>
    <w:rsid w:val="00033198"/>
    <w:rsid w:val="0003326B"/>
    <w:rsid w:val="000332A0"/>
    <w:rsid w:val="000332F3"/>
    <w:rsid w:val="000333A1"/>
    <w:rsid w:val="00033448"/>
    <w:rsid w:val="00033453"/>
    <w:rsid w:val="00033473"/>
    <w:rsid w:val="000334B2"/>
    <w:rsid w:val="00033556"/>
    <w:rsid w:val="000335AC"/>
    <w:rsid w:val="000335EA"/>
    <w:rsid w:val="00033621"/>
    <w:rsid w:val="0003367E"/>
    <w:rsid w:val="00033713"/>
    <w:rsid w:val="00033734"/>
    <w:rsid w:val="000337A8"/>
    <w:rsid w:val="00033923"/>
    <w:rsid w:val="000339D8"/>
    <w:rsid w:val="00033AB7"/>
    <w:rsid w:val="00033D4B"/>
    <w:rsid w:val="00033DEA"/>
    <w:rsid w:val="00033E19"/>
    <w:rsid w:val="00033E26"/>
    <w:rsid w:val="00033E68"/>
    <w:rsid w:val="00033F0F"/>
    <w:rsid w:val="00033FE6"/>
    <w:rsid w:val="00034022"/>
    <w:rsid w:val="00034054"/>
    <w:rsid w:val="000340D0"/>
    <w:rsid w:val="00034156"/>
    <w:rsid w:val="00034283"/>
    <w:rsid w:val="000342BC"/>
    <w:rsid w:val="000343D1"/>
    <w:rsid w:val="000345A5"/>
    <w:rsid w:val="000345BE"/>
    <w:rsid w:val="000346E6"/>
    <w:rsid w:val="00034703"/>
    <w:rsid w:val="0003471D"/>
    <w:rsid w:val="00034829"/>
    <w:rsid w:val="00034AAE"/>
    <w:rsid w:val="00034DB1"/>
    <w:rsid w:val="00034DD7"/>
    <w:rsid w:val="00034F08"/>
    <w:rsid w:val="00035098"/>
    <w:rsid w:val="000350AE"/>
    <w:rsid w:val="0003520A"/>
    <w:rsid w:val="00035288"/>
    <w:rsid w:val="0003535A"/>
    <w:rsid w:val="00035375"/>
    <w:rsid w:val="000353BD"/>
    <w:rsid w:val="00035661"/>
    <w:rsid w:val="000356E4"/>
    <w:rsid w:val="000357BB"/>
    <w:rsid w:val="00035960"/>
    <w:rsid w:val="00035991"/>
    <w:rsid w:val="000359A3"/>
    <w:rsid w:val="000359C8"/>
    <w:rsid w:val="00035A98"/>
    <w:rsid w:val="00035B86"/>
    <w:rsid w:val="00035E59"/>
    <w:rsid w:val="00036027"/>
    <w:rsid w:val="0003607F"/>
    <w:rsid w:val="00036227"/>
    <w:rsid w:val="00036298"/>
    <w:rsid w:val="0003643D"/>
    <w:rsid w:val="000364FF"/>
    <w:rsid w:val="000366FD"/>
    <w:rsid w:val="0003672D"/>
    <w:rsid w:val="0003677B"/>
    <w:rsid w:val="0003681B"/>
    <w:rsid w:val="0003692B"/>
    <w:rsid w:val="00036A79"/>
    <w:rsid w:val="00036A7D"/>
    <w:rsid w:val="00036C0B"/>
    <w:rsid w:val="00036DC6"/>
    <w:rsid w:val="00036DF8"/>
    <w:rsid w:val="00036F14"/>
    <w:rsid w:val="00036FB0"/>
    <w:rsid w:val="00036FBA"/>
    <w:rsid w:val="00037151"/>
    <w:rsid w:val="00037276"/>
    <w:rsid w:val="00037363"/>
    <w:rsid w:val="00037671"/>
    <w:rsid w:val="0003768D"/>
    <w:rsid w:val="000376AA"/>
    <w:rsid w:val="00037A3B"/>
    <w:rsid w:val="000401BB"/>
    <w:rsid w:val="0004026B"/>
    <w:rsid w:val="00040288"/>
    <w:rsid w:val="000402E0"/>
    <w:rsid w:val="0004046A"/>
    <w:rsid w:val="00040651"/>
    <w:rsid w:val="0004075F"/>
    <w:rsid w:val="00040993"/>
    <w:rsid w:val="000409A4"/>
    <w:rsid w:val="00040A07"/>
    <w:rsid w:val="00040B0C"/>
    <w:rsid w:val="00040B24"/>
    <w:rsid w:val="00040BE6"/>
    <w:rsid w:val="00040E64"/>
    <w:rsid w:val="00040F72"/>
    <w:rsid w:val="00040F9A"/>
    <w:rsid w:val="000410EE"/>
    <w:rsid w:val="0004112A"/>
    <w:rsid w:val="000411AA"/>
    <w:rsid w:val="000412AD"/>
    <w:rsid w:val="00041398"/>
    <w:rsid w:val="000413BB"/>
    <w:rsid w:val="000414BE"/>
    <w:rsid w:val="0004164B"/>
    <w:rsid w:val="000416EB"/>
    <w:rsid w:val="0004171E"/>
    <w:rsid w:val="0004179D"/>
    <w:rsid w:val="000417F4"/>
    <w:rsid w:val="00041A8C"/>
    <w:rsid w:val="00041AB8"/>
    <w:rsid w:val="00041B30"/>
    <w:rsid w:val="00041E7C"/>
    <w:rsid w:val="00041FC0"/>
    <w:rsid w:val="00042009"/>
    <w:rsid w:val="000420BA"/>
    <w:rsid w:val="000420E8"/>
    <w:rsid w:val="000422D4"/>
    <w:rsid w:val="0004233F"/>
    <w:rsid w:val="0004238C"/>
    <w:rsid w:val="00042434"/>
    <w:rsid w:val="000424C4"/>
    <w:rsid w:val="000424CF"/>
    <w:rsid w:val="00042525"/>
    <w:rsid w:val="0004268F"/>
    <w:rsid w:val="00042751"/>
    <w:rsid w:val="00042752"/>
    <w:rsid w:val="000427D3"/>
    <w:rsid w:val="00042A1C"/>
    <w:rsid w:val="00042C57"/>
    <w:rsid w:val="00042CAB"/>
    <w:rsid w:val="00042D79"/>
    <w:rsid w:val="00042E12"/>
    <w:rsid w:val="00042FEE"/>
    <w:rsid w:val="0004307D"/>
    <w:rsid w:val="00043166"/>
    <w:rsid w:val="0004327B"/>
    <w:rsid w:val="000432E3"/>
    <w:rsid w:val="000433C6"/>
    <w:rsid w:val="0004343D"/>
    <w:rsid w:val="00043465"/>
    <w:rsid w:val="000434C5"/>
    <w:rsid w:val="000436B5"/>
    <w:rsid w:val="00043763"/>
    <w:rsid w:val="0004393B"/>
    <w:rsid w:val="0004394F"/>
    <w:rsid w:val="00043971"/>
    <w:rsid w:val="00043A2F"/>
    <w:rsid w:val="00043AA7"/>
    <w:rsid w:val="00043AE7"/>
    <w:rsid w:val="00043B1D"/>
    <w:rsid w:val="00043C0E"/>
    <w:rsid w:val="00043D14"/>
    <w:rsid w:val="00043D9B"/>
    <w:rsid w:val="00043DE4"/>
    <w:rsid w:val="00043E53"/>
    <w:rsid w:val="00043E99"/>
    <w:rsid w:val="00043EFF"/>
    <w:rsid w:val="00043F4C"/>
    <w:rsid w:val="00044229"/>
    <w:rsid w:val="000442D3"/>
    <w:rsid w:val="000442D9"/>
    <w:rsid w:val="000445E8"/>
    <w:rsid w:val="000445F3"/>
    <w:rsid w:val="00044970"/>
    <w:rsid w:val="000449A1"/>
    <w:rsid w:val="00044A68"/>
    <w:rsid w:val="00044B43"/>
    <w:rsid w:val="00044E5C"/>
    <w:rsid w:val="00044FB5"/>
    <w:rsid w:val="000450C7"/>
    <w:rsid w:val="000450ED"/>
    <w:rsid w:val="00045161"/>
    <w:rsid w:val="00045207"/>
    <w:rsid w:val="0004529C"/>
    <w:rsid w:val="0004530B"/>
    <w:rsid w:val="000453A4"/>
    <w:rsid w:val="000453BD"/>
    <w:rsid w:val="000455F8"/>
    <w:rsid w:val="00045673"/>
    <w:rsid w:val="0004568B"/>
    <w:rsid w:val="0004569A"/>
    <w:rsid w:val="000456B4"/>
    <w:rsid w:val="0004576E"/>
    <w:rsid w:val="00045834"/>
    <w:rsid w:val="00045A36"/>
    <w:rsid w:val="00045CEF"/>
    <w:rsid w:val="00045CFC"/>
    <w:rsid w:val="00045E11"/>
    <w:rsid w:val="00046154"/>
    <w:rsid w:val="000463A0"/>
    <w:rsid w:val="000463CE"/>
    <w:rsid w:val="00046429"/>
    <w:rsid w:val="00046633"/>
    <w:rsid w:val="0004667B"/>
    <w:rsid w:val="0004680D"/>
    <w:rsid w:val="000469F2"/>
    <w:rsid w:val="00046B49"/>
    <w:rsid w:val="00046C6C"/>
    <w:rsid w:val="00046FE8"/>
    <w:rsid w:val="00047177"/>
    <w:rsid w:val="00047180"/>
    <w:rsid w:val="00047330"/>
    <w:rsid w:val="00047373"/>
    <w:rsid w:val="000475DF"/>
    <w:rsid w:val="00047775"/>
    <w:rsid w:val="000477B3"/>
    <w:rsid w:val="00047C76"/>
    <w:rsid w:val="00047DEA"/>
    <w:rsid w:val="00047E03"/>
    <w:rsid w:val="00047F02"/>
    <w:rsid w:val="00047F2A"/>
    <w:rsid w:val="00050164"/>
    <w:rsid w:val="00050473"/>
    <w:rsid w:val="0005051C"/>
    <w:rsid w:val="0005051E"/>
    <w:rsid w:val="000506AE"/>
    <w:rsid w:val="0005080C"/>
    <w:rsid w:val="0005082B"/>
    <w:rsid w:val="00050BFD"/>
    <w:rsid w:val="00050C6B"/>
    <w:rsid w:val="00050C6C"/>
    <w:rsid w:val="00050F4F"/>
    <w:rsid w:val="00050F54"/>
    <w:rsid w:val="000510E5"/>
    <w:rsid w:val="00051267"/>
    <w:rsid w:val="000512E1"/>
    <w:rsid w:val="00051414"/>
    <w:rsid w:val="00051627"/>
    <w:rsid w:val="00051737"/>
    <w:rsid w:val="000518AF"/>
    <w:rsid w:val="000518E6"/>
    <w:rsid w:val="00051A70"/>
    <w:rsid w:val="00051C8F"/>
    <w:rsid w:val="00051CC2"/>
    <w:rsid w:val="00051CDC"/>
    <w:rsid w:val="00051DEC"/>
    <w:rsid w:val="00051F3F"/>
    <w:rsid w:val="00051FBF"/>
    <w:rsid w:val="000522CB"/>
    <w:rsid w:val="00052406"/>
    <w:rsid w:val="000524BF"/>
    <w:rsid w:val="0005259A"/>
    <w:rsid w:val="000525D0"/>
    <w:rsid w:val="00052610"/>
    <w:rsid w:val="00052639"/>
    <w:rsid w:val="000528D3"/>
    <w:rsid w:val="000529C7"/>
    <w:rsid w:val="00052A87"/>
    <w:rsid w:val="00052AF8"/>
    <w:rsid w:val="00052CBE"/>
    <w:rsid w:val="00052CD6"/>
    <w:rsid w:val="00052E1E"/>
    <w:rsid w:val="00052E3A"/>
    <w:rsid w:val="00052E92"/>
    <w:rsid w:val="00052F7D"/>
    <w:rsid w:val="00053139"/>
    <w:rsid w:val="00053145"/>
    <w:rsid w:val="00053199"/>
    <w:rsid w:val="00053284"/>
    <w:rsid w:val="000532D2"/>
    <w:rsid w:val="00053303"/>
    <w:rsid w:val="00053459"/>
    <w:rsid w:val="000534BB"/>
    <w:rsid w:val="00053505"/>
    <w:rsid w:val="0005371B"/>
    <w:rsid w:val="00053861"/>
    <w:rsid w:val="00053863"/>
    <w:rsid w:val="00053B1A"/>
    <w:rsid w:val="00053B28"/>
    <w:rsid w:val="00053B3E"/>
    <w:rsid w:val="00053BD5"/>
    <w:rsid w:val="00053D38"/>
    <w:rsid w:val="00053D62"/>
    <w:rsid w:val="00053E3A"/>
    <w:rsid w:val="0005403F"/>
    <w:rsid w:val="0005423B"/>
    <w:rsid w:val="0005427F"/>
    <w:rsid w:val="00054380"/>
    <w:rsid w:val="0005447B"/>
    <w:rsid w:val="000544E4"/>
    <w:rsid w:val="0005468F"/>
    <w:rsid w:val="000549D9"/>
    <w:rsid w:val="00054B9C"/>
    <w:rsid w:val="00054DC5"/>
    <w:rsid w:val="00054F15"/>
    <w:rsid w:val="00054F34"/>
    <w:rsid w:val="00055072"/>
    <w:rsid w:val="0005508C"/>
    <w:rsid w:val="000550AA"/>
    <w:rsid w:val="000550CC"/>
    <w:rsid w:val="000553CE"/>
    <w:rsid w:val="0005554A"/>
    <w:rsid w:val="000555AA"/>
    <w:rsid w:val="0005565E"/>
    <w:rsid w:val="000556E5"/>
    <w:rsid w:val="000556EC"/>
    <w:rsid w:val="00055711"/>
    <w:rsid w:val="00055753"/>
    <w:rsid w:val="00055837"/>
    <w:rsid w:val="000558AD"/>
    <w:rsid w:val="00055978"/>
    <w:rsid w:val="00055A7C"/>
    <w:rsid w:val="00055B13"/>
    <w:rsid w:val="00055C2F"/>
    <w:rsid w:val="00055E4D"/>
    <w:rsid w:val="00055F5E"/>
    <w:rsid w:val="00056111"/>
    <w:rsid w:val="000561D8"/>
    <w:rsid w:val="00056488"/>
    <w:rsid w:val="000564BD"/>
    <w:rsid w:val="00056602"/>
    <w:rsid w:val="0005668E"/>
    <w:rsid w:val="00056798"/>
    <w:rsid w:val="0005684C"/>
    <w:rsid w:val="0005686B"/>
    <w:rsid w:val="00056A35"/>
    <w:rsid w:val="00056C04"/>
    <w:rsid w:val="00056C93"/>
    <w:rsid w:val="00056DD0"/>
    <w:rsid w:val="00056E56"/>
    <w:rsid w:val="00056F1D"/>
    <w:rsid w:val="00057059"/>
    <w:rsid w:val="00057101"/>
    <w:rsid w:val="00057176"/>
    <w:rsid w:val="000573B2"/>
    <w:rsid w:val="000577D1"/>
    <w:rsid w:val="000578FF"/>
    <w:rsid w:val="00057946"/>
    <w:rsid w:val="000579B5"/>
    <w:rsid w:val="00057CAC"/>
    <w:rsid w:val="00057CFA"/>
    <w:rsid w:val="00057E86"/>
    <w:rsid w:val="00057EE4"/>
    <w:rsid w:val="0006005B"/>
    <w:rsid w:val="000600CE"/>
    <w:rsid w:val="00060360"/>
    <w:rsid w:val="00060488"/>
    <w:rsid w:val="0006050D"/>
    <w:rsid w:val="0006061F"/>
    <w:rsid w:val="00060876"/>
    <w:rsid w:val="00060891"/>
    <w:rsid w:val="0006099E"/>
    <w:rsid w:val="00060A35"/>
    <w:rsid w:val="00060D04"/>
    <w:rsid w:val="00060F7B"/>
    <w:rsid w:val="00061168"/>
    <w:rsid w:val="00061194"/>
    <w:rsid w:val="000611B5"/>
    <w:rsid w:val="00061213"/>
    <w:rsid w:val="00061285"/>
    <w:rsid w:val="000612E6"/>
    <w:rsid w:val="0006144C"/>
    <w:rsid w:val="000615E5"/>
    <w:rsid w:val="0006165D"/>
    <w:rsid w:val="000617A4"/>
    <w:rsid w:val="000617D6"/>
    <w:rsid w:val="000619C8"/>
    <w:rsid w:val="00061AAD"/>
    <w:rsid w:val="00061AD5"/>
    <w:rsid w:val="00061B9A"/>
    <w:rsid w:val="00061C13"/>
    <w:rsid w:val="00061D9E"/>
    <w:rsid w:val="00061DBD"/>
    <w:rsid w:val="0006205F"/>
    <w:rsid w:val="00062066"/>
    <w:rsid w:val="00062080"/>
    <w:rsid w:val="00062117"/>
    <w:rsid w:val="00062182"/>
    <w:rsid w:val="0006228C"/>
    <w:rsid w:val="0006231B"/>
    <w:rsid w:val="000624DB"/>
    <w:rsid w:val="00062518"/>
    <w:rsid w:val="000625AB"/>
    <w:rsid w:val="000625B9"/>
    <w:rsid w:val="000626AB"/>
    <w:rsid w:val="000626BD"/>
    <w:rsid w:val="00062741"/>
    <w:rsid w:val="0006285D"/>
    <w:rsid w:val="0006295A"/>
    <w:rsid w:val="000629D4"/>
    <w:rsid w:val="000629D9"/>
    <w:rsid w:val="000629EB"/>
    <w:rsid w:val="00062ACC"/>
    <w:rsid w:val="00062B7F"/>
    <w:rsid w:val="00062BDD"/>
    <w:rsid w:val="00062C00"/>
    <w:rsid w:val="00062D07"/>
    <w:rsid w:val="00062D70"/>
    <w:rsid w:val="00062DBA"/>
    <w:rsid w:val="00062EEF"/>
    <w:rsid w:val="00063026"/>
    <w:rsid w:val="000630C6"/>
    <w:rsid w:val="0006318D"/>
    <w:rsid w:val="00063339"/>
    <w:rsid w:val="000633AF"/>
    <w:rsid w:val="0006348B"/>
    <w:rsid w:val="000634FE"/>
    <w:rsid w:val="0006350A"/>
    <w:rsid w:val="0006360D"/>
    <w:rsid w:val="0006363E"/>
    <w:rsid w:val="00063734"/>
    <w:rsid w:val="00063776"/>
    <w:rsid w:val="000637FA"/>
    <w:rsid w:val="00063909"/>
    <w:rsid w:val="000639EA"/>
    <w:rsid w:val="00063A0B"/>
    <w:rsid w:val="00063A16"/>
    <w:rsid w:val="00063AA5"/>
    <w:rsid w:val="00063B08"/>
    <w:rsid w:val="00063B72"/>
    <w:rsid w:val="00063C6B"/>
    <w:rsid w:val="00063DC0"/>
    <w:rsid w:val="000640AE"/>
    <w:rsid w:val="000644A3"/>
    <w:rsid w:val="00064505"/>
    <w:rsid w:val="0006451F"/>
    <w:rsid w:val="00064600"/>
    <w:rsid w:val="00064648"/>
    <w:rsid w:val="000646BC"/>
    <w:rsid w:val="000647D9"/>
    <w:rsid w:val="00064968"/>
    <w:rsid w:val="000649C6"/>
    <w:rsid w:val="000649E0"/>
    <w:rsid w:val="00064A12"/>
    <w:rsid w:val="00064A8C"/>
    <w:rsid w:val="00064B28"/>
    <w:rsid w:val="00064C2D"/>
    <w:rsid w:val="00064C68"/>
    <w:rsid w:val="00064D15"/>
    <w:rsid w:val="00064F8E"/>
    <w:rsid w:val="0006510D"/>
    <w:rsid w:val="00065136"/>
    <w:rsid w:val="0006529B"/>
    <w:rsid w:val="000652AD"/>
    <w:rsid w:val="0006533F"/>
    <w:rsid w:val="0006534E"/>
    <w:rsid w:val="0006541A"/>
    <w:rsid w:val="000656D2"/>
    <w:rsid w:val="0006576E"/>
    <w:rsid w:val="000659F1"/>
    <w:rsid w:val="00065A13"/>
    <w:rsid w:val="00065B92"/>
    <w:rsid w:val="00065C45"/>
    <w:rsid w:val="00065CFB"/>
    <w:rsid w:val="00065D95"/>
    <w:rsid w:val="00065E60"/>
    <w:rsid w:val="00065E9B"/>
    <w:rsid w:val="00065EF3"/>
    <w:rsid w:val="00065FE0"/>
    <w:rsid w:val="0006601A"/>
    <w:rsid w:val="0006605F"/>
    <w:rsid w:val="0006611B"/>
    <w:rsid w:val="000661D0"/>
    <w:rsid w:val="000661FB"/>
    <w:rsid w:val="0006621A"/>
    <w:rsid w:val="000662F1"/>
    <w:rsid w:val="00066376"/>
    <w:rsid w:val="0006637D"/>
    <w:rsid w:val="000663DC"/>
    <w:rsid w:val="00066404"/>
    <w:rsid w:val="0006640C"/>
    <w:rsid w:val="000664C8"/>
    <w:rsid w:val="00066540"/>
    <w:rsid w:val="00066622"/>
    <w:rsid w:val="0006663A"/>
    <w:rsid w:val="000666C9"/>
    <w:rsid w:val="0006685A"/>
    <w:rsid w:val="000668CC"/>
    <w:rsid w:val="000668E9"/>
    <w:rsid w:val="0006698B"/>
    <w:rsid w:val="00066BBE"/>
    <w:rsid w:val="00066BFF"/>
    <w:rsid w:val="00066CE5"/>
    <w:rsid w:val="00066CE9"/>
    <w:rsid w:val="00066F2A"/>
    <w:rsid w:val="00066FD2"/>
    <w:rsid w:val="000670A2"/>
    <w:rsid w:val="00067171"/>
    <w:rsid w:val="0006728A"/>
    <w:rsid w:val="000673DC"/>
    <w:rsid w:val="000674BE"/>
    <w:rsid w:val="000675D9"/>
    <w:rsid w:val="000675F5"/>
    <w:rsid w:val="00067627"/>
    <w:rsid w:val="0006770B"/>
    <w:rsid w:val="00067712"/>
    <w:rsid w:val="000677D5"/>
    <w:rsid w:val="00067853"/>
    <w:rsid w:val="000679B1"/>
    <w:rsid w:val="00067B9E"/>
    <w:rsid w:val="00067D28"/>
    <w:rsid w:val="00067D59"/>
    <w:rsid w:val="00067D60"/>
    <w:rsid w:val="00067F63"/>
    <w:rsid w:val="00067FA3"/>
    <w:rsid w:val="0007005A"/>
    <w:rsid w:val="000701C7"/>
    <w:rsid w:val="000701CC"/>
    <w:rsid w:val="000701F6"/>
    <w:rsid w:val="000702AD"/>
    <w:rsid w:val="000704E6"/>
    <w:rsid w:val="000704E7"/>
    <w:rsid w:val="00070738"/>
    <w:rsid w:val="000708B9"/>
    <w:rsid w:val="00070AD7"/>
    <w:rsid w:val="00070AE6"/>
    <w:rsid w:val="00070BE0"/>
    <w:rsid w:val="00070E63"/>
    <w:rsid w:val="000711B1"/>
    <w:rsid w:val="00071345"/>
    <w:rsid w:val="00071569"/>
    <w:rsid w:val="00071672"/>
    <w:rsid w:val="0007168D"/>
    <w:rsid w:val="000717DC"/>
    <w:rsid w:val="0007187B"/>
    <w:rsid w:val="000718F6"/>
    <w:rsid w:val="00071901"/>
    <w:rsid w:val="00071A7B"/>
    <w:rsid w:val="00071D13"/>
    <w:rsid w:val="00071D75"/>
    <w:rsid w:val="00071E37"/>
    <w:rsid w:val="00071E7A"/>
    <w:rsid w:val="00071E88"/>
    <w:rsid w:val="00071E95"/>
    <w:rsid w:val="00071F3A"/>
    <w:rsid w:val="00072149"/>
    <w:rsid w:val="000722A6"/>
    <w:rsid w:val="000722DA"/>
    <w:rsid w:val="0007232D"/>
    <w:rsid w:val="00072528"/>
    <w:rsid w:val="0007256F"/>
    <w:rsid w:val="0007269C"/>
    <w:rsid w:val="000726D1"/>
    <w:rsid w:val="00072873"/>
    <w:rsid w:val="00072B21"/>
    <w:rsid w:val="00072C16"/>
    <w:rsid w:val="00072D46"/>
    <w:rsid w:val="00072EA1"/>
    <w:rsid w:val="00072F94"/>
    <w:rsid w:val="00073013"/>
    <w:rsid w:val="00073020"/>
    <w:rsid w:val="00073050"/>
    <w:rsid w:val="00073096"/>
    <w:rsid w:val="000730EC"/>
    <w:rsid w:val="00073127"/>
    <w:rsid w:val="000732A6"/>
    <w:rsid w:val="000732E4"/>
    <w:rsid w:val="00073562"/>
    <w:rsid w:val="0007356B"/>
    <w:rsid w:val="000735BC"/>
    <w:rsid w:val="00073776"/>
    <w:rsid w:val="000738C2"/>
    <w:rsid w:val="00073903"/>
    <w:rsid w:val="00073949"/>
    <w:rsid w:val="00073ADC"/>
    <w:rsid w:val="00073AF9"/>
    <w:rsid w:val="00073B87"/>
    <w:rsid w:val="00073C53"/>
    <w:rsid w:val="00073D1B"/>
    <w:rsid w:val="00073D5A"/>
    <w:rsid w:val="00073F66"/>
    <w:rsid w:val="00074063"/>
    <w:rsid w:val="000740CA"/>
    <w:rsid w:val="00074100"/>
    <w:rsid w:val="00074147"/>
    <w:rsid w:val="000741E6"/>
    <w:rsid w:val="0007424A"/>
    <w:rsid w:val="000742A3"/>
    <w:rsid w:val="000743CD"/>
    <w:rsid w:val="00074690"/>
    <w:rsid w:val="000746A1"/>
    <w:rsid w:val="000746EF"/>
    <w:rsid w:val="00074811"/>
    <w:rsid w:val="00074AE7"/>
    <w:rsid w:val="00074B4B"/>
    <w:rsid w:val="00074BA3"/>
    <w:rsid w:val="00074C4F"/>
    <w:rsid w:val="00074D64"/>
    <w:rsid w:val="00074D9A"/>
    <w:rsid w:val="00074E84"/>
    <w:rsid w:val="00074EEE"/>
    <w:rsid w:val="00074F2B"/>
    <w:rsid w:val="00075007"/>
    <w:rsid w:val="000753E1"/>
    <w:rsid w:val="00075568"/>
    <w:rsid w:val="00075570"/>
    <w:rsid w:val="000755B0"/>
    <w:rsid w:val="000755ED"/>
    <w:rsid w:val="000756E1"/>
    <w:rsid w:val="000758A5"/>
    <w:rsid w:val="000759DC"/>
    <w:rsid w:val="00075C7B"/>
    <w:rsid w:val="00075E1F"/>
    <w:rsid w:val="00075E43"/>
    <w:rsid w:val="00075E62"/>
    <w:rsid w:val="00075F3E"/>
    <w:rsid w:val="00076172"/>
    <w:rsid w:val="000761C1"/>
    <w:rsid w:val="000761FC"/>
    <w:rsid w:val="00076253"/>
    <w:rsid w:val="00076256"/>
    <w:rsid w:val="000762FF"/>
    <w:rsid w:val="00076557"/>
    <w:rsid w:val="00076731"/>
    <w:rsid w:val="000767A8"/>
    <w:rsid w:val="0007682B"/>
    <w:rsid w:val="00076954"/>
    <w:rsid w:val="00076989"/>
    <w:rsid w:val="000769B1"/>
    <w:rsid w:val="00076A09"/>
    <w:rsid w:val="00076A7F"/>
    <w:rsid w:val="00076AA1"/>
    <w:rsid w:val="00076CF4"/>
    <w:rsid w:val="00076D0E"/>
    <w:rsid w:val="00076D5C"/>
    <w:rsid w:val="00076E7F"/>
    <w:rsid w:val="00076F03"/>
    <w:rsid w:val="00076F64"/>
    <w:rsid w:val="00076F8A"/>
    <w:rsid w:val="00076FC4"/>
    <w:rsid w:val="00077086"/>
    <w:rsid w:val="00077105"/>
    <w:rsid w:val="00077200"/>
    <w:rsid w:val="00077359"/>
    <w:rsid w:val="00077421"/>
    <w:rsid w:val="00077424"/>
    <w:rsid w:val="00077464"/>
    <w:rsid w:val="0007749C"/>
    <w:rsid w:val="00077535"/>
    <w:rsid w:val="000775EC"/>
    <w:rsid w:val="000777C5"/>
    <w:rsid w:val="00077827"/>
    <w:rsid w:val="00077A41"/>
    <w:rsid w:val="00077BA0"/>
    <w:rsid w:val="00077BDA"/>
    <w:rsid w:val="00077C4E"/>
    <w:rsid w:val="00077D22"/>
    <w:rsid w:val="00077D25"/>
    <w:rsid w:val="00077E12"/>
    <w:rsid w:val="00077F0B"/>
    <w:rsid w:val="00077F4A"/>
    <w:rsid w:val="00077F94"/>
    <w:rsid w:val="00077FE0"/>
    <w:rsid w:val="00077FF0"/>
    <w:rsid w:val="0008012B"/>
    <w:rsid w:val="0008014C"/>
    <w:rsid w:val="00080199"/>
    <w:rsid w:val="000802AB"/>
    <w:rsid w:val="0008030B"/>
    <w:rsid w:val="00080333"/>
    <w:rsid w:val="00080345"/>
    <w:rsid w:val="00080369"/>
    <w:rsid w:val="0008039E"/>
    <w:rsid w:val="000806A9"/>
    <w:rsid w:val="00080AA4"/>
    <w:rsid w:val="00080C0B"/>
    <w:rsid w:val="00080CAD"/>
    <w:rsid w:val="00080D35"/>
    <w:rsid w:val="00080E6D"/>
    <w:rsid w:val="00080ECB"/>
    <w:rsid w:val="00080F7E"/>
    <w:rsid w:val="00080FAB"/>
    <w:rsid w:val="00080FE1"/>
    <w:rsid w:val="0008108B"/>
    <w:rsid w:val="000811F5"/>
    <w:rsid w:val="0008121F"/>
    <w:rsid w:val="0008123C"/>
    <w:rsid w:val="0008130E"/>
    <w:rsid w:val="000814C5"/>
    <w:rsid w:val="000815AD"/>
    <w:rsid w:val="0008163F"/>
    <w:rsid w:val="00081765"/>
    <w:rsid w:val="00081834"/>
    <w:rsid w:val="000819A6"/>
    <w:rsid w:val="00081B06"/>
    <w:rsid w:val="00081B3B"/>
    <w:rsid w:val="00081B89"/>
    <w:rsid w:val="00081BA4"/>
    <w:rsid w:val="00081CE2"/>
    <w:rsid w:val="00081CF1"/>
    <w:rsid w:val="00081D45"/>
    <w:rsid w:val="00081D7D"/>
    <w:rsid w:val="00081D8B"/>
    <w:rsid w:val="00081EC3"/>
    <w:rsid w:val="00081F0B"/>
    <w:rsid w:val="00081F4C"/>
    <w:rsid w:val="000820AF"/>
    <w:rsid w:val="000822B5"/>
    <w:rsid w:val="0008240A"/>
    <w:rsid w:val="0008261C"/>
    <w:rsid w:val="0008275C"/>
    <w:rsid w:val="00082A66"/>
    <w:rsid w:val="00082B61"/>
    <w:rsid w:val="00082B7D"/>
    <w:rsid w:val="00082BDE"/>
    <w:rsid w:val="00082E1A"/>
    <w:rsid w:val="00082EE8"/>
    <w:rsid w:val="0008301A"/>
    <w:rsid w:val="0008304C"/>
    <w:rsid w:val="000832D6"/>
    <w:rsid w:val="00083316"/>
    <w:rsid w:val="00083426"/>
    <w:rsid w:val="0008344C"/>
    <w:rsid w:val="000834EB"/>
    <w:rsid w:val="00083723"/>
    <w:rsid w:val="00083A36"/>
    <w:rsid w:val="00083DFF"/>
    <w:rsid w:val="00083EB0"/>
    <w:rsid w:val="00083F08"/>
    <w:rsid w:val="000840DA"/>
    <w:rsid w:val="00084114"/>
    <w:rsid w:val="0008417E"/>
    <w:rsid w:val="0008426A"/>
    <w:rsid w:val="0008430A"/>
    <w:rsid w:val="0008436B"/>
    <w:rsid w:val="00084543"/>
    <w:rsid w:val="00084645"/>
    <w:rsid w:val="00084651"/>
    <w:rsid w:val="0008470B"/>
    <w:rsid w:val="0008481F"/>
    <w:rsid w:val="000848A5"/>
    <w:rsid w:val="000848CE"/>
    <w:rsid w:val="00084988"/>
    <w:rsid w:val="00084AD7"/>
    <w:rsid w:val="00084B22"/>
    <w:rsid w:val="00084B94"/>
    <w:rsid w:val="00084C21"/>
    <w:rsid w:val="00084D40"/>
    <w:rsid w:val="00084D69"/>
    <w:rsid w:val="00084F78"/>
    <w:rsid w:val="000850C9"/>
    <w:rsid w:val="0008511D"/>
    <w:rsid w:val="00085181"/>
    <w:rsid w:val="00085290"/>
    <w:rsid w:val="000853D4"/>
    <w:rsid w:val="000856A4"/>
    <w:rsid w:val="00085710"/>
    <w:rsid w:val="00085714"/>
    <w:rsid w:val="0008581A"/>
    <w:rsid w:val="00085864"/>
    <w:rsid w:val="00085878"/>
    <w:rsid w:val="000858BD"/>
    <w:rsid w:val="0008590E"/>
    <w:rsid w:val="000859BB"/>
    <w:rsid w:val="00085A14"/>
    <w:rsid w:val="00085A72"/>
    <w:rsid w:val="00085AB8"/>
    <w:rsid w:val="00085AC2"/>
    <w:rsid w:val="00085C13"/>
    <w:rsid w:val="00085CBB"/>
    <w:rsid w:val="00085CC7"/>
    <w:rsid w:val="00085D68"/>
    <w:rsid w:val="00085FDD"/>
    <w:rsid w:val="0008600F"/>
    <w:rsid w:val="00086039"/>
    <w:rsid w:val="000860E3"/>
    <w:rsid w:val="000862FC"/>
    <w:rsid w:val="00086363"/>
    <w:rsid w:val="0008638D"/>
    <w:rsid w:val="000864C2"/>
    <w:rsid w:val="00086750"/>
    <w:rsid w:val="00086906"/>
    <w:rsid w:val="00086AB7"/>
    <w:rsid w:val="00086ABD"/>
    <w:rsid w:val="00086BAD"/>
    <w:rsid w:val="00086C80"/>
    <w:rsid w:val="00086DEC"/>
    <w:rsid w:val="00086E20"/>
    <w:rsid w:val="00086EF3"/>
    <w:rsid w:val="00086FFF"/>
    <w:rsid w:val="00087046"/>
    <w:rsid w:val="00087112"/>
    <w:rsid w:val="000871FC"/>
    <w:rsid w:val="00087250"/>
    <w:rsid w:val="0008731F"/>
    <w:rsid w:val="00087371"/>
    <w:rsid w:val="0008739B"/>
    <w:rsid w:val="000873B4"/>
    <w:rsid w:val="000873CA"/>
    <w:rsid w:val="0008748F"/>
    <w:rsid w:val="000874AE"/>
    <w:rsid w:val="00087622"/>
    <w:rsid w:val="00087635"/>
    <w:rsid w:val="000877DE"/>
    <w:rsid w:val="00087ACC"/>
    <w:rsid w:val="00087B17"/>
    <w:rsid w:val="00087B2F"/>
    <w:rsid w:val="00087C30"/>
    <w:rsid w:val="00087CAC"/>
    <w:rsid w:val="00087D91"/>
    <w:rsid w:val="00087E36"/>
    <w:rsid w:val="00087E3C"/>
    <w:rsid w:val="00087E74"/>
    <w:rsid w:val="00087F07"/>
    <w:rsid w:val="00087F67"/>
    <w:rsid w:val="0009000A"/>
    <w:rsid w:val="0009009C"/>
    <w:rsid w:val="0009017F"/>
    <w:rsid w:val="00090217"/>
    <w:rsid w:val="0009029C"/>
    <w:rsid w:val="000902D9"/>
    <w:rsid w:val="0009048A"/>
    <w:rsid w:val="000905F7"/>
    <w:rsid w:val="00090775"/>
    <w:rsid w:val="000908D8"/>
    <w:rsid w:val="00090B08"/>
    <w:rsid w:val="00090BA0"/>
    <w:rsid w:val="00090DB5"/>
    <w:rsid w:val="00091056"/>
    <w:rsid w:val="00091099"/>
    <w:rsid w:val="00091161"/>
    <w:rsid w:val="00091187"/>
    <w:rsid w:val="000912AE"/>
    <w:rsid w:val="000913B4"/>
    <w:rsid w:val="0009140E"/>
    <w:rsid w:val="0009154A"/>
    <w:rsid w:val="000915B3"/>
    <w:rsid w:val="000915D4"/>
    <w:rsid w:val="00091A28"/>
    <w:rsid w:val="00091A30"/>
    <w:rsid w:val="00091A9E"/>
    <w:rsid w:val="00091ABC"/>
    <w:rsid w:val="00091D7D"/>
    <w:rsid w:val="00091DDC"/>
    <w:rsid w:val="00091E3A"/>
    <w:rsid w:val="00091F3D"/>
    <w:rsid w:val="00091F45"/>
    <w:rsid w:val="000920D7"/>
    <w:rsid w:val="000920F8"/>
    <w:rsid w:val="0009220A"/>
    <w:rsid w:val="000924A3"/>
    <w:rsid w:val="00092777"/>
    <w:rsid w:val="00092823"/>
    <w:rsid w:val="00092A16"/>
    <w:rsid w:val="00092A1B"/>
    <w:rsid w:val="00092A2A"/>
    <w:rsid w:val="00092A46"/>
    <w:rsid w:val="00092BA2"/>
    <w:rsid w:val="00092BE8"/>
    <w:rsid w:val="00092C27"/>
    <w:rsid w:val="00092D74"/>
    <w:rsid w:val="00092E71"/>
    <w:rsid w:val="00092EE1"/>
    <w:rsid w:val="000930FF"/>
    <w:rsid w:val="00093240"/>
    <w:rsid w:val="00093528"/>
    <w:rsid w:val="00093532"/>
    <w:rsid w:val="00093539"/>
    <w:rsid w:val="00093662"/>
    <w:rsid w:val="00093711"/>
    <w:rsid w:val="000938AF"/>
    <w:rsid w:val="00093923"/>
    <w:rsid w:val="00093AB6"/>
    <w:rsid w:val="00093AE3"/>
    <w:rsid w:val="00093B36"/>
    <w:rsid w:val="00093BCA"/>
    <w:rsid w:val="00093C0E"/>
    <w:rsid w:val="00093CAB"/>
    <w:rsid w:val="00093F1B"/>
    <w:rsid w:val="00093F8F"/>
    <w:rsid w:val="000940C4"/>
    <w:rsid w:val="000943A2"/>
    <w:rsid w:val="000944F4"/>
    <w:rsid w:val="00094661"/>
    <w:rsid w:val="000949A3"/>
    <w:rsid w:val="000949DF"/>
    <w:rsid w:val="000949EC"/>
    <w:rsid w:val="00094CC6"/>
    <w:rsid w:val="00094D92"/>
    <w:rsid w:val="00094DE5"/>
    <w:rsid w:val="00094E9D"/>
    <w:rsid w:val="00094EBF"/>
    <w:rsid w:val="00094F72"/>
    <w:rsid w:val="00095117"/>
    <w:rsid w:val="0009522B"/>
    <w:rsid w:val="00095309"/>
    <w:rsid w:val="0009532C"/>
    <w:rsid w:val="00095363"/>
    <w:rsid w:val="000953BE"/>
    <w:rsid w:val="000954D8"/>
    <w:rsid w:val="00095598"/>
    <w:rsid w:val="0009566D"/>
    <w:rsid w:val="000956BB"/>
    <w:rsid w:val="0009582C"/>
    <w:rsid w:val="0009582E"/>
    <w:rsid w:val="00095AB3"/>
    <w:rsid w:val="00095B56"/>
    <w:rsid w:val="00095CF1"/>
    <w:rsid w:val="00095DF8"/>
    <w:rsid w:val="00095E90"/>
    <w:rsid w:val="00095ECF"/>
    <w:rsid w:val="00095F16"/>
    <w:rsid w:val="00095FBA"/>
    <w:rsid w:val="0009610C"/>
    <w:rsid w:val="00096121"/>
    <w:rsid w:val="00096272"/>
    <w:rsid w:val="00096311"/>
    <w:rsid w:val="0009637A"/>
    <w:rsid w:val="000963F4"/>
    <w:rsid w:val="0009646C"/>
    <w:rsid w:val="000964C8"/>
    <w:rsid w:val="00096607"/>
    <w:rsid w:val="00096622"/>
    <w:rsid w:val="00096699"/>
    <w:rsid w:val="0009684C"/>
    <w:rsid w:val="00096978"/>
    <w:rsid w:val="00096A26"/>
    <w:rsid w:val="00096A64"/>
    <w:rsid w:val="00096A76"/>
    <w:rsid w:val="00096A78"/>
    <w:rsid w:val="00096B28"/>
    <w:rsid w:val="00096D95"/>
    <w:rsid w:val="00096E16"/>
    <w:rsid w:val="00096E64"/>
    <w:rsid w:val="00096E7C"/>
    <w:rsid w:val="00096ECD"/>
    <w:rsid w:val="00096F39"/>
    <w:rsid w:val="00096FB8"/>
    <w:rsid w:val="00096FF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E6"/>
    <w:rsid w:val="00097BF4"/>
    <w:rsid w:val="00097C1E"/>
    <w:rsid w:val="00097C2A"/>
    <w:rsid w:val="00097C68"/>
    <w:rsid w:val="00097DAB"/>
    <w:rsid w:val="00097EDF"/>
    <w:rsid w:val="000A001C"/>
    <w:rsid w:val="000A007E"/>
    <w:rsid w:val="000A0267"/>
    <w:rsid w:val="000A026C"/>
    <w:rsid w:val="000A02E6"/>
    <w:rsid w:val="000A04B5"/>
    <w:rsid w:val="000A0700"/>
    <w:rsid w:val="000A0869"/>
    <w:rsid w:val="000A0874"/>
    <w:rsid w:val="000A08C0"/>
    <w:rsid w:val="000A091C"/>
    <w:rsid w:val="000A0936"/>
    <w:rsid w:val="000A096C"/>
    <w:rsid w:val="000A0A83"/>
    <w:rsid w:val="000A0B84"/>
    <w:rsid w:val="000A0BA6"/>
    <w:rsid w:val="000A0C5E"/>
    <w:rsid w:val="000A0C86"/>
    <w:rsid w:val="000A0CF4"/>
    <w:rsid w:val="000A0E0D"/>
    <w:rsid w:val="000A0F34"/>
    <w:rsid w:val="000A126C"/>
    <w:rsid w:val="000A126D"/>
    <w:rsid w:val="000A1397"/>
    <w:rsid w:val="000A160D"/>
    <w:rsid w:val="000A1771"/>
    <w:rsid w:val="000A177A"/>
    <w:rsid w:val="000A17F2"/>
    <w:rsid w:val="000A17F9"/>
    <w:rsid w:val="000A1A8A"/>
    <w:rsid w:val="000A20EE"/>
    <w:rsid w:val="000A2187"/>
    <w:rsid w:val="000A227C"/>
    <w:rsid w:val="000A22F4"/>
    <w:rsid w:val="000A24AA"/>
    <w:rsid w:val="000A253F"/>
    <w:rsid w:val="000A2578"/>
    <w:rsid w:val="000A25D2"/>
    <w:rsid w:val="000A2787"/>
    <w:rsid w:val="000A2927"/>
    <w:rsid w:val="000A29CB"/>
    <w:rsid w:val="000A2B12"/>
    <w:rsid w:val="000A2C07"/>
    <w:rsid w:val="000A2C44"/>
    <w:rsid w:val="000A2E4F"/>
    <w:rsid w:val="000A2F27"/>
    <w:rsid w:val="000A3215"/>
    <w:rsid w:val="000A3344"/>
    <w:rsid w:val="000A336D"/>
    <w:rsid w:val="000A33FC"/>
    <w:rsid w:val="000A3429"/>
    <w:rsid w:val="000A3846"/>
    <w:rsid w:val="000A38C9"/>
    <w:rsid w:val="000A3B8C"/>
    <w:rsid w:val="000A3C48"/>
    <w:rsid w:val="000A3C5D"/>
    <w:rsid w:val="000A3D43"/>
    <w:rsid w:val="000A3D71"/>
    <w:rsid w:val="000A40D5"/>
    <w:rsid w:val="000A43A4"/>
    <w:rsid w:val="000A4414"/>
    <w:rsid w:val="000A45E6"/>
    <w:rsid w:val="000A46F3"/>
    <w:rsid w:val="000A47BD"/>
    <w:rsid w:val="000A484E"/>
    <w:rsid w:val="000A4923"/>
    <w:rsid w:val="000A49B9"/>
    <w:rsid w:val="000A49C4"/>
    <w:rsid w:val="000A4AAB"/>
    <w:rsid w:val="000A4D8D"/>
    <w:rsid w:val="000A4DA1"/>
    <w:rsid w:val="000A4EBC"/>
    <w:rsid w:val="000A5061"/>
    <w:rsid w:val="000A528D"/>
    <w:rsid w:val="000A52D6"/>
    <w:rsid w:val="000A5373"/>
    <w:rsid w:val="000A55E2"/>
    <w:rsid w:val="000A567A"/>
    <w:rsid w:val="000A5715"/>
    <w:rsid w:val="000A57AD"/>
    <w:rsid w:val="000A57BC"/>
    <w:rsid w:val="000A5896"/>
    <w:rsid w:val="000A59E0"/>
    <w:rsid w:val="000A5A5F"/>
    <w:rsid w:val="000A5B41"/>
    <w:rsid w:val="000A5B4E"/>
    <w:rsid w:val="000A5B55"/>
    <w:rsid w:val="000A5E0A"/>
    <w:rsid w:val="000A5E39"/>
    <w:rsid w:val="000A5E51"/>
    <w:rsid w:val="000A5F09"/>
    <w:rsid w:val="000A5F46"/>
    <w:rsid w:val="000A6038"/>
    <w:rsid w:val="000A604A"/>
    <w:rsid w:val="000A605E"/>
    <w:rsid w:val="000A60F5"/>
    <w:rsid w:val="000A6227"/>
    <w:rsid w:val="000A666A"/>
    <w:rsid w:val="000A672D"/>
    <w:rsid w:val="000A6886"/>
    <w:rsid w:val="000A692C"/>
    <w:rsid w:val="000A6949"/>
    <w:rsid w:val="000A696D"/>
    <w:rsid w:val="000A697F"/>
    <w:rsid w:val="000A69C0"/>
    <w:rsid w:val="000A6BDF"/>
    <w:rsid w:val="000A6DA5"/>
    <w:rsid w:val="000A6DF4"/>
    <w:rsid w:val="000A6FE7"/>
    <w:rsid w:val="000A6FEB"/>
    <w:rsid w:val="000A70E3"/>
    <w:rsid w:val="000A71DC"/>
    <w:rsid w:val="000A722C"/>
    <w:rsid w:val="000A73F7"/>
    <w:rsid w:val="000A74DD"/>
    <w:rsid w:val="000A75A6"/>
    <w:rsid w:val="000A7662"/>
    <w:rsid w:val="000A76AD"/>
    <w:rsid w:val="000A78D2"/>
    <w:rsid w:val="000A7983"/>
    <w:rsid w:val="000A799D"/>
    <w:rsid w:val="000A7AAF"/>
    <w:rsid w:val="000A7C09"/>
    <w:rsid w:val="000A7C35"/>
    <w:rsid w:val="000A7C6A"/>
    <w:rsid w:val="000A7D21"/>
    <w:rsid w:val="000A7DDF"/>
    <w:rsid w:val="000A7E65"/>
    <w:rsid w:val="000B008E"/>
    <w:rsid w:val="000B00AE"/>
    <w:rsid w:val="000B013B"/>
    <w:rsid w:val="000B017E"/>
    <w:rsid w:val="000B018D"/>
    <w:rsid w:val="000B023B"/>
    <w:rsid w:val="000B053D"/>
    <w:rsid w:val="000B067F"/>
    <w:rsid w:val="000B06DE"/>
    <w:rsid w:val="000B0926"/>
    <w:rsid w:val="000B09CA"/>
    <w:rsid w:val="000B0AE8"/>
    <w:rsid w:val="000B0AF1"/>
    <w:rsid w:val="000B0AF8"/>
    <w:rsid w:val="000B0CBC"/>
    <w:rsid w:val="000B0FD4"/>
    <w:rsid w:val="000B109D"/>
    <w:rsid w:val="000B1196"/>
    <w:rsid w:val="000B132C"/>
    <w:rsid w:val="000B14BE"/>
    <w:rsid w:val="000B153A"/>
    <w:rsid w:val="000B17A1"/>
    <w:rsid w:val="000B1A52"/>
    <w:rsid w:val="000B1ADD"/>
    <w:rsid w:val="000B1AE5"/>
    <w:rsid w:val="000B1B2B"/>
    <w:rsid w:val="000B1C9A"/>
    <w:rsid w:val="000B1EB9"/>
    <w:rsid w:val="000B1F55"/>
    <w:rsid w:val="000B1F68"/>
    <w:rsid w:val="000B20DC"/>
    <w:rsid w:val="000B20E7"/>
    <w:rsid w:val="000B2649"/>
    <w:rsid w:val="000B26B9"/>
    <w:rsid w:val="000B26FE"/>
    <w:rsid w:val="000B284E"/>
    <w:rsid w:val="000B289B"/>
    <w:rsid w:val="000B28C6"/>
    <w:rsid w:val="000B2C3F"/>
    <w:rsid w:val="000B2CBA"/>
    <w:rsid w:val="000B2CCF"/>
    <w:rsid w:val="000B2DCA"/>
    <w:rsid w:val="000B2E47"/>
    <w:rsid w:val="000B2EAF"/>
    <w:rsid w:val="000B2FA1"/>
    <w:rsid w:val="000B3029"/>
    <w:rsid w:val="000B30AE"/>
    <w:rsid w:val="000B3490"/>
    <w:rsid w:val="000B3497"/>
    <w:rsid w:val="000B3530"/>
    <w:rsid w:val="000B3571"/>
    <w:rsid w:val="000B382E"/>
    <w:rsid w:val="000B3942"/>
    <w:rsid w:val="000B397D"/>
    <w:rsid w:val="000B39F4"/>
    <w:rsid w:val="000B3A62"/>
    <w:rsid w:val="000B3A76"/>
    <w:rsid w:val="000B3AAD"/>
    <w:rsid w:val="000B3AB0"/>
    <w:rsid w:val="000B3BA5"/>
    <w:rsid w:val="000B3BB7"/>
    <w:rsid w:val="000B3C01"/>
    <w:rsid w:val="000B3C7F"/>
    <w:rsid w:val="000B3CD4"/>
    <w:rsid w:val="000B3E68"/>
    <w:rsid w:val="000B3E6A"/>
    <w:rsid w:val="000B3E80"/>
    <w:rsid w:val="000B3F5F"/>
    <w:rsid w:val="000B3FDA"/>
    <w:rsid w:val="000B417E"/>
    <w:rsid w:val="000B4321"/>
    <w:rsid w:val="000B4403"/>
    <w:rsid w:val="000B44E3"/>
    <w:rsid w:val="000B46FC"/>
    <w:rsid w:val="000B47A6"/>
    <w:rsid w:val="000B47B8"/>
    <w:rsid w:val="000B484D"/>
    <w:rsid w:val="000B48E6"/>
    <w:rsid w:val="000B4C65"/>
    <w:rsid w:val="000B4C70"/>
    <w:rsid w:val="000B4DDA"/>
    <w:rsid w:val="000B4E42"/>
    <w:rsid w:val="000B502D"/>
    <w:rsid w:val="000B50E6"/>
    <w:rsid w:val="000B5140"/>
    <w:rsid w:val="000B53A8"/>
    <w:rsid w:val="000B546D"/>
    <w:rsid w:val="000B54DF"/>
    <w:rsid w:val="000B5563"/>
    <w:rsid w:val="000B56AE"/>
    <w:rsid w:val="000B5705"/>
    <w:rsid w:val="000B5708"/>
    <w:rsid w:val="000B57E6"/>
    <w:rsid w:val="000B57FE"/>
    <w:rsid w:val="000B5933"/>
    <w:rsid w:val="000B5B2B"/>
    <w:rsid w:val="000B5BAF"/>
    <w:rsid w:val="000B5C94"/>
    <w:rsid w:val="000B5CE7"/>
    <w:rsid w:val="000B5E11"/>
    <w:rsid w:val="000B5FCA"/>
    <w:rsid w:val="000B60FC"/>
    <w:rsid w:val="000B6110"/>
    <w:rsid w:val="000B6200"/>
    <w:rsid w:val="000B6510"/>
    <w:rsid w:val="000B67A6"/>
    <w:rsid w:val="000B67BB"/>
    <w:rsid w:val="000B6829"/>
    <w:rsid w:val="000B6A00"/>
    <w:rsid w:val="000B6A3C"/>
    <w:rsid w:val="000B6A5F"/>
    <w:rsid w:val="000B6A60"/>
    <w:rsid w:val="000B6CA2"/>
    <w:rsid w:val="000B6EC4"/>
    <w:rsid w:val="000B6F86"/>
    <w:rsid w:val="000B7318"/>
    <w:rsid w:val="000B733F"/>
    <w:rsid w:val="000B7395"/>
    <w:rsid w:val="000B739A"/>
    <w:rsid w:val="000B74D6"/>
    <w:rsid w:val="000B75B8"/>
    <w:rsid w:val="000B76C1"/>
    <w:rsid w:val="000B76EF"/>
    <w:rsid w:val="000B770E"/>
    <w:rsid w:val="000B78CC"/>
    <w:rsid w:val="000B7BF0"/>
    <w:rsid w:val="000B7D01"/>
    <w:rsid w:val="000B7D08"/>
    <w:rsid w:val="000B7F68"/>
    <w:rsid w:val="000C024C"/>
    <w:rsid w:val="000C0357"/>
    <w:rsid w:val="000C03FA"/>
    <w:rsid w:val="000C043E"/>
    <w:rsid w:val="000C04F4"/>
    <w:rsid w:val="000C0A7E"/>
    <w:rsid w:val="000C0F59"/>
    <w:rsid w:val="000C123D"/>
    <w:rsid w:val="000C12EC"/>
    <w:rsid w:val="000C1406"/>
    <w:rsid w:val="000C14A3"/>
    <w:rsid w:val="000C1583"/>
    <w:rsid w:val="000C196C"/>
    <w:rsid w:val="000C199D"/>
    <w:rsid w:val="000C19A3"/>
    <w:rsid w:val="000C19FB"/>
    <w:rsid w:val="000C1A75"/>
    <w:rsid w:val="000C1AA1"/>
    <w:rsid w:val="000C1AA6"/>
    <w:rsid w:val="000C1AA8"/>
    <w:rsid w:val="000C1B31"/>
    <w:rsid w:val="000C1CB4"/>
    <w:rsid w:val="000C1D0E"/>
    <w:rsid w:val="000C1D4F"/>
    <w:rsid w:val="000C1D5A"/>
    <w:rsid w:val="000C1E83"/>
    <w:rsid w:val="000C1EA3"/>
    <w:rsid w:val="000C2053"/>
    <w:rsid w:val="000C230B"/>
    <w:rsid w:val="000C23A4"/>
    <w:rsid w:val="000C23DF"/>
    <w:rsid w:val="000C244F"/>
    <w:rsid w:val="000C24AF"/>
    <w:rsid w:val="000C24DF"/>
    <w:rsid w:val="000C263B"/>
    <w:rsid w:val="000C2821"/>
    <w:rsid w:val="000C288E"/>
    <w:rsid w:val="000C29B7"/>
    <w:rsid w:val="000C2A79"/>
    <w:rsid w:val="000C2C9F"/>
    <w:rsid w:val="000C2DF6"/>
    <w:rsid w:val="000C2E2E"/>
    <w:rsid w:val="000C304E"/>
    <w:rsid w:val="000C3117"/>
    <w:rsid w:val="000C31A6"/>
    <w:rsid w:val="000C3780"/>
    <w:rsid w:val="000C3792"/>
    <w:rsid w:val="000C3798"/>
    <w:rsid w:val="000C37FB"/>
    <w:rsid w:val="000C39F1"/>
    <w:rsid w:val="000C3A08"/>
    <w:rsid w:val="000C3BD1"/>
    <w:rsid w:val="000C3C5B"/>
    <w:rsid w:val="000C3D5F"/>
    <w:rsid w:val="000C3EA9"/>
    <w:rsid w:val="000C3F74"/>
    <w:rsid w:val="000C413D"/>
    <w:rsid w:val="000C41D6"/>
    <w:rsid w:val="000C4265"/>
    <w:rsid w:val="000C4387"/>
    <w:rsid w:val="000C43DC"/>
    <w:rsid w:val="000C4415"/>
    <w:rsid w:val="000C4418"/>
    <w:rsid w:val="000C44FB"/>
    <w:rsid w:val="000C45AF"/>
    <w:rsid w:val="000C45BB"/>
    <w:rsid w:val="000C45D5"/>
    <w:rsid w:val="000C45E9"/>
    <w:rsid w:val="000C4711"/>
    <w:rsid w:val="000C4BB7"/>
    <w:rsid w:val="000C4BC4"/>
    <w:rsid w:val="000C5089"/>
    <w:rsid w:val="000C50E5"/>
    <w:rsid w:val="000C5128"/>
    <w:rsid w:val="000C512A"/>
    <w:rsid w:val="000C51DD"/>
    <w:rsid w:val="000C52C1"/>
    <w:rsid w:val="000C538A"/>
    <w:rsid w:val="000C54AE"/>
    <w:rsid w:val="000C54AF"/>
    <w:rsid w:val="000C54C0"/>
    <w:rsid w:val="000C5563"/>
    <w:rsid w:val="000C5753"/>
    <w:rsid w:val="000C5B55"/>
    <w:rsid w:val="000C5E37"/>
    <w:rsid w:val="000C5E7F"/>
    <w:rsid w:val="000C6009"/>
    <w:rsid w:val="000C610E"/>
    <w:rsid w:val="000C625F"/>
    <w:rsid w:val="000C62D9"/>
    <w:rsid w:val="000C6435"/>
    <w:rsid w:val="000C64D4"/>
    <w:rsid w:val="000C66AD"/>
    <w:rsid w:val="000C6731"/>
    <w:rsid w:val="000C698A"/>
    <w:rsid w:val="000C6A4B"/>
    <w:rsid w:val="000C6A7B"/>
    <w:rsid w:val="000C6B6C"/>
    <w:rsid w:val="000C6BF0"/>
    <w:rsid w:val="000C6E18"/>
    <w:rsid w:val="000C6E57"/>
    <w:rsid w:val="000C6F9C"/>
    <w:rsid w:val="000C6FC0"/>
    <w:rsid w:val="000C70B5"/>
    <w:rsid w:val="000C718A"/>
    <w:rsid w:val="000C7516"/>
    <w:rsid w:val="000C76E7"/>
    <w:rsid w:val="000C7781"/>
    <w:rsid w:val="000C779D"/>
    <w:rsid w:val="000C7889"/>
    <w:rsid w:val="000C789C"/>
    <w:rsid w:val="000C7A6B"/>
    <w:rsid w:val="000C7E06"/>
    <w:rsid w:val="000C7F38"/>
    <w:rsid w:val="000D001B"/>
    <w:rsid w:val="000D0035"/>
    <w:rsid w:val="000D00B1"/>
    <w:rsid w:val="000D0120"/>
    <w:rsid w:val="000D012A"/>
    <w:rsid w:val="000D01AA"/>
    <w:rsid w:val="000D033B"/>
    <w:rsid w:val="000D04D2"/>
    <w:rsid w:val="000D0799"/>
    <w:rsid w:val="000D07D3"/>
    <w:rsid w:val="000D0861"/>
    <w:rsid w:val="000D08B7"/>
    <w:rsid w:val="000D0905"/>
    <w:rsid w:val="000D09BC"/>
    <w:rsid w:val="000D0AD4"/>
    <w:rsid w:val="000D0AF0"/>
    <w:rsid w:val="000D0D2F"/>
    <w:rsid w:val="000D0E96"/>
    <w:rsid w:val="000D0EA2"/>
    <w:rsid w:val="000D0EF5"/>
    <w:rsid w:val="000D0F25"/>
    <w:rsid w:val="000D0F71"/>
    <w:rsid w:val="000D117B"/>
    <w:rsid w:val="000D11A4"/>
    <w:rsid w:val="000D1399"/>
    <w:rsid w:val="000D1537"/>
    <w:rsid w:val="000D16BA"/>
    <w:rsid w:val="000D16DF"/>
    <w:rsid w:val="000D1706"/>
    <w:rsid w:val="000D1736"/>
    <w:rsid w:val="000D1856"/>
    <w:rsid w:val="000D19AC"/>
    <w:rsid w:val="000D1B65"/>
    <w:rsid w:val="000D1BB5"/>
    <w:rsid w:val="000D1E24"/>
    <w:rsid w:val="000D1E29"/>
    <w:rsid w:val="000D1E81"/>
    <w:rsid w:val="000D1E97"/>
    <w:rsid w:val="000D21A9"/>
    <w:rsid w:val="000D22C7"/>
    <w:rsid w:val="000D231F"/>
    <w:rsid w:val="000D23D9"/>
    <w:rsid w:val="000D23FB"/>
    <w:rsid w:val="000D2417"/>
    <w:rsid w:val="000D2550"/>
    <w:rsid w:val="000D255F"/>
    <w:rsid w:val="000D279B"/>
    <w:rsid w:val="000D2945"/>
    <w:rsid w:val="000D2953"/>
    <w:rsid w:val="000D2AC8"/>
    <w:rsid w:val="000D2B60"/>
    <w:rsid w:val="000D2B73"/>
    <w:rsid w:val="000D2C21"/>
    <w:rsid w:val="000D2C95"/>
    <w:rsid w:val="000D2E36"/>
    <w:rsid w:val="000D2EA9"/>
    <w:rsid w:val="000D307B"/>
    <w:rsid w:val="000D313E"/>
    <w:rsid w:val="000D314C"/>
    <w:rsid w:val="000D3285"/>
    <w:rsid w:val="000D3305"/>
    <w:rsid w:val="000D35D2"/>
    <w:rsid w:val="000D368E"/>
    <w:rsid w:val="000D3843"/>
    <w:rsid w:val="000D3A1E"/>
    <w:rsid w:val="000D3A4B"/>
    <w:rsid w:val="000D3A97"/>
    <w:rsid w:val="000D3B17"/>
    <w:rsid w:val="000D3BC8"/>
    <w:rsid w:val="000D3CF2"/>
    <w:rsid w:val="000D3D6D"/>
    <w:rsid w:val="000D3E0B"/>
    <w:rsid w:val="000D3E25"/>
    <w:rsid w:val="000D3E4E"/>
    <w:rsid w:val="000D3E64"/>
    <w:rsid w:val="000D3EA0"/>
    <w:rsid w:val="000D3EE8"/>
    <w:rsid w:val="000D3FE3"/>
    <w:rsid w:val="000D40F6"/>
    <w:rsid w:val="000D411C"/>
    <w:rsid w:val="000D411D"/>
    <w:rsid w:val="000D41A9"/>
    <w:rsid w:val="000D436B"/>
    <w:rsid w:val="000D440A"/>
    <w:rsid w:val="000D4497"/>
    <w:rsid w:val="000D4A7C"/>
    <w:rsid w:val="000D4B3C"/>
    <w:rsid w:val="000D4C58"/>
    <w:rsid w:val="000D4D2C"/>
    <w:rsid w:val="000D4E41"/>
    <w:rsid w:val="000D4FAB"/>
    <w:rsid w:val="000D5045"/>
    <w:rsid w:val="000D52B8"/>
    <w:rsid w:val="000D530F"/>
    <w:rsid w:val="000D54A3"/>
    <w:rsid w:val="000D5569"/>
    <w:rsid w:val="000D559E"/>
    <w:rsid w:val="000D5612"/>
    <w:rsid w:val="000D5652"/>
    <w:rsid w:val="000D5927"/>
    <w:rsid w:val="000D5A2D"/>
    <w:rsid w:val="000D5CEF"/>
    <w:rsid w:val="000D5EBB"/>
    <w:rsid w:val="000D5ECD"/>
    <w:rsid w:val="000D5FC7"/>
    <w:rsid w:val="000D6053"/>
    <w:rsid w:val="000D60FD"/>
    <w:rsid w:val="000D6270"/>
    <w:rsid w:val="000D6278"/>
    <w:rsid w:val="000D640D"/>
    <w:rsid w:val="000D646C"/>
    <w:rsid w:val="000D67CE"/>
    <w:rsid w:val="000D67DC"/>
    <w:rsid w:val="000D6823"/>
    <w:rsid w:val="000D6BF4"/>
    <w:rsid w:val="000D6C23"/>
    <w:rsid w:val="000D6C70"/>
    <w:rsid w:val="000D6D8A"/>
    <w:rsid w:val="000D6E5B"/>
    <w:rsid w:val="000D6F79"/>
    <w:rsid w:val="000D70B9"/>
    <w:rsid w:val="000D7280"/>
    <w:rsid w:val="000D72BC"/>
    <w:rsid w:val="000D731B"/>
    <w:rsid w:val="000D7336"/>
    <w:rsid w:val="000D7361"/>
    <w:rsid w:val="000D7405"/>
    <w:rsid w:val="000D7501"/>
    <w:rsid w:val="000D7764"/>
    <w:rsid w:val="000D77A2"/>
    <w:rsid w:val="000D77BC"/>
    <w:rsid w:val="000D7823"/>
    <w:rsid w:val="000D79E2"/>
    <w:rsid w:val="000D7A23"/>
    <w:rsid w:val="000D7A43"/>
    <w:rsid w:val="000D7C23"/>
    <w:rsid w:val="000D7C8B"/>
    <w:rsid w:val="000D7E03"/>
    <w:rsid w:val="000D7E7E"/>
    <w:rsid w:val="000D7FC5"/>
    <w:rsid w:val="000E0110"/>
    <w:rsid w:val="000E0300"/>
    <w:rsid w:val="000E0303"/>
    <w:rsid w:val="000E03BF"/>
    <w:rsid w:val="000E0706"/>
    <w:rsid w:val="000E0755"/>
    <w:rsid w:val="000E07A9"/>
    <w:rsid w:val="000E08A0"/>
    <w:rsid w:val="000E08D2"/>
    <w:rsid w:val="000E0AC2"/>
    <w:rsid w:val="000E0B53"/>
    <w:rsid w:val="000E0B69"/>
    <w:rsid w:val="000E0D0B"/>
    <w:rsid w:val="000E0FA7"/>
    <w:rsid w:val="000E1202"/>
    <w:rsid w:val="000E131D"/>
    <w:rsid w:val="000E1480"/>
    <w:rsid w:val="000E15FD"/>
    <w:rsid w:val="000E1656"/>
    <w:rsid w:val="000E18D5"/>
    <w:rsid w:val="000E18D9"/>
    <w:rsid w:val="000E1A39"/>
    <w:rsid w:val="000E1A7B"/>
    <w:rsid w:val="000E1CD4"/>
    <w:rsid w:val="000E1D45"/>
    <w:rsid w:val="000E1DBF"/>
    <w:rsid w:val="000E1E25"/>
    <w:rsid w:val="000E1E37"/>
    <w:rsid w:val="000E1F39"/>
    <w:rsid w:val="000E1FAC"/>
    <w:rsid w:val="000E208B"/>
    <w:rsid w:val="000E2117"/>
    <w:rsid w:val="000E21B7"/>
    <w:rsid w:val="000E22AD"/>
    <w:rsid w:val="000E2350"/>
    <w:rsid w:val="000E23DE"/>
    <w:rsid w:val="000E2565"/>
    <w:rsid w:val="000E2589"/>
    <w:rsid w:val="000E2620"/>
    <w:rsid w:val="000E2671"/>
    <w:rsid w:val="000E2746"/>
    <w:rsid w:val="000E2BC0"/>
    <w:rsid w:val="000E2BEA"/>
    <w:rsid w:val="000E2C16"/>
    <w:rsid w:val="000E2C9C"/>
    <w:rsid w:val="000E2E72"/>
    <w:rsid w:val="000E2F1D"/>
    <w:rsid w:val="000E3065"/>
    <w:rsid w:val="000E30F2"/>
    <w:rsid w:val="000E317D"/>
    <w:rsid w:val="000E32A1"/>
    <w:rsid w:val="000E32E0"/>
    <w:rsid w:val="000E332C"/>
    <w:rsid w:val="000E3330"/>
    <w:rsid w:val="000E34FA"/>
    <w:rsid w:val="000E3550"/>
    <w:rsid w:val="000E3551"/>
    <w:rsid w:val="000E3759"/>
    <w:rsid w:val="000E3795"/>
    <w:rsid w:val="000E37F6"/>
    <w:rsid w:val="000E38CD"/>
    <w:rsid w:val="000E390D"/>
    <w:rsid w:val="000E391A"/>
    <w:rsid w:val="000E394B"/>
    <w:rsid w:val="000E397B"/>
    <w:rsid w:val="000E3EEB"/>
    <w:rsid w:val="000E4033"/>
    <w:rsid w:val="000E41F5"/>
    <w:rsid w:val="000E450D"/>
    <w:rsid w:val="000E47B0"/>
    <w:rsid w:val="000E47D8"/>
    <w:rsid w:val="000E47DC"/>
    <w:rsid w:val="000E4852"/>
    <w:rsid w:val="000E498A"/>
    <w:rsid w:val="000E49FE"/>
    <w:rsid w:val="000E4B2B"/>
    <w:rsid w:val="000E4BA1"/>
    <w:rsid w:val="000E4CCA"/>
    <w:rsid w:val="000E4DB3"/>
    <w:rsid w:val="000E4DF3"/>
    <w:rsid w:val="000E4F1F"/>
    <w:rsid w:val="000E51BE"/>
    <w:rsid w:val="000E5433"/>
    <w:rsid w:val="000E5487"/>
    <w:rsid w:val="000E5748"/>
    <w:rsid w:val="000E5749"/>
    <w:rsid w:val="000E5789"/>
    <w:rsid w:val="000E57F2"/>
    <w:rsid w:val="000E57FA"/>
    <w:rsid w:val="000E588E"/>
    <w:rsid w:val="000E589B"/>
    <w:rsid w:val="000E58A7"/>
    <w:rsid w:val="000E5A07"/>
    <w:rsid w:val="000E5B89"/>
    <w:rsid w:val="000E5BD2"/>
    <w:rsid w:val="000E5C27"/>
    <w:rsid w:val="000E5C60"/>
    <w:rsid w:val="000E5CE0"/>
    <w:rsid w:val="000E5E03"/>
    <w:rsid w:val="000E5ED1"/>
    <w:rsid w:val="000E5F84"/>
    <w:rsid w:val="000E6146"/>
    <w:rsid w:val="000E6157"/>
    <w:rsid w:val="000E6163"/>
    <w:rsid w:val="000E63C8"/>
    <w:rsid w:val="000E6404"/>
    <w:rsid w:val="000E64AF"/>
    <w:rsid w:val="000E6585"/>
    <w:rsid w:val="000E6843"/>
    <w:rsid w:val="000E685F"/>
    <w:rsid w:val="000E6865"/>
    <w:rsid w:val="000E6A2E"/>
    <w:rsid w:val="000E6A7C"/>
    <w:rsid w:val="000E6AE7"/>
    <w:rsid w:val="000E6C98"/>
    <w:rsid w:val="000E6CA2"/>
    <w:rsid w:val="000E6CFA"/>
    <w:rsid w:val="000E6D3B"/>
    <w:rsid w:val="000E6D6E"/>
    <w:rsid w:val="000E6DF8"/>
    <w:rsid w:val="000E6E3E"/>
    <w:rsid w:val="000E704C"/>
    <w:rsid w:val="000E706A"/>
    <w:rsid w:val="000E70A0"/>
    <w:rsid w:val="000E70EC"/>
    <w:rsid w:val="000E715D"/>
    <w:rsid w:val="000E72B9"/>
    <w:rsid w:val="000E7408"/>
    <w:rsid w:val="000E7559"/>
    <w:rsid w:val="000E75D2"/>
    <w:rsid w:val="000E7614"/>
    <w:rsid w:val="000E763C"/>
    <w:rsid w:val="000E7CEA"/>
    <w:rsid w:val="000E7E29"/>
    <w:rsid w:val="000E7E3B"/>
    <w:rsid w:val="000E7EB7"/>
    <w:rsid w:val="000E7EE0"/>
    <w:rsid w:val="000E7FAD"/>
    <w:rsid w:val="000E7FF5"/>
    <w:rsid w:val="000E7FF7"/>
    <w:rsid w:val="000F032B"/>
    <w:rsid w:val="000F0336"/>
    <w:rsid w:val="000F0528"/>
    <w:rsid w:val="000F055C"/>
    <w:rsid w:val="000F0632"/>
    <w:rsid w:val="000F06B3"/>
    <w:rsid w:val="000F0755"/>
    <w:rsid w:val="000F07E1"/>
    <w:rsid w:val="000F085A"/>
    <w:rsid w:val="000F096F"/>
    <w:rsid w:val="000F0A6D"/>
    <w:rsid w:val="000F0A82"/>
    <w:rsid w:val="000F0C35"/>
    <w:rsid w:val="000F0D3F"/>
    <w:rsid w:val="000F0DFA"/>
    <w:rsid w:val="000F0E4F"/>
    <w:rsid w:val="000F0E68"/>
    <w:rsid w:val="000F0EA8"/>
    <w:rsid w:val="000F0EC4"/>
    <w:rsid w:val="000F0F00"/>
    <w:rsid w:val="000F0F56"/>
    <w:rsid w:val="000F1238"/>
    <w:rsid w:val="000F131E"/>
    <w:rsid w:val="000F1881"/>
    <w:rsid w:val="000F195F"/>
    <w:rsid w:val="000F19A7"/>
    <w:rsid w:val="000F1BED"/>
    <w:rsid w:val="000F1CB1"/>
    <w:rsid w:val="000F1CD1"/>
    <w:rsid w:val="000F1D24"/>
    <w:rsid w:val="000F1D26"/>
    <w:rsid w:val="000F1D4B"/>
    <w:rsid w:val="000F1D77"/>
    <w:rsid w:val="000F1F42"/>
    <w:rsid w:val="000F202A"/>
    <w:rsid w:val="000F2130"/>
    <w:rsid w:val="000F2166"/>
    <w:rsid w:val="000F229E"/>
    <w:rsid w:val="000F229F"/>
    <w:rsid w:val="000F236C"/>
    <w:rsid w:val="000F23A6"/>
    <w:rsid w:val="000F23D4"/>
    <w:rsid w:val="000F23F8"/>
    <w:rsid w:val="000F2706"/>
    <w:rsid w:val="000F2814"/>
    <w:rsid w:val="000F2912"/>
    <w:rsid w:val="000F2A5B"/>
    <w:rsid w:val="000F2B8B"/>
    <w:rsid w:val="000F2C75"/>
    <w:rsid w:val="000F2CA2"/>
    <w:rsid w:val="000F2D90"/>
    <w:rsid w:val="000F2DFF"/>
    <w:rsid w:val="000F3060"/>
    <w:rsid w:val="000F3080"/>
    <w:rsid w:val="000F309A"/>
    <w:rsid w:val="000F31BA"/>
    <w:rsid w:val="000F3543"/>
    <w:rsid w:val="000F3635"/>
    <w:rsid w:val="000F363C"/>
    <w:rsid w:val="000F374F"/>
    <w:rsid w:val="000F3819"/>
    <w:rsid w:val="000F3893"/>
    <w:rsid w:val="000F3896"/>
    <w:rsid w:val="000F3A1A"/>
    <w:rsid w:val="000F3B62"/>
    <w:rsid w:val="000F401D"/>
    <w:rsid w:val="000F42FE"/>
    <w:rsid w:val="000F4324"/>
    <w:rsid w:val="000F43F5"/>
    <w:rsid w:val="000F43F9"/>
    <w:rsid w:val="000F46A7"/>
    <w:rsid w:val="000F479A"/>
    <w:rsid w:val="000F48FE"/>
    <w:rsid w:val="000F4FDF"/>
    <w:rsid w:val="000F5077"/>
    <w:rsid w:val="000F50B4"/>
    <w:rsid w:val="000F5230"/>
    <w:rsid w:val="000F5260"/>
    <w:rsid w:val="000F52BE"/>
    <w:rsid w:val="000F52E9"/>
    <w:rsid w:val="000F530F"/>
    <w:rsid w:val="000F551A"/>
    <w:rsid w:val="000F5566"/>
    <w:rsid w:val="000F5794"/>
    <w:rsid w:val="000F57C5"/>
    <w:rsid w:val="000F57E2"/>
    <w:rsid w:val="000F58D8"/>
    <w:rsid w:val="000F590A"/>
    <w:rsid w:val="000F5A1C"/>
    <w:rsid w:val="000F5C69"/>
    <w:rsid w:val="000F5CA6"/>
    <w:rsid w:val="000F5CAB"/>
    <w:rsid w:val="000F5D96"/>
    <w:rsid w:val="000F5E2B"/>
    <w:rsid w:val="000F5E7F"/>
    <w:rsid w:val="000F5F16"/>
    <w:rsid w:val="000F5F8B"/>
    <w:rsid w:val="000F5FED"/>
    <w:rsid w:val="000F601C"/>
    <w:rsid w:val="000F6026"/>
    <w:rsid w:val="000F604A"/>
    <w:rsid w:val="000F606F"/>
    <w:rsid w:val="000F61D4"/>
    <w:rsid w:val="000F6283"/>
    <w:rsid w:val="000F62C2"/>
    <w:rsid w:val="000F648C"/>
    <w:rsid w:val="000F65E4"/>
    <w:rsid w:val="000F667F"/>
    <w:rsid w:val="000F66A4"/>
    <w:rsid w:val="000F6722"/>
    <w:rsid w:val="000F68B5"/>
    <w:rsid w:val="000F6917"/>
    <w:rsid w:val="000F695E"/>
    <w:rsid w:val="000F6ACF"/>
    <w:rsid w:val="000F6E3A"/>
    <w:rsid w:val="000F716F"/>
    <w:rsid w:val="000F71C3"/>
    <w:rsid w:val="000F731F"/>
    <w:rsid w:val="000F740B"/>
    <w:rsid w:val="000F76E1"/>
    <w:rsid w:val="000F77E8"/>
    <w:rsid w:val="000F78B7"/>
    <w:rsid w:val="000F7A2E"/>
    <w:rsid w:val="000F7ACD"/>
    <w:rsid w:val="000F7C75"/>
    <w:rsid w:val="000F7D34"/>
    <w:rsid w:val="000F7D65"/>
    <w:rsid w:val="000F7D9D"/>
    <w:rsid w:val="0010018F"/>
    <w:rsid w:val="001001B5"/>
    <w:rsid w:val="00100240"/>
    <w:rsid w:val="001004AF"/>
    <w:rsid w:val="001006D8"/>
    <w:rsid w:val="00100797"/>
    <w:rsid w:val="001007A2"/>
    <w:rsid w:val="001008A1"/>
    <w:rsid w:val="0010090D"/>
    <w:rsid w:val="00100C46"/>
    <w:rsid w:val="00100C88"/>
    <w:rsid w:val="00100CAA"/>
    <w:rsid w:val="00100D00"/>
    <w:rsid w:val="00100D38"/>
    <w:rsid w:val="00100E23"/>
    <w:rsid w:val="0010115C"/>
    <w:rsid w:val="00101422"/>
    <w:rsid w:val="0010146E"/>
    <w:rsid w:val="001014E4"/>
    <w:rsid w:val="001015FA"/>
    <w:rsid w:val="001016D4"/>
    <w:rsid w:val="001016E0"/>
    <w:rsid w:val="00101782"/>
    <w:rsid w:val="00101874"/>
    <w:rsid w:val="001019CB"/>
    <w:rsid w:val="00101A1F"/>
    <w:rsid w:val="00101AD5"/>
    <w:rsid w:val="00101B6F"/>
    <w:rsid w:val="00101BDD"/>
    <w:rsid w:val="00101D73"/>
    <w:rsid w:val="00101D80"/>
    <w:rsid w:val="00101DD0"/>
    <w:rsid w:val="00101E69"/>
    <w:rsid w:val="00101E7D"/>
    <w:rsid w:val="00101F49"/>
    <w:rsid w:val="0010209E"/>
    <w:rsid w:val="00102274"/>
    <w:rsid w:val="00102276"/>
    <w:rsid w:val="0010252F"/>
    <w:rsid w:val="001026A4"/>
    <w:rsid w:val="001026EF"/>
    <w:rsid w:val="00102755"/>
    <w:rsid w:val="00102846"/>
    <w:rsid w:val="001028A8"/>
    <w:rsid w:val="0010296E"/>
    <w:rsid w:val="001029B4"/>
    <w:rsid w:val="00102C86"/>
    <w:rsid w:val="00102C9A"/>
    <w:rsid w:val="00102D26"/>
    <w:rsid w:val="00102D6C"/>
    <w:rsid w:val="00102EAD"/>
    <w:rsid w:val="00102FE6"/>
    <w:rsid w:val="0010308A"/>
    <w:rsid w:val="00103145"/>
    <w:rsid w:val="0010316C"/>
    <w:rsid w:val="001031FC"/>
    <w:rsid w:val="00103252"/>
    <w:rsid w:val="001032DA"/>
    <w:rsid w:val="001032E5"/>
    <w:rsid w:val="00103363"/>
    <w:rsid w:val="001033B1"/>
    <w:rsid w:val="001033FF"/>
    <w:rsid w:val="00103410"/>
    <w:rsid w:val="0010353A"/>
    <w:rsid w:val="00103705"/>
    <w:rsid w:val="00103954"/>
    <w:rsid w:val="00103968"/>
    <w:rsid w:val="0010397E"/>
    <w:rsid w:val="001039B9"/>
    <w:rsid w:val="00103A3D"/>
    <w:rsid w:val="00103AE9"/>
    <w:rsid w:val="00103B6C"/>
    <w:rsid w:val="00103C4E"/>
    <w:rsid w:val="00103D87"/>
    <w:rsid w:val="00103E11"/>
    <w:rsid w:val="00104011"/>
    <w:rsid w:val="00104017"/>
    <w:rsid w:val="00104198"/>
    <w:rsid w:val="0010419F"/>
    <w:rsid w:val="0010437D"/>
    <w:rsid w:val="0010461B"/>
    <w:rsid w:val="0010471E"/>
    <w:rsid w:val="00104B76"/>
    <w:rsid w:val="00104C63"/>
    <w:rsid w:val="00104D0E"/>
    <w:rsid w:val="00104E14"/>
    <w:rsid w:val="00104E8E"/>
    <w:rsid w:val="00104EC9"/>
    <w:rsid w:val="00104F16"/>
    <w:rsid w:val="00104F93"/>
    <w:rsid w:val="0010501C"/>
    <w:rsid w:val="00105112"/>
    <w:rsid w:val="001051EA"/>
    <w:rsid w:val="001052D9"/>
    <w:rsid w:val="0010533C"/>
    <w:rsid w:val="00105341"/>
    <w:rsid w:val="00105627"/>
    <w:rsid w:val="00105A83"/>
    <w:rsid w:val="00105DF6"/>
    <w:rsid w:val="00105E2E"/>
    <w:rsid w:val="00105F3E"/>
    <w:rsid w:val="001060E3"/>
    <w:rsid w:val="00106153"/>
    <w:rsid w:val="001061BA"/>
    <w:rsid w:val="001061F8"/>
    <w:rsid w:val="00106514"/>
    <w:rsid w:val="00106517"/>
    <w:rsid w:val="00106642"/>
    <w:rsid w:val="0010675D"/>
    <w:rsid w:val="0010679D"/>
    <w:rsid w:val="00106916"/>
    <w:rsid w:val="00106931"/>
    <w:rsid w:val="0010693C"/>
    <w:rsid w:val="001069C7"/>
    <w:rsid w:val="001069DF"/>
    <w:rsid w:val="00106B55"/>
    <w:rsid w:val="00106DE7"/>
    <w:rsid w:val="001071C7"/>
    <w:rsid w:val="00107228"/>
    <w:rsid w:val="001072C2"/>
    <w:rsid w:val="001073E2"/>
    <w:rsid w:val="001074C4"/>
    <w:rsid w:val="001075E0"/>
    <w:rsid w:val="001076D8"/>
    <w:rsid w:val="00107736"/>
    <w:rsid w:val="001077A3"/>
    <w:rsid w:val="00107A6E"/>
    <w:rsid w:val="00107AFF"/>
    <w:rsid w:val="00107BCE"/>
    <w:rsid w:val="00107CBA"/>
    <w:rsid w:val="00107ECE"/>
    <w:rsid w:val="00107F4B"/>
    <w:rsid w:val="001100A3"/>
    <w:rsid w:val="001100E5"/>
    <w:rsid w:val="001101FA"/>
    <w:rsid w:val="00110290"/>
    <w:rsid w:val="0011051E"/>
    <w:rsid w:val="001105A8"/>
    <w:rsid w:val="00110771"/>
    <w:rsid w:val="00110908"/>
    <w:rsid w:val="00110966"/>
    <w:rsid w:val="00110AAA"/>
    <w:rsid w:val="00110D10"/>
    <w:rsid w:val="00110F89"/>
    <w:rsid w:val="00110FBF"/>
    <w:rsid w:val="00111088"/>
    <w:rsid w:val="00111286"/>
    <w:rsid w:val="001112CD"/>
    <w:rsid w:val="001112F5"/>
    <w:rsid w:val="00111354"/>
    <w:rsid w:val="001115B9"/>
    <w:rsid w:val="0011161E"/>
    <w:rsid w:val="00111759"/>
    <w:rsid w:val="00111827"/>
    <w:rsid w:val="001118DD"/>
    <w:rsid w:val="001119D0"/>
    <w:rsid w:val="001119E1"/>
    <w:rsid w:val="00111A40"/>
    <w:rsid w:val="00111D6E"/>
    <w:rsid w:val="00112085"/>
    <w:rsid w:val="001122DD"/>
    <w:rsid w:val="00112358"/>
    <w:rsid w:val="0011264B"/>
    <w:rsid w:val="00112659"/>
    <w:rsid w:val="00112753"/>
    <w:rsid w:val="001127ED"/>
    <w:rsid w:val="00112B37"/>
    <w:rsid w:val="00112C9B"/>
    <w:rsid w:val="00112CC3"/>
    <w:rsid w:val="00112D16"/>
    <w:rsid w:val="00112DB5"/>
    <w:rsid w:val="00112E93"/>
    <w:rsid w:val="00113023"/>
    <w:rsid w:val="001130E1"/>
    <w:rsid w:val="001130E3"/>
    <w:rsid w:val="00113199"/>
    <w:rsid w:val="001132A8"/>
    <w:rsid w:val="00113328"/>
    <w:rsid w:val="00113672"/>
    <w:rsid w:val="001136CD"/>
    <w:rsid w:val="001137CE"/>
    <w:rsid w:val="0011386C"/>
    <w:rsid w:val="001138E8"/>
    <w:rsid w:val="00113A11"/>
    <w:rsid w:val="00113B20"/>
    <w:rsid w:val="00113C17"/>
    <w:rsid w:val="00113D1F"/>
    <w:rsid w:val="00113D4F"/>
    <w:rsid w:val="00113D76"/>
    <w:rsid w:val="00113D8A"/>
    <w:rsid w:val="00113DAD"/>
    <w:rsid w:val="00113E1B"/>
    <w:rsid w:val="00113E36"/>
    <w:rsid w:val="00113F01"/>
    <w:rsid w:val="00114185"/>
    <w:rsid w:val="0011418A"/>
    <w:rsid w:val="00114213"/>
    <w:rsid w:val="00114290"/>
    <w:rsid w:val="001142CB"/>
    <w:rsid w:val="00114506"/>
    <w:rsid w:val="0011450D"/>
    <w:rsid w:val="001145EF"/>
    <w:rsid w:val="0011462D"/>
    <w:rsid w:val="0011482B"/>
    <w:rsid w:val="00114862"/>
    <w:rsid w:val="001148A1"/>
    <w:rsid w:val="001148D1"/>
    <w:rsid w:val="00114962"/>
    <w:rsid w:val="001149CD"/>
    <w:rsid w:val="001149E7"/>
    <w:rsid w:val="00114A84"/>
    <w:rsid w:val="00114A91"/>
    <w:rsid w:val="00114AE5"/>
    <w:rsid w:val="00114B24"/>
    <w:rsid w:val="00114BB9"/>
    <w:rsid w:val="00114D1D"/>
    <w:rsid w:val="00114E44"/>
    <w:rsid w:val="0011517B"/>
    <w:rsid w:val="001152D9"/>
    <w:rsid w:val="00115326"/>
    <w:rsid w:val="0011534D"/>
    <w:rsid w:val="001156BF"/>
    <w:rsid w:val="00115723"/>
    <w:rsid w:val="0011573C"/>
    <w:rsid w:val="00115863"/>
    <w:rsid w:val="00115941"/>
    <w:rsid w:val="0011598E"/>
    <w:rsid w:val="001159CD"/>
    <w:rsid w:val="00115A3E"/>
    <w:rsid w:val="00115C2F"/>
    <w:rsid w:val="0011600D"/>
    <w:rsid w:val="00116077"/>
    <w:rsid w:val="0011668A"/>
    <w:rsid w:val="00116773"/>
    <w:rsid w:val="0011679C"/>
    <w:rsid w:val="0011684F"/>
    <w:rsid w:val="001168A1"/>
    <w:rsid w:val="001169A3"/>
    <w:rsid w:val="00116A78"/>
    <w:rsid w:val="00116AEC"/>
    <w:rsid w:val="00116D7B"/>
    <w:rsid w:val="00116DF4"/>
    <w:rsid w:val="00116E53"/>
    <w:rsid w:val="00116E5D"/>
    <w:rsid w:val="00116EBE"/>
    <w:rsid w:val="00116FB1"/>
    <w:rsid w:val="00116FC2"/>
    <w:rsid w:val="0011706C"/>
    <w:rsid w:val="001170E7"/>
    <w:rsid w:val="001171F6"/>
    <w:rsid w:val="00117273"/>
    <w:rsid w:val="001172CF"/>
    <w:rsid w:val="0011735B"/>
    <w:rsid w:val="00117384"/>
    <w:rsid w:val="0011747B"/>
    <w:rsid w:val="0011749E"/>
    <w:rsid w:val="00117576"/>
    <w:rsid w:val="0011758F"/>
    <w:rsid w:val="001175AB"/>
    <w:rsid w:val="00117688"/>
    <w:rsid w:val="001177E2"/>
    <w:rsid w:val="00117A06"/>
    <w:rsid w:val="00117A0E"/>
    <w:rsid w:val="00117A49"/>
    <w:rsid w:val="00117AF6"/>
    <w:rsid w:val="00117B07"/>
    <w:rsid w:val="00117BAA"/>
    <w:rsid w:val="00117C31"/>
    <w:rsid w:val="00117C4B"/>
    <w:rsid w:val="00117C84"/>
    <w:rsid w:val="00117DCF"/>
    <w:rsid w:val="00117E63"/>
    <w:rsid w:val="00117E81"/>
    <w:rsid w:val="00120035"/>
    <w:rsid w:val="001201F5"/>
    <w:rsid w:val="001203DF"/>
    <w:rsid w:val="001203ED"/>
    <w:rsid w:val="00120484"/>
    <w:rsid w:val="00120595"/>
    <w:rsid w:val="00120947"/>
    <w:rsid w:val="00120A59"/>
    <w:rsid w:val="00120AB8"/>
    <w:rsid w:val="00120D08"/>
    <w:rsid w:val="00120DFF"/>
    <w:rsid w:val="00120F49"/>
    <w:rsid w:val="0012101B"/>
    <w:rsid w:val="0012105E"/>
    <w:rsid w:val="001210E6"/>
    <w:rsid w:val="00121215"/>
    <w:rsid w:val="00121486"/>
    <w:rsid w:val="001215F9"/>
    <w:rsid w:val="00121799"/>
    <w:rsid w:val="00121ACD"/>
    <w:rsid w:val="00121C2F"/>
    <w:rsid w:val="00121CDE"/>
    <w:rsid w:val="00121DBD"/>
    <w:rsid w:val="00121E8D"/>
    <w:rsid w:val="00121F19"/>
    <w:rsid w:val="00121F3B"/>
    <w:rsid w:val="00122085"/>
    <w:rsid w:val="001220A2"/>
    <w:rsid w:val="00122135"/>
    <w:rsid w:val="001221DB"/>
    <w:rsid w:val="0012225D"/>
    <w:rsid w:val="0012228E"/>
    <w:rsid w:val="00122396"/>
    <w:rsid w:val="001223C4"/>
    <w:rsid w:val="00122411"/>
    <w:rsid w:val="001224C1"/>
    <w:rsid w:val="00122585"/>
    <w:rsid w:val="00122647"/>
    <w:rsid w:val="00122700"/>
    <w:rsid w:val="0012270E"/>
    <w:rsid w:val="00122762"/>
    <w:rsid w:val="001227B9"/>
    <w:rsid w:val="00122891"/>
    <w:rsid w:val="00122930"/>
    <w:rsid w:val="00122AD0"/>
    <w:rsid w:val="00122C7A"/>
    <w:rsid w:val="00122D95"/>
    <w:rsid w:val="00122E17"/>
    <w:rsid w:val="00122ECE"/>
    <w:rsid w:val="00122FD4"/>
    <w:rsid w:val="001230CF"/>
    <w:rsid w:val="00123135"/>
    <w:rsid w:val="00123344"/>
    <w:rsid w:val="00123358"/>
    <w:rsid w:val="001233F2"/>
    <w:rsid w:val="001234F6"/>
    <w:rsid w:val="0012352B"/>
    <w:rsid w:val="00123625"/>
    <w:rsid w:val="00123650"/>
    <w:rsid w:val="0012365A"/>
    <w:rsid w:val="00123744"/>
    <w:rsid w:val="00123949"/>
    <w:rsid w:val="00123CB6"/>
    <w:rsid w:val="00123E32"/>
    <w:rsid w:val="001241DD"/>
    <w:rsid w:val="001241E1"/>
    <w:rsid w:val="00124270"/>
    <w:rsid w:val="00124323"/>
    <w:rsid w:val="0012444A"/>
    <w:rsid w:val="00124515"/>
    <w:rsid w:val="00124582"/>
    <w:rsid w:val="00124636"/>
    <w:rsid w:val="00124676"/>
    <w:rsid w:val="0012481E"/>
    <w:rsid w:val="0012487F"/>
    <w:rsid w:val="00124CBE"/>
    <w:rsid w:val="00124CEB"/>
    <w:rsid w:val="00124DFE"/>
    <w:rsid w:val="0012506A"/>
    <w:rsid w:val="001251E7"/>
    <w:rsid w:val="001254B6"/>
    <w:rsid w:val="001258CA"/>
    <w:rsid w:val="001258D6"/>
    <w:rsid w:val="0012595F"/>
    <w:rsid w:val="001259D7"/>
    <w:rsid w:val="00125C9D"/>
    <w:rsid w:val="00125D57"/>
    <w:rsid w:val="00125EDC"/>
    <w:rsid w:val="00125EE0"/>
    <w:rsid w:val="00125F51"/>
    <w:rsid w:val="00125FC5"/>
    <w:rsid w:val="001260AA"/>
    <w:rsid w:val="001260C7"/>
    <w:rsid w:val="00126221"/>
    <w:rsid w:val="00126317"/>
    <w:rsid w:val="0012644B"/>
    <w:rsid w:val="001265AF"/>
    <w:rsid w:val="0012672B"/>
    <w:rsid w:val="00126759"/>
    <w:rsid w:val="001267E9"/>
    <w:rsid w:val="001267F4"/>
    <w:rsid w:val="00126919"/>
    <w:rsid w:val="00126B38"/>
    <w:rsid w:val="00126BB2"/>
    <w:rsid w:val="00126E2C"/>
    <w:rsid w:val="00126E6B"/>
    <w:rsid w:val="00126E86"/>
    <w:rsid w:val="00126F7B"/>
    <w:rsid w:val="0012703A"/>
    <w:rsid w:val="001270D4"/>
    <w:rsid w:val="00127217"/>
    <w:rsid w:val="00127280"/>
    <w:rsid w:val="001273BC"/>
    <w:rsid w:val="001273CE"/>
    <w:rsid w:val="00127402"/>
    <w:rsid w:val="00127519"/>
    <w:rsid w:val="00127529"/>
    <w:rsid w:val="001275F8"/>
    <w:rsid w:val="00127832"/>
    <w:rsid w:val="00127AFD"/>
    <w:rsid w:val="00127B14"/>
    <w:rsid w:val="00127B45"/>
    <w:rsid w:val="00127CA2"/>
    <w:rsid w:val="00127CCF"/>
    <w:rsid w:val="00127CDB"/>
    <w:rsid w:val="00130089"/>
    <w:rsid w:val="001300DE"/>
    <w:rsid w:val="00130223"/>
    <w:rsid w:val="00130271"/>
    <w:rsid w:val="00130316"/>
    <w:rsid w:val="00130461"/>
    <w:rsid w:val="0013069D"/>
    <w:rsid w:val="00130793"/>
    <w:rsid w:val="001307A8"/>
    <w:rsid w:val="001308AC"/>
    <w:rsid w:val="00130925"/>
    <w:rsid w:val="00130943"/>
    <w:rsid w:val="001309EC"/>
    <w:rsid w:val="00130A4A"/>
    <w:rsid w:val="00130B30"/>
    <w:rsid w:val="00130B50"/>
    <w:rsid w:val="00130B85"/>
    <w:rsid w:val="00130D24"/>
    <w:rsid w:val="00130D2C"/>
    <w:rsid w:val="00131003"/>
    <w:rsid w:val="00131332"/>
    <w:rsid w:val="00131442"/>
    <w:rsid w:val="001314F2"/>
    <w:rsid w:val="001314F8"/>
    <w:rsid w:val="001315A5"/>
    <w:rsid w:val="001315AA"/>
    <w:rsid w:val="0013161A"/>
    <w:rsid w:val="0013197F"/>
    <w:rsid w:val="00131A36"/>
    <w:rsid w:val="00131A83"/>
    <w:rsid w:val="00131ACB"/>
    <w:rsid w:val="00131B02"/>
    <w:rsid w:val="00131D69"/>
    <w:rsid w:val="00131E70"/>
    <w:rsid w:val="001320FB"/>
    <w:rsid w:val="001321FC"/>
    <w:rsid w:val="0013224F"/>
    <w:rsid w:val="00132316"/>
    <w:rsid w:val="00132546"/>
    <w:rsid w:val="0013255B"/>
    <w:rsid w:val="0013265E"/>
    <w:rsid w:val="001326BE"/>
    <w:rsid w:val="00132740"/>
    <w:rsid w:val="00132757"/>
    <w:rsid w:val="00132763"/>
    <w:rsid w:val="00132767"/>
    <w:rsid w:val="001328CC"/>
    <w:rsid w:val="001329B9"/>
    <w:rsid w:val="00132B44"/>
    <w:rsid w:val="00132BA4"/>
    <w:rsid w:val="00132C4A"/>
    <w:rsid w:val="00132CD5"/>
    <w:rsid w:val="00132D2C"/>
    <w:rsid w:val="00132D68"/>
    <w:rsid w:val="00132E16"/>
    <w:rsid w:val="00132F75"/>
    <w:rsid w:val="001330F1"/>
    <w:rsid w:val="00133317"/>
    <w:rsid w:val="0013332B"/>
    <w:rsid w:val="001333D9"/>
    <w:rsid w:val="001334A7"/>
    <w:rsid w:val="001334DA"/>
    <w:rsid w:val="00133558"/>
    <w:rsid w:val="0013360A"/>
    <w:rsid w:val="00133674"/>
    <w:rsid w:val="001336D3"/>
    <w:rsid w:val="001336F5"/>
    <w:rsid w:val="00133769"/>
    <w:rsid w:val="001337E0"/>
    <w:rsid w:val="00133960"/>
    <w:rsid w:val="00133AF9"/>
    <w:rsid w:val="00133BFF"/>
    <w:rsid w:val="00133DF9"/>
    <w:rsid w:val="00133DFC"/>
    <w:rsid w:val="001340CC"/>
    <w:rsid w:val="001340CF"/>
    <w:rsid w:val="0013424A"/>
    <w:rsid w:val="00134496"/>
    <w:rsid w:val="001344DF"/>
    <w:rsid w:val="00134A6C"/>
    <w:rsid w:val="00134BE2"/>
    <w:rsid w:val="00134C06"/>
    <w:rsid w:val="00134CF9"/>
    <w:rsid w:val="00134D7F"/>
    <w:rsid w:val="00134E3B"/>
    <w:rsid w:val="00134EC5"/>
    <w:rsid w:val="00134F7E"/>
    <w:rsid w:val="00134FDA"/>
    <w:rsid w:val="0013500C"/>
    <w:rsid w:val="0013504D"/>
    <w:rsid w:val="00135142"/>
    <w:rsid w:val="00135189"/>
    <w:rsid w:val="001351B3"/>
    <w:rsid w:val="0013521B"/>
    <w:rsid w:val="001352BC"/>
    <w:rsid w:val="0013553E"/>
    <w:rsid w:val="00135730"/>
    <w:rsid w:val="0013577E"/>
    <w:rsid w:val="00135A13"/>
    <w:rsid w:val="00135A59"/>
    <w:rsid w:val="00135B6E"/>
    <w:rsid w:val="00135D0C"/>
    <w:rsid w:val="00135E45"/>
    <w:rsid w:val="00135E77"/>
    <w:rsid w:val="00135EEA"/>
    <w:rsid w:val="00135F9F"/>
    <w:rsid w:val="00135FE9"/>
    <w:rsid w:val="00136253"/>
    <w:rsid w:val="0013670E"/>
    <w:rsid w:val="00136795"/>
    <w:rsid w:val="001367A2"/>
    <w:rsid w:val="00136867"/>
    <w:rsid w:val="00136878"/>
    <w:rsid w:val="0013691E"/>
    <w:rsid w:val="00136A90"/>
    <w:rsid w:val="00136A9A"/>
    <w:rsid w:val="00136C3B"/>
    <w:rsid w:val="00136D43"/>
    <w:rsid w:val="00136DDE"/>
    <w:rsid w:val="001370A8"/>
    <w:rsid w:val="00137249"/>
    <w:rsid w:val="001372A2"/>
    <w:rsid w:val="0013739D"/>
    <w:rsid w:val="0013742C"/>
    <w:rsid w:val="00137500"/>
    <w:rsid w:val="00137568"/>
    <w:rsid w:val="00137676"/>
    <w:rsid w:val="00137910"/>
    <w:rsid w:val="001379BC"/>
    <w:rsid w:val="00137AB2"/>
    <w:rsid w:val="00137B19"/>
    <w:rsid w:val="00137BF1"/>
    <w:rsid w:val="00137CC3"/>
    <w:rsid w:val="00137D8B"/>
    <w:rsid w:val="00137E7B"/>
    <w:rsid w:val="001401F6"/>
    <w:rsid w:val="001402E8"/>
    <w:rsid w:val="0014037B"/>
    <w:rsid w:val="0014042B"/>
    <w:rsid w:val="0014052F"/>
    <w:rsid w:val="0014063E"/>
    <w:rsid w:val="001407DE"/>
    <w:rsid w:val="00140CD4"/>
    <w:rsid w:val="00140D05"/>
    <w:rsid w:val="00140E37"/>
    <w:rsid w:val="00140FDC"/>
    <w:rsid w:val="00140FE8"/>
    <w:rsid w:val="001411CE"/>
    <w:rsid w:val="001411D0"/>
    <w:rsid w:val="0014125E"/>
    <w:rsid w:val="0014138F"/>
    <w:rsid w:val="00141623"/>
    <w:rsid w:val="001416B6"/>
    <w:rsid w:val="0014179B"/>
    <w:rsid w:val="001419CC"/>
    <w:rsid w:val="00141AC1"/>
    <w:rsid w:val="00141AEC"/>
    <w:rsid w:val="00141BFA"/>
    <w:rsid w:val="00141C55"/>
    <w:rsid w:val="00141D5F"/>
    <w:rsid w:val="00141E18"/>
    <w:rsid w:val="00141EDE"/>
    <w:rsid w:val="00141F30"/>
    <w:rsid w:val="00142283"/>
    <w:rsid w:val="00142432"/>
    <w:rsid w:val="001424C8"/>
    <w:rsid w:val="00142503"/>
    <w:rsid w:val="001427B7"/>
    <w:rsid w:val="0014289C"/>
    <w:rsid w:val="00142C9E"/>
    <w:rsid w:val="00142CE1"/>
    <w:rsid w:val="00142E00"/>
    <w:rsid w:val="00143098"/>
    <w:rsid w:val="001430C7"/>
    <w:rsid w:val="00143124"/>
    <w:rsid w:val="00143354"/>
    <w:rsid w:val="00143438"/>
    <w:rsid w:val="00143464"/>
    <w:rsid w:val="0014349B"/>
    <w:rsid w:val="001434B6"/>
    <w:rsid w:val="00143627"/>
    <w:rsid w:val="001436A0"/>
    <w:rsid w:val="001436C1"/>
    <w:rsid w:val="001436F7"/>
    <w:rsid w:val="0014373D"/>
    <w:rsid w:val="0014388F"/>
    <w:rsid w:val="00143926"/>
    <w:rsid w:val="00143942"/>
    <w:rsid w:val="00143983"/>
    <w:rsid w:val="00143AC9"/>
    <w:rsid w:val="00143B3F"/>
    <w:rsid w:val="00143D68"/>
    <w:rsid w:val="00143D96"/>
    <w:rsid w:val="00143DC2"/>
    <w:rsid w:val="00144062"/>
    <w:rsid w:val="00144132"/>
    <w:rsid w:val="00144289"/>
    <w:rsid w:val="0014447E"/>
    <w:rsid w:val="001444BE"/>
    <w:rsid w:val="001444D6"/>
    <w:rsid w:val="00144ADC"/>
    <w:rsid w:val="00144AE8"/>
    <w:rsid w:val="00144B82"/>
    <w:rsid w:val="00144BB2"/>
    <w:rsid w:val="00144CA8"/>
    <w:rsid w:val="00144D21"/>
    <w:rsid w:val="00144D54"/>
    <w:rsid w:val="00144EAC"/>
    <w:rsid w:val="00144F10"/>
    <w:rsid w:val="00145124"/>
    <w:rsid w:val="00145338"/>
    <w:rsid w:val="00145491"/>
    <w:rsid w:val="001454B9"/>
    <w:rsid w:val="001455DF"/>
    <w:rsid w:val="001455E1"/>
    <w:rsid w:val="00145698"/>
    <w:rsid w:val="001456AE"/>
    <w:rsid w:val="001456F5"/>
    <w:rsid w:val="0014585F"/>
    <w:rsid w:val="00145985"/>
    <w:rsid w:val="00145B82"/>
    <w:rsid w:val="00145C9A"/>
    <w:rsid w:val="00145DA7"/>
    <w:rsid w:val="00145E89"/>
    <w:rsid w:val="00145EF3"/>
    <w:rsid w:val="00145EFC"/>
    <w:rsid w:val="0014611A"/>
    <w:rsid w:val="00146223"/>
    <w:rsid w:val="0014629B"/>
    <w:rsid w:val="001462BD"/>
    <w:rsid w:val="001463F0"/>
    <w:rsid w:val="00146436"/>
    <w:rsid w:val="0014660E"/>
    <w:rsid w:val="00146AA8"/>
    <w:rsid w:val="00146B8D"/>
    <w:rsid w:val="00146CDC"/>
    <w:rsid w:val="00146D12"/>
    <w:rsid w:val="00146E05"/>
    <w:rsid w:val="0014700E"/>
    <w:rsid w:val="0014727E"/>
    <w:rsid w:val="001473C3"/>
    <w:rsid w:val="0014744B"/>
    <w:rsid w:val="00147487"/>
    <w:rsid w:val="001475D8"/>
    <w:rsid w:val="00147641"/>
    <w:rsid w:val="001477C1"/>
    <w:rsid w:val="0014785E"/>
    <w:rsid w:val="00147A12"/>
    <w:rsid w:val="00147A2E"/>
    <w:rsid w:val="00147AED"/>
    <w:rsid w:val="00147B09"/>
    <w:rsid w:val="00147BB8"/>
    <w:rsid w:val="00147BD2"/>
    <w:rsid w:val="00147C9C"/>
    <w:rsid w:val="00147CD7"/>
    <w:rsid w:val="00147D1C"/>
    <w:rsid w:val="00147D2F"/>
    <w:rsid w:val="00147DB5"/>
    <w:rsid w:val="00147DD9"/>
    <w:rsid w:val="00147DF2"/>
    <w:rsid w:val="0015007D"/>
    <w:rsid w:val="00150173"/>
    <w:rsid w:val="00150217"/>
    <w:rsid w:val="0015031B"/>
    <w:rsid w:val="001503DF"/>
    <w:rsid w:val="00150420"/>
    <w:rsid w:val="00150442"/>
    <w:rsid w:val="001504A5"/>
    <w:rsid w:val="001504B2"/>
    <w:rsid w:val="001504F9"/>
    <w:rsid w:val="00150501"/>
    <w:rsid w:val="001506E9"/>
    <w:rsid w:val="001509EB"/>
    <w:rsid w:val="00150C6E"/>
    <w:rsid w:val="00150CD7"/>
    <w:rsid w:val="00150EB3"/>
    <w:rsid w:val="00150F37"/>
    <w:rsid w:val="00151193"/>
    <w:rsid w:val="001511C4"/>
    <w:rsid w:val="001511CF"/>
    <w:rsid w:val="00151258"/>
    <w:rsid w:val="001512BB"/>
    <w:rsid w:val="001512EB"/>
    <w:rsid w:val="00151397"/>
    <w:rsid w:val="00151440"/>
    <w:rsid w:val="001514AE"/>
    <w:rsid w:val="00151555"/>
    <w:rsid w:val="00151788"/>
    <w:rsid w:val="001517A9"/>
    <w:rsid w:val="001517FB"/>
    <w:rsid w:val="00151848"/>
    <w:rsid w:val="0015185E"/>
    <w:rsid w:val="00151868"/>
    <w:rsid w:val="001519B2"/>
    <w:rsid w:val="001519E7"/>
    <w:rsid w:val="00151AD3"/>
    <w:rsid w:val="00151D3B"/>
    <w:rsid w:val="00151DFD"/>
    <w:rsid w:val="00151FED"/>
    <w:rsid w:val="001520DD"/>
    <w:rsid w:val="0015215B"/>
    <w:rsid w:val="00152244"/>
    <w:rsid w:val="00152292"/>
    <w:rsid w:val="001522B1"/>
    <w:rsid w:val="00152347"/>
    <w:rsid w:val="001523E0"/>
    <w:rsid w:val="0015241E"/>
    <w:rsid w:val="0015242C"/>
    <w:rsid w:val="001524B6"/>
    <w:rsid w:val="00152518"/>
    <w:rsid w:val="001527B6"/>
    <w:rsid w:val="00152941"/>
    <w:rsid w:val="00152A23"/>
    <w:rsid w:val="00152B23"/>
    <w:rsid w:val="00152BF2"/>
    <w:rsid w:val="00152C2E"/>
    <w:rsid w:val="00152CA4"/>
    <w:rsid w:val="00152CD9"/>
    <w:rsid w:val="00152E67"/>
    <w:rsid w:val="00152FB1"/>
    <w:rsid w:val="00153018"/>
    <w:rsid w:val="00153059"/>
    <w:rsid w:val="00153125"/>
    <w:rsid w:val="0015324B"/>
    <w:rsid w:val="00153266"/>
    <w:rsid w:val="001533FD"/>
    <w:rsid w:val="001534B4"/>
    <w:rsid w:val="0015351A"/>
    <w:rsid w:val="00153618"/>
    <w:rsid w:val="0015367A"/>
    <w:rsid w:val="0015369E"/>
    <w:rsid w:val="001537E8"/>
    <w:rsid w:val="0015381F"/>
    <w:rsid w:val="00153A9B"/>
    <w:rsid w:val="00153B24"/>
    <w:rsid w:val="00153C0F"/>
    <w:rsid w:val="00153D6C"/>
    <w:rsid w:val="00153EA7"/>
    <w:rsid w:val="00153FB9"/>
    <w:rsid w:val="00154035"/>
    <w:rsid w:val="001540CF"/>
    <w:rsid w:val="001540D4"/>
    <w:rsid w:val="001540FA"/>
    <w:rsid w:val="0015410C"/>
    <w:rsid w:val="00154186"/>
    <w:rsid w:val="00154220"/>
    <w:rsid w:val="001542EE"/>
    <w:rsid w:val="00154361"/>
    <w:rsid w:val="0015438E"/>
    <w:rsid w:val="00154484"/>
    <w:rsid w:val="001545FE"/>
    <w:rsid w:val="001546C9"/>
    <w:rsid w:val="00154860"/>
    <w:rsid w:val="001548FE"/>
    <w:rsid w:val="001549A1"/>
    <w:rsid w:val="00154B57"/>
    <w:rsid w:val="00154B98"/>
    <w:rsid w:val="00154CB9"/>
    <w:rsid w:val="00154E65"/>
    <w:rsid w:val="00154F1B"/>
    <w:rsid w:val="00154F7B"/>
    <w:rsid w:val="0015501B"/>
    <w:rsid w:val="0015515B"/>
    <w:rsid w:val="0015523F"/>
    <w:rsid w:val="00155398"/>
    <w:rsid w:val="001554FD"/>
    <w:rsid w:val="00155516"/>
    <w:rsid w:val="00155601"/>
    <w:rsid w:val="00155760"/>
    <w:rsid w:val="001557BE"/>
    <w:rsid w:val="001558DB"/>
    <w:rsid w:val="00155935"/>
    <w:rsid w:val="001559FB"/>
    <w:rsid w:val="00155A6B"/>
    <w:rsid w:val="00155B86"/>
    <w:rsid w:val="00155CD9"/>
    <w:rsid w:val="00155EF6"/>
    <w:rsid w:val="0015611A"/>
    <w:rsid w:val="001561FA"/>
    <w:rsid w:val="001562EE"/>
    <w:rsid w:val="001564B2"/>
    <w:rsid w:val="00156528"/>
    <w:rsid w:val="00156569"/>
    <w:rsid w:val="0015663B"/>
    <w:rsid w:val="00156661"/>
    <w:rsid w:val="001567B3"/>
    <w:rsid w:val="0015685A"/>
    <w:rsid w:val="00156878"/>
    <w:rsid w:val="001568B7"/>
    <w:rsid w:val="00156A95"/>
    <w:rsid w:val="00156AA8"/>
    <w:rsid w:val="00156ACB"/>
    <w:rsid w:val="00156ADE"/>
    <w:rsid w:val="00156BC5"/>
    <w:rsid w:val="00156BD1"/>
    <w:rsid w:val="00156CEA"/>
    <w:rsid w:val="00156E14"/>
    <w:rsid w:val="00156E28"/>
    <w:rsid w:val="00156EB3"/>
    <w:rsid w:val="00156FDC"/>
    <w:rsid w:val="00156FF5"/>
    <w:rsid w:val="00157182"/>
    <w:rsid w:val="001571B7"/>
    <w:rsid w:val="001571BD"/>
    <w:rsid w:val="00157244"/>
    <w:rsid w:val="001573DF"/>
    <w:rsid w:val="0015744B"/>
    <w:rsid w:val="00157489"/>
    <w:rsid w:val="00157852"/>
    <w:rsid w:val="001578F2"/>
    <w:rsid w:val="0015794C"/>
    <w:rsid w:val="00157958"/>
    <w:rsid w:val="00157AFD"/>
    <w:rsid w:val="00157B01"/>
    <w:rsid w:val="00157C78"/>
    <w:rsid w:val="00157DF5"/>
    <w:rsid w:val="00157E6D"/>
    <w:rsid w:val="00157E75"/>
    <w:rsid w:val="00157EC7"/>
    <w:rsid w:val="00157FCF"/>
    <w:rsid w:val="0016006D"/>
    <w:rsid w:val="00160220"/>
    <w:rsid w:val="00160260"/>
    <w:rsid w:val="0016047A"/>
    <w:rsid w:val="0016051A"/>
    <w:rsid w:val="0016062B"/>
    <w:rsid w:val="00160687"/>
    <w:rsid w:val="00160773"/>
    <w:rsid w:val="00160839"/>
    <w:rsid w:val="001609CE"/>
    <w:rsid w:val="00160A68"/>
    <w:rsid w:val="00160C29"/>
    <w:rsid w:val="00160D82"/>
    <w:rsid w:val="00160DC6"/>
    <w:rsid w:val="00160E50"/>
    <w:rsid w:val="001611FB"/>
    <w:rsid w:val="0016137E"/>
    <w:rsid w:val="00161430"/>
    <w:rsid w:val="0016143C"/>
    <w:rsid w:val="001615AC"/>
    <w:rsid w:val="0016175E"/>
    <w:rsid w:val="001617A0"/>
    <w:rsid w:val="00161978"/>
    <w:rsid w:val="001619D1"/>
    <w:rsid w:val="001619F2"/>
    <w:rsid w:val="00161A62"/>
    <w:rsid w:val="00161C49"/>
    <w:rsid w:val="00161D22"/>
    <w:rsid w:val="00161D89"/>
    <w:rsid w:val="00161E3D"/>
    <w:rsid w:val="00161E52"/>
    <w:rsid w:val="00161F10"/>
    <w:rsid w:val="0016239D"/>
    <w:rsid w:val="001623C2"/>
    <w:rsid w:val="001625A5"/>
    <w:rsid w:val="00162681"/>
    <w:rsid w:val="001626ED"/>
    <w:rsid w:val="001626FE"/>
    <w:rsid w:val="001627CD"/>
    <w:rsid w:val="001628F5"/>
    <w:rsid w:val="00162987"/>
    <w:rsid w:val="00162DA5"/>
    <w:rsid w:val="00162F96"/>
    <w:rsid w:val="00163052"/>
    <w:rsid w:val="001632D4"/>
    <w:rsid w:val="0016337C"/>
    <w:rsid w:val="0016343C"/>
    <w:rsid w:val="00163497"/>
    <w:rsid w:val="001635FF"/>
    <w:rsid w:val="00163732"/>
    <w:rsid w:val="001639FA"/>
    <w:rsid w:val="00163A2A"/>
    <w:rsid w:val="00163A73"/>
    <w:rsid w:val="00163A9B"/>
    <w:rsid w:val="00163AFE"/>
    <w:rsid w:val="00163C83"/>
    <w:rsid w:val="00163CB7"/>
    <w:rsid w:val="00163D46"/>
    <w:rsid w:val="00163F32"/>
    <w:rsid w:val="00163F40"/>
    <w:rsid w:val="00163F84"/>
    <w:rsid w:val="00164085"/>
    <w:rsid w:val="001640BF"/>
    <w:rsid w:val="00164318"/>
    <w:rsid w:val="00164429"/>
    <w:rsid w:val="00164466"/>
    <w:rsid w:val="00164613"/>
    <w:rsid w:val="0016461D"/>
    <w:rsid w:val="0016471D"/>
    <w:rsid w:val="001647E3"/>
    <w:rsid w:val="001648F5"/>
    <w:rsid w:val="00164988"/>
    <w:rsid w:val="001649E6"/>
    <w:rsid w:val="00164A6A"/>
    <w:rsid w:val="00164A76"/>
    <w:rsid w:val="00164D4A"/>
    <w:rsid w:val="00164E22"/>
    <w:rsid w:val="0016508E"/>
    <w:rsid w:val="001651B8"/>
    <w:rsid w:val="0016525E"/>
    <w:rsid w:val="001653AF"/>
    <w:rsid w:val="00165495"/>
    <w:rsid w:val="001657B7"/>
    <w:rsid w:val="00165A2C"/>
    <w:rsid w:val="00165A54"/>
    <w:rsid w:val="00165ABA"/>
    <w:rsid w:val="00165B51"/>
    <w:rsid w:val="00165D95"/>
    <w:rsid w:val="00165DEF"/>
    <w:rsid w:val="001660C7"/>
    <w:rsid w:val="00166137"/>
    <w:rsid w:val="0016615C"/>
    <w:rsid w:val="00166284"/>
    <w:rsid w:val="00166293"/>
    <w:rsid w:val="001662F5"/>
    <w:rsid w:val="00166354"/>
    <w:rsid w:val="001665D0"/>
    <w:rsid w:val="0016685D"/>
    <w:rsid w:val="001669C2"/>
    <w:rsid w:val="001669E8"/>
    <w:rsid w:val="00166AD7"/>
    <w:rsid w:val="00166DFE"/>
    <w:rsid w:val="00166E69"/>
    <w:rsid w:val="00166ECF"/>
    <w:rsid w:val="00166F31"/>
    <w:rsid w:val="001670A7"/>
    <w:rsid w:val="00167376"/>
    <w:rsid w:val="001674BC"/>
    <w:rsid w:val="001674F1"/>
    <w:rsid w:val="00167507"/>
    <w:rsid w:val="001678EB"/>
    <w:rsid w:val="00167918"/>
    <w:rsid w:val="001679CC"/>
    <w:rsid w:val="00167A00"/>
    <w:rsid w:val="00167C04"/>
    <w:rsid w:val="00167C50"/>
    <w:rsid w:val="00167C73"/>
    <w:rsid w:val="00167F34"/>
    <w:rsid w:val="00167FEF"/>
    <w:rsid w:val="00170089"/>
    <w:rsid w:val="001700A4"/>
    <w:rsid w:val="001700D1"/>
    <w:rsid w:val="00170126"/>
    <w:rsid w:val="001701BD"/>
    <w:rsid w:val="001701CD"/>
    <w:rsid w:val="001701D3"/>
    <w:rsid w:val="0017020F"/>
    <w:rsid w:val="001702AB"/>
    <w:rsid w:val="001702B9"/>
    <w:rsid w:val="001702E1"/>
    <w:rsid w:val="001703BF"/>
    <w:rsid w:val="001703E0"/>
    <w:rsid w:val="00170408"/>
    <w:rsid w:val="001704AE"/>
    <w:rsid w:val="00170554"/>
    <w:rsid w:val="00170693"/>
    <w:rsid w:val="001706F1"/>
    <w:rsid w:val="00170886"/>
    <w:rsid w:val="00170927"/>
    <w:rsid w:val="00170A0A"/>
    <w:rsid w:val="00170AF2"/>
    <w:rsid w:val="00170B2A"/>
    <w:rsid w:val="00170C09"/>
    <w:rsid w:val="00170CE7"/>
    <w:rsid w:val="00170D35"/>
    <w:rsid w:val="00170D66"/>
    <w:rsid w:val="0017108C"/>
    <w:rsid w:val="0017117A"/>
    <w:rsid w:val="00171187"/>
    <w:rsid w:val="00171207"/>
    <w:rsid w:val="00171296"/>
    <w:rsid w:val="001712AE"/>
    <w:rsid w:val="001712AF"/>
    <w:rsid w:val="0017136A"/>
    <w:rsid w:val="001714D9"/>
    <w:rsid w:val="0017170F"/>
    <w:rsid w:val="001718B7"/>
    <w:rsid w:val="001719D4"/>
    <w:rsid w:val="00171A5A"/>
    <w:rsid w:val="00171A5B"/>
    <w:rsid w:val="00171A8A"/>
    <w:rsid w:val="00171AB7"/>
    <w:rsid w:val="00171B2D"/>
    <w:rsid w:val="00171B30"/>
    <w:rsid w:val="00171BD9"/>
    <w:rsid w:val="00171C5D"/>
    <w:rsid w:val="00171EAA"/>
    <w:rsid w:val="00171FE5"/>
    <w:rsid w:val="00172088"/>
    <w:rsid w:val="0017237B"/>
    <w:rsid w:val="0017240E"/>
    <w:rsid w:val="001724F0"/>
    <w:rsid w:val="001724F5"/>
    <w:rsid w:val="00172543"/>
    <w:rsid w:val="001726DA"/>
    <w:rsid w:val="00172745"/>
    <w:rsid w:val="0017277D"/>
    <w:rsid w:val="00172967"/>
    <w:rsid w:val="00172BD6"/>
    <w:rsid w:val="00172BDE"/>
    <w:rsid w:val="00172CC8"/>
    <w:rsid w:val="00172E3A"/>
    <w:rsid w:val="00172E81"/>
    <w:rsid w:val="00172E9F"/>
    <w:rsid w:val="00173033"/>
    <w:rsid w:val="00173074"/>
    <w:rsid w:val="00173101"/>
    <w:rsid w:val="00173117"/>
    <w:rsid w:val="001732F3"/>
    <w:rsid w:val="00173307"/>
    <w:rsid w:val="001736D3"/>
    <w:rsid w:val="0017370E"/>
    <w:rsid w:val="001738A6"/>
    <w:rsid w:val="00173A6A"/>
    <w:rsid w:val="00173B87"/>
    <w:rsid w:val="00173BD6"/>
    <w:rsid w:val="00173D34"/>
    <w:rsid w:val="00173E2C"/>
    <w:rsid w:val="00173E93"/>
    <w:rsid w:val="00173F5A"/>
    <w:rsid w:val="00174010"/>
    <w:rsid w:val="0017403F"/>
    <w:rsid w:val="001740A1"/>
    <w:rsid w:val="00174128"/>
    <w:rsid w:val="001744B7"/>
    <w:rsid w:val="001746E7"/>
    <w:rsid w:val="00174926"/>
    <w:rsid w:val="00174988"/>
    <w:rsid w:val="00174A22"/>
    <w:rsid w:val="00174C12"/>
    <w:rsid w:val="00174C78"/>
    <w:rsid w:val="00174C7F"/>
    <w:rsid w:val="00174D1C"/>
    <w:rsid w:val="00174DB0"/>
    <w:rsid w:val="00174F06"/>
    <w:rsid w:val="00174FEB"/>
    <w:rsid w:val="001751E9"/>
    <w:rsid w:val="0017534D"/>
    <w:rsid w:val="001753CA"/>
    <w:rsid w:val="00175596"/>
    <w:rsid w:val="00175636"/>
    <w:rsid w:val="0017579A"/>
    <w:rsid w:val="00175850"/>
    <w:rsid w:val="0017585B"/>
    <w:rsid w:val="00175874"/>
    <w:rsid w:val="001758D1"/>
    <w:rsid w:val="00175984"/>
    <w:rsid w:val="00175A68"/>
    <w:rsid w:val="00175AF6"/>
    <w:rsid w:val="00175B7D"/>
    <w:rsid w:val="00175D98"/>
    <w:rsid w:val="00175E48"/>
    <w:rsid w:val="00175FB5"/>
    <w:rsid w:val="00175FEE"/>
    <w:rsid w:val="00176005"/>
    <w:rsid w:val="0017602C"/>
    <w:rsid w:val="001760CF"/>
    <w:rsid w:val="001760F9"/>
    <w:rsid w:val="00176237"/>
    <w:rsid w:val="001763A1"/>
    <w:rsid w:val="001764A0"/>
    <w:rsid w:val="0017674D"/>
    <w:rsid w:val="00176846"/>
    <w:rsid w:val="00176876"/>
    <w:rsid w:val="00176972"/>
    <w:rsid w:val="00176977"/>
    <w:rsid w:val="00176A24"/>
    <w:rsid w:val="00176B73"/>
    <w:rsid w:val="00176CC7"/>
    <w:rsid w:val="001770A4"/>
    <w:rsid w:val="00177146"/>
    <w:rsid w:val="001773A3"/>
    <w:rsid w:val="001775B3"/>
    <w:rsid w:val="001775FA"/>
    <w:rsid w:val="0017764F"/>
    <w:rsid w:val="001776BB"/>
    <w:rsid w:val="00177810"/>
    <w:rsid w:val="001779BF"/>
    <w:rsid w:val="00177B4F"/>
    <w:rsid w:val="00177C5B"/>
    <w:rsid w:val="00177D17"/>
    <w:rsid w:val="00180163"/>
    <w:rsid w:val="001801FB"/>
    <w:rsid w:val="001802A7"/>
    <w:rsid w:val="00180307"/>
    <w:rsid w:val="00180468"/>
    <w:rsid w:val="00180488"/>
    <w:rsid w:val="00180769"/>
    <w:rsid w:val="0018083E"/>
    <w:rsid w:val="00180934"/>
    <w:rsid w:val="00180A87"/>
    <w:rsid w:val="00180B6D"/>
    <w:rsid w:val="00180C97"/>
    <w:rsid w:val="001810B8"/>
    <w:rsid w:val="001810EA"/>
    <w:rsid w:val="0018114B"/>
    <w:rsid w:val="001814B2"/>
    <w:rsid w:val="001815CD"/>
    <w:rsid w:val="001816C8"/>
    <w:rsid w:val="0018184D"/>
    <w:rsid w:val="00181875"/>
    <w:rsid w:val="0018196C"/>
    <w:rsid w:val="001819D8"/>
    <w:rsid w:val="00181B35"/>
    <w:rsid w:val="00181D47"/>
    <w:rsid w:val="00181D7D"/>
    <w:rsid w:val="00181EC0"/>
    <w:rsid w:val="00181FBC"/>
    <w:rsid w:val="001821BF"/>
    <w:rsid w:val="00182264"/>
    <w:rsid w:val="0018227C"/>
    <w:rsid w:val="00182545"/>
    <w:rsid w:val="00182559"/>
    <w:rsid w:val="0018255D"/>
    <w:rsid w:val="00182575"/>
    <w:rsid w:val="001825DE"/>
    <w:rsid w:val="00182610"/>
    <w:rsid w:val="001826A5"/>
    <w:rsid w:val="00182758"/>
    <w:rsid w:val="00182796"/>
    <w:rsid w:val="0018288A"/>
    <w:rsid w:val="001828D2"/>
    <w:rsid w:val="00182A2D"/>
    <w:rsid w:val="00182BA0"/>
    <w:rsid w:val="00182C37"/>
    <w:rsid w:val="00182C5F"/>
    <w:rsid w:val="00182D00"/>
    <w:rsid w:val="0018305B"/>
    <w:rsid w:val="001830F4"/>
    <w:rsid w:val="0018313A"/>
    <w:rsid w:val="00183159"/>
    <w:rsid w:val="001831C0"/>
    <w:rsid w:val="0018340D"/>
    <w:rsid w:val="0018346B"/>
    <w:rsid w:val="001834C3"/>
    <w:rsid w:val="0018355E"/>
    <w:rsid w:val="001836B1"/>
    <w:rsid w:val="001839CE"/>
    <w:rsid w:val="00183A07"/>
    <w:rsid w:val="00183A47"/>
    <w:rsid w:val="00183A81"/>
    <w:rsid w:val="00183C85"/>
    <w:rsid w:val="00183E5A"/>
    <w:rsid w:val="00183E86"/>
    <w:rsid w:val="00183EC5"/>
    <w:rsid w:val="00183F3B"/>
    <w:rsid w:val="00184016"/>
    <w:rsid w:val="001841B8"/>
    <w:rsid w:val="001841EA"/>
    <w:rsid w:val="00184204"/>
    <w:rsid w:val="0018438E"/>
    <w:rsid w:val="00184433"/>
    <w:rsid w:val="00184524"/>
    <w:rsid w:val="001845DB"/>
    <w:rsid w:val="00184605"/>
    <w:rsid w:val="0018469A"/>
    <w:rsid w:val="00184AEA"/>
    <w:rsid w:val="00184BFB"/>
    <w:rsid w:val="00185184"/>
    <w:rsid w:val="00185472"/>
    <w:rsid w:val="001854C9"/>
    <w:rsid w:val="001855BB"/>
    <w:rsid w:val="00185ABC"/>
    <w:rsid w:val="00185B70"/>
    <w:rsid w:val="00185D71"/>
    <w:rsid w:val="00185E58"/>
    <w:rsid w:val="00185E59"/>
    <w:rsid w:val="00185EED"/>
    <w:rsid w:val="00185EF4"/>
    <w:rsid w:val="00185EF8"/>
    <w:rsid w:val="00185FA3"/>
    <w:rsid w:val="00185FC3"/>
    <w:rsid w:val="0018616B"/>
    <w:rsid w:val="00186173"/>
    <w:rsid w:val="00186405"/>
    <w:rsid w:val="0018640A"/>
    <w:rsid w:val="00186455"/>
    <w:rsid w:val="001864C2"/>
    <w:rsid w:val="0018660E"/>
    <w:rsid w:val="00186705"/>
    <w:rsid w:val="0018681D"/>
    <w:rsid w:val="001868A5"/>
    <w:rsid w:val="001869F7"/>
    <w:rsid w:val="00186A31"/>
    <w:rsid w:val="00186B3D"/>
    <w:rsid w:val="00186C5D"/>
    <w:rsid w:val="00186D2F"/>
    <w:rsid w:val="001870C6"/>
    <w:rsid w:val="00187125"/>
    <w:rsid w:val="001871FE"/>
    <w:rsid w:val="001872AF"/>
    <w:rsid w:val="001873F2"/>
    <w:rsid w:val="00187501"/>
    <w:rsid w:val="00187776"/>
    <w:rsid w:val="001877A9"/>
    <w:rsid w:val="00187828"/>
    <w:rsid w:val="00187876"/>
    <w:rsid w:val="00187C99"/>
    <w:rsid w:val="00187DCF"/>
    <w:rsid w:val="00187E2D"/>
    <w:rsid w:val="00187E97"/>
    <w:rsid w:val="00187F5E"/>
    <w:rsid w:val="00187FEE"/>
    <w:rsid w:val="001901C5"/>
    <w:rsid w:val="0019027C"/>
    <w:rsid w:val="001904C7"/>
    <w:rsid w:val="001904F2"/>
    <w:rsid w:val="00190643"/>
    <w:rsid w:val="0019065E"/>
    <w:rsid w:val="00190747"/>
    <w:rsid w:val="001907A6"/>
    <w:rsid w:val="001907C6"/>
    <w:rsid w:val="00190864"/>
    <w:rsid w:val="00190CAB"/>
    <w:rsid w:val="00190CFF"/>
    <w:rsid w:val="00190DE6"/>
    <w:rsid w:val="00190DEB"/>
    <w:rsid w:val="00190E92"/>
    <w:rsid w:val="0019110B"/>
    <w:rsid w:val="00191207"/>
    <w:rsid w:val="001912A5"/>
    <w:rsid w:val="00191320"/>
    <w:rsid w:val="001914DC"/>
    <w:rsid w:val="001914DE"/>
    <w:rsid w:val="00191659"/>
    <w:rsid w:val="00191667"/>
    <w:rsid w:val="001916AD"/>
    <w:rsid w:val="0019180D"/>
    <w:rsid w:val="001918BF"/>
    <w:rsid w:val="00191969"/>
    <w:rsid w:val="00191975"/>
    <w:rsid w:val="00191AE5"/>
    <w:rsid w:val="00191BB7"/>
    <w:rsid w:val="00191BD8"/>
    <w:rsid w:val="00191BFA"/>
    <w:rsid w:val="00191C95"/>
    <w:rsid w:val="00191E49"/>
    <w:rsid w:val="00191E4F"/>
    <w:rsid w:val="0019202B"/>
    <w:rsid w:val="00192102"/>
    <w:rsid w:val="00192195"/>
    <w:rsid w:val="00192281"/>
    <w:rsid w:val="00192319"/>
    <w:rsid w:val="0019236D"/>
    <w:rsid w:val="001923F6"/>
    <w:rsid w:val="001924D2"/>
    <w:rsid w:val="00192943"/>
    <w:rsid w:val="0019297C"/>
    <w:rsid w:val="00192A08"/>
    <w:rsid w:val="00192B17"/>
    <w:rsid w:val="00192B58"/>
    <w:rsid w:val="00192C55"/>
    <w:rsid w:val="00192DBF"/>
    <w:rsid w:val="00192E44"/>
    <w:rsid w:val="00192E5F"/>
    <w:rsid w:val="00192EA1"/>
    <w:rsid w:val="00192EEC"/>
    <w:rsid w:val="00192FAD"/>
    <w:rsid w:val="00193073"/>
    <w:rsid w:val="001930D9"/>
    <w:rsid w:val="00193166"/>
    <w:rsid w:val="00193370"/>
    <w:rsid w:val="00193438"/>
    <w:rsid w:val="00193456"/>
    <w:rsid w:val="001935C1"/>
    <w:rsid w:val="001935D0"/>
    <w:rsid w:val="00193683"/>
    <w:rsid w:val="001936CC"/>
    <w:rsid w:val="001937EE"/>
    <w:rsid w:val="0019387E"/>
    <w:rsid w:val="00193885"/>
    <w:rsid w:val="0019392D"/>
    <w:rsid w:val="00193D75"/>
    <w:rsid w:val="00193EC9"/>
    <w:rsid w:val="001940A3"/>
    <w:rsid w:val="001940B8"/>
    <w:rsid w:val="001940DA"/>
    <w:rsid w:val="001940F9"/>
    <w:rsid w:val="001941E5"/>
    <w:rsid w:val="00194210"/>
    <w:rsid w:val="00194433"/>
    <w:rsid w:val="001944F7"/>
    <w:rsid w:val="00194509"/>
    <w:rsid w:val="001945A4"/>
    <w:rsid w:val="00194717"/>
    <w:rsid w:val="00194798"/>
    <w:rsid w:val="00194832"/>
    <w:rsid w:val="001948D2"/>
    <w:rsid w:val="00194C06"/>
    <w:rsid w:val="00194DE6"/>
    <w:rsid w:val="00195022"/>
    <w:rsid w:val="001950D7"/>
    <w:rsid w:val="00195146"/>
    <w:rsid w:val="0019514B"/>
    <w:rsid w:val="0019517C"/>
    <w:rsid w:val="0019539E"/>
    <w:rsid w:val="001954CB"/>
    <w:rsid w:val="0019568E"/>
    <w:rsid w:val="001957D2"/>
    <w:rsid w:val="001957FF"/>
    <w:rsid w:val="00195861"/>
    <w:rsid w:val="00195973"/>
    <w:rsid w:val="00195B7F"/>
    <w:rsid w:val="00195CE2"/>
    <w:rsid w:val="00195D69"/>
    <w:rsid w:val="00195D9A"/>
    <w:rsid w:val="00195E4D"/>
    <w:rsid w:val="00196144"/>
    <w:rsid w:val="00196216"/>
    <w:rsid w:val="001962C2"/>
    <w:rsid w:val="001962CA"/>
    <w:rsid w:val="0019633E"/>
    <w:rsid w:val="00196392"/>
    <w:rsid w:val="00196509"/>
    <w:rsid w:val="0019676D"/>
    <w:rsid w:val="001967F6"/>
    <w:rsid w:val="0019696D"/>
    <w:rsid w:val="001969BE"/>
    <w:rsid w:val="001969FF"/>
    <w:rsid w:val="00196BAD"/>
    <w:rsid w:val="00196BFC"/>
    <w:rsid w:val="00196DB4"/>
    <w:rsid w:val="00196E10"/>
    <w:rsid w:val="00196E28"/>
    <w:rsid w:val="00196E65"/>
    <w:rsid w:val="0019704D"/>
    <w:rsid w:val="00197269"/>
    <w:rsid w:val="001972DB"/>
    <w:rsid w:val="00197383"/>
    <w:rsid w:val="00197615"/>
    <w:rsid w:val="00197632"/>
    <w:rsid w:val="00197758"/>
    <w:rsid w:val="00197849"/>
    <w:rsid w:val="0019789B"/>
    <w:rsid w:val="00197A9F"/>
    <w:rsid w:val="00197B00"/>
    <w:rsid w:val="00197D55"/>
    <w:rsid w:val="00197DF8"/>
    <w:rsid w:val="00197DFB"/>
    <w:rsid w:val="00197F97"/>
    <w:rsid w:val="00197FCC"/>
    <w:rsid w:val="001A0034"/>
    <w:rsid w:val="001A00A4"/>
    <w:rsid w:val="001A0134"/>
    <w:rsid w:val="001A01B9"/>
    <w:rsid w:val="001A0219"/>
    <w:rsid w:val="001A023F"/>
    <w:rsid w:val="001A0271"/>
    <w:rsid w:val="001A058B"/>
    <w:rsid w:val="001A0770"/>
    <w:rsid w:val="001A0814"/>
    <w:rsid w:val="001A082C"/>
    <w:rsid w:val="001A0838"/>
    <w:rsid w:val="001A0933"/>
    <w:rsid w:val="001A09CD"/>
    <w:rsid w:val="001A0B5F"/>
    <w:rsid w:val="001A0B7D"/>
    <w:rsid w:val="001A0C2F"/>
    <w:rsid w:val="001A0C9B"/>
    <w:rsid w:val="001A0D0E"/>
    <w:rsid w:val="001A1009"/>
    <w:rsid w:val="001A105B"/>
    <w:rsid w:val="001A10FC"/>
    <w:rsid w:val="001A12C7"/>
    <w:rsid w:val="001A1355"/>
    <w:rsid w:val="001A13F5"/>
    <w:rsid w:val="001A1469"/>
    <w:rsid w:val="001A148C"/>
    <w:rsid w:val="001A14A0"/>
    <w:rsid w:val="001A1658"/>
    <w:rsid w:val="001A16BC"/>
    <w:rsid w:val="001A1747"/>
    <w:rsid w:val="001A1765"/>
    <w:rsid w:val="001A1779"/>
    <w:rsid w:val="001A1822"/>
    <w:rsid w:val="001A1884"/>
    <w:rsid w:val="001A194A"/>
    <w:rsid w:val="001A19AA"/>
    <w:rsid w:val="001A19B2"/>
    <w:rsid w:val="001A1BD5"/>
    <w:rsid w:val="001A1BDD"/>
    <w:rsid w:val="001A1C95"/>
    <w:rsid w:val="001A1E55"/>
    <w:rsid w:val="001A1EB2"/>
    <w:rsid w:val="001A1F8B"/>
    <w:rsid w:val="001A1FA0"/>
    <w:rsid w:val="001A1FB8"/>
    <w:rsid w:val="001A205B"/>
    <w:rsid w:val="001A210C"/>
    <w:rsid w:val="001A21AE"/>
    <w:rsid w:val="001A2215"/>
    <w:rsid w:val="001A223D"/>
    <w:rsid w:val="001A2342"/>
    <w:rsid w:val="001A241B"/>
    <w:rsid w:val="001A241E"/>
    <w:rsid w:val="001A2463"/>
    <w:rsid w:val="001A248F"/>
    <w:rsid w:val="001A251B"/>
    <w:rsid w:val="001A25E6"/>
    <w:rsid w:val="001A26BB"/>
    <w:rsid w:val="001A272C"/>
    <w:rsid w:val="001A2836"/>
    <w:rsid w:val="001A29A8"/>
    <w:rsid w:val="001A29E5"/>
    <w:rsid w:val="001A2B4B"/>
    <w:rsid w:val="001A2BA7"/>
    <w:rsid w:val="001A2C68"/>
    <w:rsid w:val="001A2C9A"/>
    <w:rsid w:val="001A2DBA"/>
    <w:rsid w:val="001A2DCF"/>
    <w:rsid w:val="001A2E92"/>
    <w:rsid w:val="001A2EDA"/>
    <w:rsid w:val="001A30C6"/>
    <w:rsid w:val="001A3178"/>
    <w:rsid w:val="001A329C"/>
    <w:rsid w:val="001A3521"/>
    <w:rsid w:val="001A358B"/>
    <w:rsid w:val="001A3611"/>
    <w:rsid w:val="001A36F0"/>
    <w:rsid w:val="001A373E"/>
    <w:rsid w:val="001A378C"/>
    <w:rsid w:val="001A37F2"/>
    <w:rsid w:val="001A39EA"/>
    <w:rsid w:val="001A3A44"/>
    <w:rsid w:val="001A3B86"/>
    <w:rsid w:val="001A3CF4"/>
    <w:rsid w:val="001A3DB7"/>
    <w:rsid w:val="001A3F01"/>
    <w:rsid w:val="001A3F27"/>
    <w:rsid w:val="001A3F93"/>
    <w:rsid w:val="001A4078"/>
    <w:rsid w:val="001A4103"/>
    <w:rsid w:val="001A4317"/>
    <w:rsid w:val="001A440D"/>
    <w:rsid w:val="001A4458"/>
    <w:rsid w:val="001A4494"/>
    <w:rsid w:val="001A4585"/>
    <w:rsid w:val="001A4682"/>
    <w:rsid w:val="001A46DF"/>
    <w:rsid w:val="001A496A"/>
    <w:rsid w:val="001A4A85"/>
    <w:rsid w:val="001A4B54"/>
    <w:rsid w:val="001A4C3C"/>
    <w:rsid w:val="001A4D96"/>
    <w:rsid w:val="001A4DDC"/>
    <w:rsid w:val="001A4DE8"/>
    <w:rsid w:val="001A4EBC"/>
    <w:rsid w:val="001A4F20"/>
    <w:rsid w:val="001A4FE0"/>
    <w:rsid w:val="001A5167"/>
    <w:rsid w:val="001A5226"/>
    <w:rsid w:val="001A5252"/>
    <w:rsid w:val="001A52DC"/>
    <w:rsid w:val="001A52F1"/>
    <w:rsid w:val="001A5330"/>
    <w:rsid w:val="001A54B4"/>
    <w:rsid w:val="001A5502"/>
    <w:rsid w:val="001A57FF"/>
    <w:rsid w:val="001A5A09"/>
    <w:rsid w:val="001A5B99"/>
    <w:rsid w:val="001A5BB5"/>
    <w:rsid w:val="001A5BC5"/>
    <w:rsid w:val="001A5D3B"/>
    <w:rsid w:val="001A5E27"/>
    <w:rsid w:val="001A5F97"/>
    <w:rsid w:val="001A6086"/>
    <w:rsid w:val="001A6119"/>
    <w:rsid w:val="001A611C"/>
    <w:rsid w:val="001A61AE"/>
    <w:rsid w:val="001A61ED"/>
    <w:rsid w:val="001A623C"/>
    <w:rsid w:val="001A628B"/>
    <w:rsid w:val="001A6300"/>
    <w:rsid w:val="001A631C"/>
    <w:rsid w:val="001A63A0"/>
    <w:rsid w:val="001A640B"/>
    <w:rsid w:val="001A64AB"/>
    <w:rsid w:val="001A672E"/>
    <w:rsid w:val="001A674C"/>
    <w:rsid w:val="001A67EB"/>
    <w:rsid w:val="001A6802"/>
    <w:rsid w:val="001A69F3"/>
    <w:rsid w:val="001A6A1E"/>
    <w:rsid w:val="001A6B3D"/>
    <w:rsid w:val="001A6D2F"/>
    <w:rsid w:val="001A6EEF"/>
    <w:rsid w:val="001A6EF3"/>
    <w:rsid w:val="001A6F68"/>
    <w:rsid w:val="001A6F8F"/>
    <w:rsid w:val="001A714C"/>
    <w:rsid w:val="001A716E"/>
    <w:rsid w:val="001A767F"/>
    <w:rsid w:val="001A7C40"/>
    <w:rsid w:val="001A7C70"/>
    <w:rsid w:val="001A7C80"/>
    <w:rsid w:val="001A7D04"/>
    <w:rsid w:val="001A7DE5"/>
    <w:rsid w:val="001B016A"/>
    <w:rsid w:val="001B01CA"/>
    <w:rsid w:val="001B0273"/>
    <w:rsid w:val="001B02BA"/>
    <w:rsid w:val="001B036F"/>
    <w:rsid w:val="001B03C7"/>
    <w:rsid w:val="001B0491"/>
    <w:rsid w:val="001B0530"/>
    <w:rsid w:val="001B05DB"/>
    <w:rsid w:val="001B0630"/>
    <w:rsid w:val="001B0830"/>
    <w:rsid w:val="001B08F0"/>
    <w:rsid w:val="001B09FE"/>
    <w:rsid w:val="001B0AD9"/>
    <w:rsid w:val="001B0B9B"/>
    <w:rsid w:val="001B0BFD"/>
    <w:rsid w:val="001B0CBF"/>
    <w:rsid w:val="001B0D21"/>
    <w:rsid w:val="001B0E1B"/>
    <w:rsid w:val="001B0E1F"/>
    <w:rsid w:val="001B0F0B"/>
    <w:rsid w:val="001B10FA"/>
    <w:rsid w:val="001B119C"/>
    <w:rsid w:val="001B11BA"/>
    <w:rsid w:val="001B11E9"/>
    <w:rsid w:val="001B12C0"/>
    <w:rsid w:val="001B12DA"/>
    <w:rsid w:val="001B1379"/>
    <w:rsid w:val="001B13EF"/>
    <w:rsid w:val="001B1416"/>
    <w:rsid w:val="001B14E5"/>
    <w:rsid w:val="001B1557"/>
    <w:rsid w:val="001B15F2"/>
    <w:rsid w:val="001B16C6"/>
    <w:rsid w:val="001B182A"/>
    <w:rsid w:val="001B1889"/>
    <w:rsid w:val="001B1952"/>
    <w:rsid w:val="001B1981"/>
    <w:rsid w:val="001B1C1B"/>
    <w:rsid w:val="001B1C44"/>
    <w:rsid w:val="001B1D77"/>
    <w:rsid w:val="001B1EF3"/>
    <w:rsid w:val="001B1F9A"/>
    <w:rsid w:val="001B20C2"/>
    <w:rsid w:val="001B234E"/>
    <w:rsid w:val="001B23AD"/>
    <w:rsid w:val="001B23EB"/>
    <w:rsid w:val="001B2464"/>
    <w:rsid w:val="001B2649"/>
    <w:rsid w:val="001B2729"/>
    <w:rsid w:val="001B279F"/>
    <w:rsid w:val="001B2888"/>
    <w:rsid w:val="001B296B"/>
    <w:rsid w:val="001B29EA"/>
    <w:rsid w:val="001B2AAD"/>
    <w:rsid w:val="001B2D14"/>
    <w:rsid w:val="001B2E1C"/>
    <w:rsid w:val="001B2E71"/>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28"/>
    <w:rsid w:val="001B3960"/>
    <w:rsid w:val="001B399E"/>
    <w:rsid w:val="001B3A83"/>
    <w:rsid w:val="001B3B13"/>
    <w:rsid w:val="001B3B74"/>
    <w:rsid w:val="001B3D5D"/>
    <w:rsid w:val="001B3EDD"/>
    <w:rsid w:val="001B3F51"/>
    <w:rsid w:val="001B4017"/>
    <w:rsid w:val="001B402A"/>
    <w:rsid w:val="001B40D3"/>
    <w:rsid w:val="001B412B"/>
    <w:rsid w:val="001B42F2"/>
    <w:rsid w:val="001B45F6"/>
    <w:rsid w:val="001B46BA"/>
    <w:rsid w:val="001B46FF"/>
    <w:rsid w:val="001B471A"/>
    <w:rsid w:val="001B4759"/>
    <w:rsid w:val="001B479A"/>
    <w:rsid w:val="001B47B3"/>
    <w:rsid w:val="001B485B"/>
    <w:rsid w:val="001B4A9E"/>
    <w:rsid w:val="001B4AAC"/>
    <w:rsid w:val="001B4D4B"/>
    <w:rsid w:val="001B4EFB"/>
    <w:rsid w:val="001B4FA3"/>
    <w:rsid w:val="001B504D"/>
    <w:rsid w:val="001B5067"/>
    <w:rsid w:val="001B517A"/>
    <w:rsid w:val="001B51B2"/>
    <w:rsid w:val="001B51D0"/>
    <w:rsid w:val="001B520C"/>
    <w:rsid w:val="001B52C6"/>
    <w:rsid w:val="001B52E8"/>
    <w:rsid w:val="001B5328"/>
    <w:rsid w:val="001B53AF"/>
    <w:rsid w:val="001B5472"/>
    <w:rsid w:val="001B5499"/>
    <w:rsid w:val="001B565B"/>
    <w:rsid w:val="001B56D1"/>
    <w:rsid w:val="001B59CF"/>
    <w:rsid w:val="001B5A6D"/>
    <w:rsid w:val="001B5A98"/>
    <w:rsid w:val="001B5AA3"/>
    <w:rsid w:val="001B5AC3"/>
    <w:rsid w:val="001B5B09"/>
    <w:rsid w:val="001B5BE4"/>
    <w:rsid w:val="001B5D49"/>
    <w:rsid w:val="001B5D7D"/>
    <w:rsid w:val="001B5DA4"/>
    <w:rsid w:val="001B5FC9"/>
    <w:rsid w:val="001B5FCA"/>
    <w:rsid w:val="001B6132"/>
    <w:rsid w:val="001B61B0"/>
    <w:rsid w:val="001B6396"/>
    <w:rsid w:val="001B640D"/>
    <w:rsid w:val="001B645D"/>
    <w:rsid w:val="001B6705"/>
    <w:rsid w:val="001B671D"/>
    <w:rsid w:val="001B68C1"/>
    <w:rsid w:val="001B6A32"/>
    <w:rsid w:val="001B6A55"/>
    <w:rsid w:val="001B6B3F"/>
    <w:rsid w:val="001B6BD4"/>
    <w:rsid w:val="001B6BFE"/>
    <w:rsid w:val="001B6C6E"/>
    <w:rsid w:val="001B6DDD"/>
    <w:rsid w:val="001B6E3F"/>
    <w:rsid w:val="001B6F6D"/>
    <w:rsid w:val="001B7023"/>
    <w:rsid w:val="001B70C1"/>
    <w:rsid w:val="001B7129"/>
    <w:rsid w:val="001B7148"/>
    <w:rsid w:val="001B7182"/>
    <w:rsid w:val="001B7226"/>
    <w:rsid w:val="001B7274"/>
    <w:rsid w:val="001B7347"/>
    <w:rsid w:val="001B7471"/>
    <w:rsid w:val="001B74DE"/>
    <w:rsid w:val="001B765A"/>
    <w:rsid w:val="001B7676"/>
    <w:rsid w:val="001B7846"/>
    <w:rsid w:val="001B7954"/>
    <w:rsid w:val="001B7ACB"/>
    <w:rsid w:val="001B7B60"/>
    <w:rsid w:val="001B7BDA"/>
    <w:rsid w:val="001B7CEC"/>
    <w:rsid w:val="001B7D89"/>
    <w:rsid w:val="001B7F67"/>
    <w:rsid w:val="001B7F93"/>
    <w:rsid w:val="001C0064"/>
    <w:rsid w:val="001C00FC"/>
    <w:rsid w:val="001C0180"/>
    <w:rsid w:val="001C02EF"/>
    <w:rsid w:val="001C07BD"/>
    <w:rsid w:val="001C089F"/>
    <w:rsid w:val="001C0A82"/>
    <w:rsid w:val="001C0A89"/>
    <w:rsid w:val="001C0AFB"/>
    <w:rsid w:val="001C0B54"/>
    <w:rsid w:val="001C0CC6"/>
    <w:rsid w:val="001C0E14"/>
    <w:rsid w:val="001C0EA9"/>
    <w:rsid w:val="001C0EDD"/>
    <w:rsid w:val="001C0F60"/>
    <w:rsid w:val="001C0FCB"/>
    <w:rsid w:val="001C100F"/>
    <w:rsid w:val="001C104A"/>
    <w:rsid w:val="001C1308"/>
    <w:rsid w:val="001C142C"/>
    <w:rsid w:val="001C1687"/>
    <w:rsid w:val="001C1863"/>
    <w:rsid w:val="001C188C"/>
    <w:rsid w:val="001C18FC"/>
    <w:rsid w:val="001C1D5E"/>
    <w:rsid w:val="001C2071"/>
    <w:rsid w:val="001C2181"/>
    <w:rsid w:val="001C2182"/>
    <w:rsid w:val="001C22FA"/>
    <w:rsid w:val="001C24AC"/>
    <w:rsid w:val="001C24F2"/>
    <w:rsid w:val="001C2944"/>
    <w:rsid w:val="001C29F3"/>
    <w:rsid w:val="001C2A65"/>
    <w:rsid w:val="001C2BFD"/>
    <w:rsid w:val="001C2D46"/>
    <w:rsid w:val="001C2D6F"/>
    <w:rsid w:val="001C2DAB"/>
    <w:rsid w:val="001C2EC5"/>
    <w:rsid w:val="001C303D"/>
    <w:rsid w:val="001C30F9"/>
    <w:rsid w:val="001C319B"/>
    <w:rsid w:val="001C32D8"/>
    <w:rsid w:val="001C3346"/>
    <w:rsid w:val="001C33AC"/>
    <w:rsid w:val="001C344E"/>
    <w:rsid w:val="001C350D"/>
    <w:rsid w:val="001C3561"/>
    <w:rsid w:val="001C36C4"/>
    <w:rsid w:val="001C384C"/>
    <w:rsid w:val="001C3995"/>
    <w:rsid w:val="001C3A78"/>
    <w:rsid w:val="001C3BC3"/>
    <w:rsid w:val="001C3D9A"/>
    <w:rsid w:val="001C3F68"/>
    <w:rsid w:val="001C3F94"/>
    <w:rsid w:val="001C3FAD"/>
    <w:rsid w:val="001C40AF"/>
    <w:rsid w:val="001C40ED"/>
    <w:rsid w:val="001C4135"/>
    <w:rsid w:val="001C41D5"/>
    <w:rsid w:val="001C4376"/>
    <w:rsid w:val="001C4462"/>
    <w:rsid w:val="001C4492"/>
    <w:rsid w:val="001C44C3"/>
    <w:rsid w:val="001C46BD"/>
    <w:rsid w:val="001C479E"/>
    <w:rsid w:val="001C495A"/>
    <w:rsid w:val="001C4965"/>
    <w:rsid w:val="001C49A9"/>
    <w:rsid w:val="001C4BD4"/>
    <w:rsid w:val="001C4C48"/>
    <w:rsid w:val="001C4D36"/>
    <w:rsid w:val="001C4D99"/>
    <w:rsid w:val="001C4E0C"/>
    <w:rsid w:val="001C4E44"/>
    <w:rsid w:val="001C5533"/>
    <w:rsid w:val="001C5638"/>
    <w:rsid w:val="001C56FC"/>
    <w:rsid w:val="001C5782"/>
    <w:rsid w:val="001C5B5A"/>
    <w:rsid w:val="001C5DB2"/>
    <w:rsid w:val="001C5DD1"/>
    <w:rsid w:val="001C5FD4"/>
    <w:rsid w:val="001C6168"/>
    <w:rsid w:val="001C62AC"/>
    <w:rsid w:val="001C62B1"/>
    <w:rsid w:val="001C634A"/>
    <w:rsid w:val="001C63C9"/>
    <w:rsid w:val="001C6571"/>
    <w:rsid w:val="001C687D"/>
    <w:rsid w:val="001C697F"/>
    <w:rsid w:val="001C6A97"/>
    <w:rsid w:val="001C6B0E"/>
    <w:rsid w:val="001C6B78"/>
    <w:rsid w:val="001C6DC4"/>
    <w:rsid w:val="001C6F4F"/>
    <w:rsid w:val="001C700F"/>
    <w:rsid w:val="001C719C"/>
    <w:rsid w:val="001C73B7"/>
    <w:rsid w:val="001C73E7"/>
    <w:rsid w:val="001C769D"/>
    <w:rsid w:val="001C76D1"/>
    <w:rsid w:val="001C7936"/>
    <w:rsid w:val="001C7957"/>
    <w:rsid w:val="001C79CF"/>
    <w:rsid w:val="001C7B79"/>
    <w:rsid w:val="001C7E31"/>
    <w:rsid w:val="001C7F70"/>
    <w:rsid w:val="001D0089"/>
    <w:rsid w:val="001D0171"/>
    <w:rsid w:val="001D0204"/>
    <w:rsid w:val="001D0240"/>
    <w:rsid w:val="001D036A"/>
    <w:rsid w:val="001D04BD"/>
    <w:rsid w:val="001D055A"/>
    <w:rsid w:val="001D08A7"/>
    <w:rsid w:val="001D08B3"/>
    <w:rsid w:val="001D0913"/>
    <w:rsid w:val="001D091C"/>
    <w:rsid w:val="001D09EF"/>
    <w:rsid w:val="001D0AF1"/>
    <w:rsid w:val="001D0B77"/>
    <w:rsid w:val="001D0FFE"/>
    <w:rsid w:val="001D109C"/>
    <w:rsid w:val="001D111B"/>
    <w:rsid w:val="001D116F"/>
    <w:rsid w:val="001D11AE"/>
    <w:rsid w:val="001D1263"/>
    <w:rsid w:val="001D130A"/>
    <w:rsid w:val="001D1369"/>
    <w:rsid w:val="001D139C"/>
    <w:rsid w:val="001D14FA"/>
    <w:rsid w:val="001D1662"/>
    <w:rsid w:val="001D16DF"/>
    <w:rsid w:val="001D1748"/>
    <w:rsid w:val="001D183E"/>
    <w:rsid w:val="001D1948"/>
    <w:rsid w:val="001D1B12"/>
    <w:rsid w:val="001D1CF4"/>
    <w:rsid w:val="001D1CFA"/>
    <w:rsid w:val="001D1D17"/>
    <w:rsid w:val="001D1DDF"/>
    <w:rsid w:val="001D1F9C"/>
    <w:rsid w:val="001D2041"/>
    <w:rsid w:val="001D2199"/>
    <w:rsid w:val="001D23A2"/>
    <w:rsid w:val="001D23C3"/>
    <w:rsid w:val="001D2440"/>
    <w:rsid w:val="001D2483"/>
    <w:rsid w:val="001D24E4"/>
    <w:rsid w:val="001D25D8"/>
    <w:rsid w:val="001D260F"/>
    <w:rsid w:val="001D2653"/>
    <w:rsid w:val="001D269F"/>
    <w:rsid w:val="001D27A0"/>
    <w:rsid w:val="001D2919"/>
    <w:rsid w:val="001D2972"/>
    <w:rsid w:val="001D29AA"/>
    <w:rsid w:val="001D29DF"/>
    <w:rsid w:val="001D2A17"/>
    <w:rsid w:val="001D2A49"/>
    <w:rsid w:val="001D2ADB"/>
    <w:rsid w:val="001D2B03"/>
    <w:rsid w:val="001D2C02"/>
    <w:rsid w:val="001D2CC9"/>
    <w:rsid w:val="001D2D19"/>
    <w:rsid w:val="001D2DD4"/>
    <w:rsid w:val="001D2E24"/>
    <w:rsid w:val="001D2E3D"/>
    <w:rsid w:val="001D3001"/>
    <w:rsid w:val="001D310C"/>
    <w:rsid w:val="001D310D"/>
    <w:rsid w:val="001D332F"/>
    <w:rsid w:val="001D3356"/>
    <w:rsid w:val="001D3665"/>
    <w:rsid w:val="001D366D"/>
    <w:rsid w:val="001D3788"/>
    <w:rsid w:val="001D387D"/>
    <w:rsid w:val="001D39AF"/>
    <w:rsid w:val="001D3A15"/>
    <w:rsid w:val="001D3AE5"/>
    <w:rsid w:val="001D3B24"/>
    <w:rsid w:val="001D3B88"/>
    <w:rsid w:val="001D3CC1"/>
    <w:rsid w:val="001D3DAE"/>
    <w:rsid w:val="001D404B"/>
    <w:rsid w:val="001D4086"/>
    <w:rsid w:val="001D4091"/>
    <w:rsid w:val="001D40EF"/>
    <w:rsid w:val="001D41CA"/>
    <w:rsid w:val="001D41E4"/>
    <w:rsid w:val="001D42C3"/>
    <w:rsid w:val="001D4334"/>
    <w:rsid w:val="001D4603"/>
    <w:rsid w:val="001D4743"/>
    <w:rsid w:val="001D47B3"/>
    <w:rsid w:val="001D489E"/>
    <w:rsid w:val="001D493F"/>
    <w:rsid w:val="001D4B96"/>
    <w:rsid w:val="001D4BA7"/>
    <w:rsid w:val="001D4CDA"/>
    <w:rsid w:val="001D4D22"/>
    <w:rsid w:val="001D4DA3"/>
    <w:rsid w:val="001D4EA1"/>
    <w:rsid w:val="001D4EF0"/>
    <w:rsid w:val="001D4F13"/>
    <w:rsid w:val="001D514E"/>
    <w:rsid w:val="001D51A9"/>
    <w:rsid w:val="001D536D"/>
    <w:rsid w:val="001D5373"/>
    <w:rsid w:val="001D53C6"/>
    <w:rsid w:val="001D557D"/>
    <w:rsid w:val="001D56AB"/>
    <w:rsid w:val="001D5721"/>
    <w:rsid w:val="001D5743"/>
    <w:rsid w:val="001D5991"/>
    <w:rsid w:val="001D5A4D"/>
    <w:rsid w:val="001D5A94"/>
    <w:rsid w:val="001D5AFA"/>
    <w:rsid w:val="001D5B48"/>
    <w:rsid w:val="001D5BF1"/>
    <w:rsid w:val="001D5D5E"/>
    <w:rsid w:val="001D5D9B"/>
    <w:rsid w:val="001D5E28"/>
    <w:rsid w:val="001D5F43"/>
    <w:rsid w:val="001D610A"/>
    <w:rsid w:val="001D6140"/>
    <w:rsid w:val="001D6337"/>
    <w:rsid w:val="001D652B"/>
    <w:rsid w:val="001D65EC"/>
    <w:rsid w:val="001D6614"/>
    <w:rsid w:val="001D67DC"/>
    <w:rsid w:val="001D690D"/>
    <w:rsid w:val="001D694D"/>
    <w:rsid w:val="001D69D5"/>
    <w:rsid w:val="001D6B89"/>
    <w:rsid w:val="001D6C3B"/>
    <w:rsid w:val="001D6D61"/>
    <w:rsid w:val="001D6D97"/>
    <w:rsid w:val="001D6DBB"/>
    <w:rsid w:val="001D6DD4"/>
    <w:rsid w:val="001D6EAF"/>
    <w:rsid w:val="001D7026"/>
    <w:rsid w:val="001D7081"/>
    <w:rsid w:val="001D7170"/>
    <w:rsid w:val="001D71DC"/>
    <w:rsid w:val="001D72DF"/>
    <w:rsid w:val="001D7502"/>
    <w:rsid w:val="001D7530"/>
    <w:rsid w:val="001D75D4"/>
    <w:rsid w:val="001D7623"/>
    <w:rsid w:val="001D7656"/>
    <w:rsid w:val="001D7775"/>
    <w:rsid w:val="001D77EB"/>
    <w:rsid w:val="001D7930"/>
    <w:rsid w:val="001D7AF1"/>
    <w:rsid w:val="001D7B05"/>
    <w:rsid w:val="001D7B21"/>
    <w:rsid w:val="001D7C81"/>
    <w:rsid w:val="001D7CE6"/>
    <w:rsid w:val="001D7CE8"/>
    <w:rsid w:val="001D7D75"/>
    <w:rsid w:val="001D7DAC"/>
    <w:rsid w:val="001D7DD2"/>
    <w:rsid w:val="001D7E37"/>
    <w:rsid w:val="001D7E3A"/>
    <w:rsid w:val="001D7E5C"/>
    <w:rsid w:val="001D7EA9"/>
    <w:rsid w:val="001E0041"/>
    <w:rsid w:val="001E018C"/>
    <w:rsid w:val="001E01DE"/>
    <w:rsid w:val="001E0239"/>
    <w:rsid w:val="001E02C4"/>
    <w:rsid w:val="001E03FB"/>
    <w:rsid w:val="001E046D"/>
    <w:rsid w:val="001E04A1"/>
    <w:rsid w:val="001E050A"/>
    <w:rsid w:val="001E0613"/>
    <w:rsid w:val="001E064C"/>
    <w:rsid w:val="001E06D5"/>
    <w:rsid w:val="001E0738"/>
    <w:rsid w:val="001E078F"/>
    <w:rsid w:val="001E0819"/>
    <w:rsid w:val="001E0822"/>
    <w:rsid w:val="001E0836"/>
    <w:rsid w:val="001E08F1"/>
    <w:rsid w:val="001E08F6"/>
    <w:rsid w:val="001E0915"/>
    <w:rsid w:val="001E0916"/>
    <w:rsid w:val="001E099C"/>
    <w:rsid w:val="001E0A1C"/>
    <w:rsid w:val="001E0BDE"/>
    <w:rsid w:val="001E0CF0"/>
    <w:rsid w:val="001E0CF2"/>
    <w:rsid w:val="001E0DA0"/>
    <w:rsid w:val="001E0DEF"/>
    <w:rsid w:val="001E0E29"/>
    <w:rsid w:val="001E0EFA"/>
    <w:rsid w:val="001E1019"/>
    <w:rsid w:val="001E105B"/>
    <w:rsid w:val="001E1096"/>
    <w:rsid w:val="001E10B7"/>
    <w:rsid w:val="001E10DE"/>
    <w:rsid w:val="001E1120"/>
    <w:rsid w:val="001E12B7"/>
    <w:rsid w:val="001E12D5"/>
    <w:rsid w:val="001E1555"/>
    <w:rsid w:val="001E1777"/>
    <w:rsid w:val="001E1812"/>
    <w:rsid w:val="001E1829"/>
    <w:rsid w:val="001E182E"/>
    <w:rsid w:val="001E1A8D"/>
    <w:rsid w:val="001E1A95"/>
    <w:rsid w:val="001E1B57"/>
    <w:rsid w:val="001E1C30"/>
    <w:rsid w:val="001E1CF7"/>
    <w:rsid w:val="001E1D3D"/>
    <w:rsid w:val="001E2089"/>
    <w:rsid w:val="001E219D"/>
    <w:rsid w:val="001E22D8"/>
    <w:rsid w:val="001E251B"/>
    <w:rsid w:val="001E26E7"/>
    <w:rsid w:val="001E2719"/>
    <w:rsid w:val="001E2722"/>
    <w:rsid w:val="001E280B"/>
    <w:rsid w:val="001E286E"/>
    <w:rsid w:val="001E2AA6"/>
    <w:rsid w:val="001E2AF1"/>
    <w:rsid w:val="001E2B72"/>
    <w:rsid w:val="001E2B95"/>
    <w:rsid w:val="001E2BDD"/>
    <w:rsid w:val="001E2C7B"/>
    <w:rsid w:val="001E2E48"/>
    <w:rsid w:val="001E3081"/>
    <w:rsid w:val="001E31A2"/>
    <w:rsid w:val="001E31F7"/>
    <w:rsid w:val="001E3232"/>
    <w:rsid w:val="001E330C"/>
    <w:rsid w:val="001E3339"/>
    <w:rsid w:val="001E3353"/>
    <w:rsid w:val="001E34F4"/>
    <w:rsid w:val="001E352D"/>
    <w:rsid w:val="001E360A"/>
    <w:rsid w:val="001E3656"/>
    <w:rsid w:val="001E392E"/>
    <w:rsid w:val="001E3A88"/>
    <w:rsid w:val="001E3AA6"/>
    <w:rsid w:val="001E3C9F"/>
    <w:rsid w:val="001E3D55"/>
    <w:rsid w:val="001E3F9D"/>
    <w:rsid w:val="001E3FD5"/>
    <w:rsid w:val="001E41EB"/>
    <w:rsid w:val="001E42CA"/>
    <w:rsid w:val="001E46D9"/>
    <w:rsid w:val="001E4857"/>
    <w:rsid w:val="001E490B"/>
    <w:rsid w:val="001E49B9"/>
    <w:rsid w:val="001E4C7E"/>
    <w:rsid w:val="001E4CD0"/>
    <w:rsid w:val="001E4DD9"/>
    <w:rsid w:val="001E4ECB"/>
    <w:rsid w:val="001E507B"/>
    <w:rsid w:val="001E5216"/>
    <w:rsid w:val="001E5226"/>
    <w:rsid w:val="001E5287"/>
    <w:rsid w:val="001E532F"/>
    <w:rsid w:val="001E543F"/>
    <w:rsid w:val="001E54F3"/>
    <w:rsid w:val="001E5575"/>
    <w:rsid w:val="001E5781"/>
    <w:rsid w:val="001E5835"/>
    <w:rsid w:val="001E58BC"/>
    <w:rsid w:val="001E58D7"/>
    <w:rsid w:val="001E5B0B"/>
    <w:rsid w:val="001E5C0C"/>
    <w:rsid w:val="001E5C88"/>
    <w:rsid w:val="001E5DD7"/>
    <w:rsid w:val="001E5E9E"/>
    <w:rsid w:val="001E5EA4"/>
    <w:rsid w:val="001E5F05"/>
    <w:rsid w:val="001E62D4"/>
    <w:rsid w:val="001E62F8"/>
    <w:rsid w:val="001E6409"/>
    <w:rsid w:val="001E654A"/>
    <w:rsid w:val="001E6555"/>
    <w:rsid w:val="001E6558"/>
    <w:rsid w:val="001E65D4"/>
    <w:rsid w:val="001E65E4"/>
    <w:rsid w:val="001E65EA"/>
    <w:rsid w:val="001E66C7"/>
    <w:rsid w:val="001E686A"/>
    <w:rsid w:val="001E6A7A"/>
    <w:rsid w:val="001E6B15"/>
    <w:rsid w:val="001E6B19"/>
    <w:rsid w:val="001E6B5D"/>
    <w:rsid w:val="001E6C58"/>
    <w:rsid w:val="001E6CD0"/>
    <w:rsid w:val="001E6D13"/>
    <w:rsid w:val="001E6D5B"/>
    <w:rsid w:val="001E6DC7"/>
    <w:rsid w:val="001E6DD0"/>
    <w:rsid w:val="001E6EFE"/>
    <w:rsid w:val="001E6FD8"/>
    <w:rsid w:val="001E71B5"/>
    <w:rsid w:val="001E73BE"/>
    <w:rsid w:val="001E7501"/>
    <w:rsid w:val="001E7704"/>
    <w:rsid w:val="001E785F"/>
    <w:rsid w:val="001E7960"/>
    <w:rsid w:val="001E7A48"/>
    <w:rsid w:val="001E7B06"/>
    <w:rsid w:val="001E7B3A"/>
    <w:rsid w:val="001E7D25"/>
    <w:rsid w:val="001E7FA6"/>
    <w:rsid w:val="001F015F"/>
    <w:rsid w:val="001F026A"/>
    <w:rsid w:val="001F03E8"/>
    <w:rsid w:val="001F0461"/>
    <w:rsid w:val="001F04AE"/>
    <w:rsid w:val="001F04B2"/>
    <w:rsid w:val="001F05FF"/>
    <w:rsid w:val="001F062A"/>
    <w:rsid w:val="001F06FC"/>
    <w:rsid w:val="001F0748"/>
    <w:rsid w:val="001F0973"/>
    <w:rsid w:val="001F09A9"/>
    <w:rsid w:val="001F0C08"/>
    <w:rsid w:val="001F0C7E"/>
    <w:rsid w:val="001F0CF5"/>
    <w:rsid w:val="001F0E62"/>
    <w:rsid w:val="001F0F7B"/>
    <w:rsid w:val="001F1059"/>
    <w:rsid w:val="001F10E2"/>
    <w:rsid w:val="001F124E"/>
    <w:rsid w:val="001F1359"/>
    <w:rsid w:val="001F1431"/>
    <w:rsid w:val="001F14C0"/>
    <w:rsid w:val="001F15E0"/>
    <w:rsid w:val="001F16E1"/>
    <w:rsid w:val="001F1799"/>
    <w:rsid w:val="001F17A5"/>
    <w:rsid w:val="001F18AF"/>
    <w:rsid w:val="001F18C2"/>
    <w:rsid w:val="001F19E6"/>
    <w:rsid w:val="001F1A1B"/>
    <w:rsid w:val="001F1A88"/>
    <w:rsid w:val="001F1AE2"/>
    <w:rsid w:val="001F1AF1"/>
    <w:rsid w:val="001F1C62"/>
    <w:rsid w:val="001F1D32"/>
    <w:rsid w:val="001F1EBE"/>
    <w:rsid w:val="001F1ECC"/>
    <w:rsid w:val="001F20C0"/>
    <w:rsid w:val="001F20F6"/>
    <w:rsid w:val="001F211D"/>
    <w:rsid w:val="001F22BC"/>
    <w:rsid w:val="001F2311"/>
    <w:rsid w:val="001F2338"/>
    <w:rsid w:val="001F2380"/>
    <w:rsid w:val="001F240E"/>
    <w:rsid w:val="001F26C5"/>
    <w:rsid w:val="001F26E1"/>
    <w:rsid w:val="001F273C"/>
    <w:rsid w:val="001F27B8"/>
    <w:rsid w:val="001F2815"/>
    <w:rsid w:val="001F2847"/>
    <w:rsid w:val="001F28F8"/>
    <w:rsid w:val="001F2952"/>
    <w:rsid w:val="001F296A"/>
    <w:rsid w:val="001F2A35"/>
    <w:rsid w:val="001F2C66"/>
    <w:rsid w:val="001F2CF3"/>
    <w:rsid w:val="001F2D4B"/>
    <w:rsid w:val="001F2D67"/>
    <w:rsid w:val="001F2FCF"/>
    <w:rsid w:val="001F3073"/>
    <w:rsid w:val="001F30F1"/>
    <w:rsid w:val="001F312A"/>
    <w:rsid w:val="001F3181"/>
    <w:rsid w:val="001F3210"/>
    <w:rsid w:val="001F328C"/>
    <w:rsid w:val="001F329C"/>
    <w:rsid w:val="001F33CB"/>
    <w:rsid w:val="001F3473"/>
    <w:rsid w:val="001F349F"/>
    <w:rsid w:val="001F3649"/>
    <w:rsid w:val="001F3760"/>
    <w:rsid w:val="001F37CE"/>
    <w:rsid w:val="001F39F9"/>
    <w:rsid w:val="001F3D1B"/>
    <w:rsid w:val="001F3D99"/>
    <w:rsid w:val="001F3DB0"/>
    <w:rsid w:val="001F4019"/>
    <w:rsid w:val="001F4246"/>
    <w:rsid w:val="001F42FB"/>
    <w:rsid w:val="001F4366"/>
    <w:rsid w:val="001F4543"/>
    <w:rsid w:val="001F461C"/>
    <w:rsid w:val="001F49EC"/>
    <w:rsid w:val="001F4A77"/>
    <w:rsid w:val="001F4AA1"/>
    <w:rsid w:val="001F4DC4"/>
    <w:rsid w:val="001F4E13"/>
    <w:rsid w:val="001F4F1C"/>
    <w:rsid w:val="001F4FF3"/>
    <w:rsid w:val="001F5025"/>
    <w:rsid w:val="001F503E"/>
    <w:rsid w:val="001F515C"/>
    <w:rsid w:val="001F517C"/>
    <w:rsid w:val="001F5184"/>
    <w:rsid w:val="001F52D4"/>
    <w:rsid w:val="001F5409"/>
    <w:rsid w:val="001F5557"/>
    <w:rsid w:val="001F55D0"/>
    <w:rsid w:val="001F573D"/>
    <w:rsid w:val="001F5ADA"/>
    <w:rsid w:val="001F5AE4"/>
    <w:rsid w:val="001F5DE3"/>
    <w:rsid w:val="001F5E14"/>
    <w:rsid w:val="001F5F54"/>
    <w:rsid w:val="001F60E0"/>
    <w:rsid w:val="001F611B"/>
    <w:rsid w:val="001F617C"/>
    <w:rsid w:val="001F61E6"/>
    <w:rsid w:val="001F6254"/>
    <w:rsid w:val="001F6402"/>
    <w:rsid w:val="001F6406"/>
    <w:rsid w:val="001F644C"/>
    <w:rsid w:val="001F64FF"/>
    <w:rsid w:val="001F6539"/>
    <w:rsid w:val="001F6556"/>
    <w:rsid w:val="001F663D"/>
    <w:rsid w:val="001F67D4"/>
    <w:rsid w:val="001F6829"/>
    <w:rsid w:val="001F6883"/>
    <w:rsid w:val="001F68C6"/>
    <w:rsid w:val="001F6C06"/>
    <w:rsid w:val="001F6DB9"/>
    <w:rsid w:val="001F6E42"/>
    <w:rsid w:val="001F6F45"/>
    <w:rsid w:val="001F6FBB"/>
    <w:rsid w:val="001F6FEF"/>
    <w:rsid w:val="001F71A0"/>
    <w:rsid w:val="001F7240"/>
    <w:rsid w:val="001F743E"/>
    <w:rsid w:val="001F74AC"/>
    <w:rsid w:val="001F74AD"/>
    <w:rsid w:val="001F763E"/>
    <w:rsid w:val="001F76A6"/>
    <w:rsid w:val="001F77D3"/>
    <w:rsid w:val="001F7898"/>
    <w:rsid w:val="001F78FC"/>
    <w:rsid w:val="001F7911"/>
    <w:rsid w:val="001F7915"/>
    <w:rsid w:val="001F79B7"/>
    <w:rsid w:val="001F7A72"/>
    <w:rsid w:val="001F7AB5"/>
    <w:rsid w:val="001F7B00"/>
    <w:rsid w:val="001F7DC7"/>
    <w:rsid w:val="001F7FB5"/>
    <w:rsid w:val="001F7FDD"/>
    <w:rsid w:val="001F7FE5"/>
    <w:rsid w:val="002001FF"/>
    <w:rsid w:val="00200656"/>
    <w:rsid w:val="002006D4"/>
    <w:rsid w:val="00200783"/>
    <w:rsid w:val="002009BB"/>
    <w:rsid w:val="00200B86"/>
    <w:rsid w:val="00200C78"/>
    <w:rsid w:val="00200C98"/>
    <w:rsid w:val="00200CB9"/>
    <w:rsid w:val="00200D4D"/>
    <w:rsid w:val="00200EA4"/>
    <w:rsid w:val="00200F6E"/>
    <w:rsid w:val="00201002"/>
    <w:rsid w:val="00201100"/>
    <w:rsid w:val="002015C1"/>
    <w:rsid w:val="00201716"/>
    <w:rsid w:val="00201B90"/>
    <w:rsid w:val="00201DC0"/>
    <w:rsid w:val="00201E67"/>
    <w:rsid w:val="00201FBE"/>
    <w:rsid w:val="0020202C"/>
    <w:rsid w:val="0020214C"/>
    <w:rsid w:val="002022B5"/>
    <w:rsid w:val="002022D8"/>
    <w:rsid w:val="0020230C"/>
    <w:rsid w:val="00202484"/>
    <w:rsid w:val="00202722"/>
    <w:rsid w:val="002029CB"/>
    <w:rsid w:val="002029EF"/>
    <w:rsid w:val="00202A7F"/>
    <w:rsid w:val="00202B4F"/>
    <w:rsid w:val="00202C26"/>
    <w:rsid w:val="00202D6A"/>
    <w:rsid w:val="00202DBA"/>
    <w:rsid w:val="00202E80"/>
    <w:rsid w:val="00202F2A"/>
    <w:rsid w:val="00202F64"/>
    <w:rsid w:val="00203080"/>
    <w:rsid w:val="00203215"/>
    <w:rsid w:val="00203290"/>
    <w:rsid w:val="002035D6"/>
    <w:rsid w:val="0020362E"/>
    <w:rsid w:val="00203775"/>
    <w:rsid w:val="002038CB"/>
    <w:rsid w:val="00203B2D"/>
    <w:rsid w:val="00203B5B"/>
    <w:rsid w:val="00203C1C"/>
    <w:rsid w:val="00203C79"/>
    <w:rsid w:val="00203DE5"/>
    <w:rsid w:val="00203F71"/>
    <w:rsid w:val="002043C4"/>
    <w:rsid w:val="00204409"/>
    <w:rsid w:val="002046AE"/>
    <w:rsid w:val="0020483C"/>
    <w:rsid w:val="002048D6"/>
    <w:rsid w:val="002048E1"/>
    <w:rsid w:val="00204957"/>
    <w:rsid w:val="00204ABE"/>
    <w:rsid w:val="00204BB9"/>
    <w:rsid w:val="00204CCB"/>
    <w:rsid w:val="00204DFC"/>
    <w:rsid w:val="00204E1D"/>
    <w:rsid w:val="00204F87"/>
    <w:rsid w:val="00204F8E"/>
    <w:rsid w:val="002050BC"/>
    <w:rsid w:val="002050D2"/>
    <w:rsid w:val="00205122"/>
    <w:rsid w:val="002051AC"/>
    <w:rsid w:val="002052A1"/>
    <w:rsid w:val="002052A6"/>
    <w:rsid w:val="00205313"/>
    <w:rsid w:val="002054A7"/>
    <w:rsid w:val="002054AE"/>
    <w:rsid w:val="002054BE"/>
    <w:rsid w:val="002054CE"/>
    <w:rsid w:val="002054D8"/>
    <w:rsid w:val="00205553"/>
    <w:rsid w:val="002055A7"/>
    <w:rsid w:val="002056F0"/>
    <w:rsid w:val="00205923"/>
    <w:rsid w:val="00205B35"/>
    <w:rsid w:val="00205B75"/>
    <w:rsid w:val="00205B93"/>
    <w:rsid w:val="00205C00"/>
    <w:rsid w:val="00205C54"/>
    <w:rsid w:val="00205C6E"/>
    <w:rsid w:val="00205CA7"/>
    <w:rsid w:val="00205E1D"/>
    <w:rsid w:val="00205F06"/>
    <w:rsid w:val="00205F37"/>
    <w:rsid w:val="00205F89"/>
    <w:rsid w:val="0020616A"/>
    <w:rsid w:val="0020616C"/>
    <w:rsid w:val="002062CF"/>
    <w:rsid w:val="002062F2"/>
    <w:rsid w:val="002063EF"/>
    <w:rsid w:val="00206472"/>
    <w:rsid w:val="002064F3"/>
    <w:rsid w:val="00206610"/>
    <w:rsid w:val="00206621"/>
    <w:rsid w:val="00206785"/>
    <w:rsid w:val="002067F7"/>
    <w:rsid w:val="002067FE"/>
    <w:rsid w:val="0020692D"/>
    <w:rsid w:val="00206969"/>
    <w:rsid w:val="00206B78"/>
    <w:rsid w:val="00206BB2"/>
    <w:rsid w:val="00207019"/>
    <w:rsid w:val="0020701C"/>
    <w:rsid w:val="002070C7"/>
    <w:rsid w:val="00207308"/>
    <w:rsid w:val="002073CC"/>
    <w:rsid w:val="0020745E"/>
    <w:rsid w:val="002074CA"/>
    <w:rsid w:val="00207737"/>
    <w:rsid w:val="002079D4"/>
    <w:rsid w:val="00207A9A"/>
    <w:rsid w:val="00207AE5"/>
    <w:rsid w:val="00207CEE"/>
    <w:rsid w:val="00207D6C"/>
    <w:rsid w:val="00207EB6"/>
    <w:rsid w:val="00207F2D"/>
    <w:rsid w:val="00207F32"/>
    <w:rsid w:val="00207F42"/>
    <w:rsid w:val="0021002D"/>
    <w:rsid w:val="00210135"/>
    <w:rsid w:val="002101DA"/>
    <w:rsid w:val="002102D9"/>
    <w:rsid w:val="002102E9"/>
    <w:rsid w:val="002103C3"/>
    <w:rsid w:val="00210482"/>
    <w:rsid w:val="00210519"/>
    <w:rsid w:val="0021070A"/>
    <w:rsid w:val="002107DC"/>
    <w:rsid w:val="002107FF"/>
    <w:rsid w:val="002109F1"/>
    <w:rsid w:val="00210A44"/>
    <w:rsid w:val="00210B03"/>
    <w:rsid w:val="00210DE3"/>
    <w:rsid w:val="00210FE0"/>
    <w:rsid w:val="00211501"/>
    <w:rsid w:val="0021152D"/>
    <w:rsid w:val="0021175C"/>
    <w:rsid w:val="00211770"/>
    <w:rsid w:val="00211942"/>
    <w:rsid w:val="002119A9"/>
    <w:rsid w:val="002119E8"/>
    <w:rsid w:val="00211CC3"/>
    <w:rsid w:val="00211DE0"/>
    <w:rsid w:val="00211E1F"/>
    <w:rsid w:val="00211E5F"/>
    <w:rsid w:val="00211F1C"/>
    <w:rsid w:val="0021201C"/>
    <w:rsid w:val="002120DD"/>
    <w:rsid w:val="002121A9"/>
    <w:rsid w:val="002123DB"/>
    <w:rsid w:val="00212610"/>
    <w:rsid w:val="002126B0"/>
    <w:rsid w:val="002126C7"/>
    <w:rsid w:val="002126E3"/>
    <w:rsid w:val="00212700"/>
    <w:rsid w:val="00212761"/>
    <w:rsid w:val="002127FB"/>
    <w:rsid w:val="0021296B"/>
    <w:rsid w:val="00212BE9"/>
    <w:rsid w:val="00212DB0"/>
    <w:rsid w:val="00212E39"/>
    <w:rsid w:val="00212EE1"/>
    <w:rsid w:val="00212F1A"/>
    <w:rsid w:val="00212F32"/>
    <w:rsid w:val="00212FA3"/>
    <w:rsid w:val="00212FAC"/>
    <w:rsid w:val="00212FE2"/>
    <w:rsid w:val="00213120"/>
    <w:rsid w:val="002133B6"/>
    <w:rsid w:val="002133C9"/>
    <w:rsid w:val="002133DB"/>
    <w:rsid w:val="002133E4"/>
    <w:rsid w:val="00213631"/>
    <w:rsid w:val="00213796"/>
    <w:rsid w:val="00213AD3"/>
    <w:rsid w:val="00213B66"/>
    <w:rsid w:val="00213C75"/>
    <w:rsid w:val="00213CB0"/>
    <w:rsid w:val="00213F7D"/>
    <w:rsid w:val="00213F8F"/>
    <w:rsid w:val="00214116"/>
    <w:rsid w:val="00214120"/>
    <w:rsid w:val="00214137"/>
    <w:rsid w:val="002141D9"/>
    <w:rsid w:val="00214224"/>
    <w:rsid w:val="0021425C"/>
    <w:rsid w:val="002146F2"/>
    <w:rsid w:val="00214748"/>
    <w:rsid w:val="0021478B"/>
    <w:rsid w:val="00214960"/>
    <w:rsid w:val="002149B0"/>
    <w:rsid w:val="00214A14"/>
    <w:rsid w:val="00214AA4"/>
    <w:rsid w:val="00214C08"/>
    <w:rsid w:val="00214E8D"/>
    <w:rsid w:val="00214ECC"/>
    <w:rsid w:val="00214F33"/>
    <w:rsid w:val="00215133"/>
    <w:rsid w:val="00215202"/>
    <w:rsid w:val="0021524A"/>
    <w:rsid w:val="00215301"/>
    <w:rsid w:val="002157FD"/>
    <w:rsid w:val="00215825"/>
    <w:rsid w:val="0021589F"/>
    <w:rsid w:val="00215A28"/>
    <w:rsid w:val="00215AF9"/>
    <w:rsid w:val="00215B7B"/>
    <w:rsid w:val="00215C40"/>
    <w:rsid w:val="00215D21"/>
    <w:rsid w:val="00215E75"/>
    <w:rsid w:val="00215F70"/>
    <w:rsid w:val="00215F95"/>
    <w:rsid w:val="00215FC5"/>
    <w:rsid w:val="00216015"/>
    <w:rsid w:val="00216041"/>
    <w:rsid w:val="002160F3"/>
    <w:rsid w:val="002160FA"/>
    <w:rsid w:val="00216120"/>
    <w:rsid w:val="002161CF"/>
    <w:rsid w:val="00216266"/>
    <w:rsid w:val="00216363"/>
    <w:rsid w:val="0021637A"/>
    <w:rsid w:val="002163B2"/>
    <w:rsid w:val="002163E4"/>
    <w:rsid w:val="0021640E"/>
    <w:rsid w:val="002165DB"/>
    <w:rsid w:val="00216765"/>
    <w:rsid w:val="002167A7"/>
    <w:rsid w:val="002168E6"/>
    <w:rsid w:val="002169E4"/>
    <w:rsid w:val="00216A27"/>
    <w:rsid w:val="00216A90"/>
    <w:rsid w:val="00216B1C"/>
    <w:rsid w:val="00216C03"/>
    <w:rsid w:val="00216C44"/>
    <w:rsid w:val="00216CBF"/>
    <w:rsid w:val="00216CC6"/>
    <w:rsid w:val="00216D99"/>
    <w:rsid w:val="00216E3B"/>
    <w:rsid w:val="00216E9E"/>
    <w:rsid w:val="00216FCE"/>
    <w:rsid w:val="00216FF5"/>
    <w:rsid w:val="0021700E"/>
    <w:rsid w:val="00217024"/>
    <w:rsid w:val="00217037"/>
    <w:rsid w:val="002170AC"/>
    <w:rsid w:val="002170D3"/>
    <w:rsid w:val="0021741B"/>
    <w:rsid w:val="002174B3"/>
    <w:rsid w:val="00217692"/>
    <w:rsid w:val="002176B9"/>
    <w:rsid w:val="0021770C"/>
    <w:rsid w:val="002177D9"/>
    <w:rsid w:val="002177E5"/>
    <w:rsid w:val="00217AD1"/>
    <w:rsid w:val="00217B97"/>
    <w:rsid w:val="00217D64"/>
    <w:rsid w:val="0022002A"/>
    <w:rsid w:val="00220102"/>
    <w:rsid w:val="00220244"/>
    <w:rsid w:val="0022038B"/>
    <w:rsid w:val="002204FA"/>
    <w:rsid w:val="002204FD"/>
    <w:rsid w:val="0022051D"/>
    <w:rsid w:val="00220557"/>
    <w:rsid w:val="00220870"/>
    <w:rsid w:val="00220929"/>
    <w:rsid w:val="0022092A"/>
    <w:rsid w:val="00220A21"/>
    <w:rsid w:val="00220ACA"/>
    <w:rsid w:val="00220B03"/>
    <w:rsid w:val="00220D74"/>
    <w:rsid w:val="00220E09"/>
    <w:rsid w:val="00220E44"/>
    <w:rsid w:val="00221061"/>
    <w:rsid w:val="002211B3"/>
    <w:rsid w:val="002211ED"/>
    <w:rsid w:val="00221208"/>
    <w:rsid w:val="00221229"/>
    <w:rsid w:val="00221370"/>
    <w:rsid w:val="002213B2"/>
    <w:rsid w:val="00221493"/>
    <w:rsid w:val="00221593"/>
    <w:rsid w:val="002215BF"/>
    <w:rsid w:val="002215C2"/>
    <w:rsid w:val="00221668"/>
    <w:rsid w:val="00221789"/>
    <w:rsid w:val="002217AE"/>
    <w:rsid w:val="0022181C"/>
    <w:rsid w:val="0022187C"/>
    <w:rsid w:val="00221B32"/>
    <w:rsid w:val="00221CF8"/>
    <w:rsid w:val="00221D1E"/>
    <w:rsid w:val="00221D20"/>
    <w:rsid w:val="00221E5E"/>
    <w:rsid w:val="00221EF2"/>
    <w:rsid w:val="00221F70"/>
    <w:rsid w:val="00221FD4"/>
    <w:rsid w:val="0022210F"/>
    <w:rsid w:val="00222115"/>
    <w:rsid w:val="00222392"/>
    <w:rsid w:val="00222417"/>
    <w:rsid w:val="002224DD"/>
    <w:rsid w:val="0022260F"/>
    <w:rsid w:val="002229FF"/>
    <w:rsid w:val="00222A17"/>
    <w:rsid w:val="00222A54"/>
    <w:rsid w:val="00222A8A"/>
    <w:rsid w:val="00222B57"/>
    <w:rsid w:val="00222C6F"/>
    <w:rsid w:val="00222D27"/>
    <w:rsid w:val="00222DC1"/>
    <w:rsid w:val="00222EED"/>
    <w:rsid w:val="00222FC1"/>
    <w:rsid w:val="00222FE7"/>
    <w:rsid w:val="0022304A"/>
    <w:rsid w:val="0022305F"/>
    <w:rsid w:val="0022309D"/>
    <w:rsid w:val="00223296"/>
    <w:rsid w:val="00223319"/>
    <w:rsid w:val="0022338F"/>
    <w:rsid w:val="002235A4"/>
    <w:rsid w:val="00223611"/>
    <w:rsid w:val="0022374A"/>
    <w:rsid w:val="002238AF"/>
    <w:rsid w:val="002238D0"/>
    <w:rsid w:val="002239DC"/>
    <w:rsid w:val="00223CD4"/>
    <w:rsid w:val="00223E22"/>
    <w:rsid w:val="00223E4C"/>
    <w:rsid w:val="00223FE4"/>
    <w:rsid w:val="00224305"/>
    <w:rsid w:val="00224313"/>
    <w:rsid w:val="002243C3"/>
    <w:rsid w:val="00224479"/>
    <w:rsid w:val="00224483"/>
    <w:rsid w:val="002244BF"/>
    <w:rsid w:val="00224588"/>
    <w:rsid w:val="0022460C"/>
    <w:rsid w:val="00224791"/>
    <w:rsid w:val="002247FC"/>
    <w:rsid w:val="00224805"/>
    <w:rsid w:val="00224864"/>
    <w:rsid w:val="00224963"/>
    <w:rsid w:val="002249D7"/>
    <w:rsid w:val="00224A7C"/>
    <w:rsid w:val="00224AEA"/>
    <w:rsid w:val="00224D43"/>
    <w:rsid w:val="00224E25"/>
    <w:rsid w:val="00224E36"/>
    <w:rsid w:val="00224F76"/>
    <w:rsid w:val="00225374"/>
    <w:rsid w:val="0022539F"/>
    <w:rsid w:val="00225479"/>
    <w:rsid w:val="00225490"/>
    <w:rsid w:val="002254E6"/>
    <w:rsid w:val="00225556"/>
    <w:rsid w:val="00225605"/>
    <w:rsid w:val="0022588A"/>
    <w:rsid w:val="002258F5"/>
    <w:rsid w:val="002258F6"/>
    <w:rsid w:val="00225926"/>
    <w:rsid w:val="00225AF1"/>
    <w:rsid w:val="00225AF3"/>
    <w:rsid w:val="00225B5D"/>
    <w:rsid w:val="00225B87"/>
    <w:rsid w:val="00225C22"/>
    <w:rsid w:val="00225E3A"/>
    <w:rsid w:val="00225F74"/>
    <w:rsid w:val="0022624F"/>
    <w:rsid w:val="002262CD"/>
    <w:rsid w:val="002262E9"/>
    <w:rsid w:val="0022645D"/>
    <w:rsid w:val="002266C8"/>
    <w:rsid w:val="00226704"/>
    <w:rsid w:val="002267F3"/>
    <w:rsid w:val="00226919"/>
    <w:rsid w:val="00226A09"/>
    <w:rsid w:val="00226BCE"/>
    <w:rsid w:val="00226BF3"/>
    <w:rsid w:val="00226C13"/>
    <w:rsid w:val="00226EA7"/>
    <w:rsid w:val="00226F76"/>
    <w:rsid w:val="0022714F"/>
    <w:rsid w:val="002272E1"/>
    <w:rsid w:val="00227880"/>
    <w:rsid w:val="002278C1"/>
    <w:rsid w:val="00227936"/>
    <w:rsid w:val="0022799B"/>
    <w:rsid w:val="00227D5B"/>
    <w:rsid w:val="00227E83"/>
    <w:rsid w:val="00227E99"/>
    <w:rsid w:val="00227EBE"/>
    <w:rsid w:val="002301FA"/>
    <w:rsid w:val="0023033D"/>
    <w:rsid w:val="002304A0"/>
    <w:rsid w:val="002304AF"/>
    <w:rsid w:val="00230864"/>
    <w:rsid w:val="00230940"/>
    <w:rsid w:val="0023096C"/>
    <w:rsid w:val="002309F5"/>
    <w:rsid w:val="00230B98"/>
    <w:rsid w:val="00230C0B"/>
    <w:rsid w:val="00230C20"/>
    <w:rsid w:val="00230C56"/>
    <w:rsid w:val="00230E5E"/>
    <w:rsid w:val="00230EA7"/>
    <w:rsid w:val="0023116E"/>
    <w:rsid w:val="0023135C"/>
    <w:rsid w:val="002313E3"/>
    <w:rsid w:val="00231413"/>
    <w:rsid w:val="002314CB"/>
    <w:rsid w:val="002314EF"/>
    <w:rsid w:val="0023151A"/>
    <w:rsid w:val="00231562"/>
    <w:rsid w:val="002316A5"/>
    <w:rsid w:val="00231794"/>
    <w:rsid w:val="002317A2"/>
    <w:rsid w:val="00231880"/>
    <w:rsid w:val="0023188A"/>
    <w:rsid w:val="00231918"/>
    <w:rsid w:val="002319DE"/>
    <w:rsid w:val="00231A20"/>
    <w:rsid w:val="00231A56"/>
    <w:rsid w:val="00231A5C"/>
    <w:rsid w:val="00231B40"/>
    <w:rsid w:val="00231BA6"/>
    <w:rsid w:val="00231BC9"/>
    <w:rsid w:val="00231C59"/>
    <w:rsid w:val="00231C93"/>
    <w:rsid w:val="00231CBB"/>
    <w:rsid w:val="00231ECA"/>
    <w:rsid w:val="00231F27"/>
    <w:rsid w:val="002320E1"/>
    <w:rsid w:val="00232154"/>
    <w:rsid w:val="0023218A"/>
    <w:rsid w:val="002321BC"/>
    <w:rsid w:val="00232310"/>
    <w:rsid w:val="00232315"/>
    <w:rsid w:val="002323E4"/>
    <w:rsid w:val="0023256F"/>
    <w:rsid w:val="002325AC"/>
    <w:rsid w:val="00232625"/>
    <w:rsid w:val="00232661"/>
    <w:rsid w:val="00232702"/>
    <w:rsid w:val="00232898"/>
    <w:rsid w:val="00232AB6"/>
    <w:rsid w:val="00232AFD"/>
    <w:rsid w:val="00232C25"/>
    <w:rsid w:val="00232C2E"/>
    <w:rsid w:val="00232D6B"/>
    <w:rsid w:val="00232E82"/>
    <w:rsid w:val="00232EFF"/>
    <w:rsid w:val="00232F71"/>
    <w:rsid w:val="002330CC"/>
    <w:rsid w:val="0023318D"/>
    <w:rsid w:val="0023324E"/>
    <w:rsid w:val="002332C8"/>
    <w:rsid w:val="002332F6"/>
    <w:rsid w:val="00233303"/>
    <w:rsid w:val="0023341D"/>
    <w:rsid w:val="00233428"/>
    <w:rsid w:val="0023354B"/>
    <w:rsid w:val="002335F3"/>
    <w:rsid w:val="002337A0"/>
    <w:rsid w:val="002337AA"/>
    <w:rsid w:val="002338AE"/>
    <w:rsid w:val="002338EA"/>
    <w:rsid w:val="0023392B"/>
    <w:rsid w:val="00233952"/>
    <w:rsid w:val="00233A7E"/>
    <w:rsid w:val="00233ADD"/>
    <w:rsid w:val="00233DF7"/>
    <w:rsid w:val="00233F29"/>
    <w:rsid w:val="00233FAA"/>
    <w:rsid w:val="00234048"/>
    <w:rsid w:val="002340F3"/>
    <w:rsid w:val="00234109"/>
    <w:rsid w:val="002341A0"/>
    <w:rsid w:val="002341E6"/>
    <w:rsid w:val="0023421A"/>
    <w:rsid w:val="00234245"/>
    <w:rsid w:val="002344E4"/>
    <w:rsid w:val="002345C4"/>
    <w:rsid w:val="00234679"/>
    <w:rsid w:val="002348BA"/>
    <w:rsid w:val="00234B1B"/>
    <w:rsid w:val="00234B55"/>
    <w:rsid w:val="00234BFF"/>
    <w:rsid w:val="00234C6F"/>
    <w:rsid w:val="00234DB4"/>
    <w:rsid w:val="00234E96"/>
    <w:rsid w:val="00234FE2"/>
    <w:rsid w:val="0023537B"/>
    <w:rsid w:val="0023545E"/>
    <w:rsid w:val="002358B9"/>
    <w:rsid w:val="00235A3C"/>
    <w:rsid w:val="00235A4E"/>
    <w:rsid w:val="00235A53"/>
    <w:rsid w:val="00235EAB"/>
    <w:rsid w:val="00235F9B"/>
    <w:rsid w:val="00236218"/>
    <w:rsid w:val="002362EC"/>
    <w:rsid w:val="0023633F"/>
    <w:rsid w:val="002363F3"/>
    <w:rsid w:val="002363F5"/>
    <w:rsid w:val="00236505"/>
    <w:rsid w:val="0023663A"/>
    <w:rsid w:val="00236844"/>
    <w:rsid w:val="00236944"/>
    <w:rsid w:val="002369EE"/>
    <w:rsid w:val="00236A11"/>
    <w:rsid w:val="00236ADA"/>
    <w:rsid w:val="00236B03"/>
    <w:rsid w:val="00236EAB"/>
    <w:rsid w:val="00237014"/>
    <w:rsid w:val="002370E1"/>
    <w:rsid w:val="002371E5"/>
    <w:rsid w:val="0023743B"/>
    <w:rsid w:val="00237472"/>
    <w:rsid w:val="0023750E"/>
    <w:rsid w:val="002375A5"/>
    <w:rsid w:val="002376F4"/>
    <w:rsid w:val="00237885"/>
    <w:rsid w:val="002378A3"/>
    <w:rsid w:val="002378E6"/>
    <w:rsid w:val="00237938"/>
    <w:rsid w:val="00237988"/>
    <w:rsid w:val="00237A88"/>
    <w:rsid w:val="00237BA9"/>
    <w:rsid w:val="00237C05"/>
    <w:rsid w:val="00237E81"/>
    <w:rsid w:val="00237FFA"/>
    <w:rsid w:val="002401C1"/>
    <w:rsid w:val="00240719"/>
    <w:rsid w:val="00240826"/>
    <w:rsid w:val="002408A5"/>
    <w:rsid w:val="00240AFD"/>
    <w:rsid w:val="00240C14"/>
    <w:rsid w:val="00240C65"/>
    <w:rsid w:val="00240C7A"/>
    <w:rsid w:val="00240F03"/>
    <w:rsid w:val="0024102A"/>
    <w:rsid w:val="002410AA"/>
    <w:rsid w:val="00241115"/>
    <w:rsid w:val="00241127"/>
    <w:rsid w:val="0024128F"/>
    <w:rsid w:val="00241582"/>
    <w:rsid w:val="002416AE"/>
    <w:rsid w:val="002416F2"/>
    <w:rsid w:val="00241743"/>
    <w:rsid w:val="00241825"/>
    <w:rsid w:val="00241B23"/>
    <w:rsid w:val="002420B4"/>
    <w:rsid w:val="00242153"/>
    <w:rsid w:val="00242316"/>
    <w:rsid w:val="002423A8"/>
    <w:rsid w:val="002424D2"/>
    <w:rsid w:val="002425C2"/>
    <w:rsid w:val="0024278A"/>
    <w:rsid w:val="00242857"/>
    <w:rsid w:val="00242A39"/>
    <w:rsid w:val="00242A40"/>
    <w:rsid w:val="00242A58"/>
    <w:rsid w:val="00242A93"/>
    <w:rsid w:val="00242ADC"/>
    <w:rsid w:val="00242C4D"/>
    <w:rsid w:val="00242C66"/>
    <w:rsid w:val="00242DF3"/>
    <w:rsid w:val="00242E72"/>
    <w:rsid w:val="00242EA4"/>
    <w:rsid w:val="00243024"/>
    <w:rsid w:val="002430B5"/>
    <w:rsid w:val="002431E8"/>
    <w:rsid w:val="002432F0"/>
    <w:rsid w:val="00243460"/>
    <w:rsid w:val="002435AF"/>
    <w:rsid w:val="0024371F"/>
    <w:rsid w:val="0024378C"/>
    <w:rsid w:val="002437F2"/>
    <w:rsid w:val="0024380A"/>
    <w:rsid w:val="002438A2"/>
    <w:rsid w:val="002439AF"/>
    <w:rsid w:val="00243A68"/>
    <w:rsid w:val="00243A9C"/>
    <w:rsid w:val="00243B11"/>
    <w:rsid w:val="00243B6A"/>
    <w:rsid w:val="00243F6C"/>
    <w:rsid w:val="00243F9F"/>
    <w:rsid w:val="0024410B"/>
    <w:rsid w:val="0024419B"/>
    <w:rsid w:val="0024419C"/>
    <w:rsid w:val="002442CD"/>
    <w:rsid w:val="0024433A"/>
    <w:rsid w:val="0024447D"/>
    <w:rsid w:val="002446A4"/>
    <w:rsid w:val="002447BB"/>
    <w:rsid w:val="002447DC"/>
    <w:rsid w:val="002447F4"/>
    <w:rsid w:val="0024496C"/>
    <w:rsid w:val="00244AD3"/>
    <w:rsid w:val="00244B8E"/>
    <w:rsid w:val="00244E5B"/>
    <w:rsid w:val="00244E87"/>
    <w:rsid w:val="00244F4E"/>
    <w:rsid w:val="00245059"/>
    <w:rsid w:val="002451E6"/>
    <w:rsid w:val="0024522A"/>
    <w:rsid w:val="002453FE"/>
    <w:rsid w:val="0024564C"/>
    <w:rsid w:val="00245664"/>
    <w:rsid w:val="00245887"/>
    <w:rsid w:val="002458DA"/>
    <w:rsid w:val="00245977"/>
    <w:rsid w:val="00245992"/>
    <w:rsid w:val="002459A0"/>
    <w:rsid w:val="002459A1"/>
    <w:rsid w:val="002459A5"/>
    <w:rsid w:val="002459EA"/>
    <w:rsid w:val="00245A4C"/>
    <w:rsid w:val="00245ABB"/>
    <w:rsid w:val="00245CC8"/>
    <w:rsid w:val="00245D77"/>
    <w:rsid w:val="00245DBC"/>
    <w:rsid w:val="00245DFB"/>
    <w:rsid w:val="00245E51"/>
    <w:rsid w:val="00245FA4"/>
    <w:rsid w:val="0024620B"/>
    <w:rsid w:val="00246219"/>
    <w:rsid w:val="0024642C"/>
    <w:rsid w:val="002464E3"/>
    <w:rsid w:val="0024659A"/>
    <w:rsid w:val="002465B4"/>
    <w:rsid w:val="00246682"/>
    <w:rsid w:val="002468D3"/>
    <w:rsid w:val="00246908"/>
    <w:rsid w:val="0024693F"/>
    <w:rsid w:val="0024699A"/>
    <w:rsid w:val="00246ACE"/>
    <w:rsid w:val="00246C8E"/>
    <w:rsid w:val="00246C96"/>
    <w:rsid w:val="00246C9D"/>
    <w:rsid w:val="00246F65"/>
    <w:rsid w:val="00247089"/>
    <w:rsid w:val="00247206"/>
    <w:rsid w:val="00247249"/>
    <w:rsid w:val="00247415"/>
    <w:rsid w:val="002474B3"/>
    <w:rsid w:val="0024766E"/>
    <w:rsid w:val="002476EF"/>
    <w:rsid w:val="00247980"/>
    <w:rsid w:val="00247990"/>
    <w:rsid w:val="00247A75"/>
    <w:rsid w:val="00247B4B"/>
    <w:rsid w:val="00247CB2"/>
    <w:rsid w:val="00247D77"/>
    <w:rsid w:val="00247D9D"/>
    <w:rsid w:val="00247E25"/>
    <w:rsid w:val="002501E9"/>
    <w:rsid w:val="002502B8"/>
    <w:rsid w:val="002502B9"/>
    <w:rsid w:val="00250448"/>
    <w:rsid w:val="0025044E"/>
    <w:rsid w:val="002504EA"/>
    <w:rsid w:val="0025052D"/>
    <w:rsid w:val="002505F8"/>
    <w:rsid w:val="00250695"/>
    <w:rsid w:val="0025089E"/>
    <w:rsid w:val="002508BA"/>
    <w:rsid w:val="002509AA"/>
    <w:rsid w:val="002509F5"/>
    <w:rsid w:val="002509F9"/>
    <w:rsid w:val="00250D79"/>
    <w:rsid w:val="00250DF1"/>
    <w:rsid w:val="00250E59"/>
    <w:rsid w:val="00250F11"/>
    <w:rsid w:val="00250F8D"/>
    <w:rsid w:val="00250FA3"/>
    <w:rsid w:val="00251015"/>
    <w:rsid w:val="0025118B"/>
    <w:rsid w:val="002511CA"/>
    <w:rsid w:val="002511E7"/>
    <w:rsid w:val="00251227"/>
    <w:rsid w:val="00251264"/>
    <w:rsid w:val="00251276"/>
    <w:rsid w:val="0025127C"/>
    <w:rsid w:val="00251389"/>
    <w:rsid w:val="002513FF"/>
    <w:rsid w:val="002515F3"/>
    <w:rsid w:val="00251645"/>
    <w:rsid w:val="0025194C"/>
    <w:rsid w:val="00251974"/>
    <w:rsid w:val="00251A36"/>
    <w:rsid w:val="00251C6B"/>
    <w:rsid w:val="00251D22"/>
    <w:rsid w:val="00251ECD"/>
    <w:rsid w:val="0025201F"/>
    <w:rsid w:val="002520E8"/>
    <w:rsid w:val="00252123"/>
    <w:rsid w:val="00252195"/>
    <w:rsid w:val="0025221A"/>
    <w:rsid w:val="0025222D"/>
    <w:rsid w:val="00252325"/>
    <w:rsid w:val="00252342"/>
    <w:rsid w:val="00252537"/>
    <w:rsid w:val="002525F1"/>
    <w:rsid w:val="002525FD"/>
    <w:rsid w:val="0025278E"/>
    <w:rsid w:val="002527D1"/>
    <w:rsid w:val="002527F8"/>
    <w:rsid w:val="002529A4"/>
    <w:rsid w:val="00252AC0"/>
    <w:rsid w:val="00252C4A"/>
    <w:rsid w:val="00252D9D"/>
    <w:rsid w:val="0025306C"/>
    <w:rsid w:val="002531CA"/>
    <w:rsid w:val="002531F2"/>
    <w:rsid w:val="002532D1"/>
    <w:rsid w:val="00253318"/>
    <w:rsid w:val="002533BB"/>
    <w:rsid w:val="0025348F"/>
    <w:rsid w:val="002534B7"/>
    <w:rsid w:val="002534EF"/>
    <w:rsid w:val="00253638"/>
    <w:rsid w:val="0025366A"/>
    <w:rsid w:val="00253690"/>
    <w:rsid w:val="002537C4"/>
    <w:rsid w:val="002538C3"/>
    <w:rsid w:val="00253C90"/>
    <w:rsid w:val="00253CD6"/>
    <w:rsid w:val="00253D1B"/>
    <w:rsid w:val="00253D3E"/>
    <w:rsid w:val="00253D68"/>
    <w:rsid w:val="00253DE8"/>
    <w:rsid w:val="00253F6D"/>
    <w:rsid w:val="002540AC"/>
    <w:rsid w:val="00254307"/>
    <w:rsid w:val="00254350"/>
    <w:rsid w:val="002543DB"/>
    <w:rsid w:val="002544F6"/>
    <w:rsid w:val="00254675"/>
    <w:rsid w:val="002547DE"/>
    <w:rsid w:val="002548CD"/>
    <w:rsid w:val="00254A1B"/>
    <w:rsid w:val="00254B1D"/>
    <w:rsid w:val="00254B38"/>
    <w:rsid w:val="00254B9E"/>
    <w:rsid w:val="00254C62"/>
    <w:rsid w:val="00254CFD"/>
    <w:rsid w:val="00254D6D"/>
    <w:rsid w:val="00254E6A"/>
    <w:rsid w:val="00254E89"/>
    <w:rsid w:val="00254FA9"/>
    <w:rsid w:val="00254FD4"/>
    <w:rsid w:val="00255033"/>
    <w:rsid w:val="0025508A"/>
    <w:rsid w:val="002552D8"/>
    <w:rsid w:val="0025534A"/>
    <w:rsid w:val="00255519"/>
    <w:rsid w:val="002555B6"/>
    <w:rsid w:val="0025561B"/>
    <w:rsid w:val="002557D0"/>
    <w:rsid w:val="002559C1"/>
    <w:rsid w:val="00255A06"/>
    <w:rsid w:val="00255B48"/>
    <w:rsid w:val="00255B80"/>
    <w:rsid w:val="00255C09"/>
    <w:rsid w:val="00255C39"/>
    <w:rsid w:val="00255CB6"/>
    <w:rsid w:val="00255D4A"/>
    <w:rsid w:val="00255E32"/>
    <w:rsid w:val="002562FC"/>
    <w:rsid w:val="002562FF"/>
    <w:rsid w:val="00256346"/>
    <w:rsid w:val="00256358"/>
    <w:rsid w:val="002563AD"/>
    <w:rsid w:val="002563E0"/>
    <w:rsid w:val="00256776"/>
    <w:rsid w:val="00256990"/>
    <w:rsid w:val="00256DC9"/>
    <w:rsid w:val="00256F66"/>
    <w:rsid w:val="002570DA"/>
    <w:rsid w:val="002570E8"/>
    <w:rsid w:val="002570EE"/>
    <w:rsid w:val="0025723E"/>
    <w:rsid w:val="00257406"/>
    <w:rsid w:val="002574C3"/>
    <w:rsid w:val="002574E5"/>
    <w:rsid w:val="002576B2"/>
    <w:rsid w:val="002576F2"/>
    <w:rsid w:val="00257716"/>
    <w:rsid w:val="00257731"/>
    <w:rsid w:val="00257763"/>
    <w:rsid w:val="002577CF"/>
    <w:rsid w:val="002577F1"/>
    <w:rsid w:val="00257962"/>
    <w:rsid w:val="00257A10"/>
    <w:rsid w:val="00257A1F"/>
    <w:rsid w:val="00257A32"/>
    <w:rsid w:val="00257BAE"/>
    <w:rsid w:val="00257CBE"/>
    <w:rsid w:val="00257CF3"/>
    <w:rsid w:val="00257E03"/>
    <w:rsid w:val="00257F26"/>
    <w:rsid w:val="00257F38"/>
    <w:rsid w:val="00257FF7"/>
    <w:rsid w:val="002600CB"/>
    <w:rsid w:val="002600F3"/>
    <w:rsid w:val="002602FF"/>
    <w:rsid w:val="00260434"/>
    <w:rsid w:val="00260503"/>
    <w:rsid w:val="00260544"/>
    <w:rsid w:val="002605AB"/>
    <w:rsid w:val="00260632"/>
    <w:rsid w:val="002606D9"/>
    <w:rsid w:val="00260782"/>
    <w:rsid w:val="0026079B"/>
    <w:rsid w:val="002607CD"/>
    <w:rsid w:val="00260821"/>
    <w:rsid w:val="002608C7"/>
    <w:rsid w:val="00260ADE"/>
    <w:rsid w:val="00260B36"/>
    <w:rsid w:val="00260C4D"/>
    <w:rsid w:val="00260E24"/>
    <w:rsid w:val="00260EAB"/>
    <w:rsid w:val="00260F89"/>
    <w:rsid w:val="00261018"/>
    <w:rsid w:val="0026106F"/>
    <w:rsid w:val="002610F4"/>
    <w:rsid w:val="00261189"/>
    <w:rsid w:val="0026122F"/>
    <w:rsid w:val="002612A4"/>
    <w:rsid w:val="0026143A"/>
    <w:rsid w:val="002614A6"/>
    <w:rsid w:val="002614D8"/>
    <w:rsid w:val="002614E3"/>
    <w:rsid w:val="00261610"/>
    <w:rsid w:val="00261895"/>
    <w:rsid w:val="00261897"/>
    <w:rsid w:val="002619A7"/>
    <w:rsid w:val="00261E2B"/>
    <w:rsid w:val="00261E7A"/>
    <w:rsid w:val="00261E94"/>
    <w:rsid w:val="00261E95"/>
    <w:rsid w:val="00261EBD"/>
    <w:rsid w:val="00261F21"/>
    <w:rsid w:val="002620B3"/>
    <w:rsid w:val="002620F6"/>
    <w:rsid w:val="002621BD"/>
    <w:rsid w:val="00262319"/>
    <w:rsid w:val="00262417"/>
    <w:rsid w:val="0026244A"/>
    <w:rsid w:val="0026254D"/>
    <w:rsid w:val="0026263E"/>
    <w:rsid w:val="002627B2"/>
    <w:rsid w:val="00262919"/>
    <w:rsid w:val="00262AF8"/>
    <w:rsid w:val="00262BE5"/>
    <w:rsid w:val="00262D18"/>
    <w:rsid w:val="00262D3F"/>
    <w:rsid w:val="00262E35"/>
    <w:rsid w:val="00262F28"/>
    <w:rsid w:val="002630C9"/>
    <w:rsid w:val="00263200"/>
    <w:rsid w:val="00263415"/>
    <w:rsid w:val="002634D8"/>
    <w:rsid w:val="00263543"/>
    <w:rsid w:val="002636C6"/>
    <w:rsid w:val="00263786"/>
    <w:rsid w:val="002637AC"/>
    <w:rsid w:val="002638D1"/>
    <w:rsid w:val="002639B5"/>
    <w:rsid w:val="002639C2"/>
    <w:rsid w:val="00263A84"/>
    <w:rsid w:val="00263C25"/>
    <w:rsid w:val="00263C68"/>
    <w:rsid w:val="00263D2A"/>
    <w:rsid w:val="00263E2A"/>
    <w:rsid w:val="00263EA4"/>
    <w:rsid w:val="00264330"/>
    <w:rsid w:val="002644E1"/>
    <w:rsid w:val="0026452B"/>
    <w:rsid w:val="0026453A"/>
    <w:rsid w:val="00264745"/>
    <w:rsid w:val="002647EC"/>
    <w:rsid w:val="00264AF0"/>
    <w:rsid w:val="00264BC9"/>
    <w:rsid w:val="00264C5D"/>
    <w:rsid w:val="00264CC6"/>
    <w:rsid w:val="00264D00"/>
    <w:rsid w:val="00264D24"/>
    <w:rsid w:val="00265069"/>
    <w:rsid w:val="00265207"/>
    <w:rsid w:val="002652A4"/>
    <w:rsid w:val="00265357"/>
    <w:rsid w:val="002654C0"/>
    <w:rsid w:val="002655F9"/>
    <w:rsid w:val="00265638"/>
    <w:rsid w:val="0026568E"/>
    <w:rsid w:val="002656AC"/>
    <w:rsid w:val="00265785"/>
    <w:rsid w:val="002657FE"/>
    <w:rsid w:val="00265925"/>
    <w:rsid w:val="0026596D"/>
    <w:rsid w:val="00265A0A"/>
    <w:rsid w:val="00265A53"/>
    <w:rsid w:val="00265AAC"/>
    <w:rsid w:val="00265B9C"/>
    <w:rsid w:val="00265D98"/>
    <w:rsid w:val="00265F80"/>
    <w:rsid w:val="00265FA4"/>
    <w:rsid w:val="00265FE4"/>
    <w:rsid w:val="00266001"/>
    <w:rsid w:val="002664BC"/>
    <w:rsid w:val="002664C7"/>
    <w:rsid w:val="00266636"/>
    <w:rsid w:val="0026677D"/>
    <w:rsid w:val="002667BD"/>
    <w:rsid w:val="00266846"/>
    <w:rsid w:val="00266922"/>
    <w:rsid w:val="00266931"/>
    <w:rsid w:val="002669F6"/>
    <w:rsid w:val="00266C94"/>
    <w:rsid w:val="00266E03"/>
    <w:rsid w:val="00266FE7"/>
    <w:rsid w:val="00266FF8"/>
    <w:rsid w:val="002671CF"/>
    <w:rsid w:val="00267268"/>
    <w:rsid w:val="0026726D"/>
    <w:rsid w:val="00267325"/>
    <w:rsid w:val="0026732C"/>
    <w:rsid w:val="00267480"/>
    <w:rsid w:val="00267589"/>
    <w:rsid w:val="00267601"/>
    <w:rsid w:val="002676AB"/>
    <w:rsid w:val="002678E5"/>
    <w:rsid w:val="0026792A"/>
    <w:rsid w:val="00267A15"/>
    <w:rsid w:val="00267CB6"/>
    <w:rsid w:val="00267D06"/>
    <w:rsid w:val="00267D96"/>
    <w:rsid w:val="00267E8D"/>
    <w:rsid w:val="00267ECA"/>
    <w:rsid w:val="00267F10"/>
    <w:rsid w:val="00267F3F"/>
    <w:rsid w:val="002700F4"/>
    <w:rsid w:val="0027030F"/>
    <w:rsid w:val="002704BE"/>
    <w:rsid w:val="00270532"/>
    <w:rsid w:val="002705F9"/>
    <w:rsid w:val="00270718"/>
    <w:rsid w:val="00270A98"/>
    <w:rsid w:val="00270AEC"/>
    <w:rsid w:val="00270B0A"/>
    <w:rsid w:val="00270B3E"/>
    <w:rsid w:val="00271060"/>
    <w:rsid w:val="0027107A"/>
    <w:rsid w:val="0027134A"/>
    <w:rsid w:val="0027156B"/>
    <w:rsid w:val="00271711"/>
    <w:rsid w:val="00271A3C"/>
    <w:rsid w:val="00271A86"/>
    <w:rsid w:val="00271AC9"/>
    <w:rsid w:val="00271BAA"/>
    <w:rsid w:val="00271CAF"/>
    <w:rsid w:val="00271D3E"/>
    <w:rsid w:val="00271D8F"/>
    <w:rsid w:val="00271E8E"/>
    <w:rsid w:val="00271F62"/>
    <w:rsid w:val="00272009"/>
    <w:rsid w:val="0027217E"/>
    <w:rsid w:val="00272264"/>
    <w:rsid w:val="0027229C"/>
    <w:rsid w:val="002722D8"/>
    <w:rsid w:val="002723D8"/>
    <w:rsid w:val="0027254F"/>
    <w:rsid w:val="0027256C"/>
    <w:rsid w:val="002725BC"/>
    <w:rsid w:val="0027266A"/>
    <w:rsid w:val="00272734"/>
    <w:rsid w:val="002727BB"/>
    <w:rsid w:val="002728CA"/>
    <w:rsid w:val="00272AB1"/>
    <w:rsid w:val="00272AC5"/>
    <w:rsid w:val="00272B37"/>
    <w:rsid w:val="00272B5E"/>
    <w:rsid w:val="00272C2E"/>
    <w:rsid w:val="00272C76"/>
    <w:rsid w:val="00272D6C"/>
    <w:rsid w:val="00272D71"/>
    <w:rsid w:val="00272D81"/>
    <w:rsid w:val="002731E0"/>
    <w:rsid w:val="0027335D"/>
    <w:rsid w:val="002736B5"/>
    <w:rsid w:val="00273B60"/>
    <w:rsid w:val="00273B72"/>
    <w:rsid w:val="00273C48"/>
    <w:rsid w:val="00273C75"/>
    <w:rsid w:val="00273CC2"/>
    <w:rsid w:val="0027409F"/>
    <w:rsid w:val="002740A7"/>
    <w:rsid w:val="00274115"/>
    <w:rsid w:val="0027418B"/>
    <w:rsid w:val="00274356"/>
    <w:rsid w:val="002743F2"/>
    <w:rsid w:val="002744D3"/>
    <w:rsid w:val="0027463E"/>
    <w:rsid w:val="0027466B"/>
    <w:rsid w:val="0027478E"/>
    <w:rsid w:val="00274B63"/>
    <w:rsid w:val="00274C6D"/>
    <w:rsid w:val="00274CBA"/>
    <w:rsid w:val="00274DA1"/>
    <w:rsid w:val="00274E46"/>
    <w:rsid w:val="00274F1D"/>
    <w:rsid w:val="0027511F"/>
    <w:rsid w:val="0027512C"/>
    <w:rsid w:val="00275157"/>
    <w:rsid w:val="0027517B"/>
    <w:rsid w:val="002752C1"/>
    <w:rsid w:val="00275345"/>
    <w:rsid w:val="00275368"/>
    <w:rsid w:val="00275409"/>
    <w:rsid w:val="002754CA"/>
    <w:rsid w:val="002755A3"/>
    <w:rsid w:val="002756A1"/>
    <w:rsid w:val="00275767"/>
    <w:rsid w:val="0027582A"/>
    <w:rsid w:val="0027582B"/>
    <w:rsid w:val="00275860"/>
    <w:rsid w:val="00275937"/>
    <w:rsid w:val="00275C01"/>
    <w:rsid w:val="00275C82"/>
    <w:rsid w:val="00275D0A"/>
    <w:rsid w:val="00275E71"/>
    <w:rsid w:val="00275EDC"/>
    <w:rsid w:val="00275F5F"/>
    <w:rsid w:val="00275F7D"/>
    <w:rsid w:val="00276196"/>
    <w:rsid w:val="002761AB"/>
    <w:rsid w:val="002761C5"/>
    <w:rsid w:val="00276235"/>
    <w:rsid w:val="0027623C"/>
    <w:rsid w:val="00276304"/>
    <w:rsid w:val="00276514"/>
    <w:rsid w:val="0027658D"/>
    <w:rsid w:val="0027658E"/>
    <w:rsid w:val="002766E3"/>
    <w:rsid w:val="00276863"/>
    <w:rsid w:val="002769DA"/>
    <w:rsid w:val="00276A08"/>
    <w:rsid w:val="00276AAD"/>
    <w:rsid w:val="00276CD1"/>
    <w:rsid w:val="00276D09"/>
    <w:rsid w:val="00276E93"/>
    <w:rsid w:val="0027701A"/>
    <w:rsid w:val="00277090"/>
    <w:rsid w:val="00277141"/>
    <w:rsid w:val="0027728B"/>
    <w:rsid w:val="0027751A"/>
    <w:rsid w:val="00277624"/>
    <w:rsid w:val="002776B2"/>
    <w:rsid w:val="0027782A"/>
    <w:rsid w:val="00277933"/>
    <w:rsid w:val="00277A6D"/>
    <w:rsid w:val="00277A73"/>
    <w:rsid w:val="00277A85"/>
    <w:rsid w:val="00277B36"/>
    <w:rsid w:val="00277B68"/>
    <w:rsid w:val="00277C74"/>
    <w:rsid w:val="00277CBD"/>
    <w:rsid w:val="00277EFB"/>
    <w:rsid w:val="0028000D"/>
    <w:rsid w:val="0028004E"/>
    <w:rsid w:val="00280190"/>
    <w:rsid w:val="002802BC"/>
    <w:rsid w:val="0028031C"/>
    <w:rsid w:val="00280348"/>
    <w:rsid w:val="002805A3"/>
    <w:rsid w:val="0028072E"/>
    <w:rsid w:val="00280747"/>
    <w:rsid w:val="00280777"/>
    <w:rsid w:val="002807B7"/>
    <w:rsid w:val="002809DB"/>
    <w:rsid w:val="00280AEA"/>
    <w:rsid w:val="00280B1A"/>
    <w:rsid w:val="00280B84"/>
    <w:rsid w:val="00280B91"/>
    <w:rsid w:val="00280B9A"/>
    <w:rsid w:val="00280D88"/>
    <w:rsid w:val="00280DDA"/>
    <w:rsid w:val="00280DED"/>
    <w:rsid w:val="00281159"/>
    <w:rsid w:val="002811E2"/>
    <w:rsid w:val="0028137E"/>
    <w:rsid w:val="002814F5"/>
    <w:rsid w:val="00281639"/>
    <w:rsid w:val="00281698"/>
    <w:rsid w:val="00281710"/>
    <w:rsid w:val="00281758"/>
    <w:rsid w:val="002817B7"/>
    <w:rsid w:val="00281B37"/>
    <w:rsid w:val="00281C3F"/>
    <w:rsid w:val="00281E11"/>
    <w:rsid w:val="00281E37"/>
    <w:rsid w:val="00281EF6"/>
    <w:rsid w:val="00281F6E"/>
    <w:rsid w:val="00281FCC"/>
    <w:rsid w:val="002823AE"/>
    <w:rsid w:val="00282505"/>
    <w:rsid w:val="0028259D"/>
    <w:rsid w:val="00282670"/>
    <w:rsid w:val="0028278C"/>
    <w:rsid w:val="002827DD"/>
    <w:rsid w:val="0028280D"/>
    <w:rsid w:val="00282827"/>
    <w:rsid w:val="002829CD"/>
    <w:rsid w:val="002829D0"/>
    <w:rsid w:val="00282C0F"/>
    <w:rsid w:val="00282E40"/>
    <w:rsid w:val="00283097"/>
    <w:rsid w:val="002830F4"/>
    <w:rsid w:val="002830FC"/>
    <w:rsid w:val="00283417"/>
    <w:rsid w:val="0028355F"/>
    <w:rsid w:val="002835CA"/>
    <w:rsid w:val="00283718"/>
    <w:rsid w:val="00283814"/>
    <w:rsid w:val="0028391D"/>
    <w:rsid w:val="00283A43"/>
    <w:rsid w:val="00283B72"/>
    <w:rsid w:val="00283B7C"/>
    <w:rsid w:val="00283B89"/>
    <w:rsid w:val="00283BAD"/>
    <w:rsid w:val="00283C2B"/>
    <w:rsid w:val="00283CA4"/>
    <w:rsid w:val="00283DD3"/>
    <w:rsid w:val="00283E6B"/>
    <w:rsid w:val="00283FEF"/>
    <w:rsid w:val="00284093"/>
    <w:rsid w:val="00284098"/>
    <w:rsid w:val="00284241"/>
    <w:rsid w:val="00284282"/>
    <w:rsid w:val="002842F1"/>
    <w:rsid w:val="002844EA"/>
    <w:rsid w:val="00284552"/>
    <w:rsid w:val="00284686"/>
    <w:rsid w:val="002846E6"/>
    <w:rsid w:val="0028482D"/>
    <w:rsid w:val="00284837"/>
    <w:rsid w:val="002848C6"/>
    <w:rsid w:val="0028490A"/>
    <w:rsid w:val="00284995"/>
    <w:rsid w:val="00284AC2"/>
    <w:rsid w:val="00284AF8"/>
    <w:rsid w:val="00284B62"/>
    <w:rsid w:val="00284BCB"/>
    <w:rsid w:val="00284C28"/>
    <w:rsid w:val="00284CDF"/>
    <w:rsid w:val="00284E19"/>
    <w:rsid w:val="00284E2D"/>
    <w:rsid w:val="00284E47"/>
    <w:rsid w:val="00284F1A"/>
    <w:rsid w:val="00284F32"/>
    <w:rsid w:val="00284F88"/>
    <w:rsid w:val="00284F8A"/>
    <w:rsid w:val="00285089"/>
    <w:rsid w:val="002850D6"/>
    <w:rsid w:val="00285125"/>
    <w:rsid w:val="002851CF"/>
    <w:rsid w:val="002851EA"/>
    <w:rsid w:val="002852E6"/>
    <w:rsid w:val="00285330"/>
    <w:rsid w:val="00285353"/>
    <w:rsid w:val="002855E9"/>
    <w:rsid w:val="00285712"/>
    <w:rsid w:val="00285930"/>
    <w:rsid w:val="00285A3D"/>
    <w:rsid w:val="00285BDD"/>
    <w:rsid w:val="00285C36"/>
    <w:rsid w:val="00285DE8"/>
    <w:rsid w:val="00285E3E"/>
    <w:rsid w:val="00286081"/>
    <w:rsid w:val="00286140"/>
    <w:rsid w:val="002862B7"/>
    <w:rsid w:val="00286349"/>
    <w:rsid w:val="0028644C"/>
    <w:rsid w:val="002866D6"/>
    <w:rsid w:val="0028670D"/>
    <w:rsid w:val="002867DC"/>
    <w:rsid w:val="00286833"/>
    <w:rsid w:val="002868AB"/>
    <w:rsid w:val="0028699C"/>
    <w:rsid w:val="00286A0C"/>
    <w:rsid w:val="00286A21"/>
    <w:rsid w:val="00286B46"/>
    <w:rsid w:val="00286BDF"/>
    <w:rsid w:val="00286E03"/>
    <w:rsid w:val="00286E6E"/>
    <w:rsid w:val="00286EBC"/>
    <w:rsid w:val="00286F50"/>
    <w:rsid w:val="00287014"/>
    <w:rsid w:val="002870D1"/>
    <w:rsid w:val="002870F5"/>
    <w:rsid w:val="002870F7"/>
    <w:rsid w:val="00287223"/>
    <w:rsid w:val="002873C1"/>
    <w:rsid w:val="002873E7"/>
    <w:rsid w:val="002874F8"/>
    <w:rsid w:val="002875B1"/>
    <w:rsid w:val="002877D9"/>
    <w:rsid w:val="0028791D"/>
    <w:rsid w:val="00287DAB"/>
    <w:rsid w:val="00287DCF"/>
    <w:rsid w:val="00287E04"/>
    <w:rsid w:val="00287E33"/>
    <w:rsid w:val="0029001F"/>
    <w:rsid w:val="0029004A"/>
    <w:rsid w:val="00290134"/>
    <w:rsid w:val="002902C6"/>
    <w:rsid w:val="00290429"/>
    <w:rsid w:val="00290505"/>
    <w:rsid w:val="0029052E"/>
    <w:rsid w:val="00290534"/>
    <w:rsid w:val="00290627"/>
    <w:rsid w:val="00290790"/>
    <w:rsid w:val="002909B7"/>
    <w:rsid w:val="00290A0E"/>
    <w:rsid w:val="00290B5B"/>
    <w:rsid w:val="00290BBC"/>
    <w:rsid w:val="00290BC2"/>
    <w:rsid w:val="00290C01"/>
    <w:rsid w:val="00290ECE"/>
    <w:rsid w:val="00290EFF"/>
    <w:rsid w:val="00290FFE"/>
    <w:rsid w:val="00291028"/>
    <w:rsid w:val="002910DC"/>
    <w:rsid w:val="002911A8"/>
    <w:rsid w:val="002911B1"/>
    <w:rsid w:val="002911C3"/>
    <w:rsid w:val="002911D7"/>
    <w:rsid w:val="00291239"/>
    <w:rsid w:val="0029127E"/>
    <w:rsid w:val="00291308"/>
    <w:rsid w:val="0029138E"/>
    <w:rsid w:val="00291573"/>
    <w:rsid w:val="002916A1"/>
    <w:rsid w:val="00291748"/>
    <w:rsid w:val="0029175F"/>
    <w:rsid w:val="0029177D"/>
    <w:rsid w:val="002917CA"/>
    <w:rsid w:val="0029184B"/>
    <w:rsid w:val="00291856"/>
    <w:rsid w:val="002918E0"/>
    <w:rsid w:val="002919CA"/>
    <w:rsid w:val="00291A31"/>
    <w:rsid w:val="00291A61"/>
    <w:rsid w:val="00291B9F"/>
    <w:rsid w:val="00291C28"/>
    <w:rsid w:val="00291C58"/>
    <w:rsid w:val="00291DD4"/>
    <w:rsid w:val="00291E83"/>
    <w:rsid w:val="00291F4A"/>
    <w:rsid w:val="00291FAF"/>
    <w:rsid w:val="00292119"/>
    <w:rsid w:val="00292197"/>
    <w:rsid w:val="00292313"/>
    <w:rsid w:val="00292363"/>
    <w:rsid w:val="002925C8"/>
    <w:rsid w:val="0029268E"/>
    <w:rsid w:val="002927D1"/>
    <w:rsid w:val="00292938"/>
    <w:rsid w:val="00292ABF"/>
    <w:rsid w:val="00292B10"/>
    <w:rsid w:val="00292C11"/>
    <w:rsid w:val="00292C6F"/>
    <w:rsid w:val="00292C7C"/>
    <w:rsid w:val="00292DA7"/>
    <w:rsid w:val="00292DB7"/>
    <w:rsid w:val="00292F2D"/>
    <w:rsid w:val="00292FC6"/>
    <w:rsid w:val="00292FEB"/>
    <w:rsid w:val="0029308D"/>
    <w:rsid w:val="00293154"/>
    <w:rsid w:val="002933B8"/>
    <w:rsid w:val="0029345C"/>
    <w:rsid w:val="00293572"/>
    <w:rsid w:val="002935C0"/>
    <w:rsid w:val="002936FE"/>
    <w:rsid w:val="002937AB"/>
    <w:rsid w:val="00293B88"/>
    <w:rsid w:val="00293C2B"/>
    <w:rsid w:val="00293C90"/>
    <w:rsid w:val="00293C97"/>
    <w:rsid w:val="00293D56"/>
    <w:rsid w:val="00293D85"/>
    <w:rsid w:val="00293DF9"/>
    <w:rsid w:val="00293EFF"/>
    <w:rsid w:val="00294060"/>
    <w:rsid w:val="002940AA"/>
    <w:rsid w:val="002941D2"/>
    <w:rsid w:val="002941F1"/>
    <w:rsid w:val="002941FF"/>
    <w:rsid w:val="00294288"/>
    <w:rsid w:val="002942E3"/>
    <w:rsid w:val="002943EB"/>
    <w:rsid w:val="002943ED"/>
    <w:rsid w:val="00294450"/>
    <w:rsid w:val="00294494"/>
    <w:rsid w:val="00294509"/>
    <w:rsid w:val="00294700"/>
    <w:rsid w:val="00294717"/>
    <w:rsid w:val="0029481B"/>
    <w:rsid w:val="002948FC"/>
    <w:rsid w:val="00294A68"/>
    <w:rsid w:val="00294BB2"/>
    <w:rsid w:val="00294D5B"/>
    <w:rsid w:val="00294D91"/>
    <w:rsid w:val="00294DBC"/>
    <w:rsid w:val="00294E90"/>
    <w:rsid w:val="00294EBC"/>
    <w:rsid w:val="00294EF0"/>
    <w:rsid w:val="00294F40"/>
    <w:rsid w:val="00294F9F"/>
    <w:rsid w:val="002950FA"/>
    <w:rsid w:val="002951B0"/>
    <w:rsid w:val="002951C3"/>
    <w:rsid w:val="0029527A"/>
    <w:rsid w:val="00295318"/>
    <w:rsid w:val="002954E3"/>
    <w:rsid w:val="0029556E"/>
    <w:rsid w:val="0029561E"/>
    <w:rsid w:val="0029562C"/>
    <w:rsid w:val="00295815"/>
    <w:rsid w:val="00295881"/>
    <w:rsid w:val="00295910"/>
    <w:rsid w:val="00295A5F"/>
    <w:rsid w:val="00295C02"/>
    <w:rsid w:val="00295C67"/>
    <w:rsid w:val="00295F9E"/>
    <w:rsid w:val="002960C0"/>
    <w:rsid w:val="002961E4"/>
    <w:rsid w:val="0029622B"/>
    <w:rsid w:val="0029661F"/>
    <w:rsid w:val="0029662C"/>
    <w:rsid w:val="002967B2"/>
    <w:rsid w:val="002967C4"/>
    <w:rsid w:val="00296834"/>
    <w:rsid w:val="002969C6"/>
    <w:rsid w:val="002969DE"/>
    <w:rsid w:val="00296A72"/>
    <w:rsid w:val="00296B0A"/>
    <w:rsid w:val="00296B68"/>
    <w:rsid w:val="00296BBC"/>
    <w:rsid w:val="00296CB7"/>
    <w:rsid w:val="00296E66"/>
    <w:rsid w:val="00297049"/>
    <w:rsid w:val="002971A5"/>
    <w:rsid w:val="00297365"/>
    <w:rsid w:val="00297412"/>
    <w:rsid w:val="0029762E"/>
    <w:rsid w:val="00297678"/>
    <w:rsid w:val="00297714"/>
    <w:rsid w:val="002977DF"/>
    <w:rsid w:val="0029797A"/>
    <w:rsid w:val="0029799A"/>
    <w:rsid w:val="002979CC"/>
    <w:rsid w:val="002979E3"/>
    <w:rsid w:val="00297C5B"/>
    <w:rsid w:val="00297D51"/>
    <w:rsid w:val="00297DF2"/>
    <w:rsid w:val="00297E40"/>
    <w:rsid w:val="00297E6F"/>
    <w:rsid w:val="00297F14"/>
    <w:rsid w:val="002A0137"/>
    <w:rsid w:val="002A02CE"/>
    <w:rsid w:val="002A02FC"/>
    <w:rsid w:val="002A0352"/>
    <w:rsid w:val="002A03CB"/>
    <w:rsid w:val="002A0525"/>
    <w:rsid w:val="002A0545"/>
    <w:rsid w:val="002A07D8"/>
    <w:rsid w:val="002A086A"/>
    <w:rsid w:val="002A086F"/>
    <w:rsid w:val="002A087A"/>
    <w:rsid w:val="002A08C8"/>
    <w:rsid w:val="002A09F7"/>
    <w:rsid w:val="002A0A79"/>
    <w:rsid w:val="002A0B3E"/>
    <w:rsid w:val="002A0B4F"/>
    <w:rsid w:val="002A0BF6"/>
    <w:rsid w:val="002A0C84"/>
    <w:rsid w:val="002A105D"/>
    <w:rsid w:val="002A137E"/>
    <w:rsid w:val="002A13A6"/>
    <w:rsid w:val="002A1406"/>
    <w:rsid w:val="002A1413"/>
    <w:rsid w:val="002A1416"/>
    <w:rsid w:val="002A1477"/>
    <w:rsid w:val="002A155C"/>
    <w:rsid w:val="002A1610"/>
    <w:rsid w:val="002A162D"/>
    <w:rsid w:val="002A1646"/>
    <w:rsid w:val="002A170A"/>
    <w:rsid w:val="002A1732"/>
    <w:rsid w:val="002A1805"/>
    <w:rsid w:val="002A1845"/>
    <w:rsid w:val="002A18B5"/>
    <w:rsid w:val="002A193A"/>
    <w:rsid w:val="002A1D5B"/>
    <w:rsid w:val="002A1E20"/>
    <w:rsid w:val="002A1E3B"/>
    <w:rsid w:val="002A1F2B"/>
    <w:rsid w:val="002A1F55"/>
    <w:rsid w:val="002A215D"/>
    <w:rsid w:val="002A22F7"/>
    <w:rsid w:val="002A2301"/>
    <w:rsid w:val="002A2392"/>
    <w:rsid w:val="002A23D7"/>
    <w:rsid w:val="002A246B"/>
    <w:rsid w:val="002A257E"/>
    <w:rsid w:val="002A25C6"/>
    <w:rsid w:val="002A2783"/>
    <w:rsid w:val="002A2810"/>
    <w:rsid w:val="002A2AAA"/>
    <w:rsid w:val="002A2AF8"/>
    <w:rsid w:val="002A2C16"/>
    <w:rsid w:val="002A2D64"/>
    <w:rsid w:val="002A2DEE"/>
    <w:rsid w:val="002A2F4D"/>
    <w:rsid w:val="002A3032"/>
    <w:rsid w:val="002A3167"/>
    <w:rsid w:val="002A324A"/>
    <w:rsid w:val="002A333A"/>
    <w:rsid w:val="002A3482"/>
    <w:rsid w:val="002A3531"/>
    <w:rsid w:val="002A35E7"/>
    <w:rsid w:val="002A365C"/>
    <w:rsid w:val="002A36FF"/>
    <w:rsid w:val="002A3794"/>
    <w:rsid w:val="002A3888"/>
    <w:rsid w:val="002A388A"/>
    <w:rsid w:val="002A39BD"/>
    <w:rsid w:val="002A3BE9"/>
    <w:rsid w:val="002A3DA2"/>
    <w:rsid w:val="002A3DA8"/>
    <w:rsid w:val="002A3E07"/>
    <w:rsid w:val="002A3E6F"/>
    <w:rsid w:val="002A3E90"/>
    <w:rsid w:val="002A3EA8"/>
    <w:rsid w:val="002A3F09"/>
    <w:rsid w:val="002A3F85"/>
    <w:rsid w:val="002A432D"/>
    <w:rsid w:val="002A446B"/>
    <w:rsid w:val="002A4477"/>
    <w:rsid w:val="002A44A1"/>
    <w:rsid w:val="002A451F"/>
    <w:rsid w:val="002A4631"/>
    <w:rsid w:val="002A47C0"/>
    <w:rsid w:val="002A47C7"/>
    <w:rsid w:val="002A4A03"/>
    <w:rsid w:val="002A4A4D"/>
    <w:rsid w:val="002A4D47"/>
    <w:rsid w:val="002A4E37"/>
    <w:rsid w:val="002A4E4E"/>
    <w:rsid w:val="002A4F4D"/>
    <w:rsid w:val="002A5027"/>
    <w:rsid w:val="002A5096"/>
    <w:rsid w:val="002A50F6"/>
    <w:rsid w:val="002A5138"/>
    <w:rsid w:val="002A521C"/>
    <w:rsid w:val="002A5328"/>
    <w:rsid w:val="002A551A"/>
    <w:rsid w:val="002A558A"/>
    <w:rsid w:val="002A58C0"/>
    <w:rsid w:val="002A5948"/>
    <w:rsid w:val="002A59BB"/>
    <w:rsid w:val="002A59FD"/>
    <w:rsid w:val="002A5B35"/>
    <w:rsid w:val="002A5C20"/>
    <w:rsid w:val="002A5DC1"/>
    <w:rsid w:val="002A5E4A"/>
    <w:rsid w:val="002A5ED1"/>
    <w:rsid w:val="002A60F6"/>
    <w:rsid w:val="002A6279"/>
    <w:rsid w:val="002A62D3"/>
    <w:rsid w:val="002A6343"/>
    <w:rsid w:val="002A646C"/>
    <w:rsid w:val="002A654E"/>
    <w:rsid w:val="002A657A"/>
    <w:rsid w:val="002A65EF"/>
    <w:rsid w:val="002A6609"/>
    <w:rsid w:val="002A66A3"/>
    <w:rsid w:val="002A6765"/>
    <w:rsid w:val="002A6A16"/>
    <w:rsid w:val="002A6C99"/>
    <w:rsid w:val="002A6CB8"/>
    <w:rsid w:val="002A6D05"/>
    <w:rsid w:val="002A6EC6"/>
    <w:rsid w:val="002A705D"/>
    <w:rsid w:val="002A753E"/>
    <w:rsid w:val="002A75CA"/>
    <w:rsid w:val="002A75D0"/>
    <w:rsid w:val="002A76A5"/>
    <w:rsid w:val="002A76AB"/>
    <w:rsid w:val="002A7733"/>
    <w:rsid w:val="002A77D4"/>
    <w:rsid w:val="002A77DE"/>
    <w:rsid w:val="002A77F1"/>
    <w:rsid w:val="002A7A8A"/>
    <w:rsid w:val="002A7AC8"/>
    <w:rsid w:val="002A7BD0"/>
    <w:rsid w:val="002A7EA6"/>
    <w:rsid w:val="002A7FD3"/>
    <w:rsid w:val="002B0058"/>
    <w:rsid w:val="002B00C3"/>
    <w:rsid w:val="002B010F"/>
    <w:rsid w:val="002B016A"/>
    <w:rsid w:val="002B01B9"/>
    <w:rsid w:val="002B0300"/>
    <w:rsid w:val="002B0378"/>
    <w:rsid w:val="002B039A"/>
    <w:rsid w:val="002B03B3"/>
    <w:rsid w:val="002B03D1"/>
    <w:rsid w:val="002B059C"/>
    <w:rsid w:val="002B05C7"/>
    <w:rsid w:val="002B05CA"/>
    <w:rsid w:val="002B0628"/>
    <w:rsid w:val="002B06D1"/>
    <w:rsid w:val="002B06DE"/>
    <w:rsid w:val="002B07B4"/>
    <w:rsid w:val="002B095A"/>
    <w:rsid w:val="002B0963"/>
    <w:rsid w:val="002B09C5"/>
    <w:rsid w:val="002B0AEF"/>
    <w:rsid w:val="002B0B24"/>
    <w:rsid w:val="002B0B51"/>
    <w:rsid w:val="002B0DB2"/>
    <w:rsid w:val="002B0DF3"/>
    <w:rsid w:val="002B0DFF"/>
    <w:rsid w:val="002B0F40"/>
    <w:rsid w:val="002B0FE9"/>
    <w:rsid w:val="002B10AB"/>
    <w:rsid w:val="002B137E"/>
    <w:rsid w:val="002B13BB"/>
    <w:rsid w:val="002B14C5"/>
    <w:rsid w:val="002B14E5"/>
    <w:rsid w:val="002B14E8"/>
    <w:rsid w:val="002B1732"/>
    <w:rsid w:val="002B17DF"/>
    <w:rsid w:val="002B17FA"/>
    <w:rsid w:val="002B1A2B"/>
    <w:rsid w:val="002B1A52"/>
    <w:rsid w:val="002B1AD8"/>
    <w:rsid w:val="002B1B0A"/>
    <w:rsid w:val="002B1B2D"/>
    <w:rsid w:val="002B1B61"/>
    <w:rsid w:val="002B1BC4"/>
    <w:rsid w:val="002B1C2E"/>
    <w:rsid w:val="002B1D18"/>
    <w:rsid w:val="002B1E14"/>
    <w:rsid w:val="002B1F3A"/>
    <w:rsid w:val="002B214D"/>
    <w:rsid w:val="002B2218"/>
    <w:rsid w:val="002B2287"/>
    <w:rsid w:val="002B232E"/>
    <w:rsid w:val="002B2346"/>
    <w:rsid w:val="002B2354"/>
    <w:rsid w:val="002B23A1"/>
    <w:rsid w:val="002B23CE"/>
    <w:rsid w:val="002B25D6"/>
    <w:rsid w:val="002B2848"/>
    <w:rsid w:val="002B29C1"/>
    <w:rsid w:val="002B2A46"/>
    <w:rsid w:val="002B2CAF"/>
    <w:rsid w:val="002B3095"/>
    <w:rsid w:val="002B30BF"/>
    <w:rsid w:val="002B30CA"/>
    <w:rsid w:val="002B3211"/>
    <w:rsid w:val="002B32A2"/>
    <w:rsid w:val="002B34B6"/>
    <w:rsid w:val="002B3949"/>
    <w:rsid w:val="002B3A72"/>
    <w:rsid w:val="002B3B52"/>
    <w:rsid w:val="002B3D26"/>
    <w:rsid w:val="002B3D49"/>
    <w:rsid w:val="002B3E0F"/>
    <w:rsid w:val="002B3E16"/>
    <w:rsid w:val="002B3F35"/>
    <w:rsid w:val="002B3FBC"/>
    <w:rsid w:val="002B3FBF"/>
    <w:rsid w:val="002B40EE"/>
    <w:rsid w:val="002B4316"/>
    <w:rsid w:val="002B432B"/>
    <w:rsid w:val="002B433D"/>
    <w:rsid w:val="002B45FD"/>
    <w:rsid w:val="002B47B9"/>
    <w:rsid w:val="002B4874"/>
    <w:rsid w:val="002B48AF"/>
    <w:rsid w:val="002B49B9"/>
    <w:rsid w:val="002B4BD6"/>
    <w:rsid w:val="002B4EAF"/>
    <w:rsid w:val="002B4EE5"/>
    <w:rsid w:val="002B506C"/>
    <w:rsid w:val="002B5127"/>
    <w:rsid w:val="002B5204"/>
    <w:rsid w:val="002B5289"/>
    <w:rsid w:val="002B53D5"/>
    <w:rsid w:val="002B54F1"/>
    <w:rsid w:val="002B54F6"/>
    <w:rsid w:val="002B5638"/>
    <w:rsid w:val="002B56BA"/>
    <w:rsid w:val="002B56BB"/>
    <w:rsid w:val="002B56C5"/>
    <w:rsid w:val="002B588B"/>
    <w:rsid w:val="002B59D7"/>
    <w:rsid w:val="002B5A3A"/>
    <w:rsid w:val="002B5C77"/>
    <w:rsid w:val="002B5D7B"/>
    <w:rsid w:val="002B5D95"/>
    <w:rsid w:val="002B5E24"/>
    <w:rsid w:val="002B5EFE"/>
    <w:rsid w:val="002B5FA6"/>
    <w:rsid w:val="002B5FEA"/>
    <w:rsid w:val="002B63AA"/>
    <w:rsid w:val="002B6587"/>
    <w:rsid w:val="002B6659"/>
    <w:rsid w:val="002B6AB2"/>
    <w:rsid w:val="002B6ACA"/>
    <w:rsid w:val="002B6BAA"/>
    <w:rsid w:val="002B6BF7"/>
    <w:rsid w:val="002B6CDF"/>
    <w:rsid w:val="002B707A"/>
    <w:rsid w:val="002B7252"/>
    <w:rsid w:val="002B72F2"/>
    <w:rsid w:val="002B7336"/>
    <w:rsid w:val="002B7356"/>
    <w:rsid w:val="002B7666"/>
    <w:rsid w:val="002B767B"/>
    <w:rsid w:val="002B7960"/>
    <w:rsid w:val="002B7991"/>
    <w:rsid w:val="002B7A38"/>
    <w:rsid w:val="002B7CB0"/>
    <w:rsid w:val="002B7DD3"/>
    <w:rsid w:val="002B7E32"/>
    <w:rsid w:val="002C0098"/>
    <w:rsid w:val="002C0153"/>
    <w:rsid w:val="002C019A"/>
    <w:rsid w:val="002C01C6"/>
    <w:rsid w:val="002C01DC"/>
    <w:rsid w:val="002C022C"/>
    <w:rsid w:val="002C02F0"/>
    <w:rsid w:val="002C0329"/>
    <w:rsid w:val="002C032D"/>
    <w:rsid w:val="002C0718"/>
    <w:rsid w:val="002C07BF"/>
    <w:rsid w:val="002C0835"/>
    <w:rsid w:val="002C0869"/>
    <w:rsid w:val="002C08E3"/>
    <w:rsid w:val="002C09F2"/>
    <w:rsid w:val="002C0A05"/>
    <w:rsid w:val="002C0B0F"/>
    <w:rsid w:val="002C0C0E"/>
    <w:rsid w:val="002C0C8E"/>
    <w:rsid w:val="002C0CDE"/>
    <w:rsid w:val="002C0CE2"/>
    <w:rsid w:val="002C10BA"/>
    <w:rsid w:val="002C114C"/>
    <w:rsid w:val="002C12B0"/>
    <w:rsid w:val="002C13AC"/>
    <w:rsid w:val="002C1578"/>
    <w:rsid w:val="002C157D"/>
    <w:rsid w:val="002C15C6"/>
    <w:rsid w:val="002C17EE"/>
    <w:rsid w:val="002C1942"/>
    <w:rsid w:val="002C1C99"/>
    <w:rsid w:val="002C1EA7"/>
    <w:rsid w:val="002C20E5"/>
    <w:rsid w:val="002C2123"/>
    <w:rsid w:val="002C2211"/>
    <w:rsid w:val="002C2280"/>
    <w:rsid w:val="002C22F4"/>
    <w:rsid w:val="002C232E"/>
    <w:rsid w:val="002C24F2"/>
    <w:rsid w:val="002C2642"/>
    <w:rsid w:val="002C26C8"/>
    <w:rsid w:val="002C2814"/>
    <w:rsid w:val="002C29A0"/>
    <w:rsid w:val="002C2AC3"/>
    <w:rsid w:val="002C2C7A"/>
    <w:rsid w:val="002C2CB3"/>
    <w:rsid w:val="002C2DFB"/>
    <w:rsid w:val="002C2E43"/>
    <w:rsid w:val="002C2E6F"/>
    <w:rsid w:val="002C2F29"/>
    <w:rsid w:val="002C2F4C"/>
    <w:rsid w:val="002C302E"/>
    <w:rsid w:val="002C30AA"/>
    <w:rsid w:val="002C31DF"/>
    <w:rsid w:val="002C3419"/>
    <w:rsid w:val="002C346F"/>
    <w:rsid w:val="002C36DD"/>
    <w:rsid w:val="002C385A"/>
    <w:rsid w:val="002C3873"/>
    <w:rsid w:val="002C39D9"/>
    <w:rsid w:val="002C3AB3"/>
    <w:rsid w:val="002C3C0C"/>
    <w:rsid w:val="002C3D42"/>
    <w:rsid w:val="002C3D81"/>
    <w:rsid w:val="002C3D9B"/>
    <w:rsid w:val="002C40A5"/>
    <w:rsid w:val="002C40DF"/>
    <w:rsid w:val="002C4171"/>
    <w:rsid w:val="002C4258"/>
    <w:rsid w:val="002C43DD"/>
    <w:rsid w:val="002C4427"/>
    <w:rsid w:val="002C44C3"/>
    <w:rsid w:val="002C4638"/>
    <w:rsid w:val="002C47FA"/>
    <w:rsid w:val="002C4853"/>
    <w:rsid w:val="002C48B4"/>
    <w:rsid w:val="002C4AEF"/>
    <w:rsid w:val="002C4AF1"/>
    <w:rsid w:val="002C4E0B"/>
    <w:rsid w:val="002C4F56"/>
    <w:rsid w:val="002C4FA3"/>
    <w:rsid w:val="002C4FAD"/>
    <w:rsid w:val="002C501A"/>
    <w:rsid w:val="002C5101"/>
    <w:rsid w:val="002C523B"/>
    <w:rsid w:val="002C5288"/>
    <w:rsid w:val="002C52DB"/>
    <w:rsid w:val="002C52FE"/>
    <w:rsid w:val="002C5454"/>
    <w:rsid w:val="002C5644"/>
    <w:rsid w:val="002C57C0"/>
    <w:rsid w:val="002C5807"/>
    <w:rsid w:val="002C582C"/>
    <w:rsid w:val="002C5851"/>
    <w:rsid w:val="002C5924"/>
    <w:rsid w:val="002C5A89"/>
    <w:rsid w:val="002C5BA3"/>
    <w:rsid w:val="002C5D9B"/>
    <w:rsid w:val="002C5FA6"/>
    <w:rsid w:val="002C6145"/>
    <w:rsid w:val="002C6159"/>
    <w:rsid w:val="002C61AD"/>
    <w:rsid w:val="002C621E"/>
    <w:rsid w:val="002C645A"/>
    <w:rsid w:val="002C657E"/>
    <w:rsid w:val="002C6A93"/>
    <w:rsid w:val="002C6AA4"/>
    <w:rsid w:val="002C6ADE"/>
    <w:rsid w:val="002C6BCE"/>
    <w:rsid w:val="002C6C23"/>
    <w:rsid w:val="002C6C49"/>
    <w:rsid w:val="002C6CBE"/>
    <w:rsid w:val="002C6DA0"/>
    <w:rsid w:val="002C6DD5"/>
    <w:rsid w:val="002C7009"/>
    <w:rsid w:val="002C705A"/>
    <w:rsid w:val="002C710B"/>
    <w:rsid w:val="002C73A3"/>
    <w:rsid w:val="002C7431"/>
    <w:rsid w:val="002C7516"/>
    <w:rsid w:val="002C752F"/>
    <w:rsid w:val="002C754F"/>
    <w:rsid w:val="002C77CE"/>
    <w:rsid w:val="002C77F0"/>
    <w:rsid w:val="002C7942"/>
    <w:rsid w:val="002C79A6"/>
    <w:rsid w:val="002C79B5"/>
    <w:rsid w:val="002C7B38"/>
    <w:rsid w:val="002C7BD9"/>
    <w:rsid w:val="002C7CE5"/>
    <w:rsid w:val="002C7D03"/>
    <w:rsid w:val="002C7E1D"/>
    <w:rsid w:val="002C7E42"/>
    <w:rsid w:val="002C7F1B"/>
    <w:rsid w:val="002D01BB"/>
    <w:rsid w:val="002D04DE"/>
    <w:rsid w:val="002D0603"/>
    <w:rsid w:val="002D06C1"/>
    <w:rsid w:val="002D081D"/>
    <w:rsid w:val="002D0855"/>
    <w:rsid w:val="002D085B"/>
    <w:rsid w:val="002D0C76"/>
    <w:rsid w:val="002D0D7D"/>
    <w:rsid w:val="002D0DF2"/>
    <w:rsid w:val="002D0EFF"/>
    <w:rsid w:val="002D110A"/>
    <w:rsid w:val="002D1463"/>
    <w:rsid w:val="002D1466"/>
    <w:rsid w:val="002D1496"/>
    <w:rsid w:val="002D15D4"/>
    <w:rsid w:val="002D162B"/>
    <w:rsid w:val="002D173D"/>
    <w:rsid w:val="002D1790"/>
    <w:rsid w:val="002D1989"/>
    <w:rsid w:val="002D199F"/>
    <w:rsid w:val="002D1A24"/>
    <w:rsid w:val="002D1BD0"/>
    <w:rsid w:val="002D1C4B"/>
    <w:rsid w:val="002D1D95"/>
    <w:rsid w:val="002D1E80"/>
    <w:rsid w:val="002D204B"/>
    <w:rsid w:val="002D2111"/>
    <w:rsid w:val="002D2139"/>
    <w:rsid w:val="002D233B"/>
    <w:rsid w:val="002D24A3"/>
    <w:rsid w:val="002D24B1"/>
    <w:rsid w:val="002D256D"/>
    <w:rsid w:val="002D2654"/>
    <w:rsid w:val="002D2735"/>
    <w:rsid w:val="002D27E9"/>
    <w:rsid w:val="002D283C"/>
    <w:rsid w:val="002D2947"/>
    <w:rsid w:val="002D2973"/>
    <w:rsid w:val="002D2ACC"/>
    <w:rsid w:val="002D2ADB"/>
    <w:rsid w:val="002D2AE3"/>
    <w:rsid w:val="002D2B00"/>
    <w:rsid w:val="002D2BC2"/>
    <w:rsid w:val="002D2C40"/>
    <w:rsid w:val="002D2D0F"/>
    <w:rsid w:val="002D2DFD"/>
    <w:rsid w:val="002D2E8B"/>
    <w:rsid w:val="002D2E98"/>
    <w:rsid w:val="002D2EE2"/>
    <w:rsid w:val="002D2F4D"/>
    <w:rsid w:val="002D3096"/>
    <w:rsid w:val="002D3101"/>
    <w:rsid w:val="002D312C"/>
    <w:rsid w:val="002D3156"/>
    <w:rsid w:val="002D3217"/>
    <w:rsid w:val="002D34C5"/>
    <w:rsid w:val="002D358A"/>
    <w:rsid w:val="002D35E3"/>
    <w:rsid w:val="002D3680"/>
    <w:rsid w:val="002D36AA"/>
    <w:rsid w:val="002D3703"/>
    <w:rsid w:val="002D3718"/>
    <w:rsid w:val="002D372E"/>
    <w:rsid w:val="002D37D9"/>
    <w:rsid w:val="002D39C8"/>
    <w:rsid w:val="002D3A9F"/>
    <w:rsid w:val="002D3BC2"/>
    <w:rsid w:val="002D3BD9"/>
    <w:rsid w:val="002D3CD3"/>
    <w:rsid w:val="002D3E59"/>
    <w:rsid w:val="002D3E71"/>
    <w:rsid w:val="002D400D"/>
    <w:rsid w:val="002D437F"/>
    <w:rsid w:val="002D4406"/>
    <w:rsid w:val="002D442D"/>
    <w:rsid w:val="002D451C"/>
    <w:rsid w:val="002D459C"/>
    <w:rsid w:val="002D471D"/>
    <w:rsid w:val="002D4761"/>
    <w:rsid w:val="002D4861"/>
    <w:rsid w:val="002D4878"/>
    <w:rsid w:val="002D4970"/>
    <w:rsid w:val="002D4A56"/>
    <w:rsid w:val="002D4BC4"/>
    <w:rsid w:val="002D4CB9"/>
    <w:rsid w:val="002D4E0F"/>
    <w:rsid w:val="002D4E5B"/>
    <w:rsid w:val="002D4E81"/>
    <w:rsid w:val="002D4F85"/>
    <w:rsid w:val="002D509A"/>
    <w:rsid w:val="002D514C"/>
    <w:rsid w:val="002D5168"/>
    <w:rsid w:val="002D53C1"/>
    <w:rsid w:val="002D5423"/>
    <w:rsid w:val="002D5563"/>
    <w:rsid w:val="002D55E7"/>
    <w:rsid w:val="002D567B"/>
    <w:rsid w:val="002D5804"/>
    <w:rsid w:val="002D5892"/>
    <w:rsid w:val="002D594B"/>
    <w:rsid w:val="002D5B14"/>
    <w:rsid w:val="002D5B22"/>
    <w:rsid w:val="002D5E56"/>
    <w:rsid w:val="002D5F02"/>
    <w:rsid w:val="002D6021"/>
    <w:rsid w:val="002D612D"/>
    <w:rsid w:val="002D6203"/>
    <w:rsid w:val="002D64AF"/>
    <w:rsid w:val="002D65AD"/>
    <w:rsid w:val="002D6731"/>
    <w:rsid w:val="002D67A7"/>
    <w:rsid w:val="002D6878"/>
    <w:rsid w:val="002D69C1"/>
    <w:rsid w:val="002D6BF3"/>
    <w:rsid w:val="002D6C7E"/>
    <w:rsid w:val="002D6DEF"/>
    <w:rsid w:val="002D6ECE"/>
    <w:rsid w:val="002D6EEF"/>
    <w:rsid w:val="002D6FCD"/>
    <w:rsid w:val="002D7051"/>
    <w:rsid w:val="002D7164"/>
    <w:rsid w:val="002D716F"/>
    <w:rsid w:val="002D71DA"/>
    <w:rsid w:val="002D7219"/>
    <w:rsid w:val="002D746C"/>
    <w:rsid w:val="002D74B4"/>
    <w:rsid w:val="002D7587"/>
    <w:rsid w:val="002D7679"/>
    <w:rsid w:val="002D76BD"/>
    <w:rsid w:val="002D7833"/>
    <w:rsid w:val="002D78BD"/>
    <w:rsid w:val="002D79C7"/>
    <w:rsid w:val="002D7A45"/>
    <w:rsid w:val="002D7B66"/>
    <w:rsid w:val="002D7E81"/>
    <w:rsid w:val="002D7EBB"/>
    <w:rsid w:val="002E0186"/>
    <w:rsid w:val="002E0274"/>
    <w:rsid w:val="002E042F"/>
    <w:rsid w:val="002E04D3"/>
    <w:rsid w:val="002E0586"/>
    <w:rsid w:val="002E058D"/>
    <w:rsid w:val="002E05A4"/>
    <w:rsid w:val="002E071B"/>
    <w:rsid w:val="002E07A8"/>
    <w:rsid w:val="002E0804"/>
    <w:rsid w:val="002E08FD"/>
    <w:rsid w:val="002E0983"/>
    <w:rsid w:val="002E09E5"/>
    <w:rsid w:val="002E0AE6"/>
    <w:rsid w:val="002E0BF8"/>
    <w:rsid w:val="002E0D02"/>
    <w:rsid w:val="002E0DDE"/>
    <w:rsid w:val="002E0DEA"/>
    <w:rsid w:val="002E0EE9"/>
    <w:rsid w:val="002E107A"/>
    <w:rsid w:val="002E10F4"/>
    <w:rsid w:val="002E1152"/>
    <w:rsid w:val="002E11BC"/>
    <w:rsid w:val="002E170A"/>
    <w:rsid w:val="002E18CB"/>
    <w:rsid w:val="002E1A84"/>
    <w:rsid w:val="002E1B64"/>
    <w:rsid w:val="002E1B8F"/>
    <w:rsid w:val="002E1BDC"/>
    <w:rsid w:val="002E1C3E"/>
    <w:rsid w:val="002E1D1A"/>
    <w:rsid w:val="002E1DFF"/>
    <w:rsid w:val="002E1E53"/>
    <w:rsid w:val="002E1E57"/>
    <w:rsid w:val="002E1E5C"/>
    <w:rsid w:val="002E1E8A"/>
    <w:rsid w:val="002E1EC2"/>
    <w:rsid w:val="002E1EEA"/>
    <w:rsid w:val="002E1F5A"/>
    <w:rsid w:val="002E2251"/>
    <w:rsid w:val="002E2268"/>
    <w:rsid w:val="002E241B"/>
    <w:rsid w:val="002E249C"/>
    <w:rsid w:val="002E2527"/>
    <w:rsid w:val="002E2557"/>
    <w:rsid w:val="002E27F9"/>
    <w:rsid w:val="002E291D"/>
    <w:rsid w:val="002E2A15"/>
    <w:rsid w:val="002E2AD7"/>
    <w:rsid w:val="002E2AE6"/>
    <w:rsid w:val="002E2D63"/>
    <w:rsid w:val="002E2D77"/>
    <w:rsid w:val="002E2DDA"/>
    <w:rsid w:val="002E30BA"/>
    <w:rsid w:val="002E30E6"/>
    <w:rsid w:val="002E320B"/>
    <w:rsid w:val="002E32E2"/>
    <w:rsid w:val="002E33BD"/>
    <w:rsid w:val="002E350B"/>
    <w:rsid w:val="002E371B"/>
    <w:rsid w:val="002E378C"/>
    <w:rsid w:val="002E395C"/>
    <w:rsid w:val="002E3A93"/>
    <w:rsid w:val="002E3B57"/>
    <w:rsid w:val="002E3C03"/>
    <w:rsid w:val="002E3C62"/>
    <w:rsid w:val="002E3CD2"/>
    <w:rsid w:val="002E3DDA"/>
    <w:rsid w:val="002E3DDC"/>
    <w:rsid w:val="002E3E6B"/>
    <w:rsid w:val="002E3ED2"/>
    <w:rsid w:val="002E3F13"/>
    <w:rsid w:val="002E402D"/>
    <w:rsid w:val="002E4162"/>
    <w:rsid w:val="002E42FC"/>
    <w:rsid w:val="002E446C"/>
    <w:rsid w:val="002E44FD"/>
    <w:rsid w:val="002E457E"/>
    <w:rsid w:val="002E480A"/>
    <w:rsid w:val="002E49B3"/>
    <w:rsid w:val="002E4A85"/>
    <w:rsid w:val="002E4AAC"/>
    <w:rsid w:val="002E4ADA"/>
    <w:rsid w:val="002E4C0D"/>
    <w:rsid w:val="002E4CC9"/>
    <w:rsid w:val="002E4CF5"/>
    <w:rsid w:val="002E4DF6"/>
    <w:rsid w:val="002E4F09"/>
    <w:rsid w:val="002E52AD"/>
    <w:rsid w:val="002E530E"/>
    <w:rsid w:val="002E574E"/>
    <w:rsid w:val="002E5754"/>
    <w:rsid w:val="002E57B4"/>
    <w:rsid w:val="002E57D6"/>
    <w:rsid w:val="002E587D"/>
    <w:rsid w:val="002E58AC"/>
    <w:rsid w:val="002E5B8B"/>
    <w:rsid w:val="002E5BF1"/>
    <w:rsid w:val="002E5C38"/>
    <w:rsid w:val="002E5C6F"/>
    <w:rsid w:val="002E5E84"/>
    <w:rsid w:val="002E5EBF"/>
    <w:rsid w:val="002E5FB3"/>
    <w:rsid w:val="002E60D4"/>
    <w:rsid w:val="002E61A4"/>
    <w:rsid w:val="002E61E3"/>
    <w:rsid w:val="002E627C"/>
    <w:rsid w:val="002E6336"/>
    <w:rsid w:val="002E64F6"/>
    <w:rsid w:val="002E6503"/>
    <w:rsid w:val="002E650C"/>
    <w:rsid w:val="002E652D"/>
    <w:rsid w:val="002E6538"/>
    <w:rsid w:val="002E6547"/>
    <w:rsid w:val="002E655C"/>
    <w:rsid w:val="002E664C"/>
    <w:rsid w:val="002E6703"/>
    <w:rsid w:val="002E673D"/>
    <w:rsid w:val="002E677C"/>
    <w:rsid w:val="002E67EF"/>
    <w:rsid w:val="002E68A3"/>
    <w:rsid w:val="002E68FE"/>
    <w:rsid w:val="002E6A1C"/>
    <w:rsid w:val="002E6A60"/>
    <w:rsid w:val="002E6AA6"/>
    <w:rsid w:val="002E6AE6"/>
    <w:rsid w:val="002E6B22"/>
    <w:rsid w:val="002E6B72"/>
    <w:rsid w:val="002E6C3A"/>
    <w:rsid w:val="002E6C6D"/>
    <w:rsid w:val="002E6CF1"/>
    <w:rsid w:val="002E6F1C"/>
    <w:rsid w:val="002E706A"/>
    <w:rsid w:val="002E712A"/>
    <w:rsid w:val="002E71BE"/>
    <w:rsid w:val="002E7251"/>
    <w:rsid w:val="002E727D"/>
    <w:rsid w:val="002E7290"/>
    <w:rsid w:val="002E7308"/>
    <w:rsid w:val="002E7539"/>
    <w:rsid w:val="002E7631"/>
    <w:rsid w:val="002E79CA"/>
    <w:rsid w:val="002E7A67"/>
    <w:rsid w:val="002E7B63"/>
    <w:rsid w:val="002E7B93"/>
    <w:rsid w:val="002E7BA7"/>
    <w:rsid w:val="002E7CF1"/>
    <w:rsid w:val="002E7E1D"/>
    <w:rsid w:val="002E7E78"/>
    <w:rsid w:val="002E7E9A"/>
    <w:rsid w:val="002F0158"/>
    <w:rsid w:val="002F028F"/>
    <w:rsid w:val="002F0328"/>
    <w:rsid w:val="002F0427"/>
    <w:rsid w:val="002F0493"/>
    <w:rsid w:val="002F05A1"/>
    <w:rsid w:val="002F05ED"/>
    <w:rsid w:val="002F0895"/>
    <w:rsid w:val="002F08D2"/>
    <w:rsid w:val="002F0BFF"/>
    <w:rsid w:val="002F0C3E"/>
    <w:rsid w:val="002F0C5A"/>
    <w:rsid w:val="002F0CF7"/>
    <w:rsid w:val="002F0D95"/>
    <w:rsid w:val="002F0DC7"/>
    <w:rsid w:val="002F106F"/>
    <w:rsid w:val="002F1107"/>
    <w:rsid w:val="002F1122"/>
    <w:rsid w:val="002F1142"/>
    <w:rsid w:val="002F129E"/>
    <w:rsid w:val="002F12A4"/>
    <w:rsid w:val="002F12A7"/>
    <w:rsid w:val="002F13CC"/>
    <w:rsid w:val="002F1452"/>
    <w:rsid w:val="002F1534"/>
    <w:rsid w:val="002F164E"/>
    <w:rsid w:val="002F1695"/>
    <w:rsid w:val="002F16B1"/>
    <w:rsid w:val="002F17BD"/>
    <w:rsid w:val="002F17D7"/>
    <w:rsid w:val="002F17F8"/>
    <w:rsid w:val="002F1834"/>
    <w:rsid w:val="002F1C6C"/>
    <w:rsid w:val="002F1E6E"/>
    <w:rsid w:val="002F213C"/>
    <w:rsid w:val="002F223A"/>
    <w:rsid w:val="002F232B"/>
    <w:rsid w:val="002F2383"/>
    <w:rsid w:val="002F2417"/>
    <w:rsid w:val="002F24C2"/>
    <w:rsid w:val="002F2752"/>
    <w:rsid w:val="002F2755"/>
    <w:rsid w:val="002F29E1"/>
    <w:rsid w:val="002F2A21"/>
    <w:rsid w:val="002F2AFD"/>
    <w:rsid w:val="002F2B59"/>
    <w:rsid w:val="002F2CAE"/>
    <w:rsid w:val="002F2E42"/>
    <w:rsid w:val="002F2F0C"/>
    <w:rsid w:val="002F2F11"/>
    <w:rsid w:val="002F305A"/>
    <w:rsid w:val="002F309F"/>
    <w:rsid w:val="002F3229"/>
    <w:rsid w:val="002F32BD"/>
    <w:rsid w:val="002F33B6"/>
    <w:rsid w:val="002F3513"/>
    <w:rsid w:val="002F35D1"/>
    <w:rsid w:val="002F3677"/>
    <w:rsid w:val="002F387B"/>
    <w:rsid w:val="002F3B5A"/>
    <w:rsid w:val="002F3B5D"/>
    <w:rsid w:val="002F3BAD"/>
    <w:rsid w:val="002F3C96"/>
    <w:rsid w:val="002F3CB1"/>
    <w:rsid w:val="002F3D19"/>
    <w:rsid w:val="002F3F28"/>
    <w:rsid w:val="002F3F93"/>
    <w:rsid w:val="002F4003"/>
    <w:rsid w:val="002F4084"/>
    <w:rsid w:val="002F4209"/>
    <w:rsid w:val="002F4349"/>
    <w:rsid w:val="002F4485"/>
    <w:rsid w:val="002F452F"/>
    <w:rsid w:val="002F45B5"/>
    <w:rsid w:val="002F45DF"/>
    <w:rsid w:val="002F46AE"/>
    <w:rsid w:val="002F4734"/>
    <w:rsid w:val="002F4881"/>
    <w:rsid w:val="002F4974"/>
    <w:rsid w:val="002F4A56"/>
    <w:rsid w:val="002F4AB1"/>
    <w:rsid w:val="002F4D87"/>
    <w:rsid w:val="002F4DD8"/>
    <w:rsid w:val="002F4E4E"/>
    <w:rsid w:val="002F5123"/>
    <w:rsid w:val="002F5242"/>
    <w:rsid w:val="002F5285"/>
    <w:rsid w:val="002F5296"/>
    <w:rsid w:val="002F52CA"/>
    <w:rsid w:val="002F5386"/>
    <w:rsid w:val="002F5388"/>
    <w:rsid w:val="002F546A"/>
    <w:rsid w:val="002F565A"/>
    <w:rsid w:val="002F5688"/>
    <w:rsid w:val="002F56EC"/>
    <w:rsid w:val="002F5710"/>
    <w:rsid w:val="002F5799"/>
    <w:rsid w:val="002F57C6"/>
    <w:rsid w:val="002F58B7"/>
    <w:rsid w:val="002F59AD"/>
    <w:rsid w:val="002F5A84"/>
    <w:rsid w:val="002F5AB6"/>
    <w:rsid w:val="002F5B20"/>
    <w:rsid w:val="002F5BD1"/>
    <w:rsid w:val="002F5C5D"/>
    <w:rsid w:val="002F5C7F"/>
    <w:rsid w:val="002F5D9A"/>
    <w:rsid w:val="002F5E78"/>
    <w:rsid w:val="002F5EA9"/>
    <w:rsid w:val="002F60BC"/>
    <w:rsid w:val="002F6197"/>
    <w:rsid w:val="002F6459"/>
    <w:rsid w:val="002F651A"/>
    <w:rsid w:val="002F6578"/>
    <w:rsid w:val="002F6671"/>
    <w:rsid w:val="002F66CE"/>
    <w:rsid w:val="002F6862"/>
    <w:rsid w:val="002F6B01"/>
    <w:rsid w:val="002F6BD4"/>
    <w:rsid w:val="002F6CC3"/>
    <w:rsid w:val="002F6DF3"/>
    <w:rsid w:val="002F6EB4"/>
    <w:rsid w:val="002F6F0B"/>
    <w:rsid w:val="002F6FBB"/>
    <w:rsid w:val="002F7033"/>
    <w:rsid w:val="002F70FB"/>
    <w:rsid w:val="002F7114"/>
    <w:rsid w:val="002F719D"/>
    <w:rsid w:val="002F71F2"/>
    <w:rsid w:val="002F71F4"/>
    <w:rsid w:val="002F7308"/>
    <w:rsid w:val="002F7421"/>
    <w:rsid w:val="002F746F"/>
    <w:rsid w:val="002F7559"/>
    <w:rsid w:val="002F75E4"/>
    <w:rsid w:val="002F79C1"/>
    <w:rsid w:val="002F79FE"/>
    <w:rsid w:val="002F7A38"/>
    <w:rsid w:val="002F7A67"/>
    <w:rsid w:val="002F7B85"/>
    <w:rsid w:val="002F7BCB"/>
    <w:rsid w:val="002F7C51"/>
    <w:rsid w:val="002F7CFD"/>
    <w:rsid w:val="002F7D5E"/>
    <w:rsid w:val="002F7D6D"/>
    <w:rsid w:val="002F7EE4"/>
    <w:rsid w:val="002F7FDE"/>
    <w:rsid w:val="0030006A"/>
    <w:rsid w:val="0030009E"/>
    <w:rsid w:val="003003A0"/>
    <w:rsid w:val="0030046B"/>
    <w:rsid w:val="003004D6"/>
    <w:rsid w:val="0030074B"/>
    <w:rsid w:val="00300882"/>
    <w:rsid w:val="00300896"/>
    <w:rsid w:val="003008A6"/>
    <w:rsid w:val="00300AD6"/>
    <w:rsid w:val="00300B11"/>
    <w:rsid w:val="00300B68"/>
    <w:rsid w:val="00300B8C"/>
    <w:rsid w:val="00300BEC"/>
    <w:rsid w:val="00300D44"/>
    <w:rsid w:val="00300DAD"/>
    <w:rsid w:val="00300EB7"/>
    <w:rsid w:val="0030117D"/>
    <w:rsid w:val="003011CB"/>
    <w:rsid w:val="003012A0"/>
    <w:rsid w:val="00301803"/>
    <w:rsid w:val="00301884"/>
    <w:rsid w:val="00301A23"/>
    <w:rsid w:val="00301A4B"/>
    <w:rsid w:val="00301C4E"/>
    <w:rsid w:val="00301D89"/>
    <w:rsid w:val="00301E1D"/>
    <w:rsid w:val="00301E6A"/>
    <w:rsid w:val="00301F16"/>
    <w:rsid w:val="00301F24"/>
    <w:rsid w:val="00302096"/>
    <w:rsid w:val="0030219E"/>
    <w:rsid w:val="00302201"/>
    <w:rsid w:val="00302220"/>
    <w:rsid w:val="003022EE"/>
    <w:rsid w:val="0030237C"/>
    <w:rsid w:val="00302395"/>
    <w:rsid w:val="00302434"/>
    <w:rsid w:val="0030245F"/>
    <w:rsid w:val="00302736"/>
    <w:rsid w:val="0030291C"/>
    <w:rsid w:val="00302A16"/>
    <w:rsid w:val="00302A95"/>
    <w:rsid w:val="00302AF5"/>
    <w:rsid w:val="00302CB7"/>
    <w:rsid w:val="00302D5C"/>
    <w:rsid w:val="00302D85"/>
    <w:rsid w:val="00302E0D"/>
    <w:rsid w:val="00302E38"/>
    <w:rsid w:val="00302FB0"/>
    <w:rsid w:val="003030A7"/>
    <w:rsid w:val="00303318"/>
    <w:rsid w:val="00303424"/>
    <w:rsid w:val="00303478"/>
    <w:rsid w:val="00303684"/>
    <w:rsid w:val="0030375A"/>
    <w:rsid w:val="0030393F"/>
    <w:rsid w:val="00303A61"/>
    <w:rsid w:val="00303A86"/>
    <w:rsid w:val="00303AAF"/>
    <w:rsid w:val="00303AE7"/>
    <w:rsid w:val="00303B22"/>
    <w:rsid w:val="00303B6E"/>
    <w:rsid w:val="00303CBE"/>
    <w:rsid w:val="00303D7D"/>
    <w:rsid w:val="00303EB7"/>
    <w:rsid w:val="00304113"/>
    <w:rsid w:val="003041AF"/>
    <w:rsid w:val="003041F8"/>
    <w:rsid w:val="0030433F"/>
    <w:rsid w:val="00304388"/>
    <w:rsid w:val="00304415"/>
    <w:rsid w:val="00304481"/>
    <w:rsid w:val="003044A0"/>
    <w:rsid w:val="00304575"/>
    <w:rsid w:val="003045A1"/>
    <w:rsid w:val="003045CA"/>
    <w:rsid w:val="0030473A"/>
    <w:rsid w:val="00304A30"/>
    <w:rsid w:val="00304A4E"/>
    <w:rsid w:val="00304A7B"/>
    <w:rsid w:val="00304AAA"/>
    <w:rsid w:val="00304CDE"/>
    <w:rsid w:val="00304D04"/>
    <w:rsid w:val="00304D61"/>
    <w:rsid w:val="00304D9F"/>
    <w:rsid w:val="00304E5E"/>
    <w:rsid w:val="00304F8F"/>
    <w:rsid w:val="00304FAA"/>
    <w:rsid w:val="0030503A"/>
    <w:rsid w:val="003050EC"/>
    <w:rsid w:val="0030517F"/>
    <w:rsid w:val="00305205"/>
    <w:rsid w:val="00305250"/>
    <w:rsid w:val="003054B3"/>
    <w:rsid w:val="00305562"/>
    <w:rsid w:val="003056FA"/>
    <w:rsid w:val="0030578A"/>
    <w:rsid w:val="00305954"/>
    <w:rsid w:val="00305ABE"/>
    <w:rsid w:val="00305B4A"/>
    <w:rsid w:val="00305B68"/>
    <w:rsid w:val="00305CAE"/>
    <w:rsid w:val="00305DBE"/>
    <w:rsid w:val="00305DDB"/>
    <w:rsid w:val="00305EBF"/>
    <w:rsid w:val="00305EFE"/>
    <w:rsid w:val="00305F35"/>
    <w:rsid w:val="00305F90"/>
    <w:rsid w:val="00305FF8"/>
    <w:rsid w:val="00306120"/>
    <w:rsid w:val="00306336"/>
    <w:rsid w:val="0030657D"/>
    <w:rsid w:val="003066CA"/>
    <w:rsid w:val="00306996"/>
    <w:rsid w:val="00306A13"/>
    <w:rsid w:val="00306A1C"/>
    <w:rsid w:val="00306ACF"/>
    <w:rsid w:val="00306B4C"/>
    <w:rsid w:val="00306BE7"/>
    <w:rsid w:val="00306CF1"/>
    <w:rsid w:val="00306E40"/>
    <w:rsid w:val="003073E9"/>
    <w:rsid w:val="0030758C"/>
    <w:rsid w:val="003076D7"/>
    <w:rsid w:val="0030770B"/>
    <w:rsid w:val="0030776B"/>
    <w:rsid w:val="0030793D"/>
    <w:rsid w:val="00307999"/>
    <w:rsid w:val="003079CF"/>
    <w:rsid w:val="00307A4D"/>
    <w:rsid w:val="00307AA7"/>
    <w:rsid w:val="00307B14"/>
    <w:rsid w:val="00307C40"/>
    <w:rsid w:val="00307C99"/>
    <w:rsid w:val="00307E2D"/>
    <w:rsid w:val="00307FA6"/>
    <w:rsid w:val="003100F4"/>
    <w:rsid w:val="00310114"/>
    <w:rsid w:val="0031027B"/>
    <w:rsid w:val="003102E9"/>
    <w:rsid w:val="0031033B"/>
    <w:rsid w:val="00310362"/>
    <w:rsid w:val="00310405"/>
    <w:rsid w:val="00310412"/>
    <w:rsid w:val="0031046D"/>
    <w:rsid w:val="003104E5"/>
    <w:rsid w:val="00310513"/>
    <w:rsid w:val="0031058C"/>
    <w:rsid w:val="003106C3"/>
    <w:rsid w:val="003106EA"/>
    <w:rsid w:val="00310789"/>
    <w:rsid w:val="003108AB"/>
    <w:rsid w:val="00310ABF"/>
    <w:rsid w:val="00310AD4"/>
    <w:rsid w:val="00310AE6"/>
    <w:rsid w:val="00310C24"/>
    <w:rsid w:val="00310C5D"/>
    <w:rsid w:val="00310DC6"/>
    <w:rsid w:val="00310EC2"/>
    <w:rsid w:val="00310EC6"/>
    <w:rsid w:val="00310F19"/>
    <w:rsid w:val="003111C6"/>
    <w:rsid w:val="00311278"/>
    <w:rsid w:val="00311329"/>
    <w:rsid w:val="00311507"/>
    <w:rsid w:val="003115A3"/>
    <w:rsid w:val="0031161C"/>
    <w:rsid w:val="00311774"/>
    <w:rsid w:val="00311B8B"/>
    <w:rsid w:val="00311C21"/>
    <w:rsid w:val="00311FFC"/>
    <w:rsid w:val="003120A7"/>
    <w:rsid w:val="003121B4"/>
    <w:rsid w:val="0031237C"/>
    <w:rsid w:val="003123B0"/>
    <w:rsid w:val="003124BF"/>
    <w:rsid w:val="003125E5"/>
    <w:rsid w:val="003127D9"/>
    <w:rsid w:val="00312887"/>
    <w:rsid w:val="003128E2"/>
    <w:rsid w:val="00312958"/>
    <w:rsid w:val="0031297E"/>
    <w:rsid w:val="00312A70"/>
    <w:rsid w:val="00312A8A"/>
    <w:rsid w:val="00312BE1"/>
    <w:rsid w:val="00312D16"/>
    <w:rsid w:val="00312DB7"/>
    <w:rsid w:val="00312DD1"/>
    <w:rsid w:val="00312E25"/>
    <w:rsid w:val="00312E4D"/>
    <w:rsid w:val="00312F88"/>
    <w:rsid w:val="00313021"/>
    <w:rsid w:val="00313042"/>
    <w:rsid w:val="003130B4"/>
    <w:rsid w:val="003131FE"/>
    <w:rsid w:val="00313227"/>
    <w:rsid w:val="003133F5"/>
    <w:rsid w:val="00313418"/>
    <w:rsid w:val="00313529"/>
    <w:rsid w:val="003135FF"/>
    <w:rsid w:val="0031360D"/>
    <w:rsid w:val="00313798"/>
    <w:rsid w:val="003138D4"/>
    <w:rsid w:val="003138E4"/>
    <w:rsid w:val="0031396E"/>
    <w:rsid w:val="00313A74"/>
    <w:rsid w:val="00313B59"/>
    <w:rsid w:val="00313B70"/>
    <w:rsid w:val="00313C39"/>
    <w:rsid w:val="00313C4C"/>
    <w:rsid w:val="00313C72"/>
    <w:rsid w:val="00313D1B"/>
    <w:rsid w:val="00313DCA"/>
    <w:rsid w:val="00313E11"/>
    <w:rsid w:val="00313E6B"/>
    <w:rsid w:val="00313E7B"/>
    <w:rsid w:val="0031414D"/>
    <w:rsid w:val="003141FB"/>
    <w:rsid w:val="00314217"/>
    <w:rsid w:val="003142BD"/>
    <w:rsid w:val="00314316"/>
    <w:rsid w:val="0031440B"/>
    <w:rsid w:val="0031446A"/>
    <w:rsid w:val="0031449D"/>
    <w:rsid w:val="003148A7"/>
    <w:rsid w:val="0031498C"/>
    <w:rsid w:val="003149AD"/>
    <w:rsid w:val="00314BE1"/>
    <w:rsid w:val="00314C0F"/>
    <w:rsid w:val="00314C47"/>
    <w:rsid w:val="00314C49"/>
    <w:rsid w:val="00314D01"/>
    <w:rsid w:val="00314D90"/>
    <w:rsid w:val="00314DD9"/>
    <w:rsid w:val="00314E69"/>
    <w:rsid w:val="00314F03"/>
    <w:rsid w:val="00314F24"/>
    <w:rsid w:val="00315054"/>
    <w:rsid w:val="00315160"/>
    <w:rsid w:val="003151AF"/>
    <w:rsid w:val="0031530E"/>
    <w:rsid w:val="00315447"/>
    <w:rsid w:val="00315550"/>
    <w:rsid w:val="00315581"/>
    <w:rsid w:val="0031584A"/>
    <w:rsid w:val="00315953"/>
    <w:rsid w:val="0031596F"/>
    <w:rsid w:val="00315B10"/>
    <w:rsid w:val="00315B3B"/>
    <w:rsid w:val="00315C97"/>
    <w:rsid w:val="00315D6A"/>
    <w:rsid w:val="00315D71"/>
    <w:rsid w:val="00315F1E"/>
    <w:rsid w:val="00315F66"/>
    <w:rsid w:val="00315F9C"/>
    <w:rsid w:val="0031600A"/>
    <w:rsid w:val="0031602D"/>
    <w:rsid w:val="00316208"/>
    <w:rsid w:val="003162AA"/>
    <w:rsid w:val="003162B0"/>
    <w:rsid w:val="0031639A"/>
    <w:rsid w:val="003163DA"/>
    <w:rsid w:val="00316408"/>
    <w:rsid w:val="003165A4"/>
    <w:rsid w:val="00316762"/>
    <w:rsid w:val="00316877"/>
    <w:rsid w:val="003168C0"/>
    <w:rsid w:val="0031696C"/>
    <w:rsid w:val="003169CA"/>
    <w:rsid w:val="00316A94"/>
    <w:rsid w:val="00316AFB"/>
    <w:rsid w:val="00316B71"/>
    <w:rsid w:val="00316B95"/>
    <w:rsid w:val="00316F16"/>
    <w:rsid w:val="00316F8A"/>
    <w:rsid w:val="00316FCD"/>
    <w:rsid w:val="0031719D"/>
    <w:rsid w:val="0031726D"/>
    <w:rsid w:val="003172BC"/>
    <w:rsid w:val="003173D3"/>
    <w:rsid w:val="003173FB"/>
    <w:rsid w:val="003174A7"/>
    <w:rsid w:val="003175ED"/>
    <w:rsid w:val="0031761F"/>
    <w:rsid w:val="00317675"/>
    <w:rsid w:val="0031775A"/>
    <w:rsid w:val="003179DC"/>
    <w:rsid w:val="00317B1F"/>
    <w:rsid w:val="00317C0D"/>
    <w:rsid w:val="00317CA4"/>
    <w:rsid w:val="00317CFD"/>
    <w:rsid w:val="00317D4D"/>
    <w:rsid w:val="00317D97"/>
    <w:rsid w:val="00317DB1"/>
    <w:rsid w:val="00317DFE"/>
    <w:rsid w:val="003200A9"/>
    <w:rsid w:val="003200CF"/>
    <w:rsid w:val="0032010C"/>
    <w:rsid w:val="0032012E"/>
    <w:rsid w:val="003201DD"/>
    <w:rsid w:val="00320301"/>
    <w:rsid w:val="00320532"/>
    <w:rsid w:val="00320626"/>
    <w:rsid w:val="00320670"/>
    <w:rsid w:val="00320689"/>
    <w:rsid w:val="003206D7"/>
    <w:rsid w:val="00320726"/>
    <w:rsid w:val="003209FB"/>
    <w:rsid w:val="00320A67"/>
    <w:rsid w:val="00320A8D"/>
    <w:rsid w:val="00320B2C"/>
    <w:rsid w:val="00320CF1"/>
    <w:rsid w:val="00320CF5"/>
    <w:rsid w:val="00320EC3"/>
    <w:rsid w:val="00320EC9"/>
    <w:rsid w:val="0032106A"/>
    <w:rsid w:val="00321382"/>
    <w:rsid w:val="003213D1"/>
    <w:rsid w:val="003218C7"/>
    <w:rsid w:val="003218FE"/>
    <w:rsid w:val="0032199E"/>
    <w:rsid w:val="00321A39"/>
    <w:rsid w:val="00321AFA"/>
    <w:rsid w:val="00321B3E"/>
    <w:rsid w:val="00321B8C"/>
    <w:rsid w:val="00321BBA"/>
    <w:rsid w:val="00321C9F"/>
    <w:rsid w:val="00321EC0"/>
    <w:rsid w:val="00321FAB"/>
    <w:rsid w:val="00321FCB"/>
    <w:rsid w:val="00321FCE"/>
    <w:rsid w:val="00322036"/>
    <w:rsid w:val="003220E5"/>
    <w:rsid w:val="003220F3"/>
    <w:rsid w:val="0032223D"/>
    <w:rsid w:val="00322466"/>
    <w:rsid w:val="0032246E"/>
    <w:rsid w:val="00322481"/>
    <w:rsid w:val="003224AF"/>
    <w:rsid w:val="0032251D"/>
    <w:rsid w:val="003226EC"/>
    <w:rsid w:val="00322898"/>
    <w:rsid w:val="003228DE"/>
    <w:rsid w:val="00322963"/>
    <w:rsid w:val="00322A2F"/>
    <w:rsid w:val="00322A62"/>
    <w:rsid w:val="00322E17"/>
    <w:rsid w:val="00322F32"/>
    <w:rsid w:val="00322F33"/>
    <w:rsid w:val="00323231"/>
    <w:rsid w:val="00323232"/>
    <w:rsid w:val="0032344B"/>
    <w:rsid w:val="00323477"/>
    <w:rsid w:val="0032359D"/>
    <w:rsid w:val="00323957"/>
    <w:rsid w:val="00323980"/>
    <w:rsid w:val="00323A87"/>
    <w:rsid w:val="00323AEA"/>
    <w:rsid w:val="00323CB8"/>
    <w:rsid w:val="00323D3A"/>
    <w:rsid w:val="00323DAA"/>
    <w:rsid w:val="00323DBE"/>
    <w:rsid w:val="00323E82"/>
    <w:rsid w:val="00323F63"/>
    <w:rsid w:val="00323F83"/>
    <w:rsid w:val="00323FEB"/>
    <w:rsid w:val="0032400C"/>
    <w:rsid w:val="0032402E"/>
    <w:rsid w:val="00324040"/>
    <w:rsid w:val="003241E9"/>
    <w:rsid w:val="003242A2"/>
    <w:rsid w:val="00324416"/>
    <w:rsid w:val="003244D3"/>
    <w:rsid w:val="0032469A"/>
    <w:rsid w:val="003247CF"/>
    <w:rsid w:val="00324871"/>
    <w:rsid w:val="0032496D"/>
    <w:rsid w:val="00324A0E"/>
    <w:rsid w:val="00324B40"/>
    <w:rsid w:val="00324FA4"/>
    <w:rsid w:val="00324FAF"/>
    <w:rsid w:val="00325306"/>
    <w:rsid w:val="00325365"/>
    <w:rsid w:val="003253AE"/>
    <w:rsid w:val="003253C1"/>
    <w:rsid w:val="003254C5"/>
    <w:rsid w:val="003255B8"/>
    <w:rsid w:val="003255ED"/>
    <w:rsid w:val="003256AA"/>
    <w:rsid w:val="003256FC"/>
    <w:rsid w:val="00325720"/>
    <w:rsid w:val="00325732"/>
    <w:rsid w:val="003257E1"/>
    <w:rsid w:val="00325A8C"/>
    <w:rsid w:val="00325E25"/>
    <w:rsid w:val="00325ECD"/>
    <w:rsid w:val="00325FB2"/>
    <w:rsid w:val="00326008"/>
    <w:rsid w:val="00326025"/>
    <w:rsid w:val="003260A8"/>
    <w:rsid w:val="0032614A"/>
    <w:rsid w:val="003261A2"/>
    <w:rsid w:val="003264F6"/>
    <w:rsid w:val="0032659B"/>
    <w:rsid w:val="003265C0"/>
    <w:rsid w:val="0032661E"/>
    <w:rsid w:val="003266AC"/>
    <w:rsid w:val="00326700"/>
    <w:rsid w:val="0032674C"/>
    <w:rsid w:val="00326758"/>
    <w:rsid w:val="0032676A"/>
    <w:rsid w:val="0032690E"/>
    <w:rsid w:val="00326932"/>
    <w:rsid w:val="003269AA"/>
    <w:rsid w:val="003269AB"/>
    <w:rsid w:val="00326B60"/>
    <w:rsid w:val="00326BEE"/>
    <w:rsid w:val="00326C0B"/>
    <w:rsid w:val="00326CBC"/>
    <w:rsid w:val="00326CFB"/>
    <w:rsid w:val="00326E32"/>
    <w:rsid w:val="0032712A"/>
    <w:rsid w:val="00327305"/>
    <w:rsid w:val="00327322"/>
    <w:rsid w:val="0032736D"/>
    <w:rsid w:val="003273F3"/>
    <w:rsid w:val="003273F6"/>
    <w:rsid w:val="0032748C"/>
    <w:rsid w:val="003274CB"/>
    <w:rsid w:val="003274CE"/>
    <w:rsid w:val="0032769E"/>
    <w:rsid w:val="00327759"/>
    <w:rsid w:val="003277A9"/>
    <w:rsid w:val="003277F4"/>
    <w:rsid w:val="0032790C"/>
    <w:rsid w:val="003279A5"/>
    <w:rsid w:val="00327A5D"/>
    <w:rsid w:val="00327B0A"/>
    <w:rsid w:val="00327C08"/>
    <w:rsid w:val="00327F42"/>
    <w:rsid w:val="00330081"/>
    <w:rsid w:val="003300AF"/>
    <w:rsid w:val="0033018B"/>
    <w:rsid w:val="003303C4"/>
    <w:rsid w:val="00330414"/>
    <w:rsid w:val="003304C9"/>
    <w:rsid w:val="003304DB"/>
    <w:rsid w:val="0033078E"/>
    <w:rsid w:val="00330B95"/>
    <w:rsid w:val="00330CD1"/>
    <w:rsid w:val="00330CEE"/>
    <w:rsid w:val="00330D0F"/>
    <w:rsid w:val="00330DD2"/>
    <w:rsid w:val="00330E2C"/>
    <w:rsid w:val="00330F15"/>
    <w:rsid w:val="00330F86"/>
    <w:rsid w:val="00330FD5"/>
    <w:rsid w:val="003311F5"/>
    <w:rsid w:val="003313B3"/>
    <w:rsid w:val="00331415"/>
    <w:rsid w:val="0033145D"/>
    <w:rsid w:val="0033159C"/>
    <w:rsid w:val="003316BA"/>
    <w:rsid w:val="00331747"/>
    <w:rsid w:val="0033191D"/>
    <w:rsid w:val="00331989"/>
    <w:rsid w:val="00331A51"/>
    <w:rsid w:val="00331AE0"/>
    <w:rsid w:val="0033202F"/>
    <w:rsid w:val="003320B8"/>
    <w:rsid w:val="003321C9"/>
    <w:rsid w:val="003322A9"/>
    <w:rsid w:val="003322FC"/>
    <w:rsid w:val="00332309"/>
    <w:rsid w:val="00332763"/>
    <w:rsid w:val="00332D55"/>
    <w:rsid w:val="00332FAB"/>
    <w:rsid w:val="003330EE"/>
    <w:rsid w:val="003330F1"/>
    <w:rsid w:val="00333135"/>
    <w:rsid w:val="00333290"/>
    <w:rsid w:val="00333311"/>
    <w:rsid w:val="00333365"/>
    <w:rsid w:val="0033341B"/>
    <w:rsid w:val="00333544"/>
    <w:rsid w:val="003336F6"/>
    <w:rsid w:val="00333748"/>
    <w:rsid w:val="003337E1"/>
    <w:rsid w:val="00333919"/>
    <w:rsid w:val="003339BE"/>
    <w:rsid w:val="00333A05"/>
    <w:rsid w:val="00333AD4"/>
    <w:rsid w:val="00333B58"/>
    <w:rsid w:val="00333DB1"/>
    <w:rsid w:val="00333E17"/>
    <w:rsid w:val="00333E93"/>
    <w:rsid w:val="00333F67"/>
    <w:rsid w:val="00333FE2"/>
    <w:rsid w:val="00333FF1"/>
    <w:rsid w:val="00334057"/>
    <w:rsid w:val="00334097"/>
    <w:rsid w:val="00334173"/>
    <w:rsid w:val="003341E0"/>
    <w:rsid w:val="00334209"/>
    <w:rsid w:val="003342AC"/>
    <w:rsid w:val="003342CF"/>
    <w:rsid w:val="00334369"/>
    <w:rsid w:val="003343C3"/>
    <w:rsid w:val="00334615"/>
    <w:rsid w:val="003346E2"/>
    <w:rsid w:val="003346F1"/>
    <w:rsid w:val="0033475A"/>
    <w:rsid w:val="003347FC"/>
    <w:rsid w:val="0033483E"/>
    <w:rsid w:val="003348D7"/>
    <w:rsid w:val="003348D8"/>
    <w:rsid w:val="00334A3F"/>
    <w:rsid w:val="00334AF6"/>
    <w:rsid w:val="00334CBC"/>
    <w:rsid w:val="00334D1A"/>
    <w:rsid w:val="00334EDB"/>
    <w:rsid w:val="00334F5D"/>
    <w:rsid w:val="00334F9B"/>
    <w:rsid w:val="00334FB9"/>
    <w:rsid w:val="003350BE"/>
    <w:rsid w:val="00335144"/>
    <w:rsid w:val="003352A8"/>
    <w:rsid w:val="003352FA"/>
    <w:rsid w:val="003353C5"/>
    <w:rsid w:val="00335496"/>
    <w:rsid w:val="00335531"/>
    <w:rsid w:val="00335792"/>
    <w:rsid w:val="00335836"/>
    <w:rsid w:val="0033587F"/>
    <w:rsid w:val="00335888"/>
    <w:rsid w:val="00335B5E"/>
    <w:rsid w:val="00335E13"/>
    <w:rsid w:val="00335FC1"/>
    <w:rsid w:val="00335FCE"/>
    <w:rsid w:val="00335FEF"/>
    <w:rsid w:val="00336226"/>
    <w:rsid w:val="00336309"/>
    <w:rsid w:val="0033630F"/>
    <w:rsid w:val="00336381"/>
    <w:rsid w:val="0033646A"/>
    <w:rsid w:val="00336643"/>
    <w:rsid w:val="0033675B"/>
    <w:rsid w:val="00336904"/>
    <w:rsid w:val="003369AD"/>
    <w:rsid w:val="003369B9"/>
    <w:rsid w:val="00336B9B"/>
    <w:rsid w:val="00336C16"/>
    <w:rsid w:val="00336C3E"/>
    <w:rsid w:val="00336C6E"/>
    <w:rsid w:val="00336DDB"/>
    <w:rsid w:val="00336E28"/>
    <w:rsid w:val="00336EA0"/>
    <w:rsid w:val="00336EF6"/>
    <w:rsid w:val="00336F78"/>
    <w:rsid w:val="00336FB8"/>
    <w:rsid w:val="00337204"/>
    <w:rsid w:val="00337226"/>
    <w:rsid w:val="00337269"/>
    <w:rsid w:val="0033727F"/>
    <w:rsid w:val="0033753E"/>
    <w:rsid w:val="003375C3"/>
    <w:rsid w:val="00337668"/>
    <w:rsid w:val="00337766"/>
    <w:rsid w:val="00337859"/>
    <w:rsid w:val="00337864"/>
    <w:rsid w:val="003378A0"/>
    <w:rsid w:val="003378DD"/>
    <w:rsid w:val="003378FA"/>
    <w:rsid w:val="00337AAD"/>
    <w:rsid w:val="00337BD0"/>
    <w:rsid w:val="00337C68"/>
    <w:rsid w:val="00337E5B"/>
    <w:rsid w:val="00337EAC"/>
    <w:rsid w:val="00337F95"/>
    <w:rsid w:val="003400EF"/>
    <w:rsid w:val="0034012D"/>
    <w:rsid w:val="00340199"/>
    <w:rsid w:val="0034026B"/>
    <w:rsid w:val="00340437"/>
    <w:rsid w:val="00340459"/>
    <w:rsid w:val="003404AA"/>
    <w:rsid w:val="003404BA"/>
    <w:rsid w:val="003404F9"/>
    <w:rsid w:val="00340589"/>
    <w:rsid w:val="003405A8"/>
    <w:rsid w:val="003405ED"/>
    <w:rsid w:val="0034064C"/>
    <w:rsid w:val="003407F6"/>
    <w:rsid w:val="003408D9"/>
    <w:rsid w:val="00340AC8"/>
    <w:rsid w:val="00340ACF"/>
    <w:rsid w:val="00340B0C"/>
    <w:rsid w:val="00340B19"/>
    <w:rsid w:val="00340D2E"/>
    <w:rsid w:val="00340DBC"/>
    <w:rsid w:val="00340DBF"/>
    <w:rsid w:val="00340DF0"/>
    <w:rsid w:val="00340E7E"/>
    <w:rsid w:val="00340E92"/>
    <w:rsid w:val="00341253"/>
    <w:rsid w:val="003416E7"/>
    <w:rsid w:val="00341919"/>
    <w:rsid w:val="00341A50"/>
    <w:rsid w:val="00341C38"/>
    <w:rsid w:val="00341D63"/>
    <w:rsid w:val="00341E7C"/>
    <w:rsid w:val="00342035"/>
    <w:rsid w:val="00342128"/>
    <w:rsid w:val="0034222C"/>
    <w:rsid w:val="0034236B"/>
    <w:rsid w:val="003423A8"/>
    <w:rsid w:val="003423E9"/>
    <w:rsid w:val="003424C0"/>
    <w:rsid w:val="00342767"/>
    <w:rsid w:val="00342848"/>
    <w:rsid w:val="00342988"/>
    <w:rsid w:val="003429E0"/>
    <w:rsid w:val="00342BEC"/>
    <w:rsid w:val="00342C72"/>
    <w:rsid w:val="00342CC7"/>
    <w:rsid w:val="00342D31"/>
    <w:rsid w:val="00342DC3"/>
    <w:rsid w:val="00343045"/>
    <w:rsid w:val="00343343"/>
    <w:rsid w:val="00343354"/>
    <w:rsid w:val="00343533"/>
    <w:rsid w:val="0034362A"/>
    <w:rsid w:val="00343813"/>
    <w:rsid w:val="0034387C"/>
    <w:rsid w:val="003438AC"/>
    <w:rsid w:val="00343974"/>
    <w:rsid w:val="003439A2"/>
    <w:rsid w:val="00343A10"/>
    <w:rsid w:val="00343AB1"/>
    <w:rsid w:val="00343B36"/>
    <w:rsid w:val="00343B67"/>
    <w:rsid w:val="00343C35"/>
    <w:rsid w:val="00343ED6"/>
    <w:rsid w:val="00343FB7"/>
    <w:rsid w:val="00344141"/>
    <w:rsid w:val="00344284"/>
    <w:rsid w:val="00344297"/>
    <w:rsid w:val="003443B6"/>
    <w:rsid w:val="003443CD"/>
    <w:rsid w:val="003444CB"/>
    <w:rsid w:val="003444F6"/>
    <w:rsid w:val="00344832"/>
    <w:rsid w:val="00344856"/>
    <w:rsid w:val="003449D4"/>
    <w:rsid w:val="00344A03"/>
    <w:rsid w:val="00344AFE"/>
    <w:rsid w:val="00344DD3"/>
    <w:rsid w:val="00344E34"/>
    <w:rsid w:val="00344EBE"/>
    <w:rsid w:val="00344F3B"/>
    <w:rsid w:val="00345035"/>
    <w:rsid w:val="00345061"/>
    <w:rsid w:val="003450CF"/>
    <w:rsid w:val="003451D0"/>
    <w:rsid w:val="00345241"/>
    <w:rsid w:val="0034538B"/>
    <w:rsid w:val="003453B5"/>
    <w:rsid w:val="00345453"/>
    <w:rsid w:val="003454AF"/>
    <w:rsid w:val="003454BA"/>
    <w:rsid w:val="00345580"/>
    <w:rsid w:val="00345612"/>
    <w:rsid w:val="00345630"/>
    <w:rsid w:val="00345645"/>
    <w:rsid w:val="00345812"/>
    <w:rsid w:val="003458E6"/>
    <w:rsid w:val="00345941"/>
    <w:rsid w:val="00345989"/>
    <w:rsid w:val="00345A28"/>
    <w:rsid w:val="00345A80"/>
    <w:rsid w:val="00345BA9"/>
    <w:rsid w:val="00345C2D"/>
    <w:rsid w:val="00345CA8"/>
    <w:rsid w:val="00345CD0"/>
    <w:rsid w:val="00345FD1"/>
    <w:rsid w:val="00346033"/>
    <w:rsid w:val="0034603D"/>
    <w:rsid w:val="00346286"/>
    <w:rsid w:val="00346298"/>
    <w:rsid w:val="003464D9"/>
    <w:rsid w:val="00346504"/>
    <w:rsid w:val="00346522"/>
    <w:rsid w:val="00346524"/>
    <w:rsid w:val="00346684"/>
    <w:rsid w:val="003466FC"/>
    <w:rsid w:val="003467AF"/>
    <w:rsid w:val="003467FF"/>
    <w:rsid w:val="0034680A"/>
    <w:rsid w:val="003468A4"/>
    <w:rsid w:val="00346931"/>
    <w:rsid w:val="00346BC2"/>
    <w:rsid w:val="00346C40"/>
    <w:rsid w:val="00346C4E"/>
    <w:rsid w:val="00346C8F"/>
    <w:rsid w:val="00346D08"/>
    <w:rsid w:val="00346D0F"/>
    <w:rsid w:val="00346D44"/>
    <w:rsid w:val="00346DD3"/>
    <w:rsid w:val="00346DEF"/>
    <w:rsid w:val="00346EA4"/>
    <w:rsid w:val="003470B4"/>
    <w:rsid w:val="00347129"/>
    <w:rsid w:val="003471D3"/>
    <w:rsid w:val="0034728C"/>
    <w:rsid w:val="00347441"/>
    <w:rsid w:val="0034758C"/>
    <w:rsid w:val="003477D8"/>
    <w:rsid w:val="00347A8F"/>
    <w:rsid w:val="00347A94"/>
    <w:rsid w:val="00347AD9"/>
    <w:rsid w:val="00347B20"/>
    <w:rsid w:val="00347C0B"/>
    <w:rsid w:val="00347C32"/>
    <w:rsid w:val="00347C6D"/>
    <w:rsid w:val="00347D52"/>
    <w:rsid w:val="00347D68"/>
    <w:rsid w:val="00347DA2"/>
    <w:rsid w:val="00347E39"/>
    <w:rsid w:val="00347EB9"/>
    <w:rsid w:val="00347F79"/>
    <w:rsid w:val="00347FD3"/>
    <w:rsid w:val="0035012E"/>
    <w:rsid w:val="00350159"/>
    <w:rsid w:val="003501AF"/>
    <w:rsid w:val="0035023F"/>
    <w:rsid w:val="003504AD"/>
    <w:rsid w:val="00350690"/>
    <w:rsid w:val="003506E3"/>
    <w:rsid w:val="00350749"/>
    <w:rsid w:val="003507B3"/>
    <w:rsid w:val="003507E2"/>
    <w:rsid w:val="00350A9E"/>
    <w:rsid w:val="00350B41"/>
    <w:rsid w:val="00350B88"/>
    <w:rsid w:val="00350BF0"/>
    <w:rsid w:val="00350C6D"/>
    <w:rsid w:val="00350CF6"/>
    <w:rsid w:val="00350DE9"/>
    <w:rsid w:val="00350ED3"/>
    <w:rsid w:val="0035102C"/>
    <w:rsid w:val="003510A4"/>
    <w:rsid w:val="003511A5"/>
    <w:rsid w:val="003511B6"/>
    <w:rsid w:val="003511D3"/>
    <w:rsid w:val="003511FA"/>
    <w:rsid w:val="00351286"/>
    <w:rsid w:val="003512A0"/>
    <w:rsid w:val="003513B0"/>
    <w:rsid w:val="003513D9"/>
    <w:rsid w:val="003513E1"/>
    <w:rsid w:val="003515D8"/>
    <w:rsid w:val="003515DB"/>
    <w:rsid w:val="003515FE"/>
    <w:rsid w:val="003518EA"/>
    <w:rsid w:val="00351987"/>
    <w:rsid w:val="0035198A"/>
    <w:rsid w:val="003519AD"/>
    <w:rsid w:val="00351C1A"/>
    <w:rsid w:val="00351C93"/>
    <w:rsid w:val="00351CC8"/>
    <w:rsid w:val="00351D47"/>
    <w:rsid w:val="00351DB6"/>
    <w:rsid w:val="003521A9"/>
    <w:rsid w:val="00352269"/>
    <w:rsid w:val="00352284"/>
    <w:rsid w:val="003522A1"/>
    <w:rsid w:val="003522C2"/>
    <w:rsid w:val="003522DA"/>
    <w:rsid w:val="00352343"/>
    <w:rsid w:val="00352379"/>
    <w:rsid w:val="00352591"/>
    <w:rsid w:val="00352785"/>
    <w:rsid w:val="003528E9"/>
    <w:rsid w:val="003528EA"/>
    <w:rsid w:val="00352997"/>
    <w:rsid w:val="00352AC6"/>
    <w:rsid w:val="00352AE0"/>
    <w:rsid w:val="00352B10"/>
    <w:rsid w:val="00352B85"/>
    <w:rsid w:val="00352DB4"/>
    <w:rsid w:val="00352DDA"/>
    <w:rsid w:val="00352E57"/>
    <w:rsid w:val="00352E77"/>
    <w:rsid w:val="00353233"/>
    <w:rsid w:val="003532DD"/>
    <w:rsid w:val="00353340"/>
    <w:rsid w:val="00353550"/>
    <w:rsid w:val="00353555"/>
    <w:rsid w:val="003535CA"/>
    <w:rsid w:val="0035361D"/>
    <w:rsid w:val="00353654"/>
    <w:rsid w:val="0035373C"/>
    <w:rsid w:val="003539D7"/>
    <w:rsid w:val="00353A2C"/>
    <w:rsid w:val="00353A9D"/>
    <w:rsid w:val="00353AA5"/>
    <w:rsid w:val="00353B22"/>
    <w:rsid w:val="00353B93"/>
    <w:rsid w:val="00353C4C"/>
    <w:rsid w:val="00353C86"/>
    <w:rsid w:val="00353E63"/>
    <w:rsid w:val="00353EB7"/>
    <w:rsid w:val="00353F1C"/>
    <w:rsid w:val="00354054"/>
    <w:rsid w:val="0035405D"/>
    <w:rsid w:val="0035416C"/>
    <w:rsid w:val="00354186"/>
    <w:rsid w:val="003541D2"/>
    <w:rsid w:val="003541D7"/>
    <w:rsid w:val="00354219"/>
    <w:rsid w:val="00354333"/>
    <w:rsid w:val="00354531"/>
    <w:rsid w:val="00354557"/>
    <w:rsid w:val="0035456B"/>
    <w:rsid w:val="0035458F"/>
    <w:rsid w:val="0035460B"/>
    <w:rsid w:val="00354779"/>
    <w:rsid w:val="003547B8"/>
    <w:rsid w:val="003547CF"/>
    <w:rsid w:val="00354AA0"/>
    <w:rsid w:val="00354AA8"/>
    <w:rsid w:val="00354C09"/>
    <w:rsid w:val="00354C8B"/>
    <w:rsid w:val="00354EDA"/>
    <w:rsid w:val="00354F45"/>
    <w:rsid w:val="0035501E"/>
    <w:rsid w:val="003551CC"/>
    <w:rsid w:val="003554C7"/>
    <w:rsid w:val="003555D0"/>
    <w:rsid w:val="003555D5"/>
    <w:rsid w:val="003557E2"/>
    <w:rsid w:val="0035591D"/>
    <w:rsid w:val="00355C24"/>
    <w:rsid w:val="00355C37"/>
    <w:rsid w:val="00355DC3"/>
    <w:rsid w:val="00355E62"/>
    <w:rsid w:val="00355E91"/>
    <w:rsid w:val="00355FE4"/>
    <w:rsid w:val="0035608B"/>
    <w:rsid w:val="0035616D"/>
    <w:rsid w:val="0035633E"/>
    <w:rsid w:val="00356AC6"/>
    <w:rsid w:val="00356B75"/>
    <w:rsid w:val="00356DE9"/>
    <w:rsid w:val="00356E97"/>
    <w:rsid w:val="00356EFE"/>
    <w:rsid w:val="00357070"/>
    <w:rsid w:val="003571CD"/>
    <w:rsid w:val="003572D0"/>
    <w:rsid w:val="00357328"/>
    <w:rsid w:val="0035738B"/>
    <w:rsid w:val="003575FB"/>
    <w:rsid w:val="0035771D"/>
    <w:rsid w:val="003577B1"/>
    <w:rsid w:val="0035786A"/>
    <w:rsid w:val="00357971"/>
    <w:rsid w:val="00357D12"/>
    <w:rsid w:val="00357EFF"/>
    <w:rsid w:val="00360073"/>
    <w:rsid w:val="00360097"/>
    <w:rsid w:val="003600B6"/>
    <w:rsid w:val="003600C1"/>
    <w:rsid w:val="003600C2"/>
    <w:rsid w:val="003600DE"/>
    <w:rsid w:val="003601CD"/>
    <w:rsid w:val="003601E0"/>
    <w:rsid w:val="0036022D"/>
    <w:rsid w:val="003602F4"/>
    <w:rsid w:val="00360345"/>
    <w:rsid w:val="0036053E"/>
    <w:rsid w:val="003605FF"/>
    <w:rsid w:val="0036060E"/>
    <w:rsid w:val="003606E7"/>
    <w:rsid w:val="0036070F"/>
    <w:rsid w:val="003608B8"/>
    <w:rsid w:val="0036092B"/>
    <w:rsid w:val="00360966"/>
    <w:rsid w:val="003609A2"/>
    <w:rsid w:val="003609F6"/>
    <w:rsid w:val="00360A8B"/>
    <w:rsid w:val="00360B19"/>
    <w:rsid w:val="00360B4E"/>
    <w:rsid w:val="00360C65"/>
    <w:rsid w:val="00360CAD"/>
    <w:rsid w:val="00360ED2"/>
    <w:rsid w:val="00360F1F"/>
    <w:rsid w:val="00360F63"/>
    <w:rsid w:val="00360FB3"/>
    <w:rsid w:val="00361120"/>
    <w:rsid w:val="00361121"/>
    <w:rsid w:val="00361181"/>
    <w:rsid w:val="00361296"/>
    <w:rsid w:val="003612AB"/>
    <w:rsid w:val="00361305"/>
    <w:rsid w:val="00361357"/>
    <w:rsid w:val="00361359"/>
    <w:rsid w:val="0036138B"/>
    <w:rsid w:val="00361531"/>
    <w:rsid w:val="00361667"/>
    <w:rsid w:val="003618C3"/>
    <w:rsid w:val="003619A1"/>
    <w:rsid w:val="00361A23"/>
    <w:rsid w:val="00361A70"/>
    <w:rsid w:val="00361E02"/>
    <w:rsid w:val="0036201F"/>
    <w:rsid w:val="0036206D"/>
    <w:rsid w:val="0036213C"/>
    <w:rsid w:val="00362238"/>
    <w:rsid w:val="003623BB"/>
    <w:rsid w:val="003626CB"/>
    <w:rsid w:val="0036277A"/>
    <w:rsid w:val="003629D6"/>
    <w:rsid w:val="00362BA8"/>
    <w:rsid w:val="00362D07"/>
    <w:rsid w:val="00362DE1"/>
    <w:rsid w:val="00362E18"/>
    <w:rsid w:val="00362F40"/>
    <w:rsid w:val="00362F87"/>
    <w:rsid w:val="00362FEC"/>
    <w:rsid w:val="003630E4"/>
    <w:rsid w:val="003630F6"/>
    <w:rsid w:val="00363126"/>
    <w:rsid w:val="00363233"/>
    <w:rsid w:val="003633B9"/>
    <w:rsid w:val="003633BA"/>
    <w:rsid w:val="00363480"/>
    <w:rsid w:val="0036350D"/>
    <w:rsid w:val="0036362E"/>
    <w:rsid w:val="003636E6"/>
    <w:rsid w:val="0036375C"/>
    <w:rsid w:val="00363918"/>
    <w:rsid w:val="0036391E"/>
    <w:rsid w:val="00363A89"/>
    <w:rsid w:val="00363ABA"/>
    <w:rsid w:val="00363B59"/>
    <w:rsid w:val="00363B7C"/>
    <w:rsid w:val="00363B9C"/>
    <w:rsid w:val="00363BCA"/>
    <w:rsid w:val="00363C39"/>
    <w:rsid w:val="00363D83"/>
    <w:rsid w:val="003640A9"/>
    <w:rsid w:val="00364215"/>
    <w:rsid w:val="003643D8"/>
    <w:rsid w:val="00364413"/>
    <w:rsid w:val="0036444F"/>
    <w:rsid w:val="0036454B"/>
    <w:rsid w:val="0036463F"/>
    <w:rsid w:val="00364731"/>
    <w:rsid w:val="00364A74"/>
    <w:rsid w:val="00364B98"/>
    <w:rsid w:val="00364BA6"/>
    <w:rsid w:val="00364D98"/>
    <w:rsid w:val="00364DBE"/>
    <w:rsid w:val="003651C5"/>
    <w:rsid w:val="003652B2"/>
    <w:rsid w:val="003652CE"/>
    <w:rsid w:val="00365339"/>
    <w:rsid w:val="003653AF"/>
    <w:rsid w:val="003653CF"/>
    <w:rsid w:val="003654E0"/>
    <w:rsid w:val="0036565E"/>
    <w:rsid w:val="0036597C"/>
    <w:rsid w:val="00365A8D"/>
    <w:rsid w:val="00365C83"/>
    <w:rsid w:val="00365CBB"/>
    <w:rsid w:val="00365CCD"/>
    <w:rsid w:val="00365F88"/>
    <w:rsid w:val="00365FDF"/>
    <w:rsid w:val="0036603D"/>
    <w:rsid w:val="003660CC"/>
    <w:rsid w:val="00366302"/>
    <w:rsid w:val="0036646B"/>
    <w:rsid w:val="0036661A"/>
    <w:rsid w:val="0036662A"/>
    <w:rsid w:val="0036679D"/>
    <w:rsid w:val="0036690B"/>
    <w:rsid w:val="0036695E"/>
    <w:rsid w:val="003669BC"/>
    <w:rsid w:val="003669EA"/>
    <w:rsid w:val="003669F8"/>
    <w:rsid w:val="00366A33"/>
    <w:rsid w:val="00366A7D"/>
    <w:rsid w:val="00366C05"/>
    <w:rsid w:val="00366CE0"/>
    <w:rsid w:val="00366D55"/>
    <w:rsid w:val="00366E07"/>
    <w:rsid w:val="00366E9E"/>
    <w:rsid w:val="00366F16"/>
    <w:rsid w:val="00367050"/>
    <w:rsid w:val="003670C1"/>
    <w:rsid w:val="003671E6"/>
    <w:rsid w:val="00367300"/>
    <w:rsid w:val="0036741B"/>
    <w:rsid w:val="003674B6"/>
    <w:rsid w:val="003674C2"/>
    <w:rsid w:val="003676B3"/>
    <w:rsid w:val="0036778F"/>
    <w:rsid w:val="0036788B"/>
    <w:rsid w:val="00367BAE"/>
    <w:rsid w:val="00367BF7"/>
    <w:rsid w:val="00367C17"/>
    <w:rsid w:val="00367C88"/>
    <w:rsid w:val="00367D16"/>
    <w:rsid w:val="00367F56"/>
    <w:rsid w:val="00370032"/>
    <w:rsid w:val="003700A8"/>
    <w:rsid w:val="003700C2"/>
    <w:rsid w:val="003700C3"/>
    <w:rsid w:val="003701CB"/>
    <w:rsid w:val="0037022D"/>
    <w:rsid w:val="003702D5"/>
    <w:rsid w:val="003703BD"/>
    <w:rsid w:val="0037047C"/>
    <w:rsid w:val="00370495"/>
    <w:rsid w:val="00370574"/>
    <w:rsid w:val="003705E8"/>
    <w:rsid w:val="003707A1"/>
    <w:rsid w:val="00370880"/>
    <w:rsid w:val="00370A32"/>
    <w:rsid w:val="00370A40"/>
    <w:rsid w:val="00370BEE"/>
    <w:rsid w:val="00370CA3"/>
    <w:rsid w:val="00370CB1"/>
    <w:rsid w:val="00370CBF"/>
    <w:rsid w:val="00370E63"/>
    <w:rsid w:val="00370F06"/>
    <w:rsid w:val="00370F5C"/>
    <w:rsid w:val="00370FDE"/>
    <w:rsid w:val="00370FE6"/>
    <w:rsid w:val="00371135"/>
    <w:rsid w:val="00371153"/>
    <w:rsid w:val="00371166"/>
    <w:rsid w:val="0037118C"/>
    <w:rsid w:val="003711B9"/>
    <w:rsid w:val="0037122F"/>
    <w:rsid w:val="003712FE"/>
    <w:rsid w:val="00371369"/>
    <w:rsid w:val="003714E2"/>
    <w:rsid w:val="003715DC"/>
    <w:rsid w:val="00371708"/>
    <w:rsid w:val="003717DE"/>
    <w:rsid w:val="00371850"/>
    <w:rsid w:val="00371911"/>
    <w:rsid w:val="0037192A"/>
    <w:rsid w:val="00371A9C"/>
    <w:rsid w:val="00371A9D"/>
    <w:rsid w:val="00371AAF"/>
    <w:rsid w:val="00371ADD"/>
    <w:rsid w:val="00371B34"/>
    <w:rsid w:val="00371B62"/>
    <w:rsid w:val="00371D54"/>
    <w:rsid w:val="00371E37"/>
    <w:rsid w:val="00371E3F"/>
    <w:rsid w:val="00371EEF"/>
    <w:rsid w:val="00371F80"/>
    <w:rsid w:val="00371FB0"/>
    <w:rsid w:val="00371FBC"/>
    <w:rsid w:val="0037226F"/>
    <w:rsid w:val="003727BB"/>
    <w:rsid w:val="00372E00"/>
    <w:rsid w:val="00373180"/>
    <w:rsid w:val="00373353"/>
    <w:rsid w:val="003733F7"/>
    <w:rsid w:val="0037344A"/>
    <w:rsid w:val="00373549"/>
    <w:rsid w:val="00373570"/>
    <w:rsid w:val="00373580"/>
    <w:rsid w:val="003736EC"/>
    <w:rsid w:val="003737D4"/>
    <w:rsid w:val="003738ED"/>
    <w:rsid w:val="00373983"/>
    <w:rsid w:val="00373A27"/>
    <w:rsid w:val="00373A8D"/>
    <w:rsid w:val="00373BE8"/>
    <w:rsid w:val="00373D02"/>
    <w:rsid w:val="00373F50"/>
    <w:rsid w:val="00373FC1"/>
    <w:rsid w:val="00374013"/>
    <w:rsid w:val="0037406F"/>
    <w:rsid w:val="00374242"/>
    <w:rsid w:val="00374468"/>
    <w:rsid w:val="003744E0"/>
    <w:rsid w:val="003744FE"/>
    <w:rsid w:val="00374573"/>
    <w:rsid w:val="003745C6"/>
    <w:rsid w:val="00374760"/>
    <w:rsid w:val="00374837"/>
    <w:rsid w:val="0037499F"/>
    <w:rsid w:val="00374BEB"/>
    <w:rsid w:val="0037500C"/>
    <w:rsid w:val="003752B3"/>
    <w:rsid w:val="00375407"/>
    <w:rsid w:val="00375411"/>
    <w:rsid w:val="00375512"/>
    <w:rsid w:val="003755AB"/>
    <w:rsid w:val="00375739"/>
    <w:rsid w:val="0037580C"/>
    <w:rsid w:val="00375816"/>
    <w:rsid w:val="00375887"/>
    <w:rsid w:val="003758BE"/>
    <w:rsid w:val="003759BF"/>
    <w:rsid w:val="003759E0"/>
    <w:rsid w:val="00375AA9"/>
    <w:rsid w:val="00375B20"/>
    <w:rsid w:val="00375B2B"/>
    <w:rsid w:val="00375C01"/>
    <w:rsid w:val="00375C96"/>
    <w:rsid w:val="00375F0B"/>
    <w:rsid w:val="00376017"/>
    <w:rsid w:val="0037613F"/>
    <w:rsid w:val="00376337"/>
    <w:rsid w:val="00376375"/>
    <w:rsid w:val="00376422"/>
    <w:rsid w:val="00376442"/>
    <w:rsid w:val="003764E3"/>
    <w:rsid w:val="00376535"/>
    <w:rsid w:val="00376555"/>
    <w:rsid w:val="003765A0"/>
    <w:rsid w:val="003765D2"/>
    <w:rsid w:val="003765E6"/>
    <w:rsid w:val="0037664B"/>
    <w:rsid w:val="0037671C"/>
    <w:rsid w:val="0037696B"/>
    <w:rsid w:val="00376AFE"/>
    <w:rsid w:val="00376BA8"/>
    <w:rsid w:val="00376C97"/>
    <w:rsid w:val="00376CAF"/>
    <w:rsid w:val="00376EEA"/>
    <w:rsid w:val="00376F43"/>
    <w:rsid w:val="00377224"/>
    <w:rsid w:val="00377267"/>
    <w:rsid w:val="0037741C"/>
    <w:rsid w:val="00377582"/>
    <w:rsid w:val="003776F1"/>
    <w:rsid w:val="003778D1"/>
    <w:rsid w:val="00377979"/>
    <w:rsid w:val="00377BDA"/>
    <w:rsid w:val="00377C08"/>
    <w:rsid w:val="00377D8E"/>
    <w:rsid w:val="00377FB4"/>
    <w:rsid w:val="0038013C"/>
    <w:rsid w:val="00380402"/>
    <w:rsid w:val="00380529"/>
    <w:rsid w:val="00380646"/>
    <w:rsid w:val="003806B2"/>
    <w:rsid w:val="003806C2"/>
    <w:rsid w:val="00380730"/>
    <w:rsid w:val="003807CB"/>
    <w:rsid w:val="00380842"/>
    <w:rsid w:val="00380853"/>
    <w:rsid w:val="003809B1"/>
    <w:rsid w:val="00380B4A"/>
    <w:rsid w:val="00380C85"/>
    <w:rsid w:val="00380D7A"/>
    <w:rsid w:val="00380D91"/>
    <w:rsid w:val="00380DE8"/>
    <w:rsid w:val="00380F4D"/>
    <w:rsid w:val="00380F80"/>
    <w:rsid w:val="00380FA0"/>
    <w:rsid w:val="00381001"/>
    <w:rsid w:val="003811DC"/>
    <w:rsid w:val="00381245"/>
    <w:rsid w:val="00381354"/>
    <w:rsid w:val="003813B6"/>
    <w:rsid w:val="0038149A"/>
    <w:rsid w:val="00381518"/>
    <w:rsid w:val="00381582"/>
    <w:rsid w:val="003816B7"/>
    <w:rsid w:val="003817FC"/>
    <w:rsid w:val="0038187E"/>
    <w:rsid w:val="00381949"/>
    <w:rsid w:val="00381980"/>
    <w:rsid w:val="003819B6"/>
    <w:rsid w:val="00381A36"/>
    <w:rsid w:val="00381A3D"/>
    <w:rsid w:val="00381A7C"/>
    <w:rsid w:val="00381AE0"/>
    <w:rsid w:val="00381AFB"/>
    <w:rsid w:val="00381BF1"/>
    <w:rsid w:val="00381C87"/>
    <w:rsid w:val="00381C9A"/>
    <w:rsid w:val="00381D98"/>
    <w:rsid w:val="00381EA6"/>
    <w:rsid w:val="00381F6B"/>
    <w:rsid w:val="00381F85"/>
    <w:rsid w:val="00382093"/>
    <w:rsid w:val="003820D0"/>
    <w:rsid w:val="0038220B"/>
    <w:rsid w:val="00382291"/>
    <w:rsid w:val="003822EC"/>
    <w:rsid w:val="00382578"/>
    <w:rsid w:val="00382624"/>
    <w:rsid w:val="0038263A"/>
    <w:rsid w:val="00382660"/>
    <w:rsid w:val="00382663"/>
    <w:rsid w:val="00382811"/>
    <w:rsid w:val="00382930"/>
    <w:rsid w:val="0038298A"/>
    <w:rsid w:val="00382A64"/>
    <w:rsid w:val="00382A69"/>
    <w:rsid w:val="00382A79"/>
    <w:rsid w:val="00382D74"/>
    <w:rsid w:val="00382F67"/>
    <w:rsid w:val="00382FBB"/>
    <w:rsid w:val="00383142"/>
    <w:rsid w:val="0038318A"/>
    <w:rsid w:val="00383389"/>
    <w:rsid w:val="003833E4"/>
    <w:rsid w:val="003833F1"/>
    <w:rsid w:val="00383583"/>
    <w:rsid w:val="00383594"/>
    <w:rsid w:val="0038359B"/>
    <w:rsid w:val="00383AD4"/>
    <w:rsid w:val="00383BBE"/>
    <w:rsid w:val="00383F37"/>
    <w:rsid w:val="00383F60"/>
    <w:rsid w:val="003840E6"/>
    <w:rsid w:val="00384316"/>
    <w:rsid w:val="00384361"/>
    <w:rsid w:val="00384565"/>
    <w:rsid w:val="0038460A"/>
    <w:rsid w:val="003846A8"/>
    <w:rsid w:val="003846CD"/>
    <w:rsid w:val="003846EB"/>
    <w:rsid w:val="00384786"/>
    <w:rsid w:val="0038484C"/>
    <w:rsid w:val="003848F3"/>
    <w:rsid w:val="00384A1C"/>
    <w:rsid w:val="00384B1F"/>
    <w:rsid w:val="00384BBF"/>
    <w:rsid w:val="00384BF9"/>
    <w:rsid w:val="00384C2F"/>
    <w:rsid w:val="00384CC2"/>
    <w:rsid w:val="00384DA6"/>
    <w:rsid w:val="00384EDA"/>
    <w:rsid w:val="0038504B"/>
    <w:rsid w:val="003850BD"/>
    <w:rsid w:val="00385247"/>
    <w:rsid w:val="0038536E"/>
    <w:rsid w:val="003853A3"/>
    <w:rsid w:val="0038552B"/>
    <w:rsid w:val="00385602"/>
    <w:rsid w:val="003856A5"/>
    <w:rsid w:val="00385930"/>
    <w:rsid w:val="00385A80"/>
    <w:rsid w:val="00385C7E"/>
    <w:rsid w:val="00385D87"/>
    <w:rsid w:val="00385EC8"/>
    <w:rsid w:val="00385F12"/>
    <w:rsid w:val="00385F14"/>
    <w:rsid w:val="00385F38"/>
    <w:rsid w:val="00385F76"/>
    <w:rsid w:val="00385F8C"/>
    <w:rsid w:val="00386051"/>
    <w:rsid w:val="00386155"/>
    <w:rsid w:val="00386192"/>
    <w:rsid w:val="00386226"/>
    <w:rsid w:val="00386243"/>
    <w:rsid w:val="00386498"/>
    <w:rsid w:val="003864F5"/>
    <w:rsid w:val="00386577"/>
    <w:rsid w:val="003865D2"/>
    <w:rsid w:val="00386859"/>
    <w:rsid w:val="00386AB1"/>
    <w:rsid w:val="00386B41"/>
    <w:rsid w:val="00386E7F"/>
    <w:rsid w:val="0038738C"/>
    <w:rsid w:val="00387497"/>
    <w:rsid w:val="003874B6"/>
    <w:rsid w:val="003875C0"/>
    <w:rsid w:val="003876AC"/>
    <w:rsid w:val="00387767"/>
    <w:rsid w:val="003877E4"/>
    <w:rsid w:val="00387952"/>
    <w:rsid w:val="00387993"/>
    <w:rsid w:val="00387AD7"/>
    <w:rsid w:val="00387AD8"/>
    <w:rsid w:val="00387CB7"/>
    <w:rsid w:val="00387E10"/>
    <w:rsid w:val="00390117"/>
    <w:rsid w:val="003903B8"/>
    <w:rsid w:val="00390465"/>
    <w:rsid w:val="003905E0"/>
    <w:rsid w:val="0039071D"/>
    <w:rsid w:val="00390791"/>
    <w:rsid w:val="003907CD"/>
    <w:rsid w:val="003908CB"/>
    <w:rsid w:val="00390A74"/>
    <w:rsid w:val="00390AA0"/>
    <w:rsid w:val="00390B47"/>
    <w:rsid w:val="00390DE4"/>
    <w:rsid w:val="003910B5"/>
    <w:rsid w:val="003910DC"/>
    <w:rsid w:val="003913D2"/>
    <w:rsid w:val="00391434"/>
    <w:rsid w:val="003914FE"/>
    <w:rsid w:val="00391936"/>
    <w:rsid w:val="00391946"/>
    <w:rsid w:val="00391A92"/>
    <w:rsid w:val="00391B80"/>
    <w:rsid w:val="00391C55"/>
    <w:rsid w:val="00391CB1"/>
    <w:rsid w:val="00391CC0"/>
    <w:rsid w:val="00391D0B"/>
    <w:rsid w:val="00391F9B"/>
    <w:rsid w:val="00391FA1"/>
    <w:rsid w:val="00391FF3"/>
    <w:rsid w:val="0039206F"/>
    <w:rsid w:val="00392081"/>
    <w:rsid w:val="003921D0"/>
    <w:rsid w:val="003921FD"/>
    <w:rsid w:val="00392347"/>
    <w:rsid w:val="0039244E"/>
    <w:rsid w:val="00392525"/>
    <w:rsid w:val="003925FB"/>
    <w:rsid w:val="00392684"/>
    <w:rsid w:val="003928CE"/>
    <w:rsid w:val="0039290F"/>
    <w:rsid w:val="00392B56"/>
    <w:rsid w:val="00392E0C"/>
    <w:rsid w:val="003932E2"/>
    <w:rsid w:val="00393355"/>
    <w:rsid w:val="003935D3"/>
    <w:rsid w:val="00393893"/>
    <w:rsid w:val="0039391E"/>
    <w:rsid w:val="003939B6"/>
    <w:rsid w:val="00393ACB"/>
    <w:rsid w:val="00393BB2"/>
    <w:rsid w:val="00393C84"/>
    <w:rsid w:val="00393DAC"/>
    <w:rsid w:val="00393E06"/>
    <w:rsid w:val="00393EF6"/>
    <w:rsid w:val="00393F26"/>
    <w:rsid w:val="00393FB3"/>
    <w:rsid w:val="003940A4"/>
    <w:rsid w:val="003940A8"/>
    <w:rsid w:val="003940C0"/>
    <w:rsid w:val="0039416D"/>
    <w:rsid w:val="003941A7"/>
    <w:rsid w:val="003941EE"/>
    <w:rsid w:val="00394235"/>
    <w:rsid w:val="003942FA"/>
    <w:rsid w:val="00394338"/>
    <w:rsid w:val="00394798"/>
    <w:rsid w:val="003947AB"/>
    <w:rsid w:val="003947EB"/>
    <w:rsid w:val="0039487C"/>
    <w:rsid w:val="00394893"/>
    <w:rsid w:val="00394A06"/>
    <w:rsid w:val="00394A0E"/>
    <w:rsid w:val="00394A6F"/>
    <w:rsid w:val="00394AB2"/>
    <w:rsid w:val="00394B92"/>
    <w:rsid w:val="00394C2E"/>
    <w:rsid w:val="00394CFF"/>
    <w:rsid w:val="00394D02"/>
    <w:rsid w:val="00394D40"/>
    <w:rsid w:val="00394D74"/>
    <w:rsid w:val="00394D9B"/>
    <w:rsid w:val="00395011"/>
    <w:rsid w:val="00395014"/>
    <w:rsid w:val="003950A4"/>
    <w:rsid w:val="0039516E"/>
    <w:rsid w:val="0039517B"/>
    <w:rsid w:val="00395218"/>
    <w:rsid w:val="00395256"/>
    <w:rsid w:val="003952CC"/>
    <w:rsid w:val="003952EB"/>
    <w:rsid w:val="00395308"/>
    <w:rsid w:val="003953A2"/>
    <w:rsid w:val="00395514"/>
    <w:rsid w:val="00395600"/>
    <w:rsid w:val="003956B3"/>
    <w:rsid w:val="00395794"/>
    <w:rsid w:val="003957A3"/>
    <w:rsid w:val="00395804"/>
    <w:rsid w:val="0039587E"/>
    <w:rsid w:val="003959FD"/>
    <w:rsid w:val="00395A3E"/>
    <w:rsid w:val="00395A9F"/>
    <w:rsid w:val="00395B08"/>
    <w:rsid w:val="00395B59"/>
    <w:rsid w:val="00395D40"/>
    <w:rsid w:val="00395DD7"/>
    <w:rsid w:val="00395E9E"/>
    <w:rsid w:val="00395FC8"/>
    <w:rsid w:val="00395FFC"/>
    <w:rsid w:val="003960D4"/>
    <w:rsid w:val="003960F7"/>
    <w:rsid w:val="003961C7"/>
    <w:rsid w:val="003962A4"/>
    <w:rsid w:val="00396434"/>
    <w:rsid w:val="0039645D"/>
    <w:rsid w:val="0039656A"/>
    <w:rsid w:val="0039661B"/>
    <w:rsid w:val="003966B4"/>
    <w:rsid w:val="003966B8"/>
    <w:rsid w:val="0039679B"/>
    <w:rsid w:val="00396843"/>
    <w:rsid w:val="00396A0A"/>
    <w:rsid w:val="00396AA0"/>
    <w:rsid w:val="00396B25"/>
    <w:rsid w:val="00396D0D"/>
    <w:rsid w:val="00396F1E"/>
    <w:rsid w:val="00397102"/>
    <w:rsid w:val="0039710F"/>
    <w:rsid w:val="00397240"/>
    <w:rsid w:val="0039734A"/>
    <w:rsid w:val="00397418"/>
    <w:rsid w:val="003979A1"/>
    <w:rsid w:val="00397B0A"/>
    <w:rsid w:val="00397BE6"/>
    <w:rsid w:val="00397C56"/>
    <w:rsid w:val="00397CF5"/>
    <w:rsid w:val="00397D9C"/>
    <w:rsid w:val="00397E65"/>
    <w:rsid w:val="00397F67"/>
    <w:rsid w:val="003A0228"/>
    <w:rsid w:val="003A029F"/>
    <w:rsid w:val="003A0302"/>
    <w:rsid w:val="003A0516"/>
    <w:rsid w:val="003A0648"/>
    <w:rsid w:val="003A07E8"/>
    <w:rsid w:val="003A07F2"/>
    <w:rsid w:val="003A0812"/>
    <w:rsid w:val="003A092F"/>
    <w:rsid w:val="003A095D"/>
    <w:rsid w:val="003A09D9"/>
    <w:rsid w:val="003A09E5"/>
    <w:rsid w:val="003A0F3B"/>
    <w:rsid w:val="003A0FB5"/>
    <w:rsid w:val="003A1034"/>
    <w:rsid w:val="003A108B"/>
    <w:rsid w:val="003A10A7"/>
    <w:rsid w:val="003A10C3"/>
    <w:rsid w:val="003A10F6"/>
    <w:rsid w:val="003A1192"/>
    <w:rsid w:val="003A12E4"/>
    <w:rsid w:val="003A1652"/>
    <w:rsid w:val="003A1890"/>
    <w:rsid w:val="003A1920"/>
    <w:rsid w:val="003A1B07"/>
    <w:rsid w:val="003A1B76"/>
    <w:rsid w:val="003A1BCF"/>
    <w:rsid w:val="003A1E09"/>
    <w:rsid w:val="003A24FC"/>
    <w:rsid w:val="003A2510"/>
    <w:rsid w:val="003A2647"/>
    <w:rsid w:val="003A27DB"/>
    <w:rsid w:val="003A2807"/>
    <w:rsid w:val="003A282F"/>
    <w:rsid w:val="003A2833"/>
    <w:rsid w:val="003A28DA"/>
    <w:rsid w:val="003A28FC"/>
    <w:rsid w:val="003A29B8"/>
    <w:rsid w:val="003A2AE6"/>
    <w:rsid w:val="003A2AF1"/>
    <w:rsid w:val="003A2B3C"/>
    <w:rsid w:val="003A2B43"/>
    <w:rsid w:val="003A2B8B"/>
    <w:rsid w:val="003A2CFD"/>
    <w:rsid w:val="003A3222"/>
    <w:rsid w:val="003A3564"/>
    <w:rsid w:val="003A39BF"/>
    <w:rsid w:val="003A39D1"/>
    <w:rsid w:val="003A3BF8"/>
    <w:rsid w:val="003A3C0D"/>
    <w:rsid w:val="003A3D1F"/>
    <w:rsid w:val="003A3E5D"/>
    <w:rsid w:val="003A3F1A"/>
    <w:rsid w:val="003A3FDC"/>
    <w:rsid w:val="003A4068"/>
    <w:rsid w:val="003A4098"/>
    <w:rsid w:val="003A415A"/>
    <w:rsid w:val="003A4192"/>
    <w:rsid w:val="003A4444"/>
    <w:rsid w:val="003A4678"/>
    <w:rsid w:val="003A4703"/>
    <w:rsid w:val="003A4780"/>
    <w:rsid w:val="003A49F2"/>
    <w:rsid w:val="003A4A0A"/>
    <w:rsid w:val="003A4A60"/>
    <w:rsid w:val="003A4AAB"/>
    <w:rsid w:val="003A4B4D"/>
    <w:rsid w:val="003A4B91"/>
    <w:rsid w:val="003A4BE8"/>
    <w:rsid w:val="003A4C53"/>
    <w:rsid w:val="003A4D6F"/>
    <w:rsid w:val="003A52FF"/>
    <w:rsid w:val="003A5357"/>
    <w:rsid w:val="003A5399"/>
    <w:rsid w:val="003A53DA"/>
    <w:rsid w:val="003A546C"/>
    <w:rsid w:val="003A54F3"/>
    <w:rsid w:val="003A55EA"/>
    <w:rsid w:val="003A5640"/>
    <w:rsid w:val="003A57CC"/>
    <w:rsid w:val="003A57CE"/>
    <w:rsid w:val="003A5900"/>
    <w:rsid w:val="003A59DB"/>
    <w:rsid w:val="003A5B40"/>
    <w:rsid w:val="003A5BA3"/>
    <w:rsid w:val="003A5C7E"/>
    <w:rsid w:val="003A5CA4"/>
    <w:rsid w:val="003A5E21"/>
    <w:rsid w:val="003A5ECA"/>
    <w:rsid w:val="003A5F63"/>
    <w:rsid w:val="003A5FA1"/>
    <w:rsid w:val="003A60A1"/>
    <w:rsid w:val="003A60A4"/>
    <w:rsid w:val="003A629E"/>
    <w:rsid w:val="003A63D7"/>
    <w:rsid w:val="003A64BB"/>
    <w:rsid w:val="003A67FB"/>
    <w:rsid w:val="003A6838"/>
    <w:rsid w:val="003A6B31"/>
    <w:rsid w:val="003A6CAC"/>
    <w:rsid w:val="003A6CF6"/>
    <w:rsid w:val="003A6CFC"/>
    <w:rsid w:val="003A6DCF"/>
    <w:rsid w:val="003A6DDA"/>
    <w:rsid w:val="003A7004"/>
    <w:rsid w:val="003A705F"/>
    <w:rsid w:val="003A7094"/>
    <w:rsid w:val="003A71BD"/>
    <w:rsid w:val="003A71CA"/>
    <w:rsid w:val="003A7225"/>
    <w:rsid w:val="003A727D"/>
    <w:rsid w:val="003A72B9"/>
    <w:rsid w:val="003A72D0"/>
    <w:rsid w:val="003A741E"/>
    <w:rsid w:val="003A7572"/>
    <w:rsid w:val="003A75CE"/>
    <w:rsid w:val="003A75DC"/>
    <w:rsid w:val="003A7625"/>
    <w:rsid w:val="003A763E"/>
    <w:rsid w:val="003A7643"/>
    <w:rsid w:val="003A7786"/>
    <w:rsid w:val="003A77E6"/>
    <w:rsid w:val="003A77ED"/>
    <w:rsid w:val="003A788D"/>
    <w:rsid w:val="003A78BE"/>
    <w:rsid w:val="003A795F"/>
    <w:rsid w:val="003A7972"/>
    <w:rsid w:val="003A7C43"/>
    <w:rsid w:val="003A7E5A"/>
    <w:rsid w:val="003A7E67"/>
    <w:rsid w:val="003A7FD7"/>
    <w:rsid w:val="003B000E"/>
    <w:rsid w:val="003B040B"/>
    <w:rsid w:val="003B04AA"/>
    <w:rsid w:val="003B0591"/>
    <w:rsid w:val="003B0829"/>
    <w:rsid w:val="003B08DF"/>
    <w:rsid w:val="003B0A62"/>
    <w:rsid w:val="003B0A95"/>
    <w:rsid w:val="003B0AC1"/>
    <w:rsid w:val="003B0AEA"/>
    <w:rsid w:val="003B0B06"/>
    <w:rsid w:val="003B0B50"/>
    <w:rsid w:val="003B0B5D"/>
    <w:rsid w:val="003B0BA5"/>
    <w:rsid w:val="003B0C5B"/>
    <w:rsid w:val="003B0D4A"/>
    <w:rsid w:val="003B0D50"/>
    <w:rsid w:val="003B0E96"/>
    <w:rsid w:val="003B0EA1"/>
    <w:rsid w:val="003B1033"/>
    <w:rsid w:val="003B109F"/>
    <w:rsid w:val="003B11EE"/>
    <w:rsid w:val="003B12BA"/>
    <w:rsid w:val="003B12C7"/>
    <w:rsid w:val="003B12CC"/>
    <w:rsid w:val="003B1342"/>
    <w:rsid w:val="003B15E0"/>
    <w:rsid w:val="003B15E8"/>
    <w:rsid w:val="003B161C"/>
    <w:rsid w:val="003B1867"/>
    <w:rsid w:val="003B1948"/>
    <w:rsid w:val="003B1A54"/>
    <w:rsid w:val="003B1A77"/>
    <w:rsid w:val="003B1B2D"/>
    <w:rsid w:val="003B1D15"/>
    <w:rsid w:val="003B1DE7"/>
    <w:rsid w:val="003B1DFA"/>
    <w:rsid w:val="003B2141"/>
    <w:rsid w:val="003B21AD"/>
    <w:rsid w:val="003B224A"/>
    <w:rsid w:val="003B243B"/>
    <w:rsid w:val="003B2507"/>
    <w:rsid w:val="003B267A"/>
    <w:rsid w:val="003B27B1"/>
    <w:rsid w:val="003B2852"/>
    <w:rsid w:val="003B2872"/>
    <w:rsid w:val="003B28A1"/>
    <w:rsid w:val="003B2998"/>
    <w:rsid w:val="003B2B1F"/>
    <w:rsid w:val="003B2B67"/>
    <w:rsid w:val="003B2C4C"/>
    <w:rsid w:val="003B2C8C"/>
    <w:rsid w:val="003B2D26"/>
    <w:rsid w:val="003B2D32"/>
    <w:rsid w:val="003B2D9F"/>
    <w:rsid w:val="003B2E0C"/>
    <w:rsid w:val="003B2F00"/>
    <w:rsid w:val="003B2F41"/>
    <w:rsid w:val="003B30C1"/>
    <w:rsid w:val="003B3106"/>
    <w:rsid w:val="003B3238"/>
    <w:rsid w:val="003B33DF"/>
    <w:rsid w:val="003B35FD"/>
    <w:rsid w:val="003B369B"/>
    <w:rsid w:val="003B3AE0"/>
    <w:rsid w:val="003B3BC7"/>
    <w:rsid w:val="003B3BE1"/>
    <w:rsid w:val="003B3C35"/>
    <w:rsid w:val="003B3CAD"/>
    <w:rsid w:val="003B3CF6"/>
    <w:rsid w:val="003B3E0F"/>
    <w:rsid w:val="003B3FAF"/>
    <w:rsid w:val="003B4057"/>
    <w:rsid w:val="003B4195"/>
    <w:rsid w:val="003B41B5"/>
    <w:rsid w:val="003B41E5"/>
    <w:rsid w:val="003B438C"/>
    <w:rsid w:val="003B442F"/>
    <w:rsid w:val="003B4463"/>
    <w:rsid w:val="003B4537"/>
    <w:rsid w:val="003B46D7"/>
    <w:rsid w:val="003B4826"/>
    <w:rsid w:val="003B4B72"/>
    <w:rsid w:val="003B4BF0"/>
    <w:rsid w:val="003B4C46"/>
    <w:rsid w:val="003B4DA4"/>
    <w:rsid w:val="003B4F18"/>
    <w:rsid w:val="003B4F95"/>
    <w:rsid w:val="003B4FF3"/>
    <w:rsid w:val="003B501B"/>
    <w:rsid w:val="003B5102"/>
    <w:rsid w:val="003B51B5"/>
    <w:rsid w:val="003B51F4"/>
    <w:rsid w:val="003B5360"/>
    <w:rsid w:val="003B539D"/>
    <w:rsid w:val="003B5450"/>
    <w:rsid w:val="003B5471"/>
    <w:rsid w:val="003B54F4"/>
    <w:rsid w:val="003B5794"/>
    <w:rsid w:val="003B57C0"/>
    <w:rsid w:val="003B58EE"/>
    <w:rsid w:val="003B599D"/>
    <w:rsid w:val="003B59AA"/>
    <w:rsid w:val="003B5A76"/>
    <w:rsid w:val="003B5A80"/>
    <w:rsid w:val="003B5BB2"/>
    <w:rsid w:val="003B5D0F"/>
    <w:rsid w:val="003B5EBD"/>
    <w:rsid w:val="003B6057"/>
    <w:rsid w:val="003B6181"/>
    <w:rsid w:val="003B61ED"/>
    <w:rsid w:val="003B62AC"/>
    <w:rsid w:val="003B657A"/>
    <w:rsid w:val="003B65DD"/>
    <w:rsid w:val="003B6605"/>
    <w:rsid w:val="003B687A"/>
    <w:rsid w:val="003B6A36"/>
    <w:rsid w:val="003B6A5F"/>
    <w:rsid w:val="003B6ACA"/>
    <w:rsid w:val="003B6B80"/>
    <w:rsid w:val="003B6E50"/>
    <w:rsid w:val="003B6F63"/>
    <w:rsid w:val="003B6F86"/>
    <w:rsid w:val="003B706D"/>
    <w:rsid w:val="003B71F8"/>
    <w:rsid w:val="003B72E8"/>
    <w:rsid w:val="003B72EB"/>
    <w:rsid w:val="003B734F"/>
    <w:rsid w:val="003B745A"/>
    <w:rsid w:val="003B757F"/>
    <w:rsid w:val="003B766D"/>
    <w:rsid w:val="003B7670"/>
    <w:rsid w:val="003B7685"/>
    <w:rsid w:val="003B7723"/>
    <w:rsid w:val="003B779C"/>
    <w:rsid w:val="003B785E"/>
    <w:rsid w:val="003B7D8C"/>
    <w:rsid w:val="003B7DD5"/>
    <w:rsid w:val="003B7DDE"/>
    <w:rsid w:val="003B7E33"/>
    <w:rsid w:val="003B7EA9"/>
    <w:rsid w:val="003B7FE9"/>
    <w:rsid w:val="003C047B"/>
    <w:rsid w:val="003C064F"/>
    <w:rsid w:val="003C06ED"/>
    <w:rsid w:val="003C0764"/>
    <w:rsid w:val="003C0767"/>
    <w:rsid w:val="003C083D"/>
    <w:rsid w:val="003C0864"/>
    <w:rsid w:val="003C0960"/>
    <w:rsid w:val="003C0989"/>
    <w:rsid w:val="003C099F"/>
    <w:rsid w:val="003C0A40"/>
    <w:rsid w:val="003C0A96"/>
    <w:rsid w:val="003C0C16"/>
    <w:rsid w:val="003C0C4E"/>
    <w:rsid w:val="003C10ED"/>
    <w:rsid w:val="003C1273"/>
    <w:rsid w:val="003C128A"/>
    <w:rsid w:val="003C1298"/>
    <w:rsid w:val="003C12C7"/>
    <w:rsid w:val="003C14AF"/>
    <w:rsid w:val="003C152F"/>
    <w:rsid w:val="003C1581"/>
    <w:rsid w:val="003C15F4"/>
    <w:rsid w:val="003C173C"/>
    <w:rsid w:val="003C19A0"/>
    <w:rsid w:val="003C19B2"/>
    <w:rsid w:val="003C1ABF"/>
    <w:rsid w:val="003C1B27"/>
    <w:rsid w:val="003C1BB3"/>
    <w:rsid w:val="003C1CB1"/>
    <w:rsid w:val="003C1CC2"/>
    <w:rsid w:val="003C1CF3"/>
    <w:rsid w:val="003C1D49"/>
    <w:rsid w:val="003C1F63"/>
    <w:rsid w:val="003C2227"/>
    <w:rsid w:val="003C22AA"/>
    <w:rsid w:val="003C22FA"/>
    <w:rsid w:val="003C23A3"/>
    <w:rsid w:val="003C2470"/>
    <w:rsid w:val="003C2564"/>
    <w:rsid w:val="003C2577"/>
    <w:rsid w:val="003C26A4"/>
    <w:rsid w:val="003C295E"/>
    <w:rsid w:val="003C29C6"/>
    <w:rsid w:val="003C2A5B"/>
    <w:rsid w:val="003C2B5B"/>
    <w:rsid w:val="003C2B5D"/>
    <w:rsid w:val="003C2CEC"/>
    <w:rsid w:val="003C2D06"/>
    <w:rsid w:val="003C2D2C"/>
    <w:rsid w:val="003C2D39"/>
    <w:rsid w:val="003C2D59"/>
    <w:rsid w:val="003C3365"/>
    <w:rsid w:val="003C3503"/>
    <w:rsid w:val="003C3595"/>
    <w:rsid w:val="003C35BB"/>
    <w:rsid w:val="003C360D"/>
    <w:rsid w:val="003C3709"/>
    <w:rsid w:val="003C3A86"/>
    <w:rsid w:val="003C3DD5"/>
    <w:rsid w:val="003C3E73"/>
    <w:rsid w:val="003C3F8A"/>
    <w:rsid w:val="003C4076"/>
    <w:rsid w:val="003C40B6"/>
    <w:rsid w:val="003C4179"/>
    <w:rsid w:val="003C41E5"/>
    <w:rsid w:val="003C42BE"/>
    <w:rsid w:val="003C4311"/>
    <w:rsid w:val="003C438F"/>
    <w:rsid w:val="003C4460"/>
    <w:rsid w:val="003C4629"/>
    <w:rsid w:val="003C48FA"/>
    <w:rsid w:val="003C49F8"/>
    <w:rsid w:val="003C4A08"/>
    <w:rsid w:val="003C4A8B"/>
    <w:rsid w:val="003C4A9D"/>
    <w:rsid w:val="003C4C84"/>
    <w:rsid w:val="003C4F97"/>
    <w:rsid w:val="003C4FC5"/>
    <w:rsid w:val="003C51A9"/>
    <w:rsid w:val="003C5402"/>
    <w:rsid w:val="003C544D"/>
    <w:rsid w:val="003C54A3"/>
    <w:rsid w:val="003C5542"/>
    <w:rsid w:val="003C5580"/>
    <w:rsid w:val="003C5628"/>
    <w:rsid w:val="003C56BD"/>
    <w:rsid w:val="003C56E4"/>
    <w:rsid w:val="003C59DC"/>
    <w:rsid w:val="003C59F5"/>
    <w:rsid w:val="003C5AC6"/>
    <w:rsid w:val="003C5BD8"/>
    <w:rsid w:val="003C5C63"/>
    <w:rsid w:val="003C5F36"/>
    <w:rsid w:val="003C5FBD"/>
    <w:rsid w:val="003C600F"/>
    <w:rsid w:val="003C606F"/>
    <w:rsid w:val="003C60D1"/>
    <w:rsid w:val="003C60E0"/>
    <w:rsid w:val="003C6134"/>
    <w:rsid w:val="003C63D9"/>
    <w:rsid w:val="003C6420"/>
    <w:rsid w:val="003C6493"/>
    <w:rsid w:val="003C649F"/>
    <w:rsid w:val="003C64A8"/>
    <w:rsid w:val="003C6565"/>
    <w:rsid w:val="003C6743"/>
    <w:rsid w:val="003C68DC"/>
    <w:rsid w:val="003C6920"/>
    <w:rsid w:val="003C692A"/>
    <w:rsid w:val="003C698E"/>
    <w:rsid w:val="003C69A0"/>
    <w:rsid w:val="003C6A44"/>
    <w:rsid w:val="003C6A86"/>
    <w:rsid w:val="003C6A88"/>
    <w:rsid w:val="003C6B05"/>
    <w:rsid w:val="003C6F95"/>
    <w:rsid w:val="003C6FCA"/>
    <w:rsid w:val="003C70C2"/>
    <w:rsid w:val="003C7101"/>
    <w:rsid w:val="003C7114"/>
    <w:rsid w:val="003C722E"/>
    <w:rsid w:val="003C726A"/>
    <w:rsid w:val="003C7312"/>
    <w:rsid w:val="003C7347"/>
    <w:rsid w:val="003C744D"/>
    <w:rsid w:val="003C7766"/>
    <w:rsid w:val="003C7840"/>
    <w:rsid w:val="003C7A63"/>
    <w:rsid w:val="003C7ACF"/>
    <w:rsid w:val="003C7AEC"/>
    <w:rsid w:val="003C7B5B"/>
    <w:rsid w:val="003C7C44"/>
    <w:rsid w:val="003C7FEC"/>
    <w:rsid w:val="003CEAD5"/>
    <w:rsid w:val="003D031C"/>
    <w:rsid w:val="003D035B"/>
    <w:rsid w:val="003D04BF"/>
    <w:rsid w:val="003D053E"/>
    <w:rsid w:val="003D056E"/>
    <w:rsid w:val="003D08B7"/>
    <w:rsid w:val="003D0A0B"/>
    <w:rsid w:val="003D0C12"/>
    <w:rsid w:val="003D0C4A"/>
    <w:rsid w:val="003D0C64"/>
    <w:rsid w:val="003D0D25"/>
    <w:rsid w:val="003D0E2B"/>
    <w:rsid w:val="003D1003"/>
    <w:rsid w:val="003D107D"/>
    <w:rsid w:val="003D1110"/>
    <w:rsid w:val="003D115C"/>
    <w:rsid w:val="003D1168"/>
    <w:rsid w:val="003D11C1"/>
    <w:rsid w:val="003D11DE"/>
    <w:rsid w:val="003D120D"/>
    <w:rsid w:val="003D12B6"/>
    <w:rsid w:val="003D1341"/>
    <w:rsid w:val="003D1377"/>
    <w:rsid w:val="003D1524"/>
    <w:rsid w:val="003D157A"/>
    <w:rsid w:val="003D15BF"/>
    <w:rsid w:val="003D15C7"/>
    <w:rsid w:val="003D1813"/>
    <w:rsid w:val="003D184A"/>
    <w:rsid w:val="003D1B57"/>
    <w:rsid w:val="003D1B8F"/>
    <w:rsid w:val="003D1BA4"/>
    <w:rsid w:val="003D1D54"/>
    <w:rsid w:val="003D1D62"/>
    <w:rsid w:val="003D1F1E"/>
    <w:rsid w:val="003D2100"/>
    <w:rsid w:val="003D223C"/>
    <w:rsid w:val="003D23FA"/>
    <w:rsid w:val="003D2579"/>
    <w:rsid w:val="003D257E"/>
    <w:rsid w:val="003D2615"/>
    <w:rsid w:val="003D2621"/>
    <w:rsid w:val="003D2B1D"/>
    <w:rsid w:val="003D2B64"/>
    <w:rsid w:val="003D2B6A"/>
    <w:rsid w:val="003D2B8E"/>
    <w:rsid w:val="003D2B9E"/>
    <w:rsid w:val="003D2C36"/>
    <w:rsid w:val="003D2D4D"/>
    <w:rsid w:val="003D2DA7"/>
    <w:rsid w:val="003D2DE6"/>
    <w:rsid w:val="003D3010"/>
    <w:rsid w:val="003D313D"/>
    <w:rsid w:val="003D31AA"/>
    <w:rsid w:val="003D32BE"/>
    <w:rsid w:val="003D3301"/>
    <w:rsid w:val="003D336B"/>
    <w:rsid w:val="003D36C5"/>
    <w:rsid w:val="003D3718"/>
    <w:rsid w:val="003D39AE"/>
    <w:rsid w:val="003D3BEF"/>
    <w:rsid w:val="003D3C42"/>
    <w:rsid w:val="003D3D25"/>
    <w:rsid w:val="003D3D51"/>
    <w:rsid w:val="003D3DCC"/>
    <w:rsid w:val="003D3DE4"/>
    <w:rsid w:val="003D3E2A"/>
    <w:rsid w:val="003D3F34"/>
    <w:rsid w:val="003D3F69"/>
    <w:rsid w:val="003D3FC9"/>
    <w:rsid w:val="003D400E"/>
    <w:rsid w:val="003D4011"/>
    <w:rsid w:val="003D40B3"/>
    <w:rsid w:val="003D41DD"/>
    <w:rsid w:val="003D4230"/>
    <w:rsid w:val="003D4282"/>
    <w:rsid w:val="003D4363"/>
    <w:rsid w:val="003D43BA"/>
    <w:rsid w:val="003D443D"/>
    <w:rsid w:val="003D45D8"/>
    <w:rsid w:val="003D465D"/>
    <w:rsid w:val="003D46BD"/>
    <w:rsid w:val="003D4740"/>
    <w:rsid w:val="003D4A06"/>
    <w:rsid w:val="003D4BD2"/>
    <w:rsid w:val="003D4F92"/>
    <w:rsid w:val="003D511F"/>
    <w:rsid w:val="003D5202"/>
    <w:rsid w:val="003D525E"/>
    <w:rsid w:val="003D52AA"/>
    <w:rsid w:val="003D530C"/>
    <w:rsid w:val="003D5358"/>
    <w:rsid w:val="003D5564"/>
    <w:rsid w:val="003D55E9"/>
    <w:rsid w:val="003D5A45"/>
    <w:rsid w:val="003D5B19"/>
    <w:rsid w:val="003D5B9F"/>
    <w:rsid w:val="003D5BB3"/>
    <w:rsid w:val="003D5C72"/>
    <w:rsid w:val="003D5CA9"/>
    <w:rsid w:val="003D5CC0"/>
    <w:rsid w:val="003D5CC2"/>
    <w:rsid w:val="003D5CCF"/>
    <w:rsid w:val="003D5E33"/>
    <w:rsid w:val="003D5EAA"/>
    <w:rsid w:val="003D5F59"/>
    <w:rsid w:val="003D5F98"/>
    <w:rsid w:val="003D6022"/>
    <w:rsid w:val="003D6057"/>
    <w:rsid w:val="003D609B"/>
    <w:rsid w:val="003D611E"/>
    <w:rsid w:val="003D6285"/>
    <w:rsid w:val="003D62C1"/>
    <w:rsid w:val="003D6319"/>
    <w:rsid w:val="003D639F"/>
    <w:rsid w:val="003D63BD"/>
    <w:rsid w:val="003D6682"/>
    <w:rsid w:val="003D677C"/>
    <w:rsid w:val="003D67CB"/>
    <w:rsid w:val="003D680D"/>
    <w:rsid w:val="003D6876"/>
    <w:rsid w:val="003D6B7C"/>
    <w:rsid w:val="003D6B81"/>
    <w:rsid w:val="003D6E0E"/>
    <w:rsid w:val="003D6F94"/>
    <w:rsid w:val="003D7010"/>
    <w:rsid w:val="003D70CC"/>
    <w:rsid w:val="003D7100"/>
    <w:rsid w:val="003D71AC"/>
    <w:rsid w:val="003D72E0"/>
    <w:rsid w:val="003D7333"/>
    <w:rsid w:val="003D7348"/>
    <w:rsid w:val="003D7441"/>
    <w:rsid w:val="003D748B"/>
    <w:rsid w:val="003D752F"/>
    <w:rsid w:val="003D7536"/>
    <w:rsid w:val="003D7711"/>
    <w:rsid w:val="003D7730"/>
    <w:rsid w:val="003D7870"/>
    <w:rsid w:val="003D789A"/>
    <w:rsid w:val="003D7981"/>
    <w:rsid w:val="003D7A74"/>
    <w:rsid w:val="003D7C32"/>
    <w:rsid w:val="003D7C5C"/>
    <w:rsid w:val="003D7C72"/>
    <w:rsid w:val="003D7D15"/>
    <w:rsid w:val="003D7D69"/>
    <w:rsid w:val="003D7DC2"/>
    <w:rsid w:val="003D7E3E"/>
    <w:rsid w:val="003D7FD7"/>
    <w:rsid w:val="003E00B5"/>
    <w:rsid w:val="003E00F3"/>
    <w:rsid w:val="003E02B3"/>
    <w:rsid w:val="003E02D8"/>
    <w:rsid w:val="003E055C"/>
    <w:rsid w:val="003E0764"/>
    <w:rsid w:val="003E0778"/>
    <w:rsid w:val="003E07B9"/>
    <w:rsid w:val="003E0842"/>
    <w:rsid w:val="003E086D"/>
    <w:rsid w:val="003E08F8"/>
    <w:rsid w:val="003E0BDC"/>
    <w:rsid w:val="003E0C05"/>
    <w:rsid w:val="003E0C6B"/>
    <w:rsid w:val="003E0CE3"/>
    <w:rsid w:val="003E0DC4"/>
    <w:rsid w:val="003E0EA1"/>
    <w:rsid w:val="003E0EB7"/>
    <w:rsid w:val="003E0F39"/>
    <w:rsid w:val="003E0F98"/>
    <w:rsid w:val="003E1006"/>
    <w:rsid w:val="003E1276"/>
    <w:rsid w:val="003E1443"/>
    <w:rsid w:val="003E1724"/>
    <w:rsid w:val="003E175A"/>
    <w:rsid w:val="003E1771"/>
    <w:rsid w:val="003E1789"/>
    <w:rsid w:val="003E17BF"/>
    <w:rsid w:val="003E1804"/>
    <w:rsid w:val="003E1851"/>
    <w:rsid w:val="003E18BF"/>
    <w:rsid w:val="003E1920"/>
    <w:rsid w:val="003E195C"/>
    <w:rsid w:val="003E199B"/>
    <w:rsid w:val="003E1A33"/>
    <w:rsid w:val="003E1BCD"/>
    <w:rsid w:val="003E1D23"/>
    <w:rsid w:val="003E1D2B"/>
    <w:rsid w:val="003E1DFD"/>
    <w:rsid w:val="003E1FCC"/>
    <w:rsid w:val="003E1FD5"/>
    <w:rsid w:val="003E2162"/>
    <w:rsid w:val="003E238C"/>
    <w:rsid w:val="003E23DE"/>
    <w:rsid w:val="003E2470"/>
    <w:rsid w:val="003E249D"/>
    <w:rsid w:val="003E2527"/>
    <w:rsid w:val="003E2599"/>
    <w:rsid w:val="003E25B6"/>
    <w:rsid w:val="003E26F8"/>
    <w:rsid w:val="003E2711"/>
    <w:rsid w:val="003E2777"/>
    <w:rsid w:val="003E285E"/>
    <w:rsid w:val="003E29A8"/>
    <w:rsid w:val="003E29E2"/>
    <w:rsid w:val="003E2A5C"/>
    <w:rsid w:val="003E2B45"/>
    <w:rsid w:val="003E2C39"/>
    <w:rsid w:val="003E2DB4"/>
    <w:rsid w:val="003E2E5A"/>
    <w:rsid w:val="003E3126"/>
    <w:rsid w:val="003E3137"/>
    <w:rsid w:val="003E31A6"/>
    <w:rsid w:val="003E33F0"/>
    <w:rsid w:val="003E34A2"/>
    <w:rsid w:val="003E34F6"/>
    <w:rsid w:val="003E3517"/>
    <w:rsid w:val="003E351B"/>
    <w:rsid w:val="003E3583"/>
    <w:rsid w:val="003E3657"/>
    <w:rsid w:val="003E3825"/>
    <w:rsid w:val="003E3857"/>
    <w:rsid w:val="003E38B8"/>
    <w:rsid w:val="003E3916"/>
    <w:rsid w:val="003E3A2C"/>
    <w:rsid w:val="003E3B97"/>
    <w:rsid w:val="003E3BA8"/>
    <w:rsid w:val="003E3BD9"/>
    <w:rsid w:val="003E3C31"/>
    <w:rsid w:val="003E3D2C"/>
    <w:rsid w:val="003E3DF5"/>
    <w:rsid w:val="003E4017"/>
    <w:rsid w:val="003E4089"/>
    <w:rsid w:val="003E40E2"/>
    <w:rsid w:val="003E42A1"/>
    <w:rsid w:val="003E42BB"/>
    <w:rsid w:val="003E431C"/>
    <w:rsid w:val="003E4375"/>
    <w:rsid w:val="003E464F"/>
    <w:rsid w:val="003E4688"/>
    <w:rsid w:val="003E47EA"/>
    <w:rsid w:val="003E48D2"/>
    <w:rsid w:val="003E48DF"/>
    <w:rsid w:val="003E49E6"/>
    <w:rsid w:val="003E4B54"/>
    <w:rsid w:val="003E4C15"/>
    <w:rsid w:val="003E4C24"/>
    <w:rsid w:val="003E4C74"/>
    <w:rsid w:val="003E4EB7"/>
    <w:rsid w:val="003E4EDD"/>
    <w:rsid w:val="003E4FBA"/>
    <w:rsid w:val="003E5120"/>
    <w:rsid w:val="003E52E7"/>
    <w:rsid w:val="003E5385"/>
    <w:rsid w:val="003E540F"/>
    <w:rsid w:val="003E549C"/>
    <w:rsid w:val="003E54AC"/>
    <w:rsid w:val="003E54C6"/>
    <w:rsid w:val="003E556D"/>
    <w:rsid w:val="003E55A7"/>
    <w:rsid w:val="003E55BE"/>
    <w:rsid w:val="003E5691"/>
    <w:rsid w:val="003E5750"/>
    <w:rsid w:val="003E589B"/>
    <w:rsid w:val="003E5937"/>
    <w:rsid w:val="003E5992"/>
    <w:rsid w:val="003E5B53"/>
    <w:rsid w:val="003E5C19"/>
    <w:rsid w:val="003E5CD9"/>
    <w:rsid w:val="003E5D04"/>
    <w:rsid w:val="003E5D7D"/>
    <w:rsid w:val="003E5D8E"/>
    <w:rsid w:val="003E5DA5"/>
    <w:rsid w:val="003E605A"/>
    <w:rsid w:val="003E615B"/>
    <w:rsid w:val="003E61AF"/>
    <w:rsid w:val="003E6208"/>
    <w:rsid w:val="003E640F"/>
    <w:rsid w:val="003E66A9"/>
    <w:rsid w:val="003E67A7"/>
    <w:rsid w:val="003E684C"/>
    <w:rsid w:val="003E6867"/>
    <w:rsid w:val="003E68C6"/>
    <w:rsid w:val="003E6B13"/>
    <w:rsid w:val="003E6BA2"/>
    <w:rsid w:val="003E6BA5"/>
    <w:rsid w:val="003E6C2C"/>
    <w:rsid w:val="003E6C89"/>
    <w:rsid w:val="003E6D38"/>
    <w:rsid w:val="003E6E2D"/>
    <w:rsid w:val="003E6E6C"/>
    <w:rsid w:val="003E6F05"/>
    <w:rsid w:val="003E6F3F"/>
    <w:rsid w:val="003E7079"/>
    <w:rsid w:val="003E726A"/>
    <w:rsid w:val="003E7344"/>
    <w:rsid w:val="003E7449"/>
    <w:rsid w:val="003E7547"/>
    <w:rsid w:val="003E7595"/>
    <w:rsid w:val="003E7599"/>
    <w:rsid w:val="003E75B8"/>
    <w:rsid w:val="003E771B"/>
    <w:rsid w:val="003E778A"/>
    <w:rsid w:val="003E7876"/>
    <w:rsid w:val="003E7972"/>
    <w:rsid w:val="003E7A15"/>
    <w:rsid w:val="003E7DB0"/>
    <w:rsid w:val="003E7E3F"/>
    <w:rsid w:val="003E7F9D"/>
    <w:rsid w:val="003E7FE9"/>
    <w:rsid w:val="003F00AC"/>
    <w:rsid w:val="003F010A"/>
    <w:rsid w:val="003F0169"/>
    <w:rsid w:val="003F03A4"/>
    <w:rsid w:val="003F0649"/>
    <w:rsid w:val="003F073A"/>
    <w:rsid w:val="003F0894"/>
    <w:rsid w:val="003F090E"/>
    <w:rsid w:val="003F098C"/>
    <w:rsid w:val="003F0F3C"/>
    <w:rsid w:val="003F0F3D"/>
    <w:rsid w:val="003F0F8F"/>
    <w:rsid w:val="003F10E5"/>
    <w:rsid w:val="003F1120"/>
    <w:rsid w:val="003F11C3"/>
    <w:rsid w:val="003F1254"/>
    <w:rsid w:val="003F12CC"/>
    <w:rsid w:val="003F12E7"/>
    <w:rsid w:val="003F1412"/>
    <w:rsid w:val="003F14CA"/>
    <w:rsid w:val="003F160A"/>
    <w:rsid w:val="003F1619"/>
    <w:rsid w:val="003F1668"/>
    <w:rsid w:val="003F18E7"/>
    <w:rsid w:val="003F198E"/>
    <w:rsid w:val="003F1A31"/>
    <w:rsid w:val="003F1A90"/>
    <w:rsid w:val="003F1A96"/>
    <w:rsid w:val="003F1AA0"/>
    <w:rsid w:val="003F1ABC"/>
    <w:rsid w:val="003F1BD0"/>
    <w:rsid w:val="003F1C00"/>
    <w:rsid w:val="003F1D87"/>
    <w:rsid w:val="003F1DB8"/>
    <w:rsid w:val="003F1FA7"/>
    <w:rsid w:val="003F211C"/>
    <w:rsid w:val="003F21EB"/>
    <w:rsid w:val="003F2418"/>
    <w:rsid w:val="003F242C"/>
    <w:rsid w:val="003F2434"/>
    <w:rsid w:val="003F243D"/>
    <w:rsid w:val="003F2460"/>
    <w:rsid w:val="003F2490"/>
    <w:rsid w:val="003F2551"/>
    <w:rsid w:val="003F2610"/>
    <w:rsid w:val="003F2623"/>
    <w:rsid w:val="003F2627"/>
    <w:rsid w:val="003F2941"/>
    <w:rsid w:val="003F2C4B"/>
    <w:rsid w:val="003F2CA2"/>
    <w:rsid w:val="003F2E0E"/>
    <w:rsid w:val="003F30E4"/>
    <w:rsid w:val="003F3167"/>
    <w:rsid w:val="003F3285"/>
    <w:rsid w:val="003F32AD"/>
    <w:rsid w:val="003F3338"/>
    <w:rsid w:val="003F360F"/>
    <w:rsid w:val="003F3648"/>
    <w:rsid w:val="003F3662"/>
    <w:rsid w:val="003F366D"/>
    <w:rsid w:val="003F36ED"/>
    <w:rsid w:val="003F3778"/>
    <w:rsid w:val="003F37AF"/>
    <w:rsid w:val="003F3817"/>
    <w:rsid w:val="003F3955"/>
    <w:rsid w:val="003F3A72"/>
    <w:rsid w:val="003F3AD7"/>
    <w:rsid w:val="003F3B26"/>
    <w:rsid w:val="003F3B84"/>
    <w:rsid w:val="003F3BAC"/>
    <w:rsid w:val="003F3BE5"/>
    <w:rsid w:val="003F3DD1"/>
    <w:rsid w:val="003F3FC6"/>
    <w:rsid w:val="003F407A"/>
    <w:rsid w:val="003F4257"/>
    <w:rsid w:val="003F436F"/>
    <w:rsid w:val="003F43C9"/>
    <w:rsid w:val="003F4475"/>
    <w:rsid w:val="003F4667"/>
    <w:rsid w:val="003F4837"/>
    <w:rsid w:val="003F4931"/>
    <w:rsid w:val="003F4D29"/>
    <w:rsid w:val="003F4D87"/>
    <w:rsid w:val="003F4E13"/>
    <w:rsid w:val="003F4E70"/>
    <w:rsid w:val="003F4E87"/>
    <w:rsid w:val="003F4F25"/>
    <w:rsid w:val="003F4F6C"/>
    <w:rsid w:val="003F4FA0"/>
    <w:rsid w:val="003F50A1"/>
    <w:rsid w:val="003F50C7"/>
    <w:rsid w:val="003F53DE"/>
    <w:rsid w:val="003F5461"/>
    <w:rsid w:val="003F5551"/>
    <w:rsid w:val="003F5594"/>
    <w:rsid w:val="003F55D3"/>
    <w:rsid w:val="003F560F"/>
    <w:rsid w:val="003F582C"/>
    <w:rsid w:val="003F5A9E"/>
    <w:rsid w:val="003F5BB1"/>
    <w:rsid w:val="003F5D6A"/>
    <w:rsid w:val="003F5F2F"/>
    <w:rsid w:val="003F5F57"/>
    <w:rsid w:val="003F5FE6"/>
    <w:rsid w:val="003F603D"/>
    <w:rsid w:val="003F6069"/>
    <w:rsid w:val="003F609B"/>
    <w:rsid w:val="003F6346"/>
    <w:rsid w:val="003F6389"/>
    <w:rsid w:val="003F63A4"/>
    <w:rsid w:val="003F63B2"/>
    <w:rsid w:val="003F6619"/>
    <w:rsid w:val="003F66E7"/>
    <w:rsid w:val="003F6826"/>
    <w:rsid w:val="003F685E"/>
    <w:rsid w:val="003F68DB"/>
    <w:rsid w:val="003F6961"/>
    <w:rsid w:val="003F6A73"/>
    <w:rsid w:val="003F6C17"/>
    <w:rsid w:val="003F6D21"/>
    <w:rsid w:val="003F6D51"/>
    <w:rsid w:val="003F6DB9"/>
    <w:rsid w:val="003F6F4C"/>
    <w:rsid w:val="003F6F5E"/>
    <w:rsid w:val="003F6F86"/>
    <w:rsid w:val="003F6FC3"/>
    <w:rsid w:val="003F7065"/>
    <w:rsid w:val="003F707F"/>
    <w:rsid w:val="003F7254"/>
    <w:rsid w:val="003F72B9"/>
    <w:rsid w:val="003F72C4"/>
    <w:rsid w:val="003F72DD"/>
    <w:rsid w:val="003F74AA"/>
    <w:rsid w:val="003F761D"/>
    <w:rsid w:val="003F781B"/>
    <w:rsid w:val="003F7842"/>
    <w:rsid w:val="003F795B"/>
    <w:rsid w:val="003F7AF8"/>
    <w:rsid w:val="003F7B37"/>
    <w:rsid w:val="003F7B96"/>
    <w:rsid w:val="003F7BB9"/>
    <w:rsid w:val="003F7EA6"/>
    <w:rsid w:val="003F7F13"/>
    <w:rsid w:val="0040008E"/>
    <w:rsid w:val="00400147"/>
    <w:rsid w:val="0040019C"/>
    <w:rsid w:val="004002B7"/>
    <w:rsid w:val="004003E2"/>
    <w:rsid w:val="004004F9"/>
    <w:rsid w:val="004005CA"/>
    <w:rsid w:val="004005F1"/>
    <w:rsid w:val="00400717"/>
    <w:rsid w:val="00400A82"/>
    <w:rsid w:val="00400AC2"/>
    <w:rsid w:val="00400AEC"/>
    <w:rsid w:val="00400AF4"/>
    <w:rsid w:val="00400AFB"/>
    <w:rsid w:val="00400BB0"/>
    <w:rsid w:val="00400C41"/>
    <w:rsid w:val="00400D61"/>
    <w:rsid w:val="00400D6F"/>
    <w:rsid w:val="00400D95"/>
    <w:rsid w:val="00400E6E"/>
    <w:rsid w:val="00400E7F"/>
    <w:rsid w:val="00400F64"/>
    <w:rsid w:val="00401095"/>
    <w:rsid w:val="00401210"/>
    <w:rsid w:val="00401286"/>
    <w:rsid w:val="004013DF"/>
    <w:rsid w:val="00401442"/>
    <w:rsid w:val="0040154D"/>
    <w:rsid w:val="00401559"/>
    <w:rsid w:val="00401628"/>
    <w:rsid w:val="004016BB"/>
    <w:rsid w:val="004018BD"/>
    <w:rsid w:val="00401912"/>
    <w:rsid w:val="00401968"/>
    <w:rsid w:val="00401A44"/>
    <w:rsid w:val="00401B36"/>
    <w:rsid w:val="00401BC6"/>
    <w:rsid w:val="00401D68"/>
    <w:rsid w:val="00401D9C"/>
    <w:rsid w:val="00401E08"/>
    <w:rsid w:val="00401E34"/>
    <w:rsid w:val="00401F67"/>
    <w:rsid w:val="00402000"/>
    <w:rsid w:val="0040209E"/>
    <w:rsid w:val="004021A8"/>
    <w:rsid w:val="004021D7"/>
    <w:rsid w:val="00402317"/>
    <w:rsid w:val="0040234F"/>
    <w:rsid w:val="004023B7"/>
    <w:rsid w:val="004024C6"/>
    <w:rsid w:val="00402540"/>
    <w:rsid w:val="0040258A"/>
    <w:rsid w:val="004025B5"/>
    <w:rsid w:val="00402743"/>
    <w:rsid w:val="004027AD"/>
    <w:rsid w:val="00402872"/>
    <w:rsid w:val="00402DEE"/>
    <w:rsid w:val="00402E98"/>
    <w:rsid w:val="00402EB4"/>
    <w:rsid w:val="0040306A"/>
    <w:rsid w:val="004030EA"/>
    <w:rsid w:val="00403178"/>
    <w:rsid w:val="0040319C"/>
    <w:rsid w:val="0040319F"/>
    <w:rsid w:val="00403287"/>
    <w:rsid w:val="00403411"/>
    <w:rsid w:val="00403557"/>
    <w:rsid w:val="0040377A"/>
    <w:rsid w:val="004039A3"/>
    <w:rsid w:val="004039C8"/>
    <w:rsid w:val="00403ACF"/>
    <w:rsid w:val="00403B28"/>
    <w:rsid w:val="00403BCE"/>
    <w:rsid w:val="00403C20"/>
    <w:rsid w:val="00403C82"/>
    <w:rsid w:val="00403D96"/>
    <w:rsid w:val="00403E83"/>
    <w:rsid w:val="00403EE3"/>
    <w:rsid w:val="00403F97"/>
    <w:rsid w:val="00404023"/>
    <w:rsid w:val="004041AF"/>
    <w:rsid w:val="00404268"/>
    <w:rsid w:val="004042CB"/>
    <w:rsid w:val="004042E6"/>
    <w:rsid w:val="004042F9"/>
    <w:rsid w:val="00404350"/>
    <w:rsid w:val="0040444B"/>
    <w:rsid w:val="00404596"/>
    <w:rsid w:val="00404652"/>
    <w:rsid w:val="00404735"/>
    <w:rsid w:val="00404853"/>
    <w:rsid w:val="00404861"/>
    <w:rsid w:val="004048DB"/>
    <w:rsid w:val="00404A07"/>
    <w:rsid w:val="00404D74"/>
    <w:rsid w:val="00404DF0"/>
    <w:rsid w:val="00404E81"/>
    <w:rsid w:val="00405032"/>
    <w:rsid w:val="00405087"/>
    <w:rsid w:val="004050CF"/>
    <w:rsid w:val="00405159"/>
    <w:rsid w:val="0040516B"/>
    <w:rsid w:val="00405441"/>
    <w:rsid w:val="00405489"/>
    <w:rsid w:val="004054D8"/>
    <w:rsid w:val="00405500"/>
    <w:rsid w:val="004055C5"/>
    <w:rsid w:val="0040580D"/>
    <w:rsid w:val="0040583B"/>
    <w:rsid w:val="00405B92"/>
    <w:rsid w:val="00405C4B"/>
    <w:rsid w:val="00405C57"/>
    <w:rsid w:val="00405D92"/>
    <w:rsid w:val="00405DDB"/>
    <w:rsid w:val="00405DFB"/>
    <w:rsid w:val="00405ECB"/>
    <w:rsid w:val="00405EFE"/>
    <w:rsid w:val="0040616C"/>
    <w:rsid w:val="00406244"/>
    <w:rsid w:val="00406274"/>
    <w:rsid w:val="004062B7"/>
    <w:rsid w:val="004062C3"/>
    <w:rsid w:val="0040632E"/>
    <w:rsid w:val="0040636D"/>
    <w:rsid w:val="00406592"/>
    <w:rsid w:val="00406760"/>
    <w:rsid w:val="004067D0"/>
    <w:rsid w:val="00406904"/>
    <w:rsid w:val="00406A65"/>
    <w:rsid w:val="00406B50"/>
    <w:rsid w:val="00406CDA"/>
    <w:rsid w:val="00406CEA"/>
    <w:rsid w:val="00406EE1"/>
    <w:rsid w:val="00406F88"/>
    <w:rsid w:val="004070AF"/>
    <w:rsid w:val="0040715E"/>
    <w:rsid w:val="004071A9"/>
    <w:rsid w:val="004073D4"/>
    <w:rsid w:val="004074A0"/>
    <w:rsid w:val="00407597"/>
    <w:rsid w:val="004075AF"/>
    <w:rsid w:val="004076AE"/>
    <w:rsid w:val="004076E5"/>
    <w:rsid w:val="00407706"/>
    <w:rsid w:val="004078BE"/>
    <w:rsid w:val="00407965"/>
    <w:rsid w:val="00407994"/>
    <w:rsid w:val="0040799A"/>
    <w:rsid w:val="004079C4"/>
    <w:rsid w:val="00407B7A"/>
    <w:rsid w:val="00407BBA"/>
    <w:rsid w:val="00407BE6"/>
    <w:rsid w:val="00407DDB"/>
    <w:rsid w:val="00407E0D"/>
    <w:rsid w:val="00407F06"/>
    <w:rsid w:val="00410071"/>
    <w:rsid w:val="004100EC"/>
    <w:rsid w:val="0041015C"/>
    <w:rsid w:val="004102A7"/>
    <w:rsid w:val="0041040C"/>
    <w:rsid w:val="004104BF"/>
    <w:rsid w:val="0041066E"/>
    <w:rsid w:val="0041077B"/>
    <w:rsid w:val="00410891"/>
    <w:rsid w:val="00410899"/>
    <w:rsid w:val="00410946"/>
    <w:rsid w:val="00410B25"/>
    <w:rsid w:val="00410BF1"/>
    <w:rsid w:val="00410D22"/>
    <w:rsid w:val="00410DAC"/>
    <w:rsid w:val="00410DBD"/>
    <w:rsid w:val="00410E39"/>
    <w:rsid w:val="00410E55"/>
    <w:rsid w:val="00410F6F"/>
    <w:rsid w:val="00410F8D"/>
    <w:rsid w:val="004110B8"/>
    <w:rsid w:val="00411233"/>
    <w:rsid w:val="0041131C"/>
    <w:rsid w:val="004113DF"/>
    <w:rsid w:val="00411849"/>
    <w:rsid w:val="00411B04"/>
    <w:rsid w:val="00411BD9"/>
    <w:rsid w:val="00411D9A"/>
    <w:rsid w:val="0041202E"/>
    <w:rsid w:val="004120CA"/>
    <w:rsid w:val="004121E6"/>
    <w:rsid w:val="0041224D"/>
    <w:rsid w:val="004122DF"/>
    <w:rsid w:val="00412453"/>
    <w:rsid w:val="00412497"/>
    <w:rsid w:val="004124F0"/>
    <w:rsid w:val="00412562"/>
    <w:rsid w:val="00412567"/>
    <w:rsid w:val="004125E3"/>
    <w:rsid w:val="004126DA"/>
    <w:rsid w:val="0041273C"/>
    <w:rsid w:val="004127B5"/>
    <w:rsid w:val="00412833"/>
    <w:rsid w:val="0041285D"/>
    <w:rsid w:val="00412A3A"/>
    <w:rsid w:val="00412A73"/>
    <w:rsid w:val="00412A74"/>
    <w:rsid w:val="00412AB9"/>
    <w:rsid w:val="00412ABF"/>
    <w:rsid w:val="00412CB7"/>
    <w:rsid w:val="00412DF6"/>
    <w:rsid w:val="00412EE7"/>
    <w:rsid w:val="00412FE7"/>
    <w:rsid w:val="0041306A"/>
    <w:rsid w:val="00413223"/>
    <w:rsid w:val="004133CC"/>
    <w:rsid w:val="004133F9"/>
    <w:rsid w:val="00413432"/>
    <w:rsid w:val="0041350A"/>
    <w:rsid w:val="00413528"/>
    <w:rsid w:val="00413541"/>
    <w:rsid w:val="00413575"/>
    <w:rsid w:val="004135C1"/>
    <w:rsid w:val="0041364A"/>
    <w:rsid w:val="00413672"/>
    <w:rsid w:val="004136BF"/>
    <w:rsid w:val="004137A1"/>
    <w:rsid w:val="004137B7"/>
    <w:rsid w:val="00413852"/>
    <w:rsid w:val="0041385A"/>
    <w:rsid w:val="00413A80"/>
    <w:rsid w:val="00413AF6"/>
    <w:rsid w:val="00413C61"/>
    <w:rsid w:val="00413D17"/>
    <w:rsid w:val="00413D57"/>
    <w:rsid w:val="0041403F"/>
    <w:rsid w:val="004141A1"/>
    <w:rsid w:val="0041439E"/>
    <w:rsid w:val="004143B6"/>
    <w:rsid w:val="00414431"/>
    <w:rsid w:val="00414478"/>
    <w:rsid w:val="004148C2"/>
    <w:rsid w:val="00414978"/>
    <w:rsid w:val="004149D2"/>
    <w:rsid w:val="004149D4"/>
    <w:rsid w:val="004149F8"/>
    <w:rsid w:val="00414A81"/>
    <w:rsid w:val="00414AD9"/>
    <w:rsid w:val="00414B28"/>
    <w:rsid w:val="00414BC3"/>
    <w:rsid w:val="00414C8E"/>
    <w:rsid w:val="00414ECB"/>
    <w:rsid w:val="00414F25"/>
    <w:rsid w:val="00414F2B"/>
    <w:rsid w:val="00414F41"/>
    <w:rsid w:val="00414F70"/>
    <w:rsid w:val="00414FB2"/>
    <w:rsid w:val="00415083"/>
    <w:rsid w:val="00415196"/>
    <w:rsid w:val="00415239"/>
    <w:rsid w:val="004152F7"/>
    <w:rsid w:val="00415335"/>
    <w:rsid w:val="00415422"/>
    <w:rsid w:val="004154F6"/>
    <w:rsid w:val="004155D4"/>
    <w:rsid w:val="004156C5"/>
    <w:rsid w:val="004156DF"/>
    <w:rsid w:val="004157E1"/>
    <w:rsid w:val="004158A2"/>
    <w:rsid w:val="004159C7"/>
    <w:rsid w:val="00415A57"/>
    <w:rsid w:val="00415CF9"/>
    <w:rsid w:val="00415D5B"/>
    <w:rsid w:val="00415EA4"/>
    <w:rsid w:val="00415EBA"/>
    <w:rsid w:val="00415FE8"/>
    <w:rsid w:val="00416154"/>
    <w:rsid w:val="00416257"/>
    <w:rsid w:val="0041625E"/>
    <w:rsid w:val="00416294"/>
    <w:rsid w:val="00416538"/>
    <w:rsid w:val="00416898"/>
    <w:rsid w:val="004168A7"/>
    <w:rsid w:val="0041693E"/>
    <w:rsid w:val="0041697E"/>
    <w:rsid w:val="00416AF7"/>
    <w:rsid w:val="00416B70"/>
    <w:rsid w:val="00416CEB"/>
    <w:rsid w:val="00416D55"/>
    <w:rsid w:val="00416DA4"/>
    <w:rsid w:val="00416E5E"/>
    <w:rsid w:val="00416EC7"/>
    <w:rsid w:val="00416F6F"/>
    <w:rsid w:val="00416F78"/>
    <w:rsid w:val="00417076"/>
    <w:rsid w:val="00417108"/>
    <w:rsid w:val="00417275"/>
    <w:rsid w:val="004174C2"/>
    <w:rsid w:val="0041750B"/>
    <w:rsid w:val="00417648"/>
    <w:rsid w:val="00417689"/>
    <w:rsid w:val="00417814"/>
    <w:rsid w:val="00417977"/>
    <w:rsid w:val="00417A21"/>
    <w:rsid w:val="00417A99"/>
    <w:rsid w:val="00417B65"/>
    <w:rsid w:val="00417E48"/>
    <w:rsid w:val="00417E5E"/>
    <w:rsid w:val="00417E6A"/>
    <w:rsid w:val="00417F5B"/>
    <w:rsid w:val="004201A6"/>
    <w:rsid w:val="004205AC"/>
    <w:rsid w:val="004205B8"/>
    <w:rsid w:val="004206EC"/>
    <w:rsid w:val="0042078D"/>
    <w:rsid w:val="00420793"/>
    <w:rsid w:val="0042080C"/>
    <w:rsid w:val="0042081F"/>
    <w:rsid w:val="0042082C"/>
    <w:rsid w:val="004208C0"/>
    <w:rsid w:val="00420AE6"/>
    <w:rsid w:val="00420C11"/>
    <w:rsid w:val="00420D45"/>
    <w:rsid w:val="00420D50"/>
    <w:rsid w:val="00420D7E"/>
    <w:rsid w:val="0042105F"/>
    <w:rsid w:val="004212DF"/>
    <w:rsid w:val="0042131D"/>
    <w:rsid w:val="0042146D"/>
    <w:rsid w:val="0042172C"/>
    <w:rsid w:val="00421757"/>
    <w:rsid w:val="004217A3"/>
    <w:rsid w:val="004217C3"/>
    <w:rsid w:val="0042181E"/>
    <w:rsid w:val="00421871"/>
    <w:rsid w:val="00421899"/>
    <w:rsid w:val="00421A26"/>
    <w:rsid w:val="00421A68"/>
    <w:rsid w:val="00421C41"/>
    <w:rsid w:val="00421C81"/>
    <w:rsid w:val="00421C98"/>
    <w:rsid w:val="00421E08"/>
    <w:rsid w:val="00421E0B"/>
    <w:rsid w:val="00421F44"/>
    <w:rsid w:val="004222A4"/>
    <w:rsid w:val="004224F6"/>
    <w:rsid w:val="00422818"/>
    <w:rsid w:val="00422B55"/>
    <w:rsid w:val="00422C25"/>
    <w:rsid w:val="00422C2C"/>
    <w:rsid w:val="00422C72"/>
    <w:rsid w:val="00422D1D"/>
    <w:rsid w:val="00422D23"/>
    <w:rsid w:val="00422E59"/>
    <w:rsid w:val="00422E95"/>
    <w:rsid w:val="00422E99"/>
    <w:rsid w:val="00423047"/>
    <w:rsid w:val="0042305B"/>
    <w:rsid w:val="0042314F"/>
    <w:rsid w:val="00423182"/>
    <w:rsid w:val="00423409"/>
    <w:rsid w:val="00423689"/>
    <w:rsid w:val="0042378D"/>
    <w:rsid w:val="00423895"/>
    <w:rsid w:val="00423916"/>
    <w:rsid w:val="004239D5"/>
    <w:rsid w:val="00423A1D"/>
    <w:rsid w:val="00423B94"/>
    <w:rsid w:val="00423C6F"/>
    <w:rsid w:val="00423DE5"/>
    <w:rsid w:val="00423ECD"/>
    <w:rsid w:val="0042412D"/>
    <w:rsid w:val="004243E5"/>
    <w:rsid w:val="00424437"/>
    <w:rsid w:val="00424486"/>
    <w:rsid w:val="0042450A"/>
    <w:rsid w:val="0042461D"/>
    <w:rsid w:val="00424902"/>
    <w:rsid w:val="00424A0D"/>
    <w:rsid w:val="00424A18"/>
    <w:rsid w:val="00424A31"/>
    <w:rsid w:val="00424AE5"/>
    <w:rsid w:val="00424B2D"/>
    <w:rsid w:val="00424B38"/>
    <w:rsid w:val="00424B61"/>
    <w:rsid w:val="00424E2A"/>
    <w:rsid w:val="00424E38"/>
    <w:rsid w:val="0042504C"/>
    <w:rsid w:val="004251D2"/>
    <w:rsid w:val="004253C0"/>
    <w:rsid w:val="004256CC"/>
    <w:rsid w:val="004257AB"/>
    <w:rsid w:val="00425A5F"/>
    <w:rsid w:val="00425B02"/>
    <w:rsid w:val="00425B16"/>
    <w:rsid w:val="00425BFD"/>
    <w:rsid w:val="00425E27"/>
    <w:rsid w:val="00425EA1"/>
    <w:rsid w:val="00425F20"/>
    <w:rsid w:val="00425F59"/>
    <w:rsid w:val="004260AE"/>
    <w:rsid w:val="00426116"/>
    <w:rsid w:val="00426174"/>
    <w:rsid w:val="004261E1"/>
    <w:rsid w:val="00426301"/>
    <w:rsid w:val="0042641D"/>
    <w:rsid w:val="004265A6"/>
    <w:rsid w:val="0042660E"/>
    <w:rsid w:val="0042664F"/>
    <w:rsid w:val="00426738"/>
    <w:rsid w:val="00426755"/>
    <w:rsid w:val="004267E1"/>
    <w:rsid w:val="00426ACB"/>
    <w:rsid w:val="00426B84"/>
    <w:rsid w:val="00426D0D"/>
    <w:rsid w:val="00426E50"/>
    <w:rsid w:val="00426F00"/>
    <w:rsid w:val="0042705F"/>
    <w:rsid w:val="004270C0"/>
    <w:rsid w:val="00427104"/>
    <w:rsid w:val="00427105"/>
    <w:rsid w:val="0042715C"/>
    <w:rsid w:val="00427183"/>
    <w:rsid w:val="0042718A"/>
    <w:rsid w:val="004271B8"/>
    <w:rsid w:val="004271F8"/>
    <w:rsid w:val="00427304"/>
    <w:rsid w:val="0042732D"/>
    <w:rsid w:val="0042755A"/>
    <w:rsid w:val="004276B0"/>
    <w:rsid w:val="004276CD"/>
    <w:rsid w:val="004277BA"/>
    <w:rsid w:val="0042788A"/>
    <w:rsid w:val="004278E1"/>
    <w:rsid w:val="00427978"/>
    <w:rsid w:val="00427A11"/>
    <w:rsid w:val="00427A19"/>
    <w:rsid w:val="00427BBA"/>
    <w:rsid w:val="00427C1E"/>
    <w:rsid w:val="00427C21"/>
    <w:rsid w:val="00427C87"/>
    <w:rsid w:val="00427E04"/>
    <w:rsid w:val="00427F13"/>
    <w:rsid w:val="0043009E"/>
    <w:rsid w:val="004301D2"/>
    <w:rsid w:val="0043026B"/>
    <w:rsid w:val="004303CF"/>
    <w:rsid w:val="00430740"/>
    <w:rsid w:val="00430A7A"/>
    <w:rsid w:val="00430D44"/>
    <w:rsid w:val="00430D72"/>
    <w:rsid w:val="00430EAC"/>
    <w:rsid w:val="00430F93"/>
    <w:rsid w:val="0043129F"/>
    <w:rsid w:val="004313FB"/>
    <w:rsid w:val="0043140C"/>
    <w:rsid w:val="0043143B"/>
    <w:rsid w:val="00431503"/>
    <w:rsid w:val="00431572"/>
    <w:rsid w:val="004317C2"/>
    <w:rsid w:val="004317CD"/>
    <w:rsid w:val="00431913"/>
    <w:rsid w:val="0043198E"/>
    <w:rsid w:val="00431AC0"/>
    <w:rsid w:val="00431AC1"/>
    <w:rsid w:val="00431B0E"/>
    <w:rsid w:val="00431CC7"/>
    <w:rsid w:val="00431DDA"/>
    <w:rsid w:val="00431E37"/>
    <w:rsid w:val="00431F3A"/>
    <w:rsid w:val="00431FB3"/>
    <w:rsid w:val="0043205A"/>
    <w:rsid w:val="004321D4"/>
    <w:rsid w:val="0043223F"/>
    <w:rsid w:val="004324BC"/>
    <w:rsid w:val="0043253F"/>
    <w:rsid w:val="00432707"/>
    <w:rsid w:val="0043271C"/>
    <w:rsid w:val="00432774"/>
    <w:rsid w:val="00432777"/>
    <w:rsid w:val="004327D9"/>
    <w:rsid w:val="004328B7"/>
    <w:rsid w:val="00432AB1"/>
    <w:rsid w:val="00432C84"/>
    <w:rsid w:val="00432D8B"/>
    <w:rsid w:val="00432F36"/>
    <w:rsid w:val="00432F52"/>
    <w:rsid w:val="00433028"/>
    <w:rsid w:val="00433042"/>
    <w:rsid w:val="00433171"/>
    <w:rsid w:val="00433231"/>
    <w:rsid w:val="004333B7"/>
    <w:rsid w:val="00433466"/>
    <w:rsid w:val="00433560"/>
    <w:rsid w:val="004336AA"/>
    <w:rsid w:val="004336D6"/>
    <w:rsid w:val="0043378F"/>
    <w:rsid w:val="004337AE"/>
    <w:rsid w:val="00433877"/>
    <w:rsid w:val="004338D1"/>
    <w:rsid w:val="00433A33"/>
    <w:rsid w:val="00433AEB"/>
    <w:rsid w:val="00433B4E"/>
    <w:rsid w:val="00433BD3"/>
    <w:rsid w:val="00433C13"/>
    <w:rsid w:val="00433C82"/>
    <w:rsid w:val="00433D23"/>
    <w:rsid w:val="00433D85"/>
    <w:rsid w:val="00433DC1"/>
    <w:rsid w:val="00433F25"/>
    <w:rsid w:val="00434463"/>
    <w:rsid w:val="00434504"/>
    <w:rsid w:val="00434583"/>
    <w:rsid w:val="0043458F"/>
    <w:rsid w:val="004346A6"/>
    <w:rsid w:val="004346DF"/>
    <w:rsid w:val="00434755"/>
    <w:rsid w:val="00434767"/>
    <w:rsid w:val="004348CC"/>
    <w:rsid w:val="004348E4"/>
    <w:rsid w:val="0043490A"/>
    <w:rsid w:val="00434928"/>
    <w:rsid w:val="00434A85"/>
    <w:rsid w:val="00434C44"/>
    <w:rsid w:val="00434CC6"/>
    <w:rsid w:val="00434FD0"/>
    <w:rsid w:val="00435250"/>
    <w:rsid w:val="004353E0"/>
    <w:rsid w:val="0043543C"/>
    <w:rsid w:val="00435458"/>
    <w:rsid w:val="00435567"/>
    <w:rsid w:val="004355BA"/>
    <w:rsid w:val="004355FF"/>
    <w:rsid w:val="00435792"/>
    <w:rsid w:val="004357E8"/>
    <w:rsid w:val="004358B3"/>
    <w:rsid w:val="004359C8"/>
    <w:rsid w:val="00435B8C"/>
    <w:rsid w:val="00435CBB"/>
    <w:rsid w:val="00435D5B"/>
    <w:rsid w:val="00435E56"/>
    <w:rsid w:val="004360AA"/>
    <w:rsid w:val="004361D2"/>
    <w:rsid w:val="004363E1"/>
    <w:rsid w:val="00436493"/>
    <w:rsid w:val="00436496"/>
    <w:rsid w:val="004364C2"/>
    <w:rsid w:val="004366B0"/>
    <w:rsid w:val="004366BE"/>
    <w:rsid w:val="004366DE"/>
    <w:rsid w:val="0043681F"/>
    <w:rsid w:val="00436A53"/>
    <w:rsid w:val="00436A5D"/>
    <w:rsid w:val="00436C19"/>
    <w:rsid w:val="00436DE8"/>
    <w:rsid w:val="00436E03"/>
    <w:rsid w:val="00436E0A"/>
    <w:rsid w:val="00436F57"/>
    <w:rsid w:val="004371B9"/>
    <w:rsid w:val="00437342"/>
    <w:rsid w:val="0043737A"/>
    <w:rsid w:val="004373A1"/>
    <w:rsid w:val="0043752B"/>
    <w:rsid w:val="00437691"/>
    <w:rsid w:val="0043772A"/>
    <w:rsid w:val="004377CC"/>
    <w:rsid w:val="004378CE"/>
    <w:rsid w:val="00437A55"/>
    <w:rsid w:val="00437A65"/>
    <w:rsid w:val="00437AC4"/>
    <w:rsid w:val="00437ADC"/>
    <w:rsid w:val="00437AEF"/>
    <w:rsid w:val="00437B42"/>
    <w:rsid w:val="00437E09"/>
    <w:rsid w:val="00437EB7"/>
    <w:rsid w:val="00437FCE"/>
    <w:rsid w:val="00440074"/>
    <w:rsid w:val="0044015A"/>
    <w:rsid w:val="004401CC"/>
    <w:rsid w:val="0044034D"/>
    <w:rsid w:val="00440439"/>
    <w:rsid w:val="0044052B"/>
    <w:rsid w:val="00440622"/>
    <w:rsid w:val="0044066F"/>
    <w:rsid w:val="00440915"/>
    <w:rsid w:val="00440941"/>
    <w:rsid w:val="004409F7"/>
    <w:rsid w:val="00440A1B"/>
    <w:rsid w:val="00440A8F"/>
    <w:rsid w:val="00440AB9"/>
    <w:rsid w:val="00440CFC"/>
    <w:rsid w:val="00440D45"/>
    <w:rsid w:val="00440E9B"/>
    <w:rsid w:val="00441163"/>
    <w:rsid w:val="0044131C"/>
    <w:rsid w:val="00441379"/>
    <w:rsid w:val="0044138D"/>
    <w:rsid w:val="0044165B"/>
    <w:rsid w:val="004418D3"/>
    <w:rsid w:val="004419C2"/>
    <w:rsid w:val="00441A99"/>
    <w:rsid w:val="00441AEA"/>
    <w:rsid w:val="00441C37"/>
    <w:rsid w:val="00441CDE"/>
    <w:rsid w:val="004421E1"/>
    <w:rsid w:val="00442271"/>
    <w:rsid w:val="0044238F"/>
    <w:rsid w:val="004423B6"/>
    <w:rsid w:val="004423EC"/>
    <w:rsid w:val="004423FB"/>
    <w:rsid w:val="0044242E"/>
    <w:rsid w:val="004424DD"/>
    <w:rsid w:val="0044256B"/>
    <w:rsid w:val="00442714"/>
    <w:rsid w:val="004427F1"/>
    <w:rsid w:val="00442ADD"/>
    <w:rsid w:val="00442B22"/>
    <w:rsid w:val="00442C3B"/>
    <w:rsid w:val="00442D90"/>
    <w:rsid w:val="00442DE2"/>
    <w:rsid w:val="00442E4D"/>
    <w:rsid w:val="00442F19"/>
    <w:rsid w:val="00442F1F"/>
    <w:rsid w:val="00443074"/>
    <w:rsid w:val="00443174"/>
    <w:rsid w:val="00443228"/>
    <w:rsid w:val="004434CA"/>
    <w:rsid w:val="00443508"/>
    <w:rsid w:val="0044366B"/>
    <w:rsid w:val="0044369D"/>
    <w:rsid w:val="00443745"/>
    <w:rsid w:val="00443840"/>
    <w:rsid w:val="00443862"/>
    <w:rsid w:val="0044386A"/>
    <w:rsid w:val="0044389D"/>
    <w:rsid w:val="0044391E"/>
    <w:rsid w:val="00443B5E"/>
    <w:rsid w:val="00443B6B"/>
    <w:rsid w:val="00443C01"/>
    <w:rsid w:val="00443CBB"/>
    <w:rsid w:val="00443D4B"/>
    <w:rsid w:val="00443DF5"/>
    <w:rsid w:val="00443EBD"/>
    <w:rsid w:val="00443FA4"/>
    <w:rsid w:val="00444312"/>
    <w:rsid w:val="00444392"/>
    <w:rsid w:val="004443CB"/>
    <w:rsid w:val="00444455"/>
    <w:rsid w:val="0044478E"/>
    <w:rsid w:val="0044481A"/>
    <w:rsid w:val="0044483F"/>
    <w:rsid w:val="00444942"/>
    <w:rsid w:val="00444A4F"/>
    <w:rsid w:val="00444A6F"/>
    <w:rsid w:val="00444CC0"/>
    <w:rsid w:val="00444CDB"/>
    <w:rsid w:val="00444D05"/>
    <w:rsid w:val="00444DF0"/>
    <w:rsid w:val="00444E9D"/>
    <w:rsid w:val="00444EF2"/>
    <w:rsid w:val="00444F27"/>
    <w:rsid w:val="00444FC1"/>
    <w:rsid w:val="00445257"/>
    <w:rsid w:val="0044541B"/>
    <w:rsid w:val="00445421"/>
    <w:rsid w:val="00445467"/>
    <w:rsid w:val="004454DC"/>
    <w:rsid w:val="00445729"/>
    <w:rsid w:val="00445730"/>
    <w:rsid w:val="00445753"/>
    <w:rsid w:val="004457E4"/>
    <w:rsid w:val="00445810"/>
    <w:rsid w:val="00445945"/>
    <w:rsid w:val="00445A7F"/>
    <w:rsid w:val="00445B11"/>
    <w:rsid w:val="00445B30"/>
    <w:rsid w:val="00445B3A"/>
    <w:rsid w:val="00445BEF"/>
    <w:rsid w:val="00445CFC"/>
    <w:rsid w:val="00445DE9"/>
    <w:rsid w:val="00446070"/>
    <w:rsid w:val="00446079"/>
    <w:rsid w:val="004460F0"/>
    <w:rsid w:val="0044618C"/>
    <w:rsid w:val="0044626B"/>
    <w:rsid w:val="004462D5"/>
    <w:rsid w:val="00446388"/>
    <w:rsid w:val="004463DC"/>
    <w:rsid w:val="00446510"/>
    <w:rsid w:val="0044655B"/>
    <w:rsid w:val="004465B6"/>
    <w:rsid w:val="00446870"/>
    <w:rsid w:val="004469D6"/>
    <w:rsid w:val="00446B3D"/>
    <w:rsid w:val="00446F46"/>
    <w:rsid w:val="004470F8"/>
    <w:rsid w:val="0044714C"/>
    <w:rsid w:val="0044719B"/>
    <w:rsid w:val="0044719D"/>
    <w:rsid w:val="004472F0"/>
    <w:rsid w:val="00447407"/>
    <w:rsid w:val="004474A9"/>
    <w:rsid w:val="004475DD"/>
    <w:rsid w:val="0044784A"/>
    <w:rsid w:val="0044796D"/>
    <w:rsid w:val="00447B93"/>
    <w:rsid w:val="00447C65"/>
    <w:rsid w:val="00447CD3"/>
    <w:rsid w:val="00447F48"/>
    <w:rsid w:val="00447F4C"/>
    <w:rsid w:val="00447F4D"/>
    <w:rsid w:val="004500D3"/>
    <w:rsid w:val="0045013D"/>
    <w:rsid w:val="004501FC"/>
    <w:rsid w:val="004503E5"/>
    <w:rsid w:val="004503E9"/>
    <w:rsid w:val="0045042B"/>
    <w:rsid w:val="0045053A"/>
    <w:rsid w:val="0045066A"/>
    <w:rsid w:val="0045067D"/>
    <w:rsid w:val="0045069E"/>
    <w:rsid w:val="004506D7"/>
    <w:rsid w:val="00450811"/>
    <w:rsid w:val="0045096E"/>
    <w:rsid w:val="00450A1C"/>
    <w:rsid w:val="00450AD0"/>
    <w:rsid w:val="00450B4A"/>
    <w:rsid w:val="00450B94"/>
    <w:rsid w:val="00450B9C"/>
    <w:rsid w:val="00450BE6"/>
    <w:rsid w:val="00450D43"/>
    <w:rsid w:val="00450D94"/>
    <w:rsid w:val="00450EC7"/>
    <w:rsid w:val="00450F8A"/>
    <w:rsid w:val="00451020"/>
    <w:rsid w:val="004510B1"/>
    <w:rsid w:val="004510EA"/>
    <w:rsid w:val="00451214"/>
    <w:rsid w:val="0045136E"/>
    <w:rsid w:val="004513C0"/>
    <w:rsid w:val="004513DA"/>
    <w:rsid w:val="004513DB"/>
    <w:rsid w:val="0045162F"/>
    <w:rsid w:val="00451949"/>
    <w:rsid w:val="00451A28"/>
    <w:rsid w:val="00451B29"/>
    <w:rsid w:val="00451B8B"/>
    <w:rsid w:val="00451BFF"/>
    <w:rsid w:val="00451D20"/>
    <w:rsid w:val="00451F74"/>
    <w:rsid w:val="00451F86"/>
    <w:rsid w:val="00452271"/>
    <w:rsid w:val="00452469"/>
    <w:rsid w:val="00452554"/>
    <w:rsid w:val="004525B5"/>
    <w:rsid w:val="004525C0"/>
    <w:rsid w:val="0045266A"/>
    <w:rsid w:val="004529E5"/>
    <w:rsid w:val="00452A43"/>
    <w:rsid w:val="00452A54"/>
    <w:rsid w:val="00452B8F"/>
    <w:rsid w:val="00452C6D"/>
    <w:rsid w:val="00452D07"/>
    <w:rsid w:val="0045307D"/>
    <w:rsid w:val="0045366A"/>
    <w:rsid w:val="004536F7"/>
    <w:rsid w:val="00453897"/>
    <w:rsid w:val="004538DC"/>
    <w:rsid w:val="00453941"/>
    <w:rsid w:val="00453A3F"/>
    <w:rsid w:val="00453AB4"/>
    <w:rsid w:val="00453ABC"/>
    <w:rsid w:val="00453B78"/>
    <w:rsid w:val="00453BC2"/>
    <w:rsid w:val="00453C68"/>
    <w:rsid w:val="00453D2D"/>
    <w:rsid w:val="00453E7B"/>
    <w:rsid w:val="004540AE"/>
    <w:rsid w:val="0045436C"/>
    <w:rsid w:val="004543FA"/>
    <w:rsid w:val="0045453A"/>
    <w:rsid w:val="004545ED"/>
    <w:rsid w:val="004546F7"/>
    <w:rsid w:val="00454727"/>
    <w:rsid w:val="00454763"/>
    <w:rsid w:val="00454915"/>
    <w:rsid w:val="004549C7"/>
    <w:rsid w:val="00454B7A"/>
    <w:rsid w:val="00454CD0"/>
    <w:rsid w:val="00454CE4"/>
    <w:rsid w:val="00454E04"/>
    <w:rsid w:val="00454E1B"/>
    <w:rsid w:val="00454F4D"/>
    <w:rsid w:val="004550B0"/>
    <w:rsid w:val="004550F7"/>
    <w:rsid w:val="004553F3"/>
    <w:rsid w:val="00455439"/>
    <w:rsid w:val="00455445"/>
    <w:rsid w:val="00455572"/>
    <w:rsid w:val="0045564E"/>
    <w:rsid w:val="0045567D"/>
    <w:rsid w:val="00455700"/>
    <w:rsid w:val="0045574D"/>
    <w:rsid w:val="00455796"/>
    <w:rsid w:val="0045585E"/>
    <w:rsid w:val="004559EE"/>
    <w:rsid w:val="00455A1C"/>
    <w:rsid w:val="00455A7E"/>
    <w:rsid w:val="00455AA3"/>
    <w:rsid w:val="00455AF3"/>
    <w:rsid w:val="00455BFC"/>
    <w:rsid w:val="00455D12"/>
    <w:rsid w:val="00455E21"/>
    <w:rsid w:val="00455F4F"/>
    <w:rsid w:val="00455F5E"/>
    <w:rsid w:val="00455FB9"/>
    <w:rsid w:val="00455FD8"/>
    <w:rsid w:val="00456142"/>
    <w:rsid w:val="0045636B"/>
    <w:rsid w:val="0045642C"/>
    <w:rsid w:val="0045649C"/>
    <w:rsid w:val="004566CF"/>
    <w:rsid w:val="00456845"/>
    <w:rsid w:val="0045689B"/>
    <w:rsid w:val="00456A39"/>
    <w:rsid w:val="00456A7E"/>
    <w:rsid w:val="00456DF3"/>
    <w:rsid w:val="00456E30"/>
    <w:rsid w:val="00456EFC"/>
    <w:rsid w:val="00456FCE"/>
    <w:rsid w:val="004572A3"/>
    <w:rsid w:val="004572AB"/>
    <w:rsid w:val="004572B6"/>
    <w:rsid w:val="004572CC"/>
    <w:rsid w:val="00457400"/>
    <w:rsid w:val="00457498"/>
    <w:rsid w:val="004574CB"/>
    <w:rsid w:val="0045765D"/>
    <w:rsid w:val="004577E1"/>
    <w:rsid w:val="00457815"/>
    <w:rsid w:val="0045792F"/>
    <w:rsid w:val="00457B3B"/>
    <w:rsid w:val="00457DF5"/>
    <w:rsid w:val="00457F57"/>
    <w:rsid w:val="00460025"/>
    <w:rsid w:val="00460071"/>
    <w:rsid w:val="00460096"/>
    <w:rsid w:val="004600E1"/>
    <w:rsid w:val="00460168"/>
    <w:rsid w:val="004601A2"/>
    <w:rsid w:val="004601B5"/>
    <w:rsid w:val="004602B5"/>
    <w:rsid w:val="004603AC"/>
    <w:rsid w:val="00460528"/>
    <w:rsid w:val="0046058C"/>
    <w:rsid w:val="004605CF"/>
    <w:rsid w:val="00460732"/>
    <w:rsid w:val="00460975"/>
    <w:rsid w:val="004609C2"/>
    <w:rsid w:val="00460A9D"/>
    <w:rsid w:val="00460AA4"/>
    <w:rsid w:val="00460C13"/>
    <w:rsid w:val="00460D8F"/>
    <w:rsid w:val="00460DD3"/>
    <w:rsid w:val="0046103C"/>
    <w:rsid w:val="0046117C"/>
    <w:rsid w:val="004612AC"/>
    <w:rsid w:val="00461474"/>
    <w:rsid w:val="004614D2"/>
    <w:rsid w:val="00461847"/>
    <w:rsid w:val="00461936"/>
    <w:rsid w:val="00461D3E"/>
    <w:rsid w:val="00461E1B"/>
    <w:rsid w:val="00461FEC"/>
    <w:rsid w:val="00462030"/>
    <w:rsid w:val="004621A0"/>
    <w:rsid w:val="00462221"/>
    <w:rsid w:val="004622C6"/>
    <w:rsid w:val="00462312"/>
    <w:rsid w:val="00462321"/>
    <w:rsid w:val="00462331"/>
    <w:rsid w:val="00462375"/>
    <w:rsid w:val="0046249E"/>
    <w:rsid w:val="0046263D"/>
    <w:rsid w:val="00462661"/>
    <w:rsid w:val="0046282C"/>
    <w:rsid w:val="004629EF"/>
    <w:rsid w:val="00462A49"/>
    <w:rsid w:val="00462A92"/>
    <w:rsid w:val="00462BBC"/>
    <w:rsid w:val="00462BD2"/>
    <w:rsid w:val="00462E33"/>
    <w:rsid w:val="00462F21"/>
    <w:rsid w:val="0046311B"/>
    <w:rsid w:val="004631B0"/>
    <w:rsid w:val="004631C4"/>
    <w:rsid w:val="004633DE"/>
    <w:rsid w:val="0046349E"/>
    <w:rsid w:val="0046353A"/>
    <w:rsid w:val="00463593"/>
    <w:rsid w:val="0046362B"/>
    <w:rsid w:val="0046363B"/>
    <w:rsid w:val="00463824"/>
    <w:rsid w:val="0046389F"/>
    <w:rsid w:val="004638E4"/>
    <w:rsid w:val="00463BA4"/>
    <w:rsid w:val="00463CE8"/>
    <w:rsid w:val="00463DD4"/>
    <w:rsid w:val="00463E54"/>
    <w:rsid w:val="00463EB0"/>
    <w:rsid w:val="00463EE4"/>
    <w:rsid w:val="00464095"/>
    <w:rsid w:val="004640EE"/>
    <w:rsid w:val="00464134"/>
    <w:rsid w:val="0046424E"/>
    <w:rsid w:val="00464305"/>
    <w:rsid w:val="0046431F"/>
    <w:rsid w:val="00464376"/>
    <w:rsid w:val="004645E1"/>
    <w:rsid w:val="00464625"/>
    <w:rsid w:val="004646A6"/>
    <w:rsid w:val="004647F6"/>
    <w:rsid w:val="00464852"/>
    <w:rsid w:val="004649A3"/>
    <w:rsid w:val="00464B96"/>
    <w:rsid w:val="00464BDC"/>
    <w:rsid w:val="00464C17"/>
    <w:rsid w:val="00464CDA"/>
    <w:rsid w:val="00464EDB"/>
    <w:rsid w:val="00465054"/>
    <w:rsid w:val="004653E2"/>
    <w:rsid w:val="004654D1"/>
    <w:rsid w:val="00465571"/>
    <w:rsid w:val="0046560A"/>
    <w:rsid w:val="00465808"/>
    <w:rsid w:val="0046585D"/>
    <w:rsid w:val="004658A8"/>
    <w:rsid w:val="004659E5"/>
    <w:rsid w:val="00465A22"/>
    <w:rsid w:val="00465A65"/>
    <w:rsid w:val="00465D23"/>
    <w:rsid w:val="00465D31"/>
    <w:rsid w:val="00465E0B"/>
    <w:rsid w:val="00465E25"/>
    <w:rsid w:val="00465EB0"/>
    <w:rsid w:val="0046605B"/>
    <w:rsid w:val="00466062"/>
    <w:rsid w:val="004660DB"/>
    <w:rsid w:val="004661F0"/>
    <w:rsid w:val="0046620F"/>
    <w:rsid w:val="0046628B"/>
    <w:rsid w:val="004663A6"/>
    <w:rsid w:val="0046641F"/>
    <w:rsid w:val="004664B2"/>
    <w:rsid w:val="00466611"/>
    <w:rsid w:val="004666C2"/>
    <w:rsid w:val="004666ED"/>
    <w:rsid w:val="004667AD"/>
    <w:rsid w:val="004667EB"/>
    <w:rsid w:val="00466BBB"/>
    <w:rsid w:val="00466C84"/>
    <w:rsid w:val="00466C92"/>
    <w:rsid w:val="00466D0B"/>
    <w:rsid w:val="004670C4"/>
    <w:rsid w:val="004672B8"/>
    <w:rsid w:val="004672FF"/>
    <w:rsid w:val="00467489"/>
    <w:rsid w:val="004674B9"/>
    <w:rsid w:val="0046764C"/>
    <w:rsid w:val="004676D6"/>
    <w:rsid w:val="0046771A"/>
    <w:rsid w:val="00467772"/>
    <w:rsid w:val="004679E0"/>
    <w:rsid w:val="00467D6E"/>
    <w:rsid w:val="00467E75"/>
    <w:rsid w:val="00467EEE"/>
    <w:rsid w:val="00467F17"/>
    <w:rsid w:val="00470020"/>
    <w:rsid w:val="004700AD"/>
    <w:rsid w:val="004700B1"/>
    <w:rsid w:val="004701A5"/>
    <w:rsid w:val="004701D7"/>
    <w:rsid w:val="00470255"/>
    <w:rsid w:val="0047029A"/>
    <w:rsid w:val="004703F5"/>
    <w:rsid w:val="0047064E"/>
    <w:rsid w:val="00470659"/>
    <w:rsid w:val="0047069A"/>
    <w:rsid w:val="004707EC"/>
    <w:rsid w:val="0047096B"/>
    <w:rsid w:val="004709D5"/>
    <w:rsid w:val="00470C30"/>
    <w:rsid w:val="00470D13"/>
    <w:rsid w:val="00470D59"/>
    <w:rsid w:val="00470DFC"/>
    <w:rsid w:val="00470ED9"/>
    <w:rsid w:val="00470F41"/>
    <w:rsid w:val="00470F93"/>
    <w:rsid w:val="00470FD4"/>
    <w:rsid w:val="004710A0"/>
    <w:rsid w:val="004710D2"/>
    <w:rsid w:val="004713D7"/>
    <w:rsid w:val="00471422"/>
    <w:rsid w:val="004714B4"/>
    <w:rsid w:val="00471584"/>
    <w:rsid w:val="004715AD"/>
    <w:rsid w:val="004715AF"/>
    <w:rsid w:val="004715D8"/>
    <w:rsid w:val="00471641"/>
    <w:rsid w:val="00471841"/>
    <w:rsid w:val="00471870"/>
    <w:rsid w:val="0047190A"/>
    <w:rsid w:val="00471A4B"/>
    <w:rsid w:val="00471B15"/>
    <w:rsid w:val="00471C20"/>
    <w:rsid w:val="00471D38"/>
    <w:rsid w:val="00471DC0"/>
    <w:rsid w:val="00471E10"/>
    <w:rsid w:val="00471E8B"/>
    <w:rsid w:val="004720B1"/>
    <w:rsid w:val="004720BB"/>
    <w:rsid w:val="00472139"/>
    <w:rsid w:val="0047213C"/>
    <w:rsid w:val="0047217C"/>
    <w:rsid w:val="00472291"/>
    <w:rsid w:val="004722E8"/>
    <w:rsid w:val="004724AB"/>
    <w:rsid w:val="004724CF"/>
    <w:rsid w:val="00472596"/>
    <w:rsid w:val="004725D5"/>
    <w:rsid w:val="00472657"/>
    <w:rsid w:val="004729CB"/>
    <w:rsid w:val="00472A2F"/>
    <w:rsid w:val="00472B22"/>
    <w:rsid w:val="00472D53"/>
    <w:rsid w:val="00472ED9"/>
    <w:rsid w:val="00472EF9"/>
    <w:rsid w:val="00472F0C"/>
    <w:rsid w:val="00472F91"/>
    <w:rsid w:val="00472F98"/>
    <w:rsid w:val="004731F6"/>
    <w:rsid w:val="00473333"/>
    <w:rsid w:val="0047336C"/>
    <w:rsid w:val="0047340A"/>
    <w:rsid w:val="004735EB"/>
    <w:rsid w:val="0047368E"/>
    <w:rsid w:val="0047386C"/>
    <w:rsid w:val="004739CB"/>
    <w:rsid w:val="004739F7"/>
    <w:rsid w:val="00473A37"/>
    <w:rsid w:val="00473AD4"/>
    <w:rsid w:val="00473C70"/>
    <w:rsid w:val="00473D92"/>
    <w:rsid w:val="00473F14"/>
    <w:rsid w:val="00473F4F"/>
    <w:rsid w:val="00473F93"/>
    <w:rsid w:val="00473FF3"/>
    <w:rsid w:val="00473FF7"/>
    <w:rsid w:val="0047403D"/>
    <w:rsid w:val="0047424D"/>
    <w:rsid w:val="004744E7"/>
    <w:rsid w:val="0047457B"/>
    <w:rsid w:val="0047468A"/>
    <w:rsid w:val="004746B7"/>
    <w:rsid w:val="004746EB"/>
    <w:rsid w:val="004746F0"/>
    <w:rsid w:val="00474814"/>
    <w:rsid w:val="004748CA"/>
    <w:rsid w:val="004748DD"/>
    <w:rsid w:val="0047493B"/>
    <w:rsid w:val="00474BD4"/>
    <w:rsid w:val="00474C24"/>
    <w:rsid w:val="00474C8D"/>
    <w:rsid w:val="00474E37"/>
    <w:rsid w:val="00474E3A"/>
    <w:rsid w:val="00474F1C"/>
    <w:rsid w:val="00474F3A"/>
    <w:rsid w:val="004751F8"/>
    <w:rsid w:val="00475245"/>
    <w:rsid w:val="004752B7"/>
    <w:rsid w:val="004753FE"/>
    <w:rsid w:val="00475408"/>
    <w:rsid w:val="004754DA"/>
    <w:rsid w:val="004756A3"/>
    <w:rsid w:val="004756F3"/>
    <w:rsid w:val="004757AB"/>
    <w:rsid w:val="004758DC"/>
    <w:rsid w:val="00475947"/>
    <w:rsid w:val="00475A1D"/>
    <w:rsid w:val="00475ABA"/>
    <w:rsid w:val="00475B90"/>
    <w:rsid w:val="00475BEE"/>
    <w:rsid w:val="00475C54"/>
    <w:rsid w:val="00475CDC"/>
    <w:rsid w:val="00475D8C"/>
    <w:rsid w:val="00475E6D"/>
    <w:rsid w:val="0047609D"/>
    <w:rsid w:val="00476111"/>
    <w:rsid w:val="004761F6"/>
    <w:rsid w:val="0047627F"/>
    <w:rsid w:val="00476372"/>
    <w:rsid w:val="00476547"/>
    <w:rsid w:val="0047658D"/>
    <w:rsid w:val="004765B7"/>
    <w:rsid w:val="0047662C"/>
    <w:rsid w:val="004767FF"/>
    <w:rsid w:val="00476814"/>
    <w:rsid w:val="00476815"/>
    <w:rsid w:val="00476904"/>
    <w:rsid w:val="004769E3"/>
    <w:rsid w:val="00476A93"/>
    <w:rsid w:val="00476B84"/>
    <w:rsid w:val="00476CD3"/>
    <w:rsid w:val="00476DB7"/>
    <w:rsid w:val="00477040"/>
    <w:rsid w:val="00477047"/>
    <w:rsid w:val="00477122"/>
    <w:rsid w:val="004771A8"/>
    <w:rsid w:val="004774F7"/>
    <w:rsid w:val="004775E3"/>
    <w:rsid w:val="00477954"/>
    <w:rsid w:val="00477A82"/>
    <w:rsid w:val="00477B23"/>
    <w:rsid w:val="00477CE3"/>
    <w:rsid w:val="00477D8B"/>
    <w:rsid w:val="00477E9D"/>
    <w:rsid w:val="00477F38"/>
    <w:rsid w:val="00477F4E"/>
    <w:rsid w:val="00477F92"/>
    <w:rsid w:val="00477FAE"/>
    <w:rsid w:val="00480014"/>
    <w:rsid w:val="00480066"/>
    <w:rsid w:val="00480067"/>
    <w:rsid w:val="0048012A"/>
    <w:rsid w:val="00480133"/>
    <w:rsid w:val="00480151"/>
    <w:rsid w:val="00480166"/>
    <w:rsid w:val="00480310"/>
    <w:rsid w:val="004803EA"/>
    <w:rsid w:val="004804BD"/>
    <w:rsid w:val="004804C7"/>
    <w:rsid w:val="004804E2"/>
    <w:rsid w:val="004805C0"/>
    <w:rsid w:val="0048065E"/>
    <w:rsid w:val="004807BE"/>
    <w:rsid w:val="00480827"/>
    <w:rsid w:val="00480846"/>
    <w:rsid w:val="00480855"/>
    <w:rsid w:val="00480947"/>
    <w:rsid w:val="00480ADD"/>
    <w:rsid w:val="00480B41"/>
    <w:rsid w:val="00480B8F"/>
    <w:rsid w:val="00480EAE"/>
    <w:rsid w:val="00480F9A"/>
    <w:rsid w:val="00481089"/>
    <w:rsid w:val="0048119D"/>
    <w:rsid w:val="0048128F"/>
    <w:rsid w:val="0048133B"/>
    <w:rsid w:val="00481498"/>
    <w:rsid w:val="00481574"/>
    <w:rsid w:val="004816FE"/>
    <w:rsid w:val="004817C0"/>
    <w:rsid w:val="004817CF"/>
    <w:rsid w:val="0048197A"/>
    <w:rsid w:val="0048198B"/>
    <w:rsid w:val="00481C2B"/>
    <w:rsid w:val="00481C98"/>
    <w:rsid w:val="00481E62"/>
    <w:rsid w:val="00481F5A"/>
    <w:rsid w:val="00481F6A"/>
    <w:rsid w:val="00482302"/>
    <w:rsid w:val="00482342"/>
    <w:rsid w:val="00482548"/>
    <w:rsid w:val="0048265D"/>
    <w:rsid w:val="0048267A"/>
    <w:rsid w:val="004827DC"/>
    <w:rsid w:val="004828F6"/>
    <w:rsid w:val="00482D1A"/>
    <w:rsid w:val="00482D88"/>
    <w:rsid w:val="00482DF6"/>
    <w:rsid w:val="0048306C"/>
    <w:rsid w:val="00483153"/>
    <w:rsid w:val="00483288"/>
    <w:rsid w:val="004833AD"/>
    <w:rsid w:val="004833B8"/>
    <w:rsid w:val="00483401"/>
    <w:rsid w:val="00483541"/>
    <w:rsid w:val="004835AD"/>
    <w:rsid w:val="00483635"/>
    <w:rsid w:val="00483711"/>
    <w:rsid w:val="00483723"/>
    <w:rsid w:val="00483738"/>
    <w:rsid w:val="0048382E"/>
    <w:rsid w:val="0048385F"/>
    <w:rsid w:val="00483CC7"/>
    <w:rsid w:val="00483D0D"/>
    <w:rsid w:val="00483D9A"/>
    <w:rsid w:val="00483DB5"/>
    <w:rsid w:val="00483FB4"/>
    <w:rsid w:val="0048415E"/>
    <w:rsid w:val="00484461"/>
    <w:rsid w:val="0048464C"/>
    <w:rsid w:val="0048474D"/>
    <w:rsid w:val="004847BB"/>
    <w:rsid w:val="004847C6"/>
    <w:rsid w:val="0048482C"/>
    <w:rsid w:val="004849D4"/>
    <w:rsid w:val="00484BE9"/>
    <w:rsid w:val="00484C14"/>
    <w:rsid w:val="00484CF6"/>
    <w:rsid w:val="00485166"/>
    <w:rsid w:val="004851B5"/>
    <w:rsid w:val="004851BA"/>
    <w:rsid w:val="00485786"/>
    <w:rsid w:val="00485B6F"/>
    <w:rsid w:val="00485BAF"/>
    <w:rsid w:val="00485C2D"/>
    <w:rsid w:val="00485C43"/>
    <w:rsid w:val="00485C51"/>
    <w:rsid w:val="00485DAC"/>
    <w:rsid w:val="00485DF1"/>
    <w:rsid w:val="00485F51"/>
    <w:rsid w:val="00486001"/>
    <w:rsid w:val="00486004"/>
    <w:rsid w:val="00486142"/>
    <w:rsid w:val="004861C6"/>
    <w:rsid w:val="0048625E"/>
    <w:rsid w:val="00486313"/>
    <w:rsid w:val="00486597"/>
    <w:rsid w:val="004868BC"/>
    <w:rsid w:val="00486C26"/>
    <w:rsid w:val="00486C69"/>
    <w:rsid w:val="00486D9F"/>
    <w:rsid w:val="00486E44"/>
    <w:rsid w:val="00486F51"/>
    <w:rsid w:val="00486F96"/>
    <w:rsid w:val="00486FBD"/>
    <w:rsid w:val="00487085"/>
    <w:rsid w:val="004870B0"/>
    <w:rsid w:val="004870F9"/>
    <w:rsid w:val="004871C8"/>
    <w:rsid w:val="004871F0"/>
    <w:rsid w:val="00487209"/>
    <w:rsid w:val="00487223"/>
    <w:rsid w:val="0048731A"/>
    <w:rsid w:val="00487335"/>
    <w:rsid w:val="00487384"/>
    <w:rsid w:val="004875F1"/>
    <w:rsid w:val="004876DE"/>
    <w:rsid w:val="0048776C"/>
    <w:rsid w:val="00487834"/>
    <w:rsid w:val="00487907"/>
    <w:rsid w:val="00487926"/>
    <w:rsid w:val="00487B51"/>
    <w:rsid w:val="00487DB0"/>
    <w:rsid w:val="00487DD5"/>
    <w:rsid w:val="00487E93"/>
    <w:rsid w:val="00490085"/>
    <w:rsid w:val="00490087"/>
    <w:rsid w:val="004901B1"/>
    <w:rsid w:val="00490202"/>
    <w:rsid w:val="004905F4"/>
    <w:rsid w:val="0049060B"/>
    <w:rsid w:val="00490619"/>
    <w:rsid w:val="004906F5"/>
    <w:rsid w:val="0049086E"/>
    <w:rsid w:val="004908B4"/>
    <w:rsid w:val="004909B3"/>
    <w:rsid w:val="00490A21"/>
    <w:rsid w:val="00490CA7"/>
    <w:rsid w:val="00490E1C"/>
    <w:rsid w:val="00490EBA"/>
    <w:rsid w:val="00490FE5"/>
    <w:rsid w:val="004910CD"/>
    <w:rsid w:val="004912B9"/>
    <w:rsid w:val="004912BE"/>
    <w:rsid w:val="00491366"/>
    <w:rsid w:val="004913E9"/>
    <w:rsid w:val="004915A5"/>
    <w:rsid w:val="0049175B"/>
    <w:rsid w:val="00491798"/>
    <w:rsid w:val="00491858"/>
    <w:rsid w:val="0049196B"/>
    <w:rsid w:val="004919A4"/>
    <w:rsid w:val="00491E38"/>
    <w:rsid w:val="00491E50"/>
    <w:rsid w:val="00491EAE"/>
    <w:rsid w:val="00491EBC"/>
    <w:rsid w:val="00491F86"/>
    <w:rsid w:val="00492013"/>
    <w:rsid w:val="00492220"/>
    <w:rsid w:val="0049230E"/>
    <w:rsid w:val="0049239F"/>
    <w:rsid w:val="0049243E"/>
    <w:rsid w:val="004925C2"/>
    <w:rsid w:val="00492685"/>
    <w:rsid w:val="004926AD"/>
    <w:rsid w:val="004926CE"/>
    <w:rsid w:val="004927F7"/>
    <w:rsid w:val="004929E6"/>
    <w:rsid w:val="00492A29"/>
    <w:rsid w:val="00492EF1"/>
    <w:rsid w:val="00492F3D"/>
    <w:rsid w:val="00492F4D"/>
    <w:rsid w:val="00493006"/>
    <w:rsid w:val="0049331D"/>
    <w:rsid w:val="004933BD"/>
    <w:rsid w:val="00493436"/>
    <w:rsid w:val="004935EC"/>
    <w:rsid w:val="0049375D"/>
    <w:rsid w:val="00493764"/>
    <w:rsid w:val="00493817"/>
    <w:rsid w:val="00493867"/>
    <w:rsid w:val="004939C6"/>
    <w:rsid w:val="004939EB"/>
    <w:rsid w:val="00493A89"/>
    <w:rsid w:val="00493B18"/>
    <w:rsid w:val="00493B32"/>
    <w:rsid w:val="00493C06"/>
    <w:rsid w:val="00493C99"/>
    <w:rsid w:val="00493E45"/>
    <w:rsid w:val="00494015"/>
    <w:rsid w:val="0049409B"/>
    <w:rsid w:val="004942B9"/>
    <w:rsid w:val="0049453C"/>
    <w:rsid w:val="00494689"/>
    <w:rsid w:val="004947C4"/>
    <w:rsid w:val="0049499C"/>
    <w:rsid w:val="00494B72"/>
    <w:rsid w:val="00494C5C"/>
    <w:rsid w:val="00494DEF"/>
    <w:rsid w:val="00494DF9"/>
    <w:rsid w:val="00494FD7"/>
    <w:rsid w:val="00495014"/>
    <w:rsid w:val="00495055"/>
    <w:rsid w:val="004950BC"/>
    <w:rsid w:val="00495124"/>
    <w:rsid w:val="00495189"/>
    <w:rsid w:val="004951F8"/>
    <w:rsid w:val="00495449"/>
    <w:rsid w:val="004954C7"/>
    <w:rsid w:val="004956B6"/>
    <w:rsid w:val="00495784"/>
    <w:rsid w:val="004959EF"/>
    <w:rsid w:val="00495A5F"/>
    <w:rsid w:val="00495D36"/>
    <w:rsid w:val="00495F03"/>
    <w:rsid w:val="00495FE2"/>
    <w:rsid w:val="00496112"/>
    <w:rsid w:val="00496162"/>
    <w:rsid w:val="0049625A"/>
    <w:rsid w:val="00496285"/>
    <w:rsid w:val="004964F4"/>
    <w:rsid w:val="00496581"/>
    <w:rsid w:val="0049680F"/>
    <w:rsid w:val="0049684D"/>
    <w:rsid w:val="004969F2"/>
    <w:rsid w:val="00496C98"/>
    <w:rsid w:val="00496E7B"/>
    <w:rsid w:val="00496EE8"/>
    <w:rsid w:val="0049709A"/>
    <w:rsid w:val="004970BC"/>
    <w:rsid w:val="0049727F"/>
    <w:rsid w:val="004972BF"/>
    <w:rsid w:val="00497317"/>
    <w:rsid w:val="00497378"/>
    <w:rsid w:val="0049741B"/>
    <w:rsid w:val="0049742E"/>
    <w:rsid w:val="004974F7"/>
    <w:rsid w:val="00497537"/>
    <w:rsid w:val="0049754B"/>
    <w:rsid w:val="00497656"/>
    <w:rsid w:val="004978C6"/>
    <w:rsid w:val="00497C37"/>
    <w:rsid w:val="00497C4C"/>
    <w:rsid w:val="00497D66"/>
    <w:rsid w:val="00497D92"/>
    <w:rsid w:val="00497E6E"/>
    <w:rsid w:val="00497E79"/>
    <w:rsid w:val="00497F68"/>
    <w:rsid w:val="00497FCA"/>
    <w:rsid w:val="004A02A2"/>
    <w:rsid w:val="004A042D"/>
    <w:rsid w:val="004A05BF"/>
    <w:rsid w:val="004A05F5"/>
    <w:rsid w:val="004A06EA"/>
    <w:rsid w:val="004A0707"/>
    <w:rsid w:val="004A0790"/>
    <w:rsid w:val="004A0897"/>
    <w:rsid w:val="004A08E2"/>
    <w:rsid w:val="004A0925"/>
    <w:rsid w:val="004A0C53"/>
    <w:rsid w:val="004A0DAB"/>
    <w:rsid w:val="004A0E94"/>
    <w:rsid w:val="004A1271"/>
    <w:rsid w:val="004A1433"/>
    <w:rsid w:val="004A1717"/>
    <w:rsid w:val="004A1768"/>
    <w:rsid w:val="004A177B"/>
    <w:rsid w:val="004A182C"/>
    <w:rsid w:val="004A19BD"/>
    <w:rsid w:val="004A1B12"/>
    <w:rsid w:val="004A1B4C"/>
    <w:rsid w:val="004A1C1A"/>
    <w:rsid w:val="004A214A"/>
    <w:rsid w:val="004A2230"/>
    <w:rsid w:val="004A22ED"/>
    <w:rsid w:val="004A2341"/>
    <w:rsid w:val="004A23D8"/>
    <w:rsid w:val="004A252C"/>
    <w:rsid w:val="004A25E1"/>
    <w:rsid w:val="004A28E9"/>
    <w:rsid w:val="004A28FA"/>
    <w:rsid w:val="004A29C6"/>
    <w:rsid w:val="004A2A84"/>
    <w:rsid w:val="004A2ADB"/>
    <w:rsid w:val="004A2B13"/>
    <w:rsid w:val="004A2B2C"/>
    <w:rsid w:val="004A2B34"/>
    <w:rsid w:val="004A2B8E"/>
    <w:rsid w:val="004A2CDC"/>
    <w:rsid w:val="004A2D74"/>
    <w:rsid w:val="004A2E32"/>
    <w:rsid w:val="004A311E"/>
    <w:rsid w:val="004A3166"/>
    <w:rsid w:val="004A319A"/>
    <w:rsid w:val="004A31CB"/>
    <w:rsid w:val="004A327B"/>
    <w:rsid w:val="004A3318"/>
    <w:rsid w:val="004A3439"/>
    <w:rsid w:val="004A3487"/>
    <w:rsid w:val="004A34F1"/>
    <w:rsid w:val="004A35FE"/>
    <w:rsid w:val="004A3639"/>
    <w:rsid w:val="004A366E"/>
    <w:rsid w:val="004A378E"/>
    <w:rsid w:val="004A3808"/>
    <w:rsid w:val="004A38F3"/>
    <w:rsid w:val="004A3B4F"/>
    <w:rsid w:val="004A3C1D"/>
    <w:rsid w:val="004A3CB7"/>
    <w:rsid w:val="004A3D4F"/>
    <w:rsid w:val="004A3D61"/>
    <w:rsid w:val="004A3F48"/>
    <w:rsid w:val="004A423C"/>
    <w:rsid w:val="004A440A"/>
    <w:rsid w:val="004A441B"/>
    <w:rsid w:val="004A443A"/>
    <w:rsid w:val="004A443D"/>
    <w:rsid w:val="004A44D8"/>
    <w:rsid w:val="004A45B1"/>
    <w:rsid w:val="004A4718"/>
    <w:rsid w:val="004A49C3"/>
    <w:rsid w:val="004A4A98"/>
    <w:rsid w:val="004A4B0A"/>
    <w:rsid w:val="004A4C13"/>
    <w:rsid w:val="004A4D7A"/>
    <w:rsid w:val="004A4F01"/>
    <w:rsid w:val="004A4F1D"/>
    <w:rsid w:val="004A5084"/>
    <w:rsid w:val="004A50D7"/>
    <w:rsid w:val="004A522A"/>
    <w:rsid w:val="004A5307"/>
    <w:rsid w:val="004A54B5"/>
    <w:rsid w:val="004A56BB"/>
    <w:rsid w:val="004A5748"/>
    <w:rsid w:val="004A574B"/>
    <w:rsid w:val="004A5756"/>
    <w:rsid w:val="004A5809"/>
    <w:rsid w:val="004A5908"/>
    <w:rsid w:val="004A5A2D"/>
    <w:rsid w:val="004A5C37"/>
    <w:rsid w:val="004A5C52"/>
    <w:rsid w:val="004A5CF2"/>
    <w:rsid w:val="004A5CF8"/>
    <w:rsid w:val="004A5D52"/>
    <w:rsid w:val="004A6003"/>
    <w:rsid w:val="004A6045"/>
    <w:rsid w:val="004A607B"/>
    <w:rsid w:val="004A6247"/>
    <w:rsid w:val="004A6366"/>
    <w:rsid w:val="004A6538"/>
    <w:rsid w:val="004A668D"/>
    <w:rsid w:val="004A679A"/>
    <w:rsid w:val="004A68C6"/>
    <w:rsid w:val="004A68F5"/>
    <w:rsid w:val="004A6914"/>
    <w:rsid w:val="004A6931"/>
    <w:rsid w:val="004A6C12"/>
    <w:rsid w:val="004A6C67"/>
    <w:rsid w:val="004A6D60"/>
    <w:rsid w:val="004A6DFF"/>
    <w:rsid w:val="004A6EAE"/>
    <w:rsid w:val="004A7037"/>
    <w:rsid w:val="004A70A6"/>
    <w:rsid w:val="004A70E3"/>
    <w:rsid w:val="004A713B"/>
    <w:rsid w:val="004A7164"/>
    <w:rsid w:val="004A72B4"/>
    <w:rsid w:val="004A7355"/>
    <w:rsid w:val="004A7373"/>
    <w:rsid w:val="004A73FE"/>
    <w:rsid w:val="004A7426"/>
    <w:rsid w:val="004A742D"/>
    <w:rsid w:val="004A744E"/>
    <w:rsid w:val="004A7450"/>
    <w:rsid w:val="004A75BF"/>
    <w:rsid w:val="004A77CF"/>
    <w:rsid w:val="004A78A2"/>
    <w:rsid w:val="004A7949"/>
    <w:rsid w:val="004A79B7"/>
    <w:rsid w:val="004A7A4C"/>
    <w:rsid w:val="004A7A7D"/>
    <w:rsid w:val="004A7AE9"/>
    <w:rsid w:val="004A7B70"/>
    <w:rsid w:val="004A7C88"/>
    <w:rsid w:val="004A7CCB"/>
    <w:rsid w:val="004A7D27"/>
    <w:rsid w:val="004A7D3A"/>
    <w:rsid w:val="004A7D62"/>
    <w:rsid w:val="004A7E83"/>
    <w:rsid w:val="004B0193"/>
    <w:rsid w:val="004B021C"/>
    <w:rsid w:val="004B037D"/>
    <w:rsid w:val="004B0382"/>
    <w:rsid w:val="004B03F6"/>
    <w:rsid w:val="004B06BA"/>
    <w:rsid w:val="004B0800"/>
    <w:rsid w:val="004B0804"/>
    <w:rsid w:val="004B0B54"/>
    <w:rsid w:val="004B0B73"/>
    <w:rsid w:val="004B0BC5"/>
    <w:rsid w:val="004B0CA6"/>
    <w:rsid w:val="004B0CBD"/>
    <w:rsid w:val="004B0DE7"/>
    <w:rsid w:val="004B0E3B"/>
    <w:rsid w:val="004B1172"/>
    <w:rsid w:val="004B11E8"/>
    <w:rsid w:val="004B1330"/>
    <w:rsid w:val="004B1334"/>
    <w:rsid w:val="004B156B"/>
    <w:rsid w:val="004B163C"/>
    <w:rsid w:val="004B1686"/>
    <w:rsid w:val="004B168E"/>
    <w:rsid w:val="004B16F4"/>
    <w:rsid w:val="004B1709"/>
    <w:rsid w:val="004B17CD"/>
    <w:rsid w:val="004B196F"/>
    <w:rsid w:val="004B1A7E"/>
    <w:rsid w:val="004B1B02"/>
    <w:rsid w:val="004B1CDD"/>
    <w:rsid w:val="004B1D36"/>
    <w:rsid w:val="004B1FD9"/>
    <w:rsid w:val="004B2016"/>
    <w:rsid w:val="004B23AF"/>
    <w:rsid w:val="004B253A"/>
    <w:rsid w:val="004B26B1"/>
    <w:rsid w:val="004B271C"/>
    <w:rsid w:val="004B2756"/>
    <w:rsid w:val="004B2800"/>
    <w:rsid w:val="004B2969"/>
    <w:rsid w:val="004B2A78"/>
    <w:rsid w:val="004B2BEC"/>
    <w:rsid w:val="004B2C7A"/>
    <w:rsid w:val="004B2D1F"/>
    <w:rsid w:val="004B2DED"/>
    <w:rsid w:val="004B2E19"/>
    <w:rsid w:val="004B2F42"/>
    <w:rsid w:val="004B3033"/>
    <w:rsid w:val="004B319B"/>
    <w:rsid w:val="004B33DB"/>
    <w:rsid w:val="004B33F8"/>
    <w:rsid w:val="004B34F7"/>
    <w:rsid w:val="004B3567"/>
    <w:rsid w:val="004B35F3"/>
    <w:rsid w:val="004B3600"/>
    <w:rsid w:val="004B363E"/>
    <w:rsid w:val="004B3824"/>
    <w:rsid w:val="004B387B"/>
    <w:rsid w:val="004B3B32"/>
    <w:rsid w:val="004B3B5E"/>
    <w:rsid w:val="004B3B8E"/>
    <w:rsid w:val="004B3BD3"/>
    <w:rsid w:val="004B3C71"/>
    <w:rsid w:val="004B3CA5"/>
    <w:rsid w:val="004B3CA7"/>
    <w:rsid w:val="004B3D12"/>
    <w:rsid w:val="004B3E38"/>
    <w:rsid w:val="004B3F8B"/>
    <w:rsid w:val="004B3FD7"/>
    <w:rsid w:val="004B4046"/>
    <w:rsid w:val="004B41CE"/>
    <w:rsid w:val="004B44AA"/>
    <w:rsid w:val="004B4566"/>
    <w:rsid w:val="004B45AC"/>
    <w:rsid w:val="004B4680"/>
    <w:rsid w:val="004B47A6"/>
    <w:rsid w:val="004B4893"/>
    <w:rsid w:val="004B495A"/>
    <w:rsid w:val="004B4961"/>
    <w:rsid w:val="004B4972"/>
    <w:rsid w:val="004B49C3"/>
    <w:rsid w:val="004B4A12"/>
    <w:rsid w:val="004B4AF5"/>
    <w:rsid w:val="004B4C01"/>
    <w:rsid w:val="004B4C58"/>
    <w:rsid w:val="004B4C79"/>
    <w:rsid w:val="004B4CD1"/>
    <w:rsid w:val="004B4E3B"/>
    <w:rsid w:val="004B5025"/>
    <w:rsid w:val="004B5064"/>
    <w:rsid w:val="004B510E"/>
    <w:rsid w:val="004B5282"/>
    <w:rsid w:val="004B558E"/>
    <w:rsid w:val="004B56B0"/>
    <w:rsid w:val="004B56D4"/>
    <w:rsid w:val="004B599F"/>
    <w:rsid w:val="004B5C51"/>
    <w:rsid w:val="004B5D4F"/>
    <w:rsid w:val="004B607B"/>
    <w:rsid w:val="004B61D5"/>
    <w:rsid w:val="004B62AD"/>
    <w:rsid w:val="004B641B"/>
    <w:rsid w:val="004B6529"/>
    <w:rsid w:val="004B656F"/>
    <w:rsid w:val="004B65F5"/>
    <w:rsid w:val="004B687A"/>
    <w:rsid w:val="004B6964"/>
    <w:rsid w:val="004B6996"/>
    <w:rsid w:val="004B69A3"/>
    <w:rsid w:val="004B6A1C"/>
    <w:rsid w:val="004B6A5B"/>
    <w:rsid w:val="004B6BC9"/>
    <w:rsid w:val="004B6C01"/>
    <w:rsid w:val="004B6D3F"/>
    <w:rsid w:val="004B6DC2"/>
    <w:rsid w:val="004B6E96"/>
    <w:rsid w:val="004B6FE4"/>
    <w:rsid w:val="004B7088"/>
    <w:rsid w:val="004B709E"/>
    <w:rsid w:val="004B722C"/>
    <w:rsid w:val="004B741A"/>
    <w:rsid w:val="004B7474"/>
    <w:rsid w:val="004B750E"/>
    <w:rsid w:val="004B76B0"/>
    <w:rsid w:val="004B7776"/>
    <w:rsid w:val="004B7820"/>
    <w:rsid w:val="004B784B"/>
    <w:rsid w:val="004B7AA5"/>
    <w:rsid w:val="004B7B3D"/>
    <w:rsid w:val="004B7BD1"/>
    <w:rsid w:val="004B7BF0"/>
    <w:rsid w:val="004B7CAA"/>
    <w:rsid w:val="004B7D3E"/>
    <w:rsid w:val="004B7E16"/>
    <w:rsid w:val="004B7FB1"/>
    <w:rsid w:val="004C007E"/>
    <w:rsid w:val="004C01B8"/>
    <w:rsid w:val="004C01C6"/>
    <w:rsid w:val="004C01F4"/>
    <w:rsid w:val="004C01F9"/>
    <w:rsid w:val="004C024D"/>
    <w:rsid w:val="004C027E"/>
    <w:rsid w:val="004C0280"/>
    <w:rsid w:val="004C0334"/>
    <w:rsid w:val="004C03E6"/>
    <w:rsid w:val="004C041F"/>
    <w:rsid w:val="004C0455"/>
    <w:rsid w:val="004C046C"/>
    <w:rsid w:val="004C05FB"/>
    <w:rsid w:val="004C063C"/>
    <w:rsid w:val="004C0676"/>
    <w:rsid w:val="004C088C"/>
    <w:rsid w:val="004C0A82"/>
    <w:rsid w:val="004C0C27"/>
    <w:rsid w:val="004C0D0D"/>
    <w:rsid w:val="004C0DD3"/>
    <w:rsid w:val="004C0EA7"/>
    <w:rsid w:val="004C0EE6"/>
    <w:rsid w:val="004C0F2D"/>
    <w:rsid w:val="004C1010"/>
    <w:rsid w:val="004C1119"/>
    <w:rsid w:val="004C112B"/>
    <w:rsid w:val="004C113C"/>
    <w:rsid w:val="004C1234"/>
    <w:rsid w:val="004C1321"/>
    <w:rsid w:val="004C132F"/>
    <w:rsid w:val="004C1392"/>
    <w:rsid w:val="004C14D9"/>
    <w:rsid w:val="004C14FA"/>
    <w:rsid w:val="004C1543"/>
    <w:rsid w:val="004C1592"/>
    <w:rsid w:val="004C1599"/>
    <w:rsid w:val="004C159A"/>
    <w:rsid w:val="004C1650"/>
    <w:rsid w:val="004C18DD"/>
    <w:rsid w:val="004C19C2"/>
    <w:rsid w:val="004C19C5"/>
    <w:rsid w:val="004C1B6F"/>
    <w:rsid w:val="004C1BF3"/>
    <w:rsid w:val="004C1C4E"/>
    <w:rsid w:val="004C1D1D"/>
    <w:rsid w:val="004C1E70"/>
    <w:rsid w:val="004C1ED2"/>
    <w:rsid w:val="004C2207"/>
    <w:rsid w:val="004C24A5"/>
    <w:rsid w:val="004C252E"/>
    <w:rsid w:val="004C253B"/>
    <w:rsid w:val="004C25B1"/>
    <w:rsid w:val="004C25D4"/>
    <w:rsid w:val="004C26DF"/>
    <w:rsid w:val="004C2710"/>
    <w:rsid w:val="004C2729"/>
    <w:rsid w:val="004C272E"/>
    <w:rsid w:val="004C2808"/>
    <w:rsid w:val="004C2970"/>
    <w:rsid w:val="004C298F"/>
    <w:rsid w:val="004C2A56"/>
    <w:rsid w:val="004C2BAC"/>
    <w:rsid w:val="004C2C01"/>
    <w:rsid w:val="004C2CA1"/>
    <w:rsid w:val="004C2DF7"/>
    <w:rsid w:val="004C2E33"/>
    <w:rsid w:val="004C3051"/>
    <w:rsid w:val="004C3066"/>
    <w:rsid w:val="004C319E"/>
    <w:rsid w:val="004C31D5"/>
    <w:rsid w:val="004C31E3"/>
    <w:rsid w:val="004C3225"/>
    <w:rsid w:val="004C32B4"/>
    <w:rsid w:val="004C3348"/>
    <w:rsid w:val="004C334E"/>
    <w:rsid w:val="004C3462"/>
    <w:rsid w:val="004C34E7"/>
    <w:rsid w:val="004C34F5"/>
    <w:rsid w:val="004C36B3"/>
    <w:rsid w:val="004C3748"/>
    <w:rsid w:val="004C38A3"/>
    <w:rsid w:val="004C38C2"/>
    <w:rsid w:val="004C3A1B"/>
    <w:rsid w:val="004C3A79"/>
    <w:rsid w:val="004C3B7E"/>
    <w:rsid w:val="004C3C50"/>
    <w:rsid w:val="004C3CEF"/>
    <w:rsid w:val="004C3D31"/>
    <w:rsid w:val="004C3ED3"/>
    <w:rsid w:val="004C3FD4"/>
    <w:rsid w:val="004C4011"/>
    <w:rsid w:val="004C4107"/>
    <w:rsid w:val="004C41BA"/>
    <w:rsid w:val="004C4708"/>
    <w:rsid w:val="004C4910"/>
    <w:rsid w:val="004C4A11"/>
    <w:rsid w:val="004C4A4F"/>
    <w:rsid w:val="004C4AFE"/>
    <w:rsid w:val="004C4C48"/>
    <w:rsid w:val="004C4CA4"/>
    <w:rsid w:val="004C4CEC"/>
    <w:rsid w:val="004C4D0E"/>
    <w:rsid w:val="004C4DC9"/>
    <w:rsid w:val="004C4DF4"/>
    <w:rsid w:val="004C4E8D"/>
    <w:rsid w:val="004C4EDE"/>
    <w:rsid w:val="004C4F5E"/>
    <w:rsid w:val="004C5020"/>
    <w:rsid w:val="004C5030"/>
    <w:rsid w:val="004C50C6"/>
    <w:rsid w:val="004C50E9"/>
    <w:rsid w:val="004C5153"/>
    <w:rsid w:val="004C51C0"/>
    <w:rsid w:val="004C53EE"/>
    <w:rsid w:val="004C5689"/>
    <w:rsid w:val="004C57AA"/>
    <w:rsid w:val="004C5975"/>
    <w:rsid w:val="004C5AB1"/>
    <w:rsid w:val="004C5ACE"/>
    <w:rsid w:val="004C5B33"/>
    <w:rsid w:val="004C5B5D"/>
    <w:rsid w:val="004C5C2F"/>
    <w:rsid w:val="004C5D83"/>
    <w:rsid w:val="004C5DD5"/>
    <w:rsid w:val="004C5DE5"/>
    <w:rsid w:val="004C5E48"/>
    <w:rsid w:val="004C5F53"/>
    <w:rsid w:val="004C5F6B"/>
    <w:rsid w:val="004C5F88"/>
    <w:rsid w:val="004C600B"/>
    <w:rsid w:val="004C6134"/>
    <w:rsid w:val="004C615F"/>
    <w:rsid w:val="004C6188"/>
    <w:rsid w:val="004C6208"/>
    <w:rsid w:val="004C64E5"/>
    <w:rsid w:val="004C6550"/>
    <w:rsid w:val="004C6572"/>
    <w:rsid w:val="004C659B"/>
    <w:rsid w:val="004C6625"/>
    <w:rsid w:val="004C665E"/>
    <w:rsid w:val="004C6713"/>
    <w:rsid w:val="004C6728"/>
    <w:rsid w:val="004C6964"/>
    <w:rsid w:val="004C69F5"/>
    <w:rsid w:val="004C6A35"/>
    <w:rsid w:val="004C6B4F"/>
    <w:rsid w:val="004C6B82"/>
    <w:rsid w:val="004C6B86"/>
    <w:rsid w:val="004C6B97"/>
    <w:rsid w:val="004C6BAA"/>
    <w:rsid w:val="004C6D71"/>
    <w:rsid w:val="004C6D88"/>
    <w:rsid w:val="004C6F17"/>
    <w:rsid w:val="004C6FAA"/>
    <w:rsid w:val="004C7073"/>
    <w:rsid w:val="004C7099"/>
    <w:rsid w:val="004C70B8"/>
    <w:rsid w:val="004C70D1"/>
    <w:rsid w:val="004C70EC"/>
    <w:rsid w:val="004C71AD"/>
    <w:rsid w:val="004C7296"/>
    <w:rsid w:val="004C72F6"/>
    <w:rsid w:val="004C7427"/>
    <w:rsid w:val="004C7434"/>
    <w:rsid w:val="004C7523"/>
    <w:rsid w:val="004C77CC"/>
    <w:rsid w:val="004C7875"/>
    <w:rsid w:val="004C7A5B"/>
    <w:rsid w:val="004C7A67"/>
    <w:rsid w:val="004C7ADD"/>
    <w:rsid w:val="004C7B5A"/>
    <w:rsid w:val="004C7BBA"/>
    <w:rsid w:val="004C7BEB"/>
    <w:rsid w:val="004C7FAD"/>
    <w:rsid w:val="004D00B9"/>
    <w:rsid w:val="004D042A"/>
    <w:rsid w:val="004D0512"/>
    <w:rsid w:val="004D0576"/>
    <w:rsid w:val="004D0706"/>
    <w:rsid w:val="004D0BB7"/>
    <w:rsid w:val="004D0BED"/>
    <w:rsid w:val="004D0C4E"/>
    <w:rsid w:val="004D0EAB"/>
    <w:rsid w:val="004D0EC3"/>
    <w:rsid w:val="004D10B4"/>
    <w:rsid w:val="004D1167"/>
    <w:rsid w:val="004D119E"/>
    <w:rsid w:val="004D11BA"/>
    <w:rsid w:val="004D1448"/>
    <w:rsid w:val="004D14BE"/>
    <w:rsid w:val="004D1666"/>
    <w:rsid w:val="004D1890"/>
    <w:rsid w:val="004D1966"/>
    <w:rsid w:val="004D1A52"/>
    <w:rsid w:val="004D1BC2"/>
    <w:rsid w:val="004D1E72"/>
    <w:rsid w:val="004D209C"/>
    <w:rsid w:val="004D20F0"/>
    <w:rsid w:val="004D2575"/>
    <w:rsid w:val="004D2642"/>
    <w:rsid w:val="004D2686"/>
    <w:rsid w:val="004D274E"/>
    <w:rsid w:val="004D2756"/>
    <w:rsid w:val="004D2798"/>
    <w:rsid w:val="004D28BE"/>
    <w:rsid w:val="004D2A6D"/>
    <w:rsid w:val="004D2AC2"/>
    <w:rsid w:val="004D2B34"/>
    <w:rsid w:val="004D2B61"/>
    <w:rsid w:val="004D2BC0"/>
    <w:rsid w:val="004D2E8C"/>
    <w:rsid w:val="004D2ED9"/>
    <w:rsid w:val="004D2F5D"/>
    <w:rsid w:val="004D3079"/>
    <w:rsid w:val="004D30D8"/>
    <w:rsid w:val="004D3215"/>
    <w:rsid w:val="004D33C1"/>
    <w:rsid w:val="004D33EF"/>
    <w:rsid w:val="004D3585"/>
    <w:rsid w:val="004D35BE"/>
    <w:rsid w:val="004D35EB"/>
    <w:rsid w:val="004D3662"/>
    <w:rsid w:val="004D3680"/>
    <w:rsid w:val="004D3743"/>
    <w:rsid w:val="004D375B"/>
    <w:rsid w:val="004D3784"/>
    <w:rsid w:val="004D3808"/>
    <w:rsid w:val="004D3835"/>
    <w:rsid w:val="004D385B"/>
    <w:rsid w:val="004D3891"/>
    <w:rsid w:val="004D3899"/>
    <w:rsid w:val="004D3980"/>
    <w:rsid w:val="004D3A8F"/>
    <w:rsid w:val="004D3ACA"/>
    <w:rsid w:val="004D3B9A"/>
    <w:rsid w:val="004D3EDA"/>
    <w:rsid w:val="004D3F3D"/>
    <w:rsid w:val="004D3F57"/>
    <w:rsid w:val="004D4013"/>
    <w:rsid w:val="004D4041"/>
    <w:rsid w:val="004D40B4"/>
    <w:rsid w:val="004D423A"/>
    <w:rsid w:val="004D4509"/>
    <w:rsid w:val="004D453C"/>
    <w:rsid w:val="004D46AC"/>
    <w:rsid w:val="004D4733"/>
    <w:rsid w:val="004D4824"/>
    <w:rsid w:val="004D482B"/>
    <w:rsid w:val="004D49CE"/>
    <w:rsid w:val="004D4B43"/>
    <w:rsid w:val="004D4BD0"/>
    <w:rsid w:val="004D4CA3"/>
    <w:rsid w:val="004D4D3B"/>
    <w:rsid w:val="004D4F16"/>
    <w:rsid w:val="004D510B"/>
    <w:rsid w:val="004D520E"/>
    <w:rsid w:val="004D52D4"/>
    <w:rsid w:val="004D532E"/>
    <w:rsid w:val="004D5557"/>
    <w:rsid w:val="004D5707"/>
    <w:rsid w:val="004D5852"/>
    <w:rsid w:val="004D58A5"/>
    <w:rsid w:val="004D5AA8"/>
    <w:rsid w:val="004D5AC0"/>
    <w:rsid w:val="004D5BB8"/>
    <w:rsid w:val="004D5C29"/>
    <w:rsid w:val="004D5E13"/>
    <w:rsid w:val="004D5E43"/>
    <w:rsid w:val="004D5E47"/>
    <w:rsid w:val="004D5FA3"/>
    <w:rsid w:val="004D5FE9"/>
    <w:rsid w:val="004D6034"/>
    <w:rsid w:val="004D6193"/>
    <w:rsid w:val="004D63E1"/>
    <w:rsid w:val="004D63EE"/>
    <w:rsid w:val="004D63F3"/>
    <w:rsid w:val="004D6410"/>
    <w:rsid w:val="004D6640"/>
    <w:rsid w:val="004D66ED"/>
    <w:rsid w:val="004D674D"/>
    <w:rsid w:val="004D6862"/>
    <w:rsid w:val="004D68C2"/>
    <w:rsid w:val="004D690B"/>
    <w:rsid w:val="004D6931"/>
    <w:rsid w:val="004D6A76"/>
    <w:rsid w:val="004D6A98"/>
    <w:rsid w:val="004D6B67"/>
    <w:rsid w:val="004D6BC9"/>
    <w:rsid w:val="004D6CF6"/>
    <w:rsid w:val="004D6D0B"/>
    <w:rsid w:val="004D6E58"/>
    <w:rsid w:val="004D6EB7"/>
    <w:rsid w:val="004D6FC2"/>
    <w:rsid w:val="004D70A8"/>
    <w:rsid w:val="004D71B0"/>
    <w:rsid w:val="004D71CD"/>
    <w:rsid w:val="004D7293"/>
    <w:rsid w:val="004D740D"/>
    <w:rsid w:val="004D751A"/>
    <w:rsid w:val="004D76E9"/>
    <w:rsid w:val="004D770D"/>
    <w:rsid w:val="004D7721"/>
    <w:rsid w:val="004D77AA"/>
    <w:rsid w:val="004D7986"/>
    <w:rsid w:val="004D79A5"/>
    <w:rsid w:val="004D7AE3"/>
    <w:rsid w:val="004D7B2B"/>
    <w:rsid w:val="004D7C75"/>
    <w:rsid w:val="004D7D43"/>
    <w:rsid w:val="004D7EA7"/>
    <w:rsid w:val="004D7EB7"/>
    <w:rsid w:val="004E022C"/>
    <w:rsid w:val="004E039A"/>
    <w:rsid w:val="004E0457"/>
    <w:rsid w:val="004E04AC"/>
    <w:rsid w:val="004E06FD"/>
    <w:rsid w:val="004E07E9"/>
    <w:rsid w:val="004E0A9E"/>
    <w:rsid w:val="004E0B4F"/>
    <w:rsid w:val="004E0BB6"/>
    <w:rsid w:val="004E0CEA"/>
    <w:rsid w:val="004E0D7B"/>
    <w:rsid w:val="004E0EB3"/>
    <w:rsid w:val="004E0FE8"/>
    <w:rsid w:val="004E129D"/>
    <w:rsid w:val="004E15FD"/>
    <w:rsid w:val="004E165F"/>
    <w:rsid w:val="004E16A9"/>
    <w:rsid w:val="004E172F"/>
    <w:rsid w:val="004E19B2"/>
    <w:rsid w:val="004E1BAF"/>
    <w:rsid w:val="004E1D92"/>
    <w:rsid w:val="004E1DBE"/>
    <w:rsid w:val="004E20CE"/>
    <w:rsid w:val="004E2274"/>
    <w:rsid w:val="004E2427"/>
    <w:rsid w:val="004E24DE"/>
    <w:rsid w:val="004E2605"/>
    <w:rsid w:val="004E2684"/>
    <w:rsid w:val="004E275B"/>
    <w:rsid w:val="004E2885"/>
    <w:rsid w:val="004E288E"/>
    <w:rsid w:val="004E2A10"/>
    <w:rsid w:val="004E2ABA"/>
    <w:rsid w:val="004E2B86"/>
    <w:rsid w:val="004E2BAE"/>
    <w:rsid w:val="004E2D0C"/>
    <w:rsid w:val="004E2DF5"/>
    <w:rsid w:val="004E2EE2"/>
    <w:rsid w:val="004E314F"/>
    <w:rsid w:val="004E3193"/>
    <w:rsid w:val="004E31BB"/>
    <w:rsid w:val="004E325B"/>
    <w:rsid w:val="004E33E2"/>
    <w:rsid w:val="004E35CE"/>
    <w:rsid w:val="004E3601"/>
    <w:rsid w:val="004E378B"/>
    <w:rsid w:val="004E37A1"/>
    <w:rsid w:val="004E37BE"/>
    <w:rsid w:val="004E37D6"/>
    <w:rsid w:val="004E37E8"/>
    <w:rsid w:val="004E37F1"/>
    <w:rsid w:val="004E385E"/>
    <w:rsid w:val="004E3862"/>
    <w:rsid w:val="004E3881"/>
    <w:rsid w:val="004E38A7"/>
    <w:rsid w:val="004E38F4"/>
    <w:rsid w:val="004E390F"/>
    <w:rsid w:val="004E3AC9"/>
    <w:rsid w:val="004E3D60"/>
    <w:rsid w:val="004E40CB"/>
    <w:rsid w:val="004E41A4"/>
    <w:rsid w:val="004E4201"/>
    <w:rsid w:val="004E4280"/>
    <w:rsid w:val="004E4291"/>
    <w:rsid w:val="004E43AE"/>
    <w:rsid w:val="004E447D"/>
    <w:rsid w:val="004E472D"/>
    <w:rsid w:val="004E47E2"/>
    <w:rsid w:val="004E47F4"/>
    <w:rsid w:val="004E4C2C"/>
    <w:rsid w:val="004E4C5D"/>
    <w:rsid w:val="004E4D76"/>
    <w:rsid w:val="004E4EE9"/>
    <w:rsid w:val="004E50E9"/>
    <w:rsid w:val="004E517C"/>
    <w:rsid w:val="004E51A1"/>
    <w:rsid w:val="004E51B4"/>
    <w:rsid w:val="004E55EF"/>
    <w:rsid w:val="004E589B"/>
    <w:rsid w:val="004E5ACC"/>
    <w:rsid w:val="004E5C0F"/>
    <w:rsid w:val="004E5C7B"/>
    <w:rsid w:val="004E5D3D"/>
    <w:rsid w:val="004E5D95"/>
    <w:rsid w:val="004E5E7C"/>
    <w:rsid w:val="004E6033"/>
    <w:rsid w:val="004E620C"/>
    <w:rsid w:val="004E6211"/>
    <w:rsid w:val="004E63E2"/>
    <w:rsid w:val="004E6641"/>
    <w:rsid w:val="004E69CB"/>
    <w:rsid w:val="004E6D38"/>
    <w:rsid w:val="004E6DC3"/>
    <w:rsid w:val="004E71AF"/>
    <w:rsid w:val="004E72CD"/>
    <w:rsid w:val="004E7400"/>
    <w:rsid w:val="004E7578"/>
    <w:rsid w:val="004E761E"/>
    <w:rsid w:val="004E7696"/>
    <w:rsid w:val="004E76D4"/>
    <w:rsid w:val="004E777A"/>
    <w:rsid w:val="004E77A4"/>
    <w:rsid w:val="004E77FC"/>
    <w:rsid w:val="004E7874"/>
    <w:rsid w:val="004E790D"/>
    <w:rsid w:val="004E79E4"/>
    <w:rsid w:val="004E7A23"/>
    <w:rsid w:val="004E7A49"/>
    <w:rsid w:val="004E7A8E"/>
    <w:rsid w:val="004E7BE2"/>
    <w:rsid w:val="004E7C2A"/>
    <w:rsid w:val="004F00B7"/>
    <w:rsid w:val="004F0207"/>
    <w:rsid w:val="004F020C"/>
    <w:rsid w:val="004F021B"/>
    <w:rsid w:val="004F0245"/>
    <w:rsid w:val="004F0385"/>
    <w:rsid w:val="004F0480"/>
    <w:rsid w:val="004F04C5"/>
    <w:rsid w:val="004F0778"/>
    <w:rsid w:val="004F0C26"/>
    <w:rsid w:val="004F0D17"/>
    <w:rsid w:val="004F0D4C"/>
    <w:rsid w:val="004F0E96"/>
    <w:rsid w:val="004F1017"/>
    <w:rsid w:val="004F1089"/>
    <w:rsid w:val="004F10BC"/>
    <w:rsid w:val="004F1476"/>
    <w:rsid w:val="004F1B07"/>
    <w:rsid w:val="004F1C7C"/>
    <w:rsid w:val="004F1C8F"/>
    <w:rsid w:val="004F1DDC"/>
    <w:rsid w:val="004F1E08"/>
    <w:rsid w:val="004F1ED1"/>
    <w:rsid w:val="004F2048"/>
    <w:rsid w:val="004F2356"/>
    <w:rsid w:val="004F2394"/>
    <w:rsid w:val="004F244A"/>
    <w:rsid w:val="004F246F"/>
    <w:rsid w:val="004F2628"/>
    <w:rsid w:val="004F263F"/>
    <w:rsid w:val="004F27FB"/>
    <w:rsid w:val="004F27FF"/>
    <w:rsid w:val="004F29BF"/>
    <w:rsid w:val="004F2C56"/>
    <w:rsid w:val="004F2C77"/>
    <w:rsid w:val="004F2F95"/>
    <w:rsid w:val="004F2FBE"/>
    <w:rsid w:val="004F303A"/>
    <w:rsid w:val="004F30BE"/>
    <w:rsid w:val="004F30F6"/>
    <w:rsid w:val="004F3163"/>
    <w:rsid w:val="004F3244"/>
    <w:rsid w:val="004F3270"/>
    <w:rsid w:val="004F32A6"/>
    <w:rsid w:val="004F33A0"/>
    <w:rsid w:val="004F33DB"/>
    <w:rsid w:val="004F343D"/>
    <w:rsid w:val="004F35AC"/>
    <w:rsid w:val="004F35D9"/>
    <w:rsid w:val="004F3611"/>
    <w:rsid w:val="004F3697"/>
    <w:rsid w:val="004F36E2"/>
    <w:rsid w:val="004F3783"/>
    <w:rsid w:val="004F37C3"/>
    <w:rsid w:val="004F383B"/>
    <w:rsid w:val="004F39E3"/>
    <w:rsid w:val="004F3A6B"/>
    <w:rsid w:val="004F3AA2"/>
    <w:rsid w:val="004F3B7C"/>
    <w:rsid w:val="004F3B88"/>
    <w:rsid w:val="004F3D8F"/>
    <w:rsid w:val="004F3EF1"/>
    <w:rsid w:val="004F424E"/>
    <w:rsid w:val="004F427E"/>
    <w:rsid w:val="004F4448"/>
    <w:rsid w:val="004F455B"/>
    <w:rsid w:val="004F4588"/>
    <w:rsid w:val="004F463D"/>
    <w:rsid w:val="004F4868"/>
    <w:rsid w:val="004F4A46"/>
    <w:rsid w:val="004F4A63"/>
    <w:rsid w:val="004F4AA3"/>
    <w:rsid w:val="004F4AB0"/>
    <w:rsid w:val="004F4B8E"/>
    <w:rsid w:val="004F4BA8"/>
    <w:rsid w:val="004F4BCC"/>
    <w:rsid w:val="004F4D2B"/>
    <w:rsid w:val="004F4DD9"/>
    <w:rsid w:val="004F4E5B"/>
    <w:rsid w:val="004F4F8E"/>
    <w:rsid w:val="004F50DF"/>
    <w:rsid w:val="004F5187"/>
    <w:rsid w:val="004F526D"/>
    <w:rsid w:val="004F52BC"/>
    <w:rsid w:val="004F53BA"/>
    <w:rsid w:val="004F53E0"/>
    <w:rsid w:val="004F5403"/>
    <w:rsid w:val="004F54F5"/>
    <w:rsid w:val="004F57D7"/>
    <w:rsid w:val="004F5842"/>
    <w:rsid w:val="004F58F5"/>
    <w:rsid w:val="004F595F"/>
    <w:rsid w:val="004F598B"/>
    <w:rsid w:val="004F59A7"/>
    <w:rsid w:val="004F59B3"/>
    <w:rsid w:val="004F5A9B"/>
    <w:rsid w:val="004F5C2D"/>
    <w:rsid w:val="004F5C8E"/>
    <w:rsid w:val="004F5CE0"/>
    <w:rsid w:val="004F5E4E"/>
    <w:rsid w:val="004F607A"/>
    <w:rsid w:val="004F611B"/>
    <w:rsid w:val="004F62FB"/>
    <w:rsid w:val="004F639B"/>
    <w:rsid w:val="004F6427"/>
    <w:rsid w:val="004F653D"/>
    <w:rsid w:val="004F6845"/>
    <w:rsid w:val="004F69E0"/>
    <w:rsid w:val="004F6ABA"/>
    <w:rsid w:val="004F6C5F"/>
    <w:rsid w:val="004F6CBB"/>
    <w:rsid w:val="004F6D73"/>
    <w:rsid w:val="004F6D83"/>
    <w:rsid w:val="004F6D98"/>
    <w:rsid w:val="004F6FAE"/>
    <w:rsid w:val="004F7011"/>
    <w:rsid w:val="004F7020"/>
    <w:rsid w:val="004F711D"/>
    <w:rsid w:val="004F72BA"/>
    <w:rsid w:val="004F73B2"/>
    <w:rsid w:val="004F7404"/>
    <w:rsid w:val="004F7416"/>
    <w:rsid w:val="004F7474"/>
    <w:rsid w:val="004F7505"/>
    <w:rsid w:val="004F75E4"/>
    <w:rsid w:val="004F768E"/>
    <w:rsid w:val="004F7782"/>
    <w:rsid w:val="004F77AA"/>
    <w:rsid w:val="004F7932"/>
    <w:rsid w:val="004F798C"/>
    <w:rsid w:val="004F79A7"/>
    <w:rsid w:val="004F79E4"/>
    <w:rsid w:val="004F7A0A"/>
    <w:rsid w:val="004F7AAE"/>
    <w:rsid w:val="004F7B7B"/>
    <w:rsid w:val="004F7BB8"/>
    <w:rsid w:val="004F7C55"/>
    <w:rsid w:val="004F7D7E"/>
    <w:rsid w:val="004F7E6F"/>
    <w:rsid w:val="004F7E8C"/>
    <w:rsid w:val="004F7F0C"/>
    <w:rsid w:val="004F7F85"/>
    <w:rsid w:val="00500142"/>
    <w:rsid w:val="005001DC"/>
    <w:rsid w:val="00500368"/>
    <w:rsid w:val="00500453"/>
    <w:rsid w:val="00500637"/>
    <w:rsid w:val="005006DE"/>
    <w:rsid w:val="00500A10"/>
    <w:rsid w:val="0050101D"/>
    <w:rsid w:val="005010D4"/>
    <w:rsid w:val="005011D7"/>
    <w:rsid w:val="005011E9"/>
    <w:rsid w:val="0050120A"/>
    <w:rsid w:val="0050129C"/>
    <w:rsid w:val="005013B2"/>
    <w:rsid w:val="005015DC"/>
    <w:rsid w:val="0050165E"/>
    <w:rsid w:val="0050182B"/>
    <w:rsid w:val="005019D1"/>
    <w:rsid w:val="00501A53"/>
    <w:rsid w:val="00501BFD"/>
    <w:rsid w:val="00501C00"/>
    <w:rsid w:val="00501C22"/>
    <w:rsid w:val="00501D29"/>
    <w:rsid w:val="00501E49"/>
    <w:rsid w:val="00501E79"/>
    <w:rsid w:val="00501F0D"/>
    <w:rsid w:val="00501F27"/>
    <w:rsid w:val="00501F5E"/>
    <w:rsid w:val="00501FD2"/>
    <w:rsid w:val="00502101"/>
    <w:rsid w:val="00502168"/>
    <w:rsid w:val="0050217B"/>
    <w:rsid w:val="005021BC"/>
    <w:rsid w:val="0050220D"/>
    <w:rsid w:val="00502254"/>
    <w:rsid w:val="00502309"/>
    <w:rsid w:val="0050230C"/>
    <w:rsid w:val="005023F0"/>
    <w:rsid w:val="005025E5"/>
    <w:rsid w:val="00502620"/>
    <w:rsid w:val="00502706"/>
    <w:rsid w:val="00502751"/>
    <w:rsid w:val="00502756"/>
    <w:rsid w:val="00502958"/>
    <w:rsid w:val="005029E7"/>
    <w:rsid w:val="005029F4"/>
    <w:rsid w:val="00502A4E"/>
    <w:rsid w:val="00502A68"/>
    <w:rsid w:val="00502A6E"/>
    <w:rsid w:val="00502C58"/>
    <w:rsid w:val="00502D82"/>
    <w:rsid w:val="00502E02"/>
    <w:rsid w:val="00502E22"/>
    <w:rsid w:val="0050301B"/>
    <w:rsid w:val="005030DF"/>
    <w:rsid w:val="00503151"/>
    <w:rsid w:val="005031ED"/>
    <w:rsid w:val="005032FA"/>
    <w:rsid w:val="005034DE"/>
    <w:rsid w:val="00503818"/>
    <w:rsid w:val="005039D3"/>
    <w:rsid w:val="005039EE"/>
    <w:rsid w:val="00503A06"/>
    <w:rsid w:val="00503A45"/>
    <w:rsid w:val="00503AD4"/>
    <w:rsid w:val="00503CD7"/>
    <w:rsid w:val="00503D3A"/>
    <w:rsid w:val="00503D7E"/>
    <w:rsid w:val="00504072"/>
    <w:rsid w:val="00504770"/>
    <w:rsid w:val="005047C5"/>
    <w:rsid w:val="005047D1"/>
    <w:rsid w:val="00504849"/>
    <w:rsid w:val="00504BBF"/>
    <w:rsid w:val="00504DF7"/>
    <w:rsid w:val="00504F13"/>
    <w:rsid w:val="00505027"/>
    <w:rsid w:val="005052E1"/>
    <w:rsid w:val="005053B8"/>
    <w:rsid w:val="00505528"/>
    <w:rsid w:val="0050576C"/>
    <w:rsid w:val="005057D6"/>
    <w:rsid w:val="0050593F"/>
    <w:rsid w:val="0050594E"/>
    <w:rsid w:val="00505AB0"/>
    <w:rsid w:val="00505F02"/>
    <w:rsid w:val="00505FAB"/>
    <w:rsid w:val="0050603F"/>
    <w:rsid w:val="00506056"/>
    <w:rsid w:val="00506061"/>
    <w:rsid w:val="005060AD"/>
    <w:rsid w:val="005060D9"/>
    <w:rsid w:val="00506234"/>
    <w:rsid w:val="005063DA"/>
    <w:rsid w:val="0050640A"/>
    <w:rsid w:val="005065DA"/>
    <w:rsid w:val="0050679F"/>
    <w:rsid w:val="005067E1"/>
    <w:rsid w:val="00506AFA"/>
    <w:rsid w:val="00506BD2"/>
    <w:rsid w:val="00506CB9"/>
    <w:rsid w:val="00506D45"/>
    <w:rsid w:val="00506F85"/>
    <w:rsid w:val="00507029"/>
    <w:rsid w:val="00507077"/>
    <w:rsid w:val="0050707B"/>
    <w:rsid w:val="005071C6"/>
    <w:rsid w:val="005071D4"/>
    <w:rsid w:val="00507325"/>
    <w:rsid w:val="0050737E"/>
    <w:rsid w:val="005073DA"/>
    <w:rsid w:val="00507429"/>
    <w:rsid w:val="00507461"/>
    <w:rsid w:val="00507626"/>
    <w:rsid w:val="005076A2"/>
    <w:rsid w:val="005076AB"/>
    <w:rsid w:val="005077FB"/>
    <w:rsid w:val="0050794B"/>
    <w:rsid w:val="0050797B"/>
    <w:rsid w:val="005079FB"/>
    <w:rsid w:val="005079FF"/>
    <w:rsid w:val="00507A3E"/>
    <w:rsid w:val="00507AD7"/>
    <w:rsid w:val="00507CB8"/>
    <w:rsid w:val="00507EA7"/>
    <w:rsid w:val="00510019"/>
    <w:rsid w:val="005102C2"/>
    <w:rsid w:val="0051030B"/>
    <w:rsid w:val="0051038F"/>
    <w:rsid w:val="0051041E"/>
    <w:rsid w:val="00510498"/>
    <w:rsid w:val="00510514"/>
    <w:rsid w:val="00510527"/>
    <w:rsid w:val="0051058A"/>
    <w:rsid w:val="00510602"/>
    <w:rsid w:val="00510C7D"/>
    <w:rsid w:val="00510CCA"/>
    <w:rsid w:val="00510CF1"/>
    <w:rsid w:val="00510E3D"/>
    <w:rsid w:val="00510F16"/>
    <w:rsid w:val="0051112F"/>
    <w:rsid w:val="0051116A"/>
    <w:rsid w:val="00511390"/>
    <w:rsid w:val="005113EB"/>
    <w:rsid w:val="0051141A"/>
    <w:rsid w:val="0051141C"/>
    <w:rsid w:val="0051145C"/>
    <w:rsid w:val="00511464"/>
    <w:rsid w:val="005114C1"/>
    <w:rsid w:val="00511596"/>
    <w:rsid w:val="005116CA"/>
    <w:rsid w:val="00511707"/>
    <w:rsid w:val="00511771"/>
    <w:rsid w:val="005117C3"/>
    <w:rsid w:val="005117FF"/>
    <w:rsid w:val="00511941"/>
    <w:rsid w:val="005119FF"/>
    <w:rsid w:val="00511BC3"/>
    <w:rsid w:val="00511C00"/>
    <w:rsid w:val="00511CA4"/>
    <w:rsid w:val="00511E43"/>
    <w:rsid w:val="0051213D"/>
    <w:rsid w:val="00512190"/>
    <w:rsid w:val="00512239"/>
    <w:rsid w:val="00512320"/>
    <w:rsid w:val="00512359"/>
    <w:rsid w:val="005123C6"/>
    <w:rsid w:val="0051242C"/>
    <w:rsid w:val="00512478"/>
    <w:rsid w:val="0051252C"/>
    <w:rsid w:val="005126ED"/>
    <w:rsid w:val="00512722"/>
    <w:rsid w:val="005127A2"/>
    <w:rsid w:val="00512C1D"/>
    <w:rsid w:val="00512C21"/>
    <w:rsid w:val="00512E2B"/>
    <w:rsid w:val="00512E3C"/>
    <w:rsid w:val="00512F66"/>
    <w:rsid w:val="005130B7"/>
    <w:rsid w:val="00513186"/>
    <w:rsid w:val="0051340D"/>
    <w:rsid w:val="00513449"/>
    <w:rsid w:val="00513515"/>
    <w:rsid w:val="00513544"/>
    <w:rsid w:val="005135BA"/>
    <w:rsid w:val="005135E0"/>
    <w:rsid w:val="005135E6"/>
    <w:rsid w:val="00513790"/>
    <w:rsid w:val="005137DC"/>
    <w:rsid w:val="0051392D"/>
    <w:rsid w:val="0051398A"/>
    <w:rsid w:val="00513CB4"/>
    <w:rsid w:val="00513D0F"/>
    <w:rsid w:val="00513D2C"/>
    <w:rsid w:val="00513D2F"/>
    <w:rsid w:val="005140EF"/>
    <w:rsid w:val="005141C5"/>
    <w:rsid w:val="00514208"/>
    <w:rsid w:val="0051423E"/>
    <w:rsid w:val="005142DA"/>
    <w:rsid w:val="0051439A"/>
    <w:rsid w:val="005144BD"/>
    <w:rsid w:val="005144E8"/>
    <w:rsid w:val="005144E9"/>
    <w:rsid w:val="00514598"/>
    <w:rsid w:val="00514699"/>
    <w:rsid w:val="005146B2"/>
    <w:rsid w:val="005147E2"/>
    <w:rsid w:val="005148C8"/>
    <w:rsid w:val="00514913"/>
    <w:rsid w:val="00514949"/>
    <w:rsid w:val="005149B9"/>
    <w:rsid w:val="005149BB"/>
    <w:rsid w:val="005149E3"/>
    <w:rsid w:val="005149EE"/>
    <w:rsid w:val="005149F2"/>
    <w:rsid w:val="00514A0D"/>
    <w:rsid w:val="00514A4F"/>
    <w:rsid w:val="00514A90"/>
    <w:rsid w:val="00514C41"/>
    <w:rsid w:val="00514CE0"/>
    <w:rsid w:val="00514DED"/>
    <w:rsid w:val="00514E17"/>
    <w:rsid w:val="00514E4F"/>
    <w:rsid w:val="00514EAE"/>
    <w:rsid w:val="00514EB0"/>
    <w:rsid w:val="00514FFE"/>
    <w:rsid w:val="0051516F"/>
    <w:rsid w:val="005151AB"/>
    <w:rsid w:val="005151EE"/>
    <w:rsid w:val="00515213"/>
    <w:rsid w:val="00515281"/>
    <w:rsid w:val="00515495"/>
    <w:rsid w:val="00515626"/>
    <w:rsid w:val="0051565E"/>
    <w:rsid w:val="00515689"/>
    <w:rsid w:val="00515729"/>
    <w:rsid w:val="00515875"/>
    <w:rsid w:val="005158C7"/>
    <w:rsid w:val="00515980"/>
    <w:rsid w:val="0051599A"/>
    <w:rsid w:val="00515AA7"/>
    <w:rsid w:val="00515B4F"/>
    <w:rsid w:val="00515C83"/>
    <w:rsid w:val="00515D29"/>
    <w:rsid w:val="00515D44"/>
    <w:rsid w:val="00515DAA"/>
    <w:rsid w:val="00515E52"/>
    <w:rsid w:val="00515E98"/>
    <w:rsid w:val="00515EB5"/>
    <w:rsid w:val="00515F7B"/>
    <w:rsid w:val="00515FC5"/>
    <w:rsid w:val="00516089"/>
    <w:rsid w:val="00516180"/>
    <w:rsid w:val="00516276"/>
    <w:rsid w:val="0051627E"/>
    <w:rsid w:val="00516389"/>
    <w:rsid w:val="0051643C"/>
    <w:rsid w:val="00516470"/>
    <w:rsid w:val="00516484"/>
    <w:rsid w:val="005168DB"/>
    <w:rsid w:val="00516A43"/>
    <w:rsid w:val="00516D18"/>
    <w:rsid w:val="00516DDA"/>
    <w:rsid w:val="00516E2A"/>
    <w:rsid w:val="00516E45"/>
    <w:rsid w:val="00516F42"/>
    <w:rsid w:val="00516FAE"/>
    <w:rsid w:val="005171DC"/>
    <w:rsid w:val="005171F9"/>
    <w:rsid w:val="00517231"/>
    <w:rsid w:val="005173C2"/>
    <w:rsid w:val="00517494"/>
    <w:rsid w:val="005174BC"/>
    <w:rsid w:val="005175FC"/>
    <w:rsid w:val="00517661"/>
    <w:rsid w:val="0051797D"/>
    <w:rsid w:val="0051798E"/>
    <w:rsid w:val="00517AF0"/>
    <w:rsid w:val="00517AF5"/>
    <w:rsid w:val="00517BEC"/>
    <w:rsid w:val="00517F33"/>
    <w:rsid w:val="00517F3E"/>
    <w:rsid w:val="00517F80"/>
    <w:rsid w:val="00517FBF"/>
    <w:rsid w:val="00520147"/>
    <w:rsid w:val="00520184"/>
    <w:rsid w:val="0052032E"/>
    <w:rsid w:val="005203AE"/>
    <w:rsid w:val="005204F3"/>
    <w:rsid w:val="0052056E"/>
    <w:rsid w:val="005205E2"/>
    <w:rsid w:val="005208C1"/>
    <w:rsid w:val="00520AEE"/>
    <w:rsid w:val="00520F1C"/>
    <w:rsid w:val="00520F7F"/>
    <w:rsid w:val="00520F89"/>
    <w:rsid w:val="00520FED"/>
    <w:rsid w:val="00521101"/>
    <w:rsid w:val="005213A8"/>
    <w:rsid w:val="005213B5"/>
    <w:rsid w:val="0052153E"/>
    <w:rsid w:val="005215AD"/>
    <w:rsid w:val="00521903"/>
    <w:rsid w:val="005219F1"/>
    <w:rsid w:val="00521A56"/>
    <w:rsid w:val="00521C03"/>
    <w:rsid w:val="00521E3E"/>
    <w:rsid w:val="00521E62"/>
    <w:rsid w:val="00521EAA"/>
    <w:rsid w:val="00521F1C"/>
    <w:rsid w:val="00521F52"/>
    <w:rsid w:val="00522020"/>
    <w:rsid w:val="0052205E"/>
    <w:rsid w:val="005220F2"/>
    <w:rsid w:val="005220F7"/>
    <w:rsid w:val="0052213A"/>
    <w:rsid w:val="0052227A"/>
    <w:rsid w:val="005222D2"/>
    <w:rsid w:val="005224CC"/>
    <w:rsid w:val="00522574"/>
    <w:rsid w:val="0052265E"/>
    <w:rsid w:val="00522712"/>
    <w:rsid w:val="00522715"/>
    <w:rsid w:val="005229CD"/>
    <w:rsid w:val="005229D6"/>
    <w:rsid w:val="00522A2C"/>
    <w:rsid w:val="00522AB2"/>
    <w:rsid w:val="00522AD3"/>
    <w:rsid w:val="00522B12"/>
    <w:rsid w:val="00522B16"/>
    <w:rsid w:val="00522C8F"/>
    <w:rsid w:val="00522CB4"/>
    <w:rsid w:val="00522DC4"/>
    <w:rsid w:val="00522EC3"/>
    <w:rsid w:val="0052323E"/>
    <w:rsid w:val="005232BA"/>
    <w:rsid w:val="005233A8"/>
    <w:rsid w:val="005234D8"/>
    <w:rsid w:val="0052355D"/>
    <w:rsid w:val="00523666"/>
    <w:rsid w:val="0052371E"/>
    <w:rsid w:val="0052382A"/>
    <w:rsid w:val="00523872"/>
    <w:rsid w:val="00523942"/>
    <w:rsid w:val="00523AB4"/>
    <w:rsid w:val="00523C24"/>
    <w:rsid w:val="00523C3F"/>
    <w:rsid w:val="00523C93"/>
    <w:rsid w:val="00523DB2"/>
    <w:rsid w:val="00523DCC"/>
    <w:rsid w:val="00523E68"/>
    <w:rsid w:val="00523F67"/>
    <w:rsid w:val="00524099"/>
    <w:rsid w:val="005240EF"/>
    <w:rsid w:val="005241BE"/>
    <w:rsid w:val="005242DF"/>
    <w:rsid w:val="005242F2"/>
    <w:rsid w:val="005244EF"/>
    <w:rsid w:val="00524673"/>
    <w:rsid w:val="0052476A"/>
    <w:rsid w:val="005249BC"/>
    <w:rsid w:val="005249C2"/>
    <w:rsid w:val="00524A41"/>
    <w:rsid w:val="00524C5A"/>
    <w:rsid w:val="00524C77"/>
    <w:rsid w:val="00524D0A"/>
    <w:rsid w:val="00524D0D"/>
    <w:rsid w:val="00524D16"/>
    <w:rsid w:val="00524ECC"/>
    <w:rsid w:val="00524EE7"/>
    <w:rsid w:val="005250FE"/>
    <w:rsid w:val="00525100"/>
    <w:rsid w:val="005251EA"/>
    <w:rsid w:val="00525228"/>
    <w:rsid w:val="00525299"/>
    <w:rsid w:val="005255DD"/>
    <w:rsid w:val="005255DE"/>
    <w:rsid w:val="00525639"/>
    <w:rsid w:val="005256E0"/>
    <w:rsid w:val="00525755"/>
    <w:rsid w:val="0052582D"/>
    <w:rsid w:val="00525956"/>
    <w:rsid w:val="00525A9F"/>
    <w:rsid w:val="00525B6E"/>
    <w:rsid w:val="00525B7B"/>
    <w:rsid w:val="00525D95"/>
    <w:rsid w:val="00525E14"/>
    <w:rsid w:val="00525E4A"/>
    <w:rsid w:val="00525EEF"/>
    <w:rsid w:val="00525F20"/>
    <w:rsid w:val="0052607E"/>
    <w:rsid w:val="005260DD"/>
    <w:rsid w:val="00526135"/>
    <w:rsid w:val="00526161"/>
    <w:rsid w:val="00526264"/>
    <w:rsid w:val="0052633B"/>
    <w:rsid w:val="005265D3"/>
    <w:rsid w:val="005265F7"/>
    <w:rsid w:val="00526653"/>
    <w:rsid w:val="00526656"/>
    <w:rsid w:val="0052665E"/>
    <w:rsid w:val="0052667E"/>
    <w:rsid w:val="005266F5"/>
    <w:rsid w:val="0052673B"/>
    <w:rsid w:val="00526766"/>
    <w:rsid w:val="005268B0"/>
    <w:rsid w:val="0052690B"/>
    <w:rsid w:val="005269D7"/>
    <w:rsid w:val="00526A8C"/>
    <w:rsid w:val="00526BA4"/>
    <w:rsid w:val="00526C77"/>
    <w:rsid w:val="00526D34"/>
    <w:rsid w:val="00526DF3"/>
    <w:rsid w:val="00526E37"/>
    <w:rsid w:val="00526F36"/>
    <w:rsid w:val="00526F71"/>
    <w:rsid w:val="00526FB3"/>
    <w:rsid w:val="0052709E"/>
    <w:rsid w:val="00527110"/>
    <w:rsid w:val="0052731E"/>
    <w:rsid w:val="00527347"/>
    <w:rsid w:val="005274A8"/>
    <w:rsid w:val="005274F1"/>
    <w:rsid w:val="0052772A"/>
    <w:rsid w:val="005277AC"/>
    <w:rsid w:val="005277CD"/>
    <w:rsid w:val="00527812"/>
    <w:rsid w:val="00527A74"/>
    <w:rsid w:val="00527B86"/>
    <w:rsid w:val="00527E39"/>
    <w:rsid w:val="0053007C"/>
    <w:rsid w:val="00530146"/>
    <w:rsid w:val="0053023A"/>
    <w:rsid w:val="00530343"/>
    <w:rsid w:val="005304BC"/>
    <w:rsid w:val="005304CB"/>
    <w:rsid w:val="00530584"/>
    <w:rsid w:val="00530591"/>
    <w:rsid w:val="0053065A"/>
    <w:rsid w:val="005306B8"/>
    <w:rsid w:val="005307A5"/>
    <w:rsid w:val="00530955"/>
    <w:rsid w:val="00530B74"/>
    <w:rsid w:val="00530C2B"/>
    <w:rsid w:val="00530C31"/>
    <w:rsid w:val="00530E0F"/>
    <w:rsid w:val="00530F1F"/>
    <w:rsid w:val="00530F82"/>
    <w:rsid w:val="00530F8F"/>
    <w:rsid w:val="00530FF6"/>
    <w:rsid w:val="00531036"/>
    <w:rsid w:val="00531066"/>
    <w:rsid w:val="00531095"/>
    <w:rsid w:val="00531107"/>
    <w:rsid w:val="00531126"/>
    <w:rsid w:val="0053113E"/>
    <w:rsid w:val="005311D6"/>
    <w:rsid w:val="005311E7"/>
    <w:rsid w:val="005312B0"/>
    <w:rsid w:val="00531345"/>
    <w:rsid w:val="00531680"/>
    <w:rsid w:val="00531717"/>
    <w:rsid w:val="00531748"/>
    <w:rsid w:val="00531785"/>
    <w:rsid w:val="005317B8"/>
    <w:rsid w:val="005317F7"/>
    <w:rsid w:val="005318A8"/>
    <w:rsid w:val="00531A18"/>
    <w:rsid w:val="00531B28"/>
    <w:rsid w:val="00531D39"/>
    <w:rsid w:val="00531D99"/>
    <w:rsid w:val="00531DEA"/>
    <w:rsid w:val="00531ED6"/>
    <w:rsid w:val="005321E2"/>
    <w:rsid w:val="00532382"/>
    <w:rsid w:val="005324B5"/>
    <w:rsid w:val="005325C7"/>
    <w:rsid w:val="0053262C"/>
    <w:rsid w:val="0053266E"/>
    <w:rsid w:val="0053270B"/>
    <w:rsid w:val="005327E7"/>
    <w:rsid w:val="00532820"/>
    <w:rsid w:val="00532907"/>
    <w:rsid w:val="00532925"/>
    <w:rsid w:val="00532953"/>
    <w:rsid w:val="00532A4F"/>
    <w:rsid w:val="00532AA5"/>
    <w:rsid w:val="00532AFD"/>
    <w:rsid w:val="00532CAB"/>
    <w:rsid w:val="00532DC2"/>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A74"/>
    <w:rsid w:val="00533A8C"/>
    <w:rsid w:val="00533C5C"/>
    <w:rsid w:val="00533CE3"/>
    <w:rsid w:val="00533E21"/>
    <w:rsid w:val="00533E42"/>
    <w:rsid w:val="00533E4C"/>
    <w:rsid w:val="00533E7E"/>
    <w:rsid w:val="00533F27"/>
    <w:rsid w:val="00533F36"/>
    <w:rsid w:val="005340D3"/>
    <w:rsid w:val="00534287"/>
    <w:rsid w:val="005344A0"/>
    <w:rsid w:val="0053450F"/>
    <w:rsid w:val="005345FB"/>
    <w:rsid w:val="0053468F"/>
    <w:rsid w:val="005347B2"/>
    <w:rsid w:val="0053482B"/>
    <w:rsid w:val="00534849"/>
    <w:rsid w:val="0053498D"/>
    <w:rsid w:val="00534B01"/>
    <w:rsid w:val="00534C14"/>
    <w:rsid w:val="0053501B"/>
    <w:rsid w:val="005350C9"/>
    <w:rsid w:val="005352C2"/>
    <w:rsid w:val="005353CA"/>
    <w:rsid w:val="005353ED"/>
    <w:rsid w:val="00535432"/>
    <w:rsid w:val="005355A8"/>
    <w:rsid w:val="005356CC"/>
    <w:rsid w:val="005358E0"/>
    <w:rsid w:val="005359A6"/>
    <w:rsid w:val="00535C32"/>
    <w:rsid w:val="00535CC6"/>
    <w:rsid w:val="00535D4F"/>
    <w:rsid w:val="00535F09"/>
    <w:rsid w:val="00535F2A"/>
    <w:rsid w:val="0053616C"/>
    <w:rsid w:val="00536213"/>
    <w:rsid w:val="00536218"/>
    <w:rsid w:val="00536267"/>
    <w:rsid w:val="00536327"/>
    <w:rsid w:val="005364B1"/>
    <w:rsid w:val="005369C7"/>
    <w:rsid w:val="005369F9"/>
    <w:rsid w:val="00536A66"/>
    <w:rsid w:val="00536A9A"/>
    <w:rsid w:val="00536AC9"/>
    <w:rsid w:val="00536B35"/>
    <w:rsid w:val="00536BE0"/>
    <w:rsid w:val="00536C70"/>
    <w:rsid w:val="00536CBA"/>
    <w:rsid w:val="00536E43"/>
    <w:rsid w:val="00536F11"/>
    <w:rsid w:val="00536FA0"/>
    <w:rsid w:val="00537049"/>
    <w:rsid w:val="0053704A"/>
    <w:rsid w:val="005370D6"/>
    <w:rsid w:val="0053724A"/>
    <w:rsid w:val="005372F8"/>
    <w:rsid w:val="00537326"/>
    <w:rsid w:val="00537514"/>
    <w:rsid w:val="005375E4"/>
    <w:rsid w:val="005376AB"/>
    <w:rsid w:val="00537746"/>
    <w:rsid w:val="0053774B"/>
    <w:rsid w:val="00537848"/>
    <w:rsid w:val="00537975"/>
    <w:rsid w:val="005379BC"/>
    <w:rsid w:val="005379FA"/>
    <w:rsid w:val="00537A28"/>
    <w:rsid w:val="00537BC2"/>
    <w:rsid w:val="00537BE3"/>
    <w:rsid w:val="00537E29"/>
    <w:rsid w:val="00537E7F"/>
    <w:rsid w:val="00537ECF"/>
    <w:rsid w:val="00537F4D"/>
    <w:rsid w:val="00537F83"/>
    <w:rsid w:val="0054009B"/>
    <w:rsid w:val="005401F3"/>
    <w:rsid w:val="0054034E"/>
    <w:rsid w:val="005403D9"/>
    <w:rsid w:val="005403E7"/>
    <w:rsid w:val="00540491"/>
    <w:rsid w:val="00540498"/>
    <w:rsid w:val="005404E2"/>
    <w:rsid w:val="00540552"/>
    <w:rsid w:val="00540666"/>
    <w:rsid w:val="005406C7"/>
    <w:rsid w:val="005406D1"/>
    <w:rsid w:val="0054070B"/>
    <w:rsid w:val="00540766"/>
    <w:rsid w:val="005407B0"/>
    <w:rsid w:val="0054092A"/>
    <w:rsid w:val="005409D6"/>
    <w:rsid w:val="00540A84"/>
    <w:rsid w:val="00540AA9"/>
    <w:rsid w:val="00540FCA"/>
    <w:rsid w:val="00540FE3"/>
    <w:rsid w:val="0054113D"/>
    <w:rsid w:val="005411E4"/>
    <w:rsid w:val="0054129D"/>
    <w:rsid w:val="005412AF"/>
    <w:rsid w:val="0054133E"/>
    <w:rsid w:val="005413F8"/>
    <w:rsid w:val="00541440"/>
    <w:rsid w:val="005416A6"/>
    <w:rsid w:val="00541816"/>
    <w:rsid w:val="0054183D"/>
    <w:rsid w:val="0054185F"/>
    <w:rsid w:val="00541A31"/>
    <w:rsid w:val="00541ABE"/>
    <w:rsid w:val="00542172"/>
    <w:rsid w:val="00542294"/>
    <w:rsid w:val="0054243F"/>
    <w:rsid w:val="00542455"/>
    <w:rsid w:val="005425D1"/>
    <w:rsid w:val="005426AB"/>
    <w:rsid w:val="005426AE"/>
    <w:rsid w:val="005426C3"/>
    <w:rsid w:val="0054274C"/>
    <w:rsid w:val="005427A1"/>
    <w:rsid w:val="00542895"/>
    <w:rsid w:val="00542A02"/>
    <w:rsid w:val="00542B0D"/>
    <w:rsid w:val="00542B70"/>
    <w:rsid w:val="00542BAB"/>
    <w:rsid w:val="00542D0F"/>
    <w:rsid w:val="0054305F"/>
    <w:rsid w:val="005430F1"/>
    <w:rsid w:val="005431A6"/>
    <w:rsid w:val="00543252"/>
    <w:rsid w:val="00543257"/>
    <w:rsid w:val="00543335"/>
    <w:rsid w:val="00543371"/>
    <w:rsid w:val="005434B0"/>
    <w:rsid w:val="00543564"/>
    <w:rsid w:val="0054398D"/>
    <w:rsid w:val="00543B8B"/>
    <w:rsid w:val="00543D95"/>
    <w:rsid w:val="00543DCA"/>
    <w:rsid w:val="00544094"/>
    <w:rsid w:val="00544196"/>
    <w:rsid w:val="005441CF"/>
    <w:rsid w:val="00544332"/>
    <w:rsid w:val="0054437D"/>
    <w:rsid w:val="0054439B"/>
    <w:rsid w:val="0054440B"/>
    <w:rsid w:val="0054450A"/>
    <w:rsid w:val="005446CF"/>
    <w:rsid w:val="005446EE"/>
    <w:rsid w:val="00544844"/>
    <w:rsid w:val="00544876"/>
    <w:rsid w:val="00544941"/>
    <w:rsid w:val="00544997"/>
    <w:rsid w:val="005449B3"/>
    <w:rsid w:val="00544C50"/>
    <w:rsid w:val="00544C95"/>
    <w:rsid w:val="00544CFB"/>
    <w:rsid w:val="005450E6"/>
    <w:rsid w:val="005451F2"/>
    <w:rsid w:val="00545248"/>
    <w:rsid w:val="005454D0"/>
    <w:rsid w:val="00545790"/>
    <w:rsid w:val="00545963"/>
    <w:rsid w:val="005459E1"/>
    <w:rsid w:val="00545A21"/>
    <w:rsid w:val="00545A3C"/>
    <w:rsid w:val="00545BA5"/>
    <w:rsid w:val="00545BD4"/>
    <w:rsid w:val="00545CD0"/>
    <w:rsid w:val="00545CDE"/>
    <w:rsid w:val="00545D03"/>
    <w:rsid w:val="00545D45"/>
    <w:rsid w:val="00545DA2"/>
    <w:rsid w:val="00545E48"/>
    <w:rsid w:val="00545EB0"/>
    <w:rsid w:val="00545EF6"/>
    <w:rsid w:val="00545F72"/>
    <w:rsid w:val="00545FBC"/>
    <w:rsid w:val="00545FC3"/>
    <w:rsid w:val="005461FA"/>
    <w:rsid w:val="0054630F"/>
    <w:rsid w:val="005463A9"/>
    <w:rsid w:val="00546476"/>
    <w:rsid w:val="005466D0"/>
    <w:rsid w:val="005466E2"/>
    <w:rsid w:val="005466EC"/>
    <w:rsid w:val="00546700"/>
    <w:rsid w:val="005467AC"/>
    <w:rsid w:val="0054682E"/>
    <w:rsid w:val="00546986"/>
    <w:rsid w:val="005469D6"/>
    <w:rsid w:val="00546C69"/>
    <w:rsid w:val="00546E2F"/>
    <w:rsid w:val="00546EAE"/>
    <w:rsid w:val="00546EE9"/>
    <w:rsid w:val="005470B4"/>
    <w:rsid w:val="00547210"/>
    <w:rsid w:val="005472F8"/>
    <w:rsid w:val="00547373"/>
    <w:rsid w:val="005473F2"/>
    <w:rsid w:val="005474D6"/>
    <w:rsid w:val="005475A0"/>
    <w:rsid w:val="00547661"/>
    <w:rsid w:val="0054772F"/>
    <w:rsid w:val="0054773D"/>
    <w:rsid w:val="00547799"/>
    <w:rsid w:val="0054787A"/>
    <w:rsid w:val="00547972"/>
    <w:rsid w:val="00547B76"/>
    <w:rsid w:val="00547BBE"/>
    <w:rsid w:val="00547CF2"/>
    <w:rsid w:val="00547E09"/>
    <w:rsid w:val="00547E0A"/>
    <w:rsid w:val="00547E96"/>
    <w:rsid w:val="00547EAF"/>
    <w:rsid w:val="00547ECD"/>
    <w:rsid w:val="00547EEC"/>
    <w:rsid w:val="00550170"/>
    <w:rsid w:val="0055022B"/>
    <w:rsid w:val="0055035F"/>
    <w:rsid w:val="0055036F"/>
    <w:rsid w:val="005505E2"/>
    <w:rsid w:val="00550701"/>
    <w:rsid w:val="0055083F"/>
    <w:rsid w:val="0055091D"/>
    <w:rsid w:val="00550A80"/>
    <w:rsid w:val="00550BB3"/>
    <w:rsid w:val="00550BC8"/>
    <w:rsid w:val="00550C1A"/>
    <w:rsid w:val="00550D01"/>
    <w:rsid w:val="00550D10"/>
    <w:rsid w:val="00550D23"/>
    <w:rsid w:val="00550F25"/>
    <w:rsid w:val="0055106C"/>
    <w:rsid w:val="005510C9"/>
    <w:rsid w:val="0055112D"/>
    <w:rsid w:val="00551178"/>
    <w:rsid w:val="005512BE"/>
    <w:rsid w:val="005513BD"/>
    <w:rsid w:val="00551423"/>
    <w:rsid w:val="00551588"/>
    <w:rsid w:val="00551618"/>
    <w:rsid w:val="0055163E"/>
    <w:rsid w:val="00551C48"/>
    <w:rsid w:val="00551EAC"/>
    <w:rsid w:val="00551EBC"/>
    <w:rsid w:val="00552060"/>
    <w:rsid w:val="005520F3"/>
    <w:rsid w:val="00552169"/>
    <w:rsid w:val="0055218A"/>
    <w:rsid w:val="005521AE"/>
    <w:rsid w:val="005521DC"/>
    <w:rsid w:val="0055220D"/>
    <w:rsid w:val="0055227F"/>
    <w:rsid w:val="0055233E"/>
    <w:rsid w:val="005524D6"/>
    <w:rsid w:val="005527FE"/>
    <w:rsid w:val="005528CC"/>
    <w:rsid w:val="00552945"/>
    <w:rsid w:val="005529A9"/>
    <w:rsid w:val="00552A5A"/>
    <w:rsid w:val="00552B02"/>
    <w:rsid w:val="00552BF6"/>
    <w:rsid w:val="00552D1E"/>
    <w:rsid w:val="00552D6D"/>
    <w:rsid w:val="00552DC1"/>
    <w:rsid w:val="00552E22"/>
    <w:rsid w:val="00552EC8"/>
    <w:rsid w:val="00552F66"/>
    <w:rsid w:val="0055322C"/>
    <w:rsid w:val="00553273"/>
    <w:rsid w:val="0055330C"/>
    <w:rsid w:val="0055345C"/>
    <w:rsid w:val="00553527"/>
    <w:rsid w:val="00553640"/>
    <w:rsid w:val="00553840"/>
    <w:rsid w:val="00553856"/>
    <w:rsid w:val="00553A6E"/>
    <w:rsid w:val="00553AE0"/>
    <w:rsid w:val="00553BC2"/>
    <w:rsid w:val="00553BDE"/>
    <w:rsid w:val="00553D23"/>
    <w:rsid w:val="00553F2B"/>
    <w:rsid w:val="00553FA0"/>
    <w:rsid w:val="00553FCC"/>
    <w:rsid w:val="00554016"/>
    <w:rsid w:val="00554090"/>
    <w:rsid w:val="00554181"/>
    <w:rsid w:val="00554190"/>
    <w:rsid w:val="00554195"/>
    <w:rsid w:val="005542BE"/>
    <w:rsid w:val="00554520"/>
    <w:rsid w:val="00554564"/>
    <w:rsid w:val="005545EE"/>
    <w:rsid w:val="005546B2"/>
    <w:rsid w:val="005547C0"/>
    <w:rsid w:val="005548E0"/>
    <w:rsid w:val="0055494F"/>
    <w:rsid w:val="00554963"/>
    <w:rsid w:val="00554997"/>
    <w:rsid w:val="00554A6C"/>
    <w:rsid w:val="00554B04"/>
    <w:rsid w:val="00554B1A"/>
    <w:rsid w:val="00554B9F"/>
    <w:rsid w:val="00554C67"/>
    <w:rsid w:val="00554CAF"/>
    <w:rsid w:val="00554E6C"/>
    <w:rsid w:val="00554E70"/>
    <w:rsid w:val="00554F8B"/>
    <w:rsid w:val="00554FB8"/>
    <w:rsid w:val="005550A0"/>
    <w:rsid w:val="005550E6"/>
    <w:rsid w:val="0055517B"/>
    <w:rsid w:val="005552CD"/>
    <w:rsid w:val="005552E6"/>
    <w:rsid w:val="00555438"/>
    <w:rsid w:val="00555470"/>
    <w:rsid w:val="00555554"/>
    <w:rsid w:val="0055556C"/>
    <w:rsid w:val="00555802"/>
    <w:rsid w:val="00555832"/>
    <w:rsid w:val="00555845"/>
    <w:rsid w:val="00555968"/>
    <w:rsid w:val="0055599F"/>
    <w:rsid w:val="00555B5B"/>
    <w:rsid w:val="00555C3F"/>
    <w:rsid w:val="00555C5F"/>
    <w:rsid w:val="00555E80"/>
    <w:rsid w:val="00556030"/>
    <w:rsid w:val="00556103"/>
    <w:rsid w:val="0055623E"/>
    <w:rsid w:val="0055629F"/>
    <w:rsid w:val="005562C8"/>
    <w:rsid w:val="005562E7"/>
    <w:rsid w:val="0055638E"/>
    <w:rsid w:val="00556411"/>
    <w:rsid w:val="005564EA"/>
    <w:rsid w:val="0055663B"/>
    <w:rsid w:val="005566A5"/>
    <w:rsid w:val="00556728"/>
    <w:rsid w:val="00556735"/>
    <w:rsid w:val="00556810"/>
    <w:rsid w:val="0055685C"/>
    <w:rsid w:val="005568BF"/>
    <w:rsid w:val="0055699A"/>
    <w:rsid w:val="00556A48"/>
    <w:rsid w:val="00556C02"/>
    <w:rsid w:val="00556C4E"/>
    <w:rsid w:val="00556DD9"/>
    <w:rsid w:val="00556E5A"/>
    <w:rsid w:val="00556F27"/>
    <w:rsid w:val="005570F4"/>
    <w:rsid w:val="00557199"/>
    <w:rsid w:val="0055745A"/>
    <w:rsid w:val="0055751E"/>
    <w:rsid w:val="00557628"/>
    <w:rsid w:val="005578F5"/>
    <w:rsid w:val="00557900"/>
    <w:rsid w:val="00557A7E"/>
    <w:rsid w:val="00557F1C"/>
    <w:rsid w:val="00557FFC"/>
    <w:rsid w:val="0056008D"/>
    <w:rsid w:val="005600B3"/>
    <w:rsid w:val="0056012B"/>
    <w:rsid w:val="0056024D"/>
    <w:rsid w:val="005602B3"/>
    <w:rsid w:val="005602CE"/>
    <w:rsid w:val="00560341"/>
    <w:rsid w:val="0056041B"/>
    <w:rsid w:val="00560466"/>
    <w:rsid w:val="00560664"/>
    <w:rsid w:val="00560745"/>
    <w:rsid w:val="005607EF"/>
    <w:rsid w:val="005607F8"/>
    <w:rsid w:val="00560855"/>
    <w:rsid w:val="005608C0"/>
    <w:rsid w:val="00560AE9"/>
    <w:rsid w:val="00560B64"/>
    <w:rsid w:val="00560C1E"/>
    <w:rsid w:val="00560E21"/>
    <w:rsid w:val="00560F1D"/>
    <w:rsid w:val="00561171"/>
    <w:rsid w:val="0056129C"/>
    <w:rsid w:val="00561307"/>
    <w:rsid w:val="0056150E"/>
    <w:rsid w:val="00561739"/>
    <w:rsid w:val="00561785"/>
    <w:rsid w:val="00561786"/>
    <w:rsid w:val="00561856"/>
    <w:rsid w:val="00561871"/>
    <w:rsid w:val="00561AAD"/>
    <w:rsid w:val="00561C7B"/>
    <w:rsid w:val="00561D74"/>
    <w:rsid w:val="00561DBC"/>
    <w:rsid w:val="00561E24"/>
    <w:rsid w:val="00561E5D"/>
    <w:rsid w:val="00561EBE"/>
    <w:rsid w:val="00561EC4"/>
    <w:rsid w:val="00562022"/>
    <w:rsid w:val="005620A3"/>
    <w:rsid w:val="005622BB"/>
    <w:rsid w:val="005624B2"/>
    <w:rsid w:val="005625D8"/>
    <w:rsid w:val="00562664"/>
    <w:rsid w:val="005626A2"/>
    <w:rsid w:val="00562BD4"/>
    <w:rsid w:val="00562DF5"/>
    <w:rsid w:val="00562E7B"/>
    <w:rsid w:val="00563096"/>
    <w:rsid w:val="005630FD"/>
    <w:rsid w:val="0056315C"/>
    <w:rsid w:val="0056333C"/>
    <w:rsid w:val="00563410"/>
    <w:rsid w:val="00563442"/>
    <w:rsid w:val="0056345F"/>
    <w:rsid w:val="0056346B"/>
    <w:rsid w:val="0056359E"/>
    <w:rsid w:val="005635FD"/>
    <w:rsid w:val="0056367B"/>
    <w:rsid w:val="00563696"/>
    <w:rsid w:val="0056371A"/>
    <w:rsid w:val="00563788"/>
    <w:rsid w:val="00563865"/>
    <w:rsid w:val="005639EC"/>
    <w:rsid w:val="00563A54"/>
    <w:rsid w:val="00563D19"/>
    <w:rsid w:val="00563ED6"/>
    <w:rsid w:val="00563F5E"/>
    <w:rsid w:val="00563F73"/>
    <w:rsid w:val="0056408A"/>
    <w:rsid w:val="00564147"/>
    <w:rsid w:val="00564157"/>
    <w:rsid w:val="0056438C"/>
    <w:rsid w:val="0056458B"/>
    <w:rsid w:val="00564606"/>
    <w:rsid w:val="00564612"/>
    <w:rsid w:val="005646D3"/>
    <w:rsid w:val="0056485B"/>
    <w:rsid w:val="00564896"/>
    <w:rsid w:val="00564941"/>
    <w:rsid w:val="005649B7"/>
    <w:rsid w:val="005649BE"/>
    <w:rsid w:val="005649F9"/>
    <w:rsid w:val="00564DB5"/>
    <w:rsid w:val="00564EAB"/>
    <w:rsid w:val="00565084"/>
    <w:rsid w:val="0056539A"/>
    <w:rsid w:val="005653BE"/>
    <w:rsid w:val="005653DA"/>
    <w:rsid w:val="00565522"/>
    <w:rsid w:val="0056562F"/>
    <w:rsid w:val="0056565C"/>
    <w:rsid w:val="005656D4"/>
    <w:rsid w:val="005657A7"/>
    <w:rsid w:val="00565831"/>
    <w:rsid w:val="00565A8E"/>
    <w:rsid w:val="00565CE8"/>
    <w:rsid w:val="00565E01"/>
    <w:rsid w:val="00565FC1"/>
    <w:rsid w:val="00566016"/>
    <w:rsid w:val="005660EE"/>
    <w:rsid w:val="00566176"/>
    <w:rsid w:val="0056637B"/>
    <w:rsid w:val="00566446"/>
    <w:rsid w:val="0056651A"/>
    <w:rsid w:val="00566570"/>
    <w:rsid w:val="005666DC"/>
    <w:rsid w:val="005667B5"/>
    <w:rsid w:val="0056685B"/>
    <w:rsid w:val="005669E3"/>
    <w:rsid w:val="00566B1B"/>
    <w:rsid w:val="00566E35"/>
    <w:rsid w:val="00566E75"/>
    <w:rsid w:val="00567000"/>
    <w:rsid w:val="0056716C"/>
    <w:rsid w:val="005673C0"/>
    <w:rsid w:val="00567521"/>
    <w:rsid w:val="00567647"/>
    <w:rsid w:val="00567885"/>
    <w:rsid w:val="00567A95"/>
    <w:rsid w:val="00567AC8"/>
    <w:rsid w:val="00567AE2"/>
    <w:rsid w:val="00567AF6"/>
    <w:rsid w:val="00567B27"/>
    <w:rsid w:val="00567B37"/>
    <w:rsid w:val="00567B9E"/>
    <w:rsid w:val="00567C01"/>
    <w:rsid w:val="00567C26"/>
    <w:rsid w:val="00567C57"/>
    <w:rsid w:val="00567C68"/>
    <w:rsid w:val="00567C8D"/>
    <w:rsid w:val="00567DC3"/>
    <w:rsid w:val="00567DEA"/>
    <w:rsid w:val="00567E4A"/>
    <w:rsid w:val="00567F2F"/>
    <w:rsid w:val="005700D6"/>
    <w:rsid w:val="0057013A"/>
    <w:rsid w:val="00570193"/>
    <w:rsid w:val="005701A4"/>
    <w:rsid w:val="00570329"/>
    <w:rsid w:val="005703C5"/>
    <w:rsid w:val="00570434"/>
    <w:rsid w:val="00570440"/>
    <w:rsid w:val="0057045C"/>
    <w:rsid w:val="00570795"/>
    <w:rsid w:val="005709AC"/>
    <w:rsid w:val="00570A4C"/>
    <w:rsid w:val="00570C54"/>
    <w:rsid w:val="00570C6F"/>
    <w:rsid w:val="00570CD6"/>
    <w:rsid w:val="00570F21"/>
    <w:rsid w:val="00570F79"/>
    <w:rsid w:val="00571054"/>
    <w:rsid w:val="005710A5"/>
    <w:rsid w:val="00571138"/>
    <w:rsid w:val="0057131B"/>
    <w:rsid w:val="00571390"/>
    <w:rsid w:val="005714B7"/>
    <w:rsid w:val="005714CA"/>
    <w:rsid w:val="00571514"/>
    <w:rsid w:val="005715C0"/>
    <w:rsid w:val="005719B6"/>
    <w:rsid w:val="00571B2E"/>
    <w:rsid w:val="00571C3E"/>
    <w:rsid w:val="00571C9F"/>
    <w:rsid w:val="00571D58"/>
    <w:rsid w:val="00571D6C"/>
    <w:rsid w:val="00571D79"/>
    <w:rsid w:val="00571DE9"/>
    <w:rsid w:val="00571E8C"/>
    <w:rsid w:val="00571E97"/>
    <w:rsid w:val="00571EAA"/>
    <w:rsid w:val="00571EF2"/>
    <w:rsid w:val="00571F33"/>
    <w:rsid w:val="00572172"/>
    <w:rsid w:val="00572245"/>
    <w:rsid w:val="005723D6"/>
    <w:rsid w:val="00572408"/>
    <w:rsid w:val="0057253D"/>
    <w:rsid w:val="005725C8"/>
    <w:rsid w:val="005725D6"/>
    <w:rsid w:val="0057265F"/>
    <w:rsid w:val="005726D1"/>
    <w:rsid w:val="00572717"/>
    <w:rsid w:val="00572941"/>
    <w:rsid w:val="00572AA3"/>
    <w:rsid w:val="00572D10"/>
    <w:rsid w:val="00572D1C"/>
    <w:rsid w:val="00572D62"/>
    <w:rsid w:val="00572D64"/>
    <w:rsid w:val="00572E00"/>
    <w:rsid w:val="00572E0F"/>
    <w:rsid w:val="00573050"/>
    <w:rsid w:val="0057321D"/>
    <w:rsid w:val="00573220"/>
    <w:rsid w:val="0057328A"/>
    <w:rsid w:val="00573354"/>
    <w:rsid w:val="0057337C"/>
    <w:rsid w:val="0057347A"/>
    <w:rsid w:val="00573574"/>
    <w:rsid w:val="005735ED"/>
    <w:rsid w:val="00573662"/>
    <w:rsid w:val="005736E3"/>
    <w:rsid w:val="00573758"/>
    <w:rsid w:val="00573990"/>
    <w:rsid w:val="00573A43"/>
    <w:rsid w:val="00573A8B"/>
    <w:rsid w:val="00573A90"/>
    <w:rsid w:val="00573ABA"/>
    <w:rsid w:val="00573B3A"/>
    <w:rsid w:val="00573B52"/>
    <w:rsid w:val="00573B95"/>
    <w:rsid w:val="00573C23"/>
    <w:rsid w:val="00573CEE"/>
    <w:rsid w:val="00573D36"/>
    <w:rsid w:val="00573D88"/>
    <w:rsid w:val="00573E5E"/>
    <w:rsid w:val="00573E77"/>
    <w:rsid w:val="00573E99"/>
    <w:rsid w:val="00573EA4"/>
    <w:rsid w:val="00573EC2"/>
    <w:rsid w:val="00573F54"/>
    <w:rsid w:val="00573FD9"/>
    <w:rsid w:val="0057401D"/>
    <w:rsid w:val="005740A4"/>
    <w:rsid w:val="005741E4"/>
    <w:rsid w:val="00574295"/>
    <w:rsid w:val="005742B7"/>
    <w:rsid w:val="005742F3"/>
    <w:rsid w:val="00574398"/>
    <w:rsid w:val="0057447B"/>
    <w:rsid w:val="00574A77"/>
    <w:rsid w:val="005751B2"/>
    <w:rsid w:val="0057521E"/>
    <w:rsid w:val="00575350"/>
    <w:rsid w:val="00575476"/>
    <w:rsid w:val="00575518"/>
    <w:rsid w:val="0057552D"/>
    <w:rsid w:val="0057558A"/>
    <w:rsid w:val="00575650"/>
    <w:rsid w:val="00575847"/>
    <w:rsid w:val="005758C3"/>
    <w:rsid w:val="00575AA5"/>
    <w:rsid w:val="00575AD5"/>
    <w:rsid w:val="00575B87"/>
    <w:rsid w:val="00575C9E"/>
    <w:rsid w:val="00575E1A"/>
    <w:rsid w:val="00575F45"/>
    <w:rsid w:val="00576201"/>
    <w:rsid w:val="005762CF"/>
    <w:rsid w:val="005762D4"/>
    <w:rsid w:val="00576317"/>
    <w:rsid w:val="00576322"/>
    <w:rsid w:val="0057633F"/>
    <w:rsid w:val="0057661B"/>
    <w:rsid w:val="005767AA"/>
    <w:rsid w:val="005767DD"/>
    <w:rsid w:val="00576869"/>
    <w:rsid w:val="00576A1B"/>
    <w:rsid w:val="00576B49"/>
    <w:rsid w:val="00576C3F"/>
    <w:rsid w:val="00576CB5"/>
    <w:rsid w:val="00576F96"/>
    <w:rsid w:val="00577080"/>
    <w:rsid w:val="00577169"/>
    <w:rsid w:val="00577385"/>
    <w:rsid w:val="0057751C"/>
    <w:rsid w:val="00577544"/>
    <w:rsid w:val="005777AB"/>
    <w:rsid w:val="005777CF"/>
    <w:rsid w:val="005777EA"/>
    <w:rsid w:val="005778A0"/>
    <w:rsid w:val="0057791B"/>
    <w:rsid w:val="00577B83"/>
    <w:rsid w:val="00577B9A"/>
    <w:rsid w:val="00577E8A"/>
    <w:rsid w:val="00577EB3"/>
    <w:rsid w:val="00577F52"/>
    <w:rsid w:val="00580096"/>
    <w:rsid w:val="005800CB"/>
    <w:rsid w:val="005801FE"/>
    <w:rsid w:val="005803B6"/>
    <w:rsid w:val="0058046E"/>
    <w:rsid w:val="005804CC"/>
    <w:rsid w:val="005805CD"/>
    <w:rsid w:val="005806F3"/>
    <w:rsid w:val="005807A4"/>
    <w:rsid w:val="005807E3"/>
    <w:rsid w:val="0058089F"/>
    <w:rsid w:val="005808CA"/>
    <w:rsid w:val="00580918"/>
    <w:rsid w:val="00580919"/>
    <w:rsid w:val="00580A6D"/>
    <w:rsid w:val="00580AFF"/>
    <w:rsid w:val="00580B47"/>
    <w:rsid w:val="00580BA7"/>
    <w:rsid w:val="00580BC1"/>
    <w:rsid w:val="00580C24"/>
    <w:rsid w:val="00580CFD"/>
    <w:rsid w:val="00580D7D"/>
    <w:rsid w:val="00580E5A"/>
    <w:rsid w:val="00580F2F"/>
    <w:rsid w:val="00580F80"/>
    <w:rsid w:val="00580F93"/>
    <w:rsid w:val="005811BA"/>
    <w:rsid w:val="0058199D"/>
    <w:rsid w:val="005819CA"/>
    <w:rsid w:val="00581A55"/>
    <w:rsid w:val="00581A60"/>
    <w:rsid w:val="00581A84"/>
    <w:rsid w:val="00581A93"/>
    <w:rsid w:val="00581BF2"/>
    <w:rsid w:val="00581EAE"/>
    <w:rsid w:val="00581F17"/>
    <w:rsid w:val="00581FBD"/>
    <w:rsid w:val="00582089"/>
    <w:rsid w:val="0058221B"/>
    <w:rsid w:val="00582228"/>
    <w:rsid w:val="0058231A"/>
    <w:rsid w:val="005823CE"/>
    <w:rsid w:val="0058246B"/>
    <w:rsid w:val="0058253D"/>
    <w:rsid w:val="0058262F"/>
    <w:rsid w:val="00582749"/>
    <w:rsid w:val="005827F2"/>
    <w:rsid w:val="0058289B"/>
    <w:rsid w:val="0058290F"/>
    <w:rsid w:val="00582BD1"/>
    <w:rsid w:val="00582BFF"/>
    <w:rsid w:val="00582EFA"/>
    <w:rsid w:val="00582F11"/>
    <w:rsid w:val="00582F1B"/>
    <w:rsid w:val="00582FA4"/>
    <w:rsid w:val="00582FAE"/>
    <w:rsid w:val="00583285"/>
    <w:rsid w:val="005832F1"/>
    <w:rsid w:val="0058349C"/>
    <w:rsid w:val="005834B5"/>
    <w:rsid w:val="0058362C"/>
    <w:rsid w:val="005837B5"/>
    <w:rsid w:val="0058382D"/>
    <w:rsid w:val="005838CA"/>
    <w:rsid w:val="0058396E"/>
    <w:rsid w:val="00583A03"/>
    <w:rsid w:val="00583AB3"/>
    <w:rsid w:val="00583ACF"/>
    <w:rsid w:val="00583C06"/>
    <w:rsid w:val="00583C64"/>
    <w:rsid w:val="00583C92"/>
    <w:rsid w:val="00583CAD"/>
    <w:rsid w:val="00583E0A"/>
    <w:rsid w:val="00583EE3"/>
    <w:rsid w:val="00584011"/>
    <w:rsid w:val="005841DB"/>
    <w:rsid w:val="00584207"/>
    <w:rsid w:val="005842DF"/>
    <w:rsid w:val="005842EC"/>
    <w:rsid w:val="00584401"/>
    <w:rsid w:val="005844B6"/>
    <w:rsid w:val="0058460C"/>
    <w:rsid w:val="00584783"/>
    <w:rsid w:val="005848BB"/>
    <w:rsid w:val="005848FC"/>
    <w:rsid w:val="00584956"/>
    <w:rsid w:val="0058496A"/>
    <w:rsid w:val="0058498E"/>
    <w:rsid w:val="00584A18"/>
    <w:rsid w:val="00584BCC"/>
    <w:rsid w:val="00584C91"/>
    <w:rsid w:val="00584CA4"/>
    <w:rsid w:val="00584CD1"/>
    <w:rsid w:val="00584E20"/>
    <w:rsid w:val="00584E23"/>
    <w:rsid w:val="00584FCC"/>
    <w:rsid w:val="0058507B"/>
    <w:rsid w:val="0058515E"/>
    <w:rsid w:val="005851DE"/>
    <w:rsid w:val="00585261"/>
    <w:rsid w:val="00585316"/>
    <w:rsid w:val="0058538F"/>
    <w:rsid w:val="005855D4"/>
    <w:rsid w:val="005856E4"/>
    <w:rsid w:val="00585975"/>
    <w:rsid w:val="005859D6"/>
    <w:rsid w:val="00585B93"/>
    <w:rsid w:val="00585BB1"/>
    <w:rsid w:val="00585D34"/>
    <w:rsid w:val="00585D92"/>
    <w:rsid w:val="00585E22"/>
    <w:rsid w:val="00585ECC"/>
    <w:rsid w:val="00585F22"/>
    <w:rsid w:val="00585FDD"/>
    <w:rsid w:val="00586077"/>
    <w:rsid w:val="0058615E"/>
    <w:rsid w:val="0058617F"/>
    <w:rsid w:val="005861FB"/>
    <w:rsid w:val="005865C0"/>
    <w:rsid w:val="00586973"/>
    <w:rsid w:val="00586985"/>
    <w:rsid w:val="00586BE2"/>
    <w:rsid w:val="00586CFA"/>
    <w:rsid w:val="00586D03"/>
    <w:rsid w:val="00586E23"/>
    <w:rsid w:val="00586FB6"/>
    <w:rsid w:val="00587027"/>
    <w:rsid w:val="00587045"/>
    <w:rsid w:val="0058720B"/>
    <w:rsid w:val="00587247"/>
    <w:rsid w:val="005873BC"/>
    <w:rsid w:val="005873CD"/>
    <w:rsid w:val="00587586"/>
    <w:rsid w:val="00587614"/>
    <w:rsid w:val="0058769B"/>
    <w:rsid w:val="005877E1"/>
    <w:rsid w:val="0058786D"/>
    <w:rsid w:val="005878BD"/>
    <w:rsid w:val="005879CB"/>
    <w:rsid w:val="00587A30"/>
    <w:rsid w:val="00587A49"/>
    <w:rsid w:val="00587A4E"/>
    <w:rsid w:val="00587BA8"/>
    <w:rsid w:val="00587CE7"/>
    <w:rsid w:val="00587D58"/>
    <w:rsid w:val="00587F19"/>
    <w:rsid w:val="00587F54"/>
    <w:rsid w:val="00590094"/>
    <w:rsid w:val="0059027B"/>
    <w:rsid w:val="00590320"/>
    <w:rsid w:val="0059039C"/>
    <w:rsid w:val="00590466"/>
    <w:rsid w:val="005904A2"/>
    <w:rsid w:val="00590558"/>
    <w:rsid w:val="00590567"/>
    <w:rsid w:val="00590580"/>
    <w:rsid w:val="005907E0"/>
    <w:rsid w:val="00590A49"/>
    <w:rsid w:val="00590A50"/>
    <w:rsid w:val="00590B30"/>
    <w:rsid w:val="00590BF8"/>
    <w:rsid w:val="00590C04"/>
    <w:rsid w:val="00590C50"/>
    <w:rsid w:val="00590EAE"/>
    <w:rsid w:val="00591130"/>
    <w:rsid w:val="005911DB"/>
    <w:rsid w:val="005911FB"/>
    <w:rsid w:val="0059136C"/>
    <w:rsid w:val="00591411"/>
    <w:rsid w:val="005914D9"/>
    <w:rsid w:val="0059150A"/>
    <w:rsid w:val="0059157C"/>
    <w:rsid w:val="0059195E"/>
    <w:rsid w:val="00591988"/>
    <w:rsid w:val="005919ED"/>
    <w:rsid w:val="00591A56"/>
    <w:rsid w:val="00591AD3"/>
    <w:rsid w:val="00591C1C"/>
    <w:rsid w:val="00591CB8"/>
    <w:rsid w:val="00591FB4"/>
    <w:rsid w:val="00592011"/>
    <w:rsid w:val="00592086"/>
    <w:rsid w:val="00592127"/>
    <w:rsid w:val="005921CB"/>
    <w:rsid w:val="00592224"/>
    <w:rsid w:val="00592233"/>
    <w:rsid w:val="00592355"/>
    <w:rsid w:val="00592363"/>
    <w:rsid w:val="005923C8"/>
    <w:rsid w:val="0059243E"/>
    <w:rsid w:val="0059244F"/>
    <w:rsid w:val="005924C7"/>
    <w:rsid w:val="00592521"/>
    <w:rsid w:val="00592581"/>
    <w:rsid w:val="00592596"/>
    <w:rsid w:val="00592734"/>
    <w:rsid w:val="005927B1"/>
    <w:rsid w:val="00592A0B"/>
    <w:rsid w:val="00592A87"/>
    <w:rsid w:val="00592A95"/>
    <w:rsid w:val="00592AEC"/>
    <w:rsid w:val="00592B3E"/>
    <w:rsid w:val="00592C07"/>
    <w:rsid w:val="00592D23"/>
    <w:rsid w:val="00592F10"/>
    <w:rsid w:val="00592FE3"/>
    <w:rsid w:val="0059313E"/>
    <w:rsid w:val="005932E2"/>
    <w:rsid w:val="0059343E"/>
    <w:rsid w:val="005934D9"/>
    <w:rsid w:val="0059350D"/>
    <w:rsid w:val="005935FA"/>
    <w:rsid w:val="00593614"/>
    <w:rsid w:val="00593744"/>
    <w:rsid w:val="0059379D"/>
    <w:rsid w:val="0059382B"/>
    <w:rsid w:val="00593882"/>
    <w:rsid w:val="00593A93"/>
    <w:rsid w:val="00593A96"/>
    <w:rsid w:val="00593BFF"/>
    <w:rsid w:val="00593D09"/>
    <w:rsid w:val="00593EA1"/>
    <w:rsid w:val="00593EE1"/>
    <w:rsid w:val="00593F90"/>
    <w:rsid w:val="00593FF3"/>
    <w:rsid w:val="005940FC"/>
    <w:rsid w:val="005941F6"/>
    <w:rsid w:val="0059421E"/>
    <w:rsid w:val="00594287"/>
    <w:rsid w:val="005942FA"/>
    <w:rsid w:val="0059439A"/>
    <w:rsid w:val="0059442A"/>
    <w:rsid w:val="0059444D"/>
    <w:rsid w:val="00594585"/>
    <w:rsid w:val="0059463B"/>
    <w:rsid w:val="00594670"/>
    <w:rsid w:val="0059480D"/>
    <w:rsid w:val="005949EF"/>
    <w:rsid w:val="00594A1F"/>
    <w:rsid w:val="00594AD7"/>
    <w:rsid w:val="00594C52"/>
    <w:rsid w:val="00594D13"/>
    <w:rsid w:val="00594DE1"/>
    <w:rsid w:val="00594ECF"/>
    <w:rsid w:val="00594EDE"/>
    <w:rsid w:val="00594F91"/>
    <w:rsid w:val="005950B7"/>
    <w:rsid w:val="00595195"/>
    <w:rsid w:val="0059540D"/>
    <w:rsid w:val="005955AF"/>
    <w:rsid w:val="0059564C"/>
    <w:rsid w:val="00595686"/>
    <w:rsid w:val="00595726"/>
    <w:rsid w:val="0059575A"/>
    <w:rsid w:val="0059575F"/>
    <w:rsid w:val="0059577F"/>
    <w:rsid w:val="005958EB"/>
    <w:rsid w:val="0059598C"/>
    <w:rsid w:val="00595CBE"/>
    <w:rsid w:val="00595D84"/>
    <w:rsid w:val="00595E27"/>
    <w:rsid w:val="00595F45"/>
    <w:rsid w:val="00596104"/>
    <w:rsid w:val="00596178"/>
    <w:rsid w:val="00596290"/>
    <w:rsid w:val="00596750"/>
    <w:rsid w:val="005967AA"/>
    <w:rsid w:val="0059686D"/>
    <w:rsid w:val="00596976"/>
    <w:rsid w:val="0059697F"/>
    <w:rsid w:val="00596994"/>
    <w:rsid w:val="005969E4"/>
    <w:rsid w:val="00596ADE"/>
    <w:rsid w:val="00596B55"/>
    <w:rsid w:val="00596B81"/>
    <w:rsid w:val="00596BC7"/>
    <w:rsid w:val="00596D8A"/>
    <w:rsid w:val="00596E01"/>
    <w:rsid w:val="00596EF2"/>
    <w:rsid w:val="00596F47"/>
    <w:rsid w:val="00597053"/>
    <w:rsid w:val="0059718C"/>
    <w:rsid w:val="005971A8"/>
    <w:rsid w:val="005971C2"/>
    <w:rsid w:val="005971E1"/>
    <w:rsid w:val="005971E4"/>
    <w:rsid w:val="005972AD"/>
    <w:rsid w:val="005972D5"/>
    <w:rsid w:val="00597307"/>
    <w:rsid w:val="005975F2"/>
    <w:rsid w:val="005975F8"/>
    <w:rsid w:val="005978C4"/>
    <w:rsid w:val="00597A4E"/>
    <w:rsid w:val="00597AA9"/>
    <w:rsid w:val="00597AEB"/>
    <w:rsid w:val="00597E0F"/>
    <w:rsid w:val="00597F63"/>
    <w:rsid w:val="005A0049"/>
    <w:rsid w:val="005A009E"/>
    <w:rsid w:val="005A00AE"/>
    <w:rsid w:val="005A0134"/>
    <w:rsid w:val="005A02D8"/>
    <w:rsid w:val="005A0561"/>
    <w:rsid w:val="005A05AF"/>
    <w:rsid w:val="005A05FF"/>
    <w:rsid w:val="005A0662"/>
    <w:rsid w:val="005A06AE"/>
    <w:rsid w:val="005A06E1"/>
    <w:rsid w:val="005A06ED"/>
    <w:rsid w:val="005A073D"/>
    <w:rsid w:val="005A0989"/>
    <w:rsid w:val="005A09DC"/>
    <w:rsid w:val="005A0A01"/>
    <w:rsid w:val="005A0AA3"/>
    <w:rsid w:val="005A0B42"/>
    <w:rsid w:val="005A0CAD"/>
    <w:rsid w:val="005A0E88"/>
    <w:rsid w:val="005A0F78"/>
    <w:rsid w:val="005A1150"/>
    <w:rsid w:val="005A11C0"/>
    <w:rsid w:val="005A1214"/>
    <w:rsid w:val="005A122C"/>
    <w:rsid w:val="005A126F"/>
    <w:rsid w:val="005A127D"/>
    <w:rsid w:val="005A13B6"/>
    <w:rsid w:val="005A14A5"/>
    <w:rsid w:val="005A1794"/>
    <w:rsid w:val="005A185C"/>
    <w:rsid w:val="005A1875"/>
    <w:rsid w:val="005A1970"/>
    <w:rsid w:val="005A1996"/>
    <w:rsid w:val="005A19A4"/>
    <w:rsid w:val="005A19ED"/>
    <w:rsid w:val="005A1A6B"/>
    <w:rsid w:val="005A1AFC"/>
    <w:rsid w:val="005A1C5D"/>
    <w:rsid w:val="005A1C6B"/>
    <w:rsid w:val="005A1D27"/>
    <w:rsid w:val="005A1DF0"/>
    <w:rsid w:val="005A1E11"/>
    <w:rsid w:val="005A1F30"/>
    <w:rsid w:val="005A20DA"/>
    <w:rsid w:val="005A2197"/>
    <w:rsid w:val="005A22BA"/>
    <w:rsid w:val="005A24A3"/>
    <w:rsid w:val="005A24F0"/>
    <w:rsid w:val="005A2747"/>
    <w:rsid w:val="005A299F"/>
    <w:rsid w:val="005A2B80"/>
    <w:rsid w:val="005A2BB6"/>
    <w:rsid w:val="005A2BC3"/>
    <w:rsid w:val="005A2BD4"/>
    <w:rsid w:val="005A2CF3"/>
    <w:rsid w:val="005A2DEC"/>
    <w:rsid w:val="005A2DF9"/>
    <w:rsid w:val="005A2EAD"/>
    <w:rsid w:val="005A2F8D"/>
    <w:rsid w:val="005A31CD"/>
    <w:rsid w:val="005A3371"/>
    <w:rsid w:val="005A34F7"/>
    <w:rsid w:val="005A357F"/>
    <w:rsid w:val="005A36BC"/>
    <w:rsid w:val="005A38BE"/>
    <w:rsid w:val="005A3907"/>
    <w:rsid w:val="005A3A05"/>
    <w:rsid w:val="005A3A36"/>
    <w:rsid w:val="005A3B44"/>
    <w:rsid w:val="005A3D86"/>
    <w:rsid w:val="005A3E96"/>
    <w:rsid w:val="005A3F74"/>
    <w:rsid w:val="005A3F90"/>
    <w:rsid w:val="005A408A"/>
    <w:rsid w:val="005A4128"/>
    <w:rsid w:val="005A42EC"/>
    <w:rsid w:val="005A4592"/>
    <w:rsid w:val="005A460C"/>
    <w:rsid w:val="005A4698"/>
    <w:rsid w:val="005A474B"/>
    <w:rsid w:val="005A4756"/>
    <w:rsid w:val="005A47D3"/>
    <w:rsid w:val="005A47F9"/>
    <w:rsid w:val="005A480A"/>
    <w:rsid w:val="005A4914"/>
    <w:rsid w:val="005A4A30"/>
    <w:rsid w:val="005A4A4A"/>
    <w:rsid w:val="005A4B8B"/>
    <w:rsid w:val="005A4BB0"/>
    <w:rsid w:val="005A4C18"/>
    <w:rsid w:val="005A507C"/>
    <w:rsid w:val="005A50B7"/>
    <w:rsid w:val="005A5191"/>
    <w:rsid w:val="005A51C6"/>
    <w:rsid w:val="005A5317"/>
    <w:rsid w:val="005A53D4"/>
    <w:rsid w:val="005A54A6"/>
    <w:rsid w:val="005A54A7"/>
    <w:rsid w:val="005A55BC"/>
    <w:rsid w:val="005A571C"/>
    <w:rsid w:val="005A5ADC"/>
    <w:rsid w:val="005A5CD1"/>
    <w:rsid w:val="005A5CF0"/>
    <w:rsid w:val="005A5CFA"/>
    <w:rsid w:val="005A5DAC"/>
    <w:rsid w:val="005A5EE4"/>
    <w:rsid w:val="005A5F3E"/>
    <w:rsid w:val="005A5FAB"/>
    <w:rsid w:val="005A5FAE"/>
    <w:rsid w:val="005A6018"/>
    <w:rsid w:val="005A614E"/>
    <w:rsid w:val="005A623D"/>
    <w:rsid w:val="005A6479"/>
    <w:rsid w:val="005A6537"/>
    <w:rsid w:val="005A6593"/>
    <w:rsid w:val="005A65B5"/>
    <w:rsid w:val="005A65D8"/>
    <w:rsid w:val="005A67D2"/>
    <w:rsid w:val="005A6802"/>
    <w:rsid w:val="005A6A90"/>
    <w:rsid w:val="005A6AFC"/>
    <w:rsid w:val="005A6C4A"/>
    <w:rsid w:val="005A6D4A"/>
    <w:rsid w:val="005A6D51"/>
    <w:rsid w:val="005A6F84"/>
    <w:rsid w:val="005A7023"/>
    <w:rsid w:val="005A702B"/>
    <w:rsid w:val="005A73DF"/>
    <w:rsid w:val="005A752D"/>
    <w:rsid w:val="005A754F"/>
    <w:rsid w:val="005A762B"/>
    <w:rsid w:val="005A762C"/>
    <w:rsid w:val="005A7735"/>
    <w:rsid w:val="005A77E1"/>
    <w:rsid w:val="005A78AC"/>
    <w:rsid w:val="005A78E2"/>
    <w:rsid w:val="005A79E2"/>
    <w:rsid w:val="005A7DD9"/>
    <w:rsid w:val="005A7FF6"/>
    <w:rsid w:val="005B0115"/>
    <w:rsid w:val="005B027F"/>
    <w:rsid w:val="005B0297"/>
    <w:rsid w:val="005B02C0"/>
    <w:rsid w:val="005B02DC"/>
    <w:rsid w:val="005B033E"/>
    <w:rsid w:val="005B037D"/>
    <w:rsid w:val="005B04EE"/>
    <w:rsid w:val="005B057B"/>
    <w:rsid w:val="005B0743"/>
    <w:rsid w:val="005B07DD"/>
    <w:rsid w:val="005B0834"/>
    <w:rsid w:val="005B08BA"/>
    <w:rsid w:val="005B08ED"/>
    <w:rsid w:val="005B0A81"/>
    <w:rsid w:val="005B0B4C"/>
    <w:rsid w:val="005B0C8B"/>
    <w:rsid w:val="005B0CD6"/>
    <w:rsid w:val="005B0DE3"/>
    <w:rsid w:val="005B0FD1"/>
    <w:rsid w:val="005B1122"/>
    <w:rsid w:val="005B113A"/>
    <w:rsid w:val="005B12F1"/>
    <w:rsid w:val="005B1413"/>
    <w:rsid w:val="005B1545"/>
    <w:rsid w:val="005B1572"/>
    <w:rsid w:val="005B1598"/>
    <w:rsid w:val="005B1616"/>
    <w:rsid w:val="005B1655"/>
    <w:rsid w:val="005B16AA"/>
    <w:rsid w:val="005B182D"/>
    <w:rsid w:val="005B18C9"/>
    <w:rsid w:val="005B18D8"/>
    <w:rsid w:val="005B18FD"/>
    <w:rsid w:val="005B1BFF"/>
    <w:rsid w:val="005B1C3D"/>
    <w:rsid w:val="005B1C41"/>
    <w:rsid w:val="005B1DC6"/>
    <w:rsid w:val="005B22B4"/>
    <w:rsid w:val="005B252B"/>
    <w:rsid w:val="005B274A"/>
    <w:rsid w:val="005B27E9"/>
    <w:rsid w:val="005B2833"/>
    <w:rsid w:val="005B2854"/>
    <w:rsid w:val="005B2955"/>
    <w:rsid w:val="005B2A2B"/>
    <w:rsid w:val="005B2AE5"/>
    <w:rsid w:val="005B2B45"/>
    <w:rsid w:val="005B2B91"/>
    <w:rsid w:val="005B2BA8"/>
    <w:rsid w:val="005B2CBD"/>
    <w:rsid w:val="005B2D95"/>
    <w:rsid w:val="005B3136"/>
    <w:rsid w:val="005B318C"/>
    <w:rsid w:val="005B3238"/>
    <w:rsid w:val="005B3600"/>
    <w:rsid w:val="005B36C3"/>
    <w:rsid w:val="005B3772"/>
    <w:rsid w:val="005B3A85"/>
    <w:rsid w:val="005B3A8A"/>
    <w:rsid w:val="005B3D06"/>
    <w:rsid w:val="005B3D4C"/>
    <w:rsid w:val="005B3FAD"/>
    <w:rsid w:val="005B3FCB"/>
    <w:rsid w:val="005B4006"/>
    <w:rsid w:val="005B4061"/>
    <w:rsid w:val="005B40B4"/>
    <w:rsid w:val="005B40BD"/>
    <w:rsid w:val="005B41B6"/>
    <w:rsid w:val="005B42A7"/>
    <w:rsid w:val="005B42BB"/>
    <w:rsid w:val="005B4389"/>
    <w:rsid w:val="005B43C3"/>
    <w:rsid w:val="005B463B"/>
    <w:rsid w:val="005B4768"/>
    <w:rsid w:val="005B4804"/>
    <w:rsid w:val="005B4937"/>
    <w:rsid w:val="005B4A4E"/>
    <w:rsid w:val="005B4AEA"/>
    <w:rsid w:val="005B4B1A"/>
    <w:rsid w:val="005B4D3E"/>
    <w:rsid w:val="005B4DE7"/>
    <w:rsid w:val="005B4E07"/>
    <w:rsid w:val="005B4E42"/>
    <w:rsid w:val="005B4E9A"/>
    <w:rsid w:val="005B4FBB"/>
    <w:rsid w:val="005B5003"/>
    <w:rsid w:val="005B5035"/>
    <w:rsid w:val="005B50BF"/>
    <w:rsid w:val="005B5167"/>
    <w:rsid w:val="005B519D"/>
    <w:rsid w:val="005B51A8"/>
    <w:rsid w:val="005B51D9"/>
    <w:rsid w:val="005B51FA"/>
    <w:rsid w:val="005B520C"/>
    <w:rsid w:val="005B524A"/>
    <w:rsid w:val="005B5258"/>
    <w:rsid w:val="005B582F"/>
    <w:rsid w:val="005B585C"/>
    <w:rsid w:val="005B5979"/>
    <w:rsid w:val="005B59E8"/>
    <w:rsid w:val="005B5A65"/>
    <w:rsid w:val="005B5B3E"/>
    <w:rsid w:val="005B5CB6"/>
    <w:rsid w:val="005B5EBA"/>
    <w:rsid w:val="005B5ED0"/>
    <w:rsid w:val="005B5F0B"/>
    <w:rsid w:val="005B60A5"/>
    <w:rsid w:val="005B60AC"/>
    <w:rsid w:val="005B6203"/>
    <w:rsid w:val="005B644A"/>
    <w:rsid w:val="005B6511"/>
    <w:rsid w:val="005B65B0"/>
    <w:rsid w:val="005B65B5"/>
    <w:rsid w:val="005B662B"/>
    <w:rsid w:val="005B66AC"/>
    <w:rsid w:val="005B66FE"/>
    <w:rsid w:val="005B6763"/>
    <w:rsid w:val="005B6767"/>
    <w:rsid w:val="005B67C0"/>
    <w:rsid w:val="005B681C"/>
    <w:rsid w:val="005B6D1A"/>
    <w:rsid w:val="005B6D8E"/>
    <w:rsid w:val="005B6DE4"/>
    <w:rsid w:val="005B6E0D"/>
    <w:rsid w:val="005B6F59"/>
    <w:rsid w:val="005B706F"/>
    <w:rsid w:val="005B7139"/>
    <w:rsid w:val="005B7257"/>
    <w:rsid w:val="005B7288"/>
    <w:rsid w:val="005B72E7"/>
    <w:rsid w:val="005B7311"/>
    <w:rsid w:val="005B741F"/>
    <w:rsid w:val="005B745E"/>
    <w:rsid w:val="005B749A"/>
    <w:rsid w:val="005B74A9"/>
    <w:rsid w:val="005B7542"/>
    <w:rsid w:val="005B7582"/>
    <w:rsid w:val="005B759F"/>
    <w:rsid w:val="005B75C4"/>
    <w:rsid w:val="005B7663"/>
    <w:rsid w:val="005B76F6"/>
    <w:rsid w:val="005B77FD"/>
    <w:rsid w:val="005B793B"/>
    <w:rsid w:val="005B7A4A"/>
    <w:rsid w:val="005B7A93"/>
    <w:rsid w:val="005B7B0D"/>
    <w:rsid w:val="005B7C8A"/>
    <w:rsid w:val="005B7E99"/>
    <w:rsid w:val="005B7F1D"/>
    <w:rsid w:val="005B7FEF"/>
    <w:rsid w:val="005C0025"/>
    <w:rsid w:val="005C0171"/>
    <w:rsid w:val="005C01EA"/>
    <w:rsid w:val="005C0239"/>
    <w:rsid w:val="005C027E"/>
    <w:rsid w:val="005C0319"/>
    <w:rsid w:val="005C037E"/>
    <w:rsid w:val="005C03A8"/>
    <w:rsid w:val="005C03EE"/>
    <w:rsid w:val="005C0555"/>
    <w:rsid w:val="005C0744"/>
    <w:rsid w:val="005C076A"/>
    <w:rsid w:val="005C083F"/>
    <w:rsid w:val="005C0886"/>
    <w:rsid w:val="005C08FD"/>
    <w:rsid w:val="005C0A11"/>
    <w:rsid w:val="005C0A44"/>
    <w:rsid w:val="005C0A6C"/>
    <w:rsid w:val="005C0B98"/>
    <w:rsid w:val="005C0BAA"/>
    <w:rsid w:val="005C0CD5"/>
    <w:rsid w:val="005C0D4A"/>
    <w:rsid w:val="005C0D70"/>
    <w:rsid w:val="005C0E60"/>
    <w:rsid w:val="005C0F3B"/>
    <w:rsid w:val="005C0F95"/>
    <w:rsid w:val="005C104D"/>
    <w:rsid w:val="005C1064"/>
    <w:rsid w:val="005C11A7"/>
    <w:rsid w:val="005C1278"/>
    <w:rsid w:val="005C12D9"/>
    <w:rsid w:val="005C13A6"/>
    <w:rsid w:val="005C1536"/>
    <w:rsid w:val="005C1541"/>
    <w:rsid w:val="005C16B8"/>
    <w:rsid w:val="005C17AB"/>
    <w:rsid w:val="005C17FF"/>
    <w:rsid w:val="005C1814"/>
    <w:rsid w:val="005C184B"/>
    <w:rsid w:val="005C1916"/>
    <w:rsid w:val="005C1961"/>
    <w:rsid w:val="005C1B1A"/>
    <w:rsid w:val="005C1C25"/>
    <w:rsid w:val="005C1CBF"/>
    <w:rsid w:val="005C1D5C"/>
    <w:rsid w:val="005C1DD0"/>
    <w:rsid w:val="005C1EE0"/>
    <w:rsid w:val="005C1F07"/>
    <w:rsid w:val="005C1F2B"/>
    <w:rsid w:val="005C20A9"/>
    <w:rsid w:val="005C216B"/>
    <w:rsid w:val="005C21CF"/>
    <w:rsid w:val="005C2256"/>
    <w:rsid w:val="005C263E"/>
    <w:rsid w:val="005C26E5"/>
    <w:rsid w:val="005C2775"/>
    <w:rsid w:val="005C29A5"/>
    <w:rsid w:val="005C2A58"/>
    <w:rsid w:val="005C2AD7"/>
    <w:rsid w:val="005C2B5A"/>
    <w:rsid w:val="005C2CCD"/>
    <w:rsid w:val="005C2CE8"/>
    <w:rsid w:val="005C2E54"/>
    <w:rsid w:val="005C2EDB"/>
    <w:rsid w:val="005C2F8F"/>
    <w:rsid w:val="005C2FE8"/>
    <w:rsid w:val="005C2FEC"/>
    <w:rsid w:val="005C3030"/>
    <w:rsid w:val="005C315B"/>
    <w:rsid w:val="005C3375"/>
    <w:rsid w:val="005C33B2"/>
    <w:rsid w:val="005C33D0"/>
    <w:rsid w:val="005C33D3"/>
    <w:rsid w:val="005C33F3"/>
    <w:rsid w:val="005C354E"/>
    <w:rsid w:val="005C35C3"/>
    <w:rsid w:val="005C35D8"/>
    <w:rsid w:val="005C364B"/>
    <w:rsid w:val="005C370F"/>
    <w:rsid w:val="005C37CE"/>
    <w:rsid w:val="005C3805"/>
    <w:rsid w:val="005C3B70"/>
    <w:rsid w:val="005C3BBA"/>
    <w:rsid w:val="005C3D48"/>
    <w:rsid w:val="005C3DE0"/>
    <w:rsid w:val="005C3F8A"/>
    <w:rsid w:val="005C4240"/>
    <w:rsid w:val="005C425D"/>
    <w:rsid w:val="005C428B"/>
    <w:rsid w:val="005C4373"/>
    <w:rsid w:val="005C43C2"/>
    <w:rsid w:val="005C43DE"/>
    <w:rsid w:val="005C4509"/>
    <w:rsid w:val="005C46C1"/>
    <w:rsid w:val="005C473F"/>
    <w:rsid w:val="005C475D"/>
    <w:rsid w:val="005C476A"/>
    <w:rsid w:val="005C47E4"/>
    <w:rsid w:val="005C4873"/>
    <w:rsid w:val="005C489B"/>
    <w:rsid w:val="005C4A8A"/>
    <w:rsid w:val="005C4B6D"/>
    <w:rsid w:val="005C4C1C"/>
    <w:rsid w:val="005C4EB7"/>
    <w:rsid w:val="005C4EF4"/>
    <w:rsid w:val="005C5239"/>
    <w:rsid w:val="005C52D8"/>
    <w:rsid w:val="005C5642"/>
    <w:rsid w:val="005C5739"/>
    <w:rsid w:val="005C578E"/>
    <w:rsid w:val="005C5893"/>
    <w:rsid w:val="005C5BAD"/>
    <w:rsid w:val="005C5C59"/>
    <w:rsid w:val="005C5CA5"/>
    <w:rsid w:val="005C5D2F"/>
    <w:rsid w:val="005C5D5D"/>
    <w:rsid w:val="005C5D86"/>
    <w:rsid w:val="005C5DB8"/>
    <w:rsid w:val="005C5E77"/>
    <w:rsid w:val="005C5EEA"/>
    <w:rsid w:val="005C5F71"/>
    <w:rsid w:val="005C607F"/>
    <w:rsid w:val="005C60DA"/>
    <w:rsid w:val="005C6102"/>
    <w:rsid w:val="005C6368"/>
    <w:rsid w:val="005C63BE"/>
    <w:rsid w:val="005C63F6"/>
    <w:rsid w:val="005C644F"/>
    <w:rsid w:val="005C649B"/>
    <w:rsid w:val="005C659D"/>
    <w:rsid w:val="005C65D1"/>
    <w:rsid w:val="005C6604"/>
    <w:rsid w:val="005C661A"/>
    <w:rsid w:val="005C674A"/>
    <w:rsid w:val="005C6793"/>
    <w:rsid w:val="005C67A8"/>
    <w:rsid w:val="005C67AE"/>
    <w:rsid w:val="005C69FD"/>
    <w:rsid w:val="005C6AB7"/>
    <w:rsid w:val="005C6BB2"/>
    <w:rsid w:val="005C6C0A"/>
    <w:rsid w:val="005C6DAA"/>
    <w:rsid w:val="005C6E77"/>
    <w:rsid w:val="005C6F44"/>
    <w:rsid w:val="005C716D"/>
    <w:rsid w:val="005C7480"/>
    <w:rsid w:val="005C751B"/>
    <w:rsid w:val="005C75B9"/>
    <w:rsid w:val="005C77CA"/>
    <w:rsid w:val="005C7841"/>
    <w:rsid w:val="005C78F6"/>
    <w:rsid w:val="005C797D"/>
    <w:rsid w:val="005C7CBB"/>
    <w:rsid w:val="005C7E0E"/>
    <w:rsid w:val="005C7E1D"/>
    <w:rsid w:val="005C7E7D"/>
    <w:rsid w:val="005C7F97"/>
    <w:rsid w:val="005D0018"/>
    <w:rsid w:val="005D00AA"/>
    <w:rsid w:val="005D0200"/>
    <w:rsid w:val="005D02E8"/>
    <w:rsid w:val="005D0303"/>
    <w:rsid w:val="005D03C8"/>
    <w:rsid w:val="005D0489"/>
    <w:rsid w:val="005D051E"/>
    <w:rsid w:val="005D0555"/>
    <w:rsid w:val="005D06BF"/>
    <w:rsid w:val="005D0A0C"/>
    <w:rsid w:val="005D0B05"/>
    <w:rsid w:val="005D0B22"/>
    <w:rsid w:val="005D0BAA"/>
    <w:rsid w:val="005D0D06"/>
    <w:rsid w:val="005D0E77"/>
    <w:rsid w:val="005D0FCF"/>
    <w:rsid w:val="005D0FD4"/>
    <w:rsid w:val="005D0FD8"/>
    <w:rsid w:val="005D1253"/>
    <w:rsid w:val="005D1460"/>
    <w:rsid w:val="005D14DB"/>
    <w:rsid w:val="005D15D9"/>
    <w:rsid w:val="005D1608"/>
    <w:rsid w:val="005D1663"/>
    <w:rsid w:val="005D1836"/>
    <w:rsid w:val="005D1840"/>
    <w:rsid w:val="005D18F3"/>
    <w:rsid w:val="005D1A23"/>
    <w:rsid w:val="005D1A46"/>
    <w:rsid w:val="005D1B06"/>
    <w:rsid w:val="005D1C18"/>
    <w:rsid w:val="005D1C68"/>
    <w:rsid w:val="005D1F9F"/>
    <w:rsid w:val="005D1FD5"/>
    <w:rsid w:val="005D203E"/>
    <w:rsid w:val="005D20F4"/>
    <w:rsid w:val="005D2212"/>
    <w:rsid w:val="005D2215"/>
    <w:rsid w:val="005D22C1"/>
    <w:rsid w:val="005D22F8"/>
    <w:rsid w:val="005D230A"/>
    <w:rsid w:val="005D239A"/>
    <w:rsid w:val="005D2491"/>
    <w:rsid w:val="005D251C"/>
    <w:rsid w:val="005D2685"/>
    <w:rsid w:val="005D26BA"/>
    <w:rsid w:val="005D274C"/>
    <w:rsid w:val="005D28CC"/>
    <w:rsid w:val="005D28D1"/>
    <w:rsid w:val="005D2973"/>
    <w:rsid w:val="005D2A65"/>
    <w:rsid w:val="005D2AC8"/>
    <w:rsid w:val="005D2C54"/>
    <w:rsid w:val="005D2CDA"/>
    <w:rsid w:val="005D2E8E"/>
    <w:rsid w:val="005D2ED0"/>
    <w:rsid w:val="005D2EEB"/>
    <w:rsid w:val="005D2EF0"/>
    <w:rsid w:val="005D328F"/>
    <w:rsid w:val="005D32D7"/>
    <w:rsid w:val="005D3347"/>
    <w:rsid w:val="005D33CE"/>
    <w:rsid w:val="005D33FF"/>
    <w:rsid w:val="005D3550"/>
    <w:rsid w:val="005D3597"/>
    <w:rsid w:val="005D36A0"/>
    <w:rsid w:val="005D38E4"/>
    <w:rsid w:val="005D3A34"/>
    <w:rsid w:val="005D3A83"/>
    <w:rsid w:val="005D3A9D"/>
    <w:rsid w:val="005D3ADF"/>
    <w:rsid w:val="005D3AF8"/>
    <w:rsid w:val="005D3B24"/>
    <w:rsid w:val="005D3BFF"/>
    <w:rsid w:val="005D3C0E"/>
    <w:rsid w:val="005D3C4C"/>
    <w:rsid w:val="005D3CFB"/>
    <w:rsid w:val="005D3DA4"/>
    <w:rsid w:val="005D3E0D"/>
    <w:rsid w:val="005D4338"/>
    <w:rsid w:val="005D4394"/>
    <w:rsid w:val="005D43FC"/>
    <w:rsid w:val="005D453E"/>
    <w:rsid w:val="005D477E"/>
    <w:rsid w:val="005D47B9"/>
    <w:rsid w:val="005D486E"/>
    <w:rsid w:val="005D4926"/>
    <w:rsid w:val="005D497A"/>
    <w:rsid w:val="005D49AA"/>
    <w:rsid w:val="005D49EC"/>
    <w:rsid w:val="005D4C58"/>
    <w:rsid w:val="005D4CD3"/>
    <w:rsid w:val="005D4E41"/>
    <w:rsid w:val="005D4E62"/>
    <w:rsid w:val="005D4E7E"/>
    <w:rsid w:val="005D4F7D"/>
    <w:rsid w:val="005D4F8E"/>
    <w:rsid w:val="005D4FDE"/>
    <w:rsid w:val="005D5125"/>
    <w:rsid w:val="005D523D"/>
    <w:rsid w:val="005D5262"/>
    <w:rsid w:val="005D5288"/>
    <w:rsid w:val="005D5367"/>
    <w:rsid w:val="005D538B"/>
    <w:rsid w:val="005D53CA"/>
    <w:rsid w:val="005D552E"/>
    <w:rsid w:val="005D57FA"/>
    <w:rsid w:val="005D57FC"/>
    <w:rsid w:val="005D58FB"/>
    <w:rsid w:val="005D5A39"/>
    <w:rsid w:val="005D5B63"/>
    <w:rsid w:val="005D5C10"/>
    <w:rsid w:val="005D5C8F"/>
    <w:rsid w:val="005D5CD7"/>
    <w:rsid w:val="005D5EA4"/>
    <w:rsid w:val="005D5EF4"/>
    <w:rsid w:val="005D6112"/>
    <w:rsid w:val="005D6161"/>
    <w:rsid w:val="005D61EC"/>
    <w:rsid w:val="005D6357"/>
    <w:rsid w:val="005D63D3"/>
    <w:rsid w:val="005D643E"/>
    <w:rsid w:val="005D6598"/>
    <w:rsid w:val="005D65A4"/>
    <w:rsid w:val="005D69BC"/>
    <w:rsid w:val="005D6C61"/>
    <w:rsid w:val="005D70C9"/>
    <w:rsid w:val="005D7118"/>
    <w:rsid w:val="005D7262"/>
    <w:rsid w:val="005D739F"/>
    <w:rsid w:val="005D73C3"/>
    <w:rsid w:val="005D7511"/>
    <w:rsid w:val="005D77B7"/>
    <w:rsid w:val="005D77DC"/>
    <w:rsid w:val="005D77DE"/>
    <w:rsid w:val="005D77E5"/>
    <w:rsid w:val="005D780A"/>
    <w:rsid w:val="005D7A49"/>
    <w:rsid w:val="005D7B78"/>
    <w:rsid w:val="005D7C88"/>
    <w:rsid w:val="005D7D37"/>
    <w:rsid w:val="005D7DE5"/>
    <w:rsid w:val="005D7E9F"/>
    <w:rsid w:val="005D7F33"/>
    <w:rsid w:val="005D7FA1"/>
    <w:rsid w:val="005D7FBB"/>
    <w:rsid w:val="005E0064"/>
    <w:rsid w:val="005E0079"/>
    <w:rsid w:val="005E0116"/>
    <w:rsid w:val="005E01A1"/>
    <w:rsid w:val="005E02D0"/>
    <w:rsid w:val="005E02E2"/>
    <w:rsid w:val="005E030E"/>
    <w:rsid w:val="005E0333"/>
    <w:rsid w:val="005E0487"/>
    <w:rsid w:val="005E0672"/>
    <w:rsid w:val="005E0816"/>
    <w:rsid w:val="005E0865"/>
    <w:rsid w:val="005E0898"/>
    <w:rsid w:val="005E094D"/>
    <w:rsid w:val="005E09B6"/>
    <w:rsid w:val="005E09C2"/>
    <w:rsid w:val="005E09C8"/>
    <w:rsid w:val="005E0AD7"/>
    <w:rsid w:val="005E0B92"/>
    <w:rsid w:val="005E0C0D"/>
    <w:rsid w:val="005E0C12"/>
    <w:rsid w:val="005E0C39"/>
    <w:rsid w:val="005E0C55"/>
    <w:rsid w:val="005E0D23"/>
    <w:rsid w:val="005E0DD7"/>
    <w:rsid w:val="005E0DFD"/>
    <w:rsid w:val="005E0F89"/>
    <w:rsid w:val="005E0FE1"/>
    <w:rsid w:val="005E1041"/>
    <w:rsid w:val="005E1119"/>
    <w:rsid w:val="005E114B"/>
    <w:rsid w:val="005E1179"/>
    <w:rsid w:val="005E1260"/>
    <w:rsid w:val="005E129D"/>
    <w:rsid w:val="005E133E"/>
    <w:rsid w:val="005E137F"/>
    <w:rsid w:val="005E1620"/>
    <w:rsid w:val="005E1638"/>
    <w:rsid w:val="005E1893"/>
    <w:rsid w:val="005E1AA2"/>
    <w:rsid w:val="005E1B13"/>
    <w:rsid w:val="005E1B3E"/>
    <w:rsid w:val="005E1BBC"/>
    <w:rsid w:val="005E1C91"/>
    <w:rsid w:val="005E1E4A"/>
    <w:rsid w:val="005E1EF4"/>
    <w:rsid w:val="005E1F29"/>
    <w:rsid w:val="005E207A"/>
    <w:rsid w:val="005E217C"/>
    <w:rsid w:val="005E229E"/>
    <w:rsid w:val="005E22AB"/>
    <w:rsid w:val="005E238E"/>
    <w:rsid w:val="005E2567"/>
    <w:rsid w:val="005E2584"/>
    <w:rsid w:val="005E2626"/>
    <w:rsid w:val="005E2712"/>
    <w:rsid w:val="005E2869"/>
    <w:rsid w:val="005E2945"/>
    <w:rsid w:val="005E298D"/>
    <w:rsid w:val="005E2AC2"/>
    <w:rsid w:val="005E2BFA"/>
    <w:rsid w:val="005E2C36"/>
    <w:rsid w:val="005E2C9F"/>
    <w:rsid w:val="005E2CDB"/>
    <w:rsid w:val="005E2D59"/>
    <w:rsid w:val="005E2D8B"/>
    <w:rsid w:val="005E2E2E"/>
    <w:rsid w:val="005E2E67"/>
    <w:rsid w:val="005E305E"/>
    <w:rsid w:val="005E3083"/>
    <w:rsid w:val="005E317C"/>
    <w:rsid w:val="005E318A"/>
    <w:rsid w:val="005E331A"/>
    <w:rsid w:val="005E34CE"/>
    <w:rsid w:val="005E3639"/>
    <w:rsid w:val="005E3A74"/>
    <w:rsid w:val="005E3C00"/>
    <w:rsid w:val="005E3C60"/>
    <w:rsid w:val="005E3D96"/>
    <w:rsid w:val="005E4117"/>
    <w:rsid w:val="005E41B2"/>
    <w:rsid w:val="005E42FA"/>
    <w:rsid w:val="005E4348"/>
    <w:rsid w:val="005E4374"/>
    <w:rsid w:val="005E437F"/>
    <w:rsid w:val="005E45B2"/>
    <w:rsid w:val="005E45F6"/>
    <w:rsid w:val="005E46E2"/>
    <w:rsid w:val="005E49F9"/>
    <w:rsid w:val="005E4A23"/>
    <w:rsid w:val="005E4A7A"/>
    <w:rsid w:val="005E4B23"/>
    <w:rsid w:val="005E4BCE"/>
    <w:rsid w:val="005E4CBD"/>
    <w:rsid w:val="005E4D65"/>
    <w:rsid w:val="005E4DAD"/>
    <w:rsid w:val="005E4DB8"/>
    <w:rsid w:val="005E4ED3"/>
    <w:rsid w:val="005E4FA6"/>
    <w:rsid w:val="005E5062"/>
    <w:rsid w:val="005E50A7"/>
    <w:rsid w:val="005E5165"/>
    <w:rsid w:val="005E518F"/>
    <w:rsid w:val="005E51CB"/>
    <w:rsid w:val="005E52C8"/>
    <w:rsid w:val="005E52D8"/>
    <w:rsid w:val="005E5383"/>
    <w:rsid w:val="005E53DC"/>
    <w:rsid w:val="005E5411"/>
    <w:rsid w:val="005E5432"/>
    <w:rsid w:val="005E5480"/>
    <w:rsid w:val="005E5643"/>
    <w:rsid w:val="005E56AD"/>
    <w:rsid w:val="005E56F3"/>
    <w:rsid w:val="005E57B9"/>
    <w:rsid w:val="005E5B32"/>
    <w:rsid w:val="005E5B3E"/>
    <w:rsid w:val="005E5BD5"/>
    <w:rsid w:val="005E5C3C"/>
    <w:rsid w:val="005E5DC3"/>
    <w:rsid w:val="005E5DDF"/>
    <w:rsid w:val="005E5E62"/>
    <w:rsid w:val="005E5F43"/>
    <w:rsid w:val="005E5F57"/>
    <w:rsid w:val="005E60FB"/>
    <w:rsid w:val="005E61A3"/>
    <w:rsid w:val="005E6258"/>
    <w:rsid w:val="005E6266"/>
    <w:rsid w:val="005E63DC"/>
    <w:rsid w:val="005E6838"/>
    <w:rsid w:val="005E68FD"/>
    <w:rsid w:val="005E69C5"/>
    <w:rsid w:val="005E6A28"/>
    <w:rsid w:val="005E6A65"/>
    <w:rsid w:val="005E6A6D"/>
    <w:rsid w:val="005E6AA4"/>
    <w:rsid w:val="005E6ADB"/>
    <w:rsid w:val="005E6BEE"/>
    <w:rsid w:val="005E6C19"/>
    <w:rsid w:val="005E700A"/>
    <w:rsid w:val="005E7054"/>
    <w:rsid w:val="005E707E"/>
    <w:rsid w:val="005E70AA"/>
    <w:rsid w:val="005E712F"/>
    <w:rsid w:val="005E72DF"/>
    <w:rsid w:val="005E730B"/>
    <w:rsid w:val="005E735D"/>
    <w:rsid w:val="005E74BA"/>
    <w:rsid w:val="005E75DE"/>
    <w:rsid w:val="005E767B"/>
    <w:rsid w:val="005E767C"/>
    <w:rsid w:val="005E77A0"/>
    <w:rsid w:val="005E7878"/>
    <w:rsid w:val="005E7957"/>
    <w:rsid w:val="005E7C5F"/>
    <w:rsid w:val="005E7CC8"/>
    <w:rsid w:val="005E7DF4"/>
    <w:rsid w:val="005E7E7E"/>
    <w:rsid w:val="005F0364"/>
    <w:rsid w:val="005F06F6"/>
    <w:rsid w:val="005F07D5"/>
    <w:rsid w:val="005F0976"/>
    <w:rsid w:val="005F0A2B"/>
    <w:rsid w:val="005F0AC7"/>
    <w:rsid w:val="005F0B04"/>
    <w:rsid w:val="005F0B9F"/>
    <w:rsid w:val="005F0C2B"/>
    <w:rsid w:val="005F0D7F"/>
    <w:rsid w:val="005F0EC5"/>
    <w:rsid w:val="005F100E"/>
    <w:rsid w:val="005F109C"/>
    <w:rsid w:val="005F10BC"/>
    <w:rsid w:val="005F11CC"/>
    <w:rsid w:val="005F150D"/>
    <w:rsid w:val="005F156D"/>
    <w:rsid w:val="005F1597"/>
    <w:rsid w:val="005F159E"/>
    <w:rsid w:val="005F15C5"/>
    <w:rsid w:val="005F1840"/>
    <w:rsid w:val="005F18EB"/>
    <w:rsid w:val="005F196F"/>
    <w:rsid w:val="005F19B6"/>
    <w:rsid w:val="005F19F7"/>
    <w:rsid w:val="005F1B03"/>
    <w:rsid w:val="005F1BBE"/>
    <w:rsid w:val="005F1C74"/>
    <w:rsid w:val="005F1D11"/>
    <w:rsid w:val="005F1DDD"/>
    <w:rsid w:val="005F1F65"/>
    <w:rsid w:val="005F2034"/>
    <w:rsid w:val="005F20DF"/>
    <w:rsid w:val="005F23A0"/>
    <w:rsid w:val="005F24B7"/>
    <w:rsid w:val="005F24EE"/>
    <w:rsid w:val="005F257B"/>
    <w:rsid w:val="005F2619"/>
    <w:rsid w:val="005F2627"/>
    <w:rsid w:val="005F2709"/>
    <w:rsid w:val="005F2974"/>
    <w:rsid w:val="005F2A45"/>
    <w:rsid w:val="005F2B44"/>
    <w:rsid w:val="005F2C84"/>
    <w:rsid w:val="005F2D4E"/>
    <w:rsid w:val="005F2E75"/>
    <w:rsid w:val="005F308C"/>
    <w:rsid w:val="005F30B9"/>
    <w:rsid w:val="005F30FA"/>
    <w:rsid w:val="005F31BC"/>
    <w:rsid w:val="005F3333"/>
    <w:rsid w:val="005F335F"/>
    <w:rsid w:val="005F33F4"/>
    <w:rsid w:val="005F3413"/>
    <w:rsid w:val="005F3469"/>
    <w:rsid w:val="005F35BC"/>
    <w:rsid w:val="005F3737"/>
    <w:rsid w:val="005F3777"/>
    <w:rsid w:val="005F383C"/>
    <w:rsid w:val="005F39AB"/>
    <w:rsid w:val="005F39AF"/>
    <w:rsid w:val="005F3A60"/>
    <w:rsid w:val="005F3A87"/>
    <w:rsid w:val="005F3C07"/>
    <w:rsid w:val="005F3D1B"/>
    <w:rsid w:val="005F3DB3"/>
    <w:rsid w:val="005F3DB5"/>
    <w:rsid w:val="005F3EBC"/>
    <w:rsid w:val="005F3EE3"/>
    <w:rsid w:val="005F3F47"/>
    <w:rsid w:val="005F3F87"/>
    <w:rsid w:val="005F4091"/>
    <w:rsid w:val="005F417E"/>
    <w:rsid w:val="005F4263"/>
    <w:rsid w:val="005F438A"/>
    <w:rsid w:val="005F43D6"/>
    <w:rsid w:val="005F457E"/>
    <w:rsid w:val="005F461C"/>
    <w:rsid w:val="005F4AA7"/>
    <w:rsid w:val="005F4CB1"/>
    <w:rsid w:val="005F4CF1"/>
    <w:rsid w:val="005F4E18"/>
    <w:rsid w:val="005F4E2F"/>
    <w:rsid w:val="005F522C"/>
    <w:rsid w:val="005F5268"/>
    <w:rsid w:val="005F555B"/>
    <w:rsid w:val="005F560F"/>
    <w:rsid w:val="005F5641"/>
    <w:rsid w:val="005F5738"/>
    <w:rsid w:val="005F5848"/>
    <w:rsid w:val="005F58FA"/>
    <w:rsid w:val="005F590D"/>
    <w:rsid w:val="005F5A25"/>
    <w:rsid w:val="005F5A9F"/>
    <w:rsid w:val="005F5D31"/>
    <w:rsid w:val="005F5D4C"/>
    <w:rsid w:val="005F5D6F"/>
    <w:rsid w:val="005F5EF8"/>
    <w:rsid w:val="005F6002"/>
    <w:rsid w:val="005F6006"/>
    <w:rsid w:val="005F6076"/>
    <w:rsid w:val="005F62A0"/>
    <w:rsid w:val="005F63E3"/>
    <w:rsid w:val="005F6410"/>
    <w:rsid w:val="005F6561"/>
    <w:rsid w:val="005F65D5"/>
    <w:rsid w:val="005F65F9"/>
    <w:rsid w:val="005F670B"/>
    <w:rsid w:val="005F6A9A"/>
    <w:rsid w:val="005F6E6A"/>
    <w:rsid w:val="005F6EB4"/>
    <w:rsid w:val="005F7071"/>
    <w:rsid w:val="005F70B8"/>
    <w:rsid w:val="005F7264"/>
    <w:rsid w:val="005F7387"/>
    <w:rsid w:val="005F7409"/>
    <w:rsid w:val="005F75AE"/>
    <w:rsid w:val="005F7620"/>
    <w:rsid w:val="005F7658"/>
    <w:rsid w:val="005F76A3"/>
    <w:rsid w:val="005F76A7"/>
    <w:rsid w:val="005F79A4"/>
    <w:rsid w:val="005F7B1C"/>
    <w:rsid w:val="005F7BCA"/>
    <w:rsid w:val="005F7BD7"/>
    <w:rsid w:val="005F7CB0"/>
    <w:rsid w:val="005F7D8F"/>
    <w:rsid w:val="005F7DB1"/>
    <w:rsid w:val="005F7E0B"/>
    <w:rsid w:val="005F7F03"/>
    <w:rsid w:val="00600116"/>
    <w:rsid w:val="006001A3"/>
    <w:rsid w:val="00600202"/>
    <w:rsid w:val="00600253"/>
    <w:rsid w:val="00600288"/>
    <w:rsid w:val="006002CC"/>
    <w:rsid w:val="006002ED"/>
    <w:rsid w:val="00600317"/>
    <w:rsid w:val="0060032A"/>
    <w:rsid w:val="0060035F"/>
    <w:rsid w:val="0060040C"/>
    <w:rsid w:val="0060045E"/>
    <w:rsid w:val="006006FE"/>
    <w:rsid w:val="00600765"/>
    <w:rsid w:val="00600799"/>
    <w:rsid w:val="00600D16"/>
    <w:rsid w:val="00600DE3"/>
    <w:rsid w:val="00600E8C"/>
    <w:rsid w:val="00600EAD"/>
    <w:rsid w:val="00600FCC"/>
    <w:rsid w:val="00601024"/>
    <w:rsid w:val="00601141"/>
    <w:rsid w:val="006011B0"/>
    <w:rsid w:val="006011C2"/>
    <w:rsid w:val="00601212"/>
    <w:rsid w:val="00601276"/>
    <w:rsid w:val="0060135C"/>
    <w:rsid w:val="00601479"/>
    <w:rsid w:val="006014F7"/>
    <w:rsid w:val="00601525"/>
    <w:rsid w:val="00601625"/>
    <w:rsid w:val="00601831"/>
    <w:rsid w:val="00601A00"/>
    <w:rsid w:val="00601A56"/>
    <w:rsid w:val="00601B49"/>
    <w:rsid w:val="00601B6F"/>
    <w:rsid w:val="00601CA3"/>
    <w:rsid w:val="00601CEF"/>
    <w:rsid w:val="00601D99"/>
    <w:rsid w:val="00601DB0"/>
    <w:rsid w:val="00601E6F"/>
    <w:rsid w:val="00601EE3"/>
    <w:rsid w:val="0060215F"/>
    <w:rsid w:val="00602258"/>
    <w:rsid w:val="0060234D"/>
    <w:rsid w:val="006023B1"/>
    <w:rsid w:val="0060249F"/>
    <w:rsid w:val="006024E2"/>
    <w:rsid w:val="0060251C"/>
    <w:rsid w:val="00602619"/>
    <w:rsid w:val="00602735"/>
    <w:rsid w:val="00602823"/>
    <w:rsid w:val="00602837"/>
    <w:rsid w:val="00602844"/>
    <w:rsid w:val="006028D1"/>
    <w:rsid w:val="00602ADC"/>
    <w:rsid w:val="00602B92"/>
    <w:rsid w:val="00602D92"/>
    <w:rsid w:val="00602ED6"/>
    <w:rsid w:val="00602FA6"/>
    <w:rsid w:val="00603194"/>
    <w:rsid w:val="006031E3"/>
    <w:rsid w:val="006032A6"/>
    <w:rsid w:val="00603446"/>
    <w:rsid w:val="00603447"/>
    <w:rsid w:val="0060345E"/>
    <w:rsid w:val="0060348A"/>
    <w:rsid w:val="0060349C"/>
    <w:rsid w:val="006036CE"/>
    <w:rsid w:val="00603733"/>
    <w:rsid w:val="006037DE"/>
    <w:rsid w:val="00603B46"/>
    <w:rsid w:val="00603B58"/>
    <w:rsid w:val="00603BB9"/>
    <w:rsid w:val="00603EFF"/>
    <w:rsid w:val="00603FC5"/>
    <w:rsid w:val="0060424F"/>
    <w:rsid w:val="00604304"/>
    <w:rsid w:val="00604417"/>
    <w:rsid w:val="0060468D"/>
    <w:rsid w:val="00604704"/>
    <w:rsid w:val="00604946"/>
    <w:rsid w:val="00604A65"/>
    <w:rsid w:val="00604AFE"/>
    <w:rsid w:val="00604BB7"/>
    <w:rsid w:val="00604BD7"/>
    <w:rsid w:val="00604BFF"/>
    <w:rsid w:val="00604D19"/>
    <w:rsid w:val="00604D3B"/>
    <w:rsid w:val="00604ECA"/>
    <w:rsid w:val="00604F20"/>
    <w:rsid w:val="006051F2"/>
    <w:rsid w:val="0060528D"/>
    <w:rsid w:val="006052C3"/>
    <w:rsid w:val="0060577B"/>
    <w:rsid w:val="00605780"/>
    <w:rsid w:val="00605897"/>
    <w:rsid w:val="0060596D"/>
    <w:rsid w:val="006059DF"/>
    <w:rsid w:val="00605AE7"/>
    <w:rsid w:val="00605CEB"/>
    <w:rsid w:val="00605F18"/>
    <w:rsid w:val="00605F97"/>
    <w:rsid w:val="006060D4"/>
    <w:rsid w:val="00606343"/>
    <w:rsid w:val="00606432"/>
    <w:rsid w:val="00606441"/>
    <w:rsid w:val="006065CF"/>
    <w:rsid w:val="0060668A"/>
    <w:rsid w:val="006067F4"/>
    <w:rsid w:val="006068E7"/>
    <w:rsid w:val="00606915"/>
    <w:rsid w:val="0060691C"/>
    <w:rsid w:val="006069AE"/>
    <w:rsid w:val="00606A4C"/>
    <w:rsid w:val="00606A54"/>
    <w:rsid w:val="00606A69"/>
    <w:rsid w:val="00606C28"/>
    <w:rsid w:val="00606C37"/>
    <w:rsid w:val="00606F81"/>
    <w:rsid w:val="00607026"/>
    <w:rsid w:val="006070CE"/>
    <w:rsid w:val="00607158"/>
    <w:rsid w:val="0060719F"/>
    <w:rsid w:val="006071CF"/>
    <w:rsid w:val="006071FA"/>
    <w:rsid w:val="00607232"/>
    <w:rsid w:val="00607314"/>
    <w:rsid w:val="0060733D"/>
    <w:rsid w:val="00607363"/>
    <w:rsid w:val="006074DE"/>
    <w:rsid w:val="00607859"/>
    <w:rsid w:val="0060787E"/>
    <w:rsid w:val="006078D5"/>
    <w:rsid w:val="006079A4"/>
    <w:rsid w:val="006079B7"/>
    <w:rsid w:val="006079F9"/>
    <w:rsid w:val="00607A92"/>
    <w:rsid w:val="00607B01"/>
    <w:rsid w:val="00607B30"/>
    <w:rsid w:val="00607C23"/>
    <w:rsid w:val="00607D06"/>
    <w:rsid w:val="00607E6F"/>
    <w:rsid w:val="00607F2F"/>
    <w:rsid w:val="00607FB3"/>
    <w:rsid w:val="00607FE1"/>
    <w:rsid w:val="00610092"/>
    <w:rsid w:val="006101E2"/>
    <w:rsid w:val="0061028B"/>
    <w:rsid w:val="006102B3"/>
    <w:rsid w:val="00610412"/>
    <w:rsid w:val="00610471"/>
    <w:rsid w:val="006104E8"/>
    <w:rsid w:val="0061053E"/>
    <w:rsid w:val="00610645"/>
    <w:rsid w:val="0061073B"/>
    <w:rsid w:val="00610752"/>
    <w:rsid w:val="00610880"/>
    <w:rsid w:val="00610AD3"/>
    <w:rsid w:val="00610B6F"/>
    <w:rsid w:val="00610C83"/>
    <w:rsid w:val="00610CE6"/>
    <w:rsid w:val="00610D7F"/>
    <w:rsid w:val="00610FDD"/>
    <w:rsid w:val="006111A6"/>
    <w:rsid w:val="00611216"/>
    <w:rsid w:val="00611231"/>
    <w:rsid w:val="006113FA"/>
    <w:rsid w:val="006115DB"/>
    <w:rsid w:val="00611921"/>
    <w:rsid w:val="00611994"/>
    <w:rsid w:val="00611A57"/>
    <w:rsid w:val="00611A85"/>
    <w:rsid w:val="00611B32"/>
    <w:rsid w:val="00611F17"/>
    <w:rsid w:val="00611FC0"/>
    <w:rsid w:val="0061204A"/>
    <w:rsid w:val="0061205F"/>
    <w:rsid w:val="006120A4"/>
    <w:rsid w:val="006120F4"/>
    <w:rsid w:val="00612214"/>
    <w:rsid w:val="0061225C"/>
    <w:rsid w:val="0061234F"/>
    <w:rsid w:val="00612552"/>
    <w:rsid w:val="0061265C"/>
    <w:rsid w:val="0061297C"/>
    <w:rsid w:val="00612A03"/>
    <w:rsid w:val="00612CE6"/>
    <w:rsid w:val="00613146"/>
    <w:rsid w:val="006132E8"/>
    <w:rsid w:val="00613410"/>
    <w:rsid w:val="0061349C"/>
    <w:rsid w:val="00613513"/>
    <w:rsid w:val="0061353A"/>
    <w:rsid w:val="00613558"/>
    <w:rsid w:val="0061363B"/>
    <w:rsid w:val="00613689"/>
    <w:rsid w:val="0061373B"/>
    <w:rsid w:val="006139F7"/>
    <w:rsid w:val="00613D0B"/>
    <w:rsid w:val="00613D12"/>
    <w:rsid w:val="00613D47"/>
    <w:rsid w:val="00613E71"/>
    <w:rsid w:val="00613E88"/>
    <w:rsid w:val="00613EF8"/>
    <w:rsid w:val="00613F3A"/>
    <w:rsid w:val="00613F8B"/>
    <w:rsid w:val="00614034"/>
    <w:rsid w:val="006140B9"/>
    <w:rsid w:val="006141AC"/>
    <w:rsid w:val="00614348"/>
    <w:rsid w:val="0061442E"/>
    <w:rsid w:val="0061447B"/>
    <w:rsid w:val="006144D5"/>
    <w:rsid w:val="0061452A"/>
    <w:rsid w:val="00614610"/>
    <w:rsid w:val="006146F5"/>
    <w:rsid w:val="00614715"/>
    <w:rsid w:val="00614795"/>
    <w:rsid w:val="006147D8"/>
    <w:rsid w:val="006147FD"/>
    <w:rsid w:val="00614895"/>
    <w:rsid w:val="006148E4"/>
    <w:rsid w:val="00614901"/>
    <w:rsid w:val="00614AD8"/>
    <w:rsid w:val="00614C2B"/>
    <w:rsid w:val="00614D90"/>
    <w:rsid w:val="00614DE1"/>
    <w:rsid w:val="00615022"/>
    <w:rsid w:val="0061504F"/>
    <w:rsid w:val="006152FF"/>
    <w:rsid w:val="006154C0"/>
    <w:rsid w:val="0061556B"/>
    <w:rsid w:val="00615578"/>
    <w:rsid w:val="006157D5"/>
    <w:rsid w:val="0061592D"/>
    <w:rsid w:val="00615B41"/>
    <w:rsid w:val="00615B72"/>
    <w:rsid w:val="00615C3D"/>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940"/>
    <w:rsid w:val="00616962"/>
    <w:rsid w:val="00616A08"/>
    <w:rsid w:val="00616B4B"/>
    <w:rsid w:val="00616C85"/>
    <w:rsid w:val="00616D01"/>
    <w:rsid w:val="00616DBC"/>
    <w:rsid w:val="00616E57"/>
    <w:rsid w:val="00616EF4"/>
    <w:rsid w:val="00616F3B"/>
    <w:rsid w:val="00616F95"/>
    <w:rsid w:val="00616FDB"/>
    <w:rsid w:val="006171C0"/>
    <w:rsid w:val="0061726F"/>
    <w:rsid w:val="006172D3"/>
    <w:rsid w:val="006174D8"/>
    <w:rsid w:val="006174F8"/>
    <w:rsid w:val="006174FE"/>
    <w:rsid w:val="00617693"/>
    <w:rsid w:val="006177E2"/>
    <w:rsid w:val="00617835"/>
    <w:rsid w:val="00617AAE"/>
    <w:rsid w:val="00617B81"/>
    <w:rsid w:val="00617BBD"/>
    <w:rsid w:val="00617CC9"/>
    <w:rsid w:val="00617D42"/>
    <w:rsid w:val="00617DE0"/>
    <w:rsid w:val="00617F6D"/>
    <w:rsid w:val="0062006F"/>
    <w:rsid w:val="00620108"/>
    <w:rsid w:val="006201E7"/>
    <w:rsid w:val="006202CB"/>
    <w:rsid w:val="006205BE"/>
    <w:rsid w:val="00620751"/>
    <w:rsid w:val="006207FC"/>
    <w:rsid w:val="0062081E"/>
    <w:rsid w:val="00620854"/>
    <w:rsid w:val="006208AB"/>
    <w:rsid w:val="006208B5"/>
    <w:rsid w:val="00620945"/>
    <w:rsid w:val="00620948"/>
    <w:rsid w:val="00620A48"/>
    <w:rsid w:val="00620B15"/>
    <w:rsid w:val="00620B7F"/>
    <w:rsid w:val="00620DE7"/>
    <w:rsid w:val="00620E78"/>
    <w:rsid w:val="00620F60"/>
    <w:rsid w:val="00620FD3"/>
    <w:rsid w:val="00620FF0"/>
    <w:rsid w:val="00620FFB"/>
    <w:rsid w:val="00621041"/>
    <w:rsid w:val="00621166"/>
    <w:rsid w:val="006211A6"/>
    <w:rsid w:val="00621269"/>
    <w:rsid w:val="006213C4"/>
    <w:rsid w:val="00621420"/>
    <w:rsid w:val="00621435"/>
    <w:rsid w:val="006215CF"/>
    <w:rsid w:val="006216B6"/>
    <w:rsid w:val="006216CD"/>
    <w:rsid w:val="00621811"/>
    <w:rsid w:val="00621822"/>
    <w:rsid w:val="006218E5"/>
    <w:rsid w:val="00621929"/>
    <w:rsid w:val="006219B5"/>
    <w:rsid w:val="006219E0"/>
    <w:rsid w:val="00621AE5"/>
    <w:rsid w:val="00621AF7"/>
    <w:rsid w:val="00621BB7"/>
    <w:rsid w:val="00621BE8"/>
    <w:rsid w:val="00621C3C"/>
    <w:rsid w:val="00621DA9"/>
    <w:rsid w:val="00621F5C"/>
    <w:rsid w:val="00622041"/>
    <w:rsid w:val="00622042"/>
    <w:rsid w:val="006220CD"/>
    <w:rsid w:val="00622168"/>
    <w:rsid w:val="0062218D"/>
    <w:rsid w:val="0062245B"/>
    <w:rsid w:val="006224BC"/>
    <w:rsid w:val="006224E6"/>
    <w:rsid w:val="00622522"/>
    <w:rsid w:val="00622568"/>
    <w:rsid w:val="00622628"/>
    <w:rsid w:val="0062267B"/>
    <w:rsid w:val="0062267D"/>
    <w:rsid w:val="0062270D"/>
    <w:rsid w:val="00622769"/>
    <w:rsid w:val="0062278B"/>
    <w:rsid w:val="00622829"/>
    <w:rsid w:val="00622AFA"/>
    <w:rsid w:val="00622B96"/>
    <w:rsid w:val="00622C2D"/>
    <w:rsid w:val="00622CCC"/>
    <w:rsid w:val="00622DAC"/>
    <w:rsid w:val="00622DD7"/>
    <w:rsid w:val="00622DF3"/>
    <w:rsid w:val="0062301D"/>
    <w:rsid w:val="006231C0"/>
    <w:rsid w:val="00623299"/>
    <w:rsid w:val="006232B1"/>
    <w:rsid w:val="0062331B"/>
    <w:rsid w:val="0062346F"/>
    <w:rsid w:val="00623509"/>
    <w:rsid w:val="006236C0"/>
    <w:rsid w:val="006239F5"/>
    <w:rsid w:val="00623B7A"/>
    <w:rsid w:val="00623BA0"/>
    <w:rsid w:val="00623DAB"/>
    <w:rsid w:val="00623E7B"/>
    <w:rsid w:val="00623FD0"/>
    <w:rsid w:val="0062413E"/>
    <w:rsid w:val="006241C4"/>
    <w:rsid w:val="0062424E"/>
    <w:rsid w:val="0062433F"/>
    <w:rsid w:val="00624579"/>
    <w:rsid w:val="006245B3"/>
    <w:rsid w:val="006245D8"/>
    <w:rsid w:val="00624690"/>
    <w:rsid w:val="00624852"/>
    <w:rsid w:val="0062494C"/>
    <w:rsid w:val="006249AD"/>
    <w:rsid w:val="00624ACC"/>
    <w:rsid w:val="00624AD4"/>
    <w:rsid w:val="00624C1A"/>
    <w:rsid w:val="00624CC7"/>
    <w:rsid w:val="00624D07"/>
    <w:rsid w:val="00624ECA"/>
    <w:rsid w:val="00624F49"/>
    <w:rsid w:val="00625048"/>
    <w:rsid w:val="006250E4"/>
    <w:rsid w:val="00625146"/>
    <w:rsid w:val="0062514E"/>
    <w:rsid w:val="0062515B"/>
    <w:rsid w:val="0062518D"/>
    <w:rsid w:val="0062525C"/>
    <w:rsid w:val="0062534C"/>
    <w:rsid w:val="006254A5"/>
    <w:rsid w:val="00625662"/>
    <w:rsid w:val="00625678"/>
    <w:rsid w:val="00625952"/>
    <w:rsid w:val="006259A1"/>
    <w:rsid w:val="00625A14"/>
    <w:rsid w:val="00625A2A"/>
    <w:rsid w:val="00625BC1"/>
    <w:rsid w:val="00625D04"/>
    <w:rsid w:val="00625D3D"/>
    <w:rsid w:val="00625D83"/>
    <w:rsid w:val="00625DF5"/>
    <w:rsid w:val="00625E94"/>
    <w:rsid w:val="00625F00"/>
    <w:rsid w:val="00625F1D"/>
    <w:rsid w:val="00625F36"/>
    <w:rsid w:val="00625F92"/>
    <w:rsid w:val="0062601B"/>
    <w:rsid w:val="0062614F"/>
    <w:rsid w:val="00626161"/>
    <w:rsid w:val="0062629F"/>
    <w:rsid w:val="006262D1"/>
    <w:rsid w:val="006262E3"/>
    <w:rsid w:val="006262E9"/>
    <w:rsid w:val="0062635E"/>
    <w:rsid w:val="006263A2"/>
    <w:rsid w:val="0062640D"/>
    <w:rsid w:val="00626578"/>
    <w:rsid w:val="006268AD"/>
    <w:rsid w:val="00626965"/>
    <w:rsid w:val="006269B6"/>
    <w:rsid w:val="006269C6"/>
    <w:rsid w:val="006269FF"/>
    <w:rsid w:val="00626A5B"/>
    <w:rsid w:val="00626B7F"/>
    <w:rsid w:val="00626BEC"/>
    <w:rsid w:val="00626D14"/>
    <w:rsid w:val="00626E7B"/>
    <w:rsid w:val="006270E6"/>
    <w:rsid w:val="006270FD"/>
    <w:rsid w:val="006272F4"/>
    <w:rsid w:val="006272FB"/>
    <w:rsid w:val="006273AA"/>
    <w:rsid w:val="006274BC"/>
    <w:rsid w:val="006275EE"/>
    <w:rsid w:val="006276B0"/>
    <w:rsid w:val="0062788E"/>
    <w:rsid w:val="00627897"/>
    <w:rsid w:val="0062793A"/>
    <w:rsid w:val="006279D1"/>
    <w:rsid w:val="00627A76"/>
    <w:rsid w:val="00627BE7"/>
    <w:rsid w:val="00627D16"/>
    <w:rsid w:val="00627D20"/>
    <w:rsid w:val="00627D4A"/>
    <w:rsid w:val="00627F74"/>
    <w:rsid w:val="00627F7E"/>
    <w:rsid w:val="00627F8B"/>
    <w:rsid w:val="00630080"/>
    <w:rsid w:val="006300B2"/>
    <w:rsid w:val="00630217"/>
    <w:rsid w:val="00630354"/>
    <w:rsid w:val="00630515"/>
    <w:rsid w:val="00630526"/>
    <w:rsid w:val="006305C9"/>
    <w:rsid w:val="00630604"/>
    <w:rsid w:val="006306BF"/>
    <w:rsid w:val="00630866"/>
    <w:rsid w:val="00630AA6"/>
    <w:rsid w:val="00630D60"/>
    <w:rsid w:val="00630D98"/>
    <w:rsid w:val="00630E42"/>
    <w:rsid w:val="0063102F"/>
    <w:rsid w:val="006311D3"/>
    <w:rsid w:val="006311E1"/>
    <w:rsid w:val="006313ED"/>
    <w:rsid w:val="0063140B"/>
    <w:rsid w:val="006314E4"/>
    <w:rsid w:val="006314E6"/>
    <w:rsid w:val="00631563"/>
    <w:rsid w:val="00631620"/>
    <w:rsid w:val="00631660"/>
    <w:rsid w:val="006316C2"/>
    <w:rsid w:val="006318A2"/>
    <w:rsid w:val="00631959"/>
    <w:rsid w:val="00631A26"/>
    <w:rsid w:val="00631CA1"/>
    <w:rsid w:val="00631D59"/>
    <w:rsid w:val="00631E2F"/>
    <w:rsid w:val="00631FD1"/>
    <w:rsid w:val="0063204A"/>
    <w:rsid w:val="006321B5"/>
    <w:rsid w:val="006322DB"/>
    <w:rsid w:val="0063247D"/>
    <w:rsid w:val="0063255F"/>
    <w:rsid w:val="006325EF"/>
    <w:rsid w:val="00632686"/>
    <w:rsid w:val="006327BF"/>
    <w:rsid w:val="006329BE"/>
    <w:rsid w:val="00632D7B"/>
    <w:rsid w:val="00633016"/>
    <w:rsid w:val="006330BD"/>
    <w:rsid w:val="00633234"/>
    <w:rsid w:val="006332CA"/>
    <w:rsid w:val="006332E9"/>
    <w:rsid w:val="006333D0"/>
    <w:rsid w:val="0063342E"/>
    <w:rsid w:val="006335F3"/>
    <w:rsid w:val="00633636"/>
    <w:rsid w:val="00633676"/>
    <w:rsid w:val="00633699"/>
    <w:rsid w:val="006338C6"/>
    <w:rsid w:val="006338ED"/>
    <w:rsid w:val="00633918"/>
    <w:rsid w:val="00633994"/>
    <w:rsid w:val="00633AB6"/>
    <w:rsid w:val="00633F10"/>
    <w:rsid w:val="00633F55"/>
    <w:rsid w:val="006340B1"/>
    <w:rsid w:val="0063415A"/>
    <w:rsid w:val="006342D2"/>
    <w:rsid w:val="006343E9"/>
    <w:rsid w:val="00634482"/>
    <w:rsid w:val="006344CA"/>
    <w:rsid w:val="006344F5"/>
    <w:rsid w:val="0063473C"/>
    <w:rsid w:val="006348CC"/>
    <w:rsid w:val="006349B4"/>
    <w:rsid w:val="006349C8"/>
    <w:rsid w:val="00634B8B"/>
    <w:rsid w:val="00634BF5"/>
    <w:rsid w:val="00634C24"/>
    <w:rsid w:val="00634C66"/>
    <w:rsid w:val="00634E92"/>
    <w:rsid w:val="00634EA2"/>
    <w:rsid w:val="00634EA3"/>
    <w:rsid w:val="00634F3E"/>
    <w:rsid w:val="006351EA"/>
    <w:rsid w:val="00635319"/>
    <w:rsid w:val="006353E2"/>
    <w:rsid w:val="006354FB"/>
    <w:rsid w:val="0063558D"/>
    <w:rsid w:val="00635623"/>
    <w:rsid w:val="006357E4"/>
    <w:rsid w:val="0063581E"/>
    <w:rsid w:val="00635A11"/>
    <w:rsid w:val="00635B5E"/>
    <w:rsid w:val="00635E82"/>
    <w:rsid w:val="00635EE5"/>
    <w:rsid w:val="00635EEB"/>
    <w:rsid w:val="00636081"/>
    <w:rsid w:val="00636189"/>
    <w:rsid w:val="006362CF"/>
    <w:rsid w:val="006363D5"/>
    <w:rsid w:val="0063652C"/>
    <w:rsid w:val="006365A7"/>
    <w:rsid w:val="0063667E"/>
    <w:rsid w:val="006366EE"/>
    <w:rsid w:val="00636713"/>
    <w:rsid w:val="0063693F"/>
    <w:rsid w:val="00636C08"/>
    <w:rsid w:val="00636D00"/>
    <w:rsid w:val="00636D45"/>
    <w:rsid w:val="00636D7A"/>
    <w:rsid w:val="00636D8E"/>
    <w:rsid w:val="00636E42"/>
    <w:rsid w:val="00636FBB"/>
    <w:rsid w:val="00637098"/>
    <w:rsid w:val="006371C0"/>
    <w:rsid w:val="006373D3"/>
    <w:rsid w:val="0063743B"/>
    <w:rsid w:val="00637530"/>
    <w:rsid w:val="00637743"/>
    <w:rsid w:val="00637780"/>
    <w:rsid w:val="00637955"/>
    <w:rsid w:val="00637A56"/>
    <w:rsid w:val="00637CE6"/>
    <w:rsid w:val="00637D36"/>
    <w:rsid w:val="00637F4F"/>
    <w:rsid w:val="006400DB"/>
    <w:rsid w:val="00640187"/>
    <w:rsid w:val="00640255"/>
    <w:rsid w:val="00640272"/>
    <w:rsid w:val="006402A5"/>
    <w:rsid w:val="0064031A"/>
    <w:rsid w:val="00640454"/>
    <w:rsid w:val="00640486"/>
    <w:rsid w:val="0064051F"/>
    <w:rsid w:val="0064067D"/>
    <w:rsid w:val="006406BD"/>
    <w:rsid w:val="00640719"/>
    <w:rsid w:val="00640738"/>
    <w:rsid w:val="006408CB"/>
    <w:rsid w:val="00640938"/>
    <w:rsid w:val="00640A6F"/>
    <w:rsid w:val="00640AEF"/>
    <w:rsid w:val="00640BE7"/>
    <w:rsid w:val="00640CC0"/>
    <w:rsid w:val="00640E83"/>
    <w:rsid w:val="00640F13"/>
    <w:rsid w:val="00640FC9"/>
    <w:rsid w:val="00641148"/>
    <w:rsid w:val="006413D6"/>
    <w:rsid w:val="00641622"/>
    <w:rsid w:val="00641862"/>
    <w:rsid w:val="0064186C"/>
    <w:rsid w:val="00641988"/>
    <w:rsid w:val="00641B6F"/>
    <w:rsid w:val="00641B7F"/>
    <w:rsid w:val="00641C03"/>
    <w:rsid w:val="00641C2E"/>
    <w:rsid w:val="00641DFF"/>
    <w:rsid w:val="00641E59"/>
    <w:rsid w:val="00641EA7"/>
    <w:rsid w:val="00642016"/>
    <w:rsid w:val="00642304"/>
    <w:rsid w:val="006423A4"/>
    <w:rsid w:val="006423A5"/>
    <w:rsid w:val="006424DC"/>
    <w:rsid w:val="00642506"/>
    <w:rsid w:val="0064254D"/>
    <w:rsid w:val="006425BC"/>
    <w:rsid w:val="00642636"/>
    <w:rsid w:val="006429B7"/>
    <w:rsid w:val="00642A51"/>
    <w:rsid w:val="00642AD1"/>
    <w:rsid w:val="00642AD6"/>
    <w:rsid w:val="00642B85"/>
    <w:rsid w:val="00642C80"/>
    <w:rsid w:val="00642DAB"/>
    <w:rsid w:val="00642DD4"/>
    <w:rsid w:val="00642E40"/>
    <w:rsid w:val="00642EB0"/>
    <w:rsid w:val="00642EFE"/>
    <w:rsid w:val="00642F03"/>
    <w:rsid w:val="00642F7B"/>
    <w:rsid w:val="006430F6"/>
    <w:rsid w:val="006431C0"/>
    <w:rsid w:val="0064357C"/>
    <w:rsid w:val="00643597"/>
    <w:rsid w:val="00643801"/>
    <w:rsid w:val="006438F1"/>
    <w:rsid w:val="00643B21"/>
    <w:rsid w:val="00643B46"/>
    <w:rsid w:val="00643B48"/>
    <w:rsid w:val="00643E24"/>
    <w:rsid w:val="00643E41"/>
    <w:rsid w:val="00643ED7"/>
    <w:rsid w:val="006441FF"/>
    <w:rsid w:val="00644202"/>
    <w:rsid w:val="006442D2"/>
    <w:rsid w:val="006444C3"/>
    <w:rsid w:val="00644637"/>
    <w:rsid w:val="006446CC"/>
    <w:rsid w:val="006447B3"/>
    <w:rsid w:val="00644872"/>
    <w:rsid w:val="00644892"/>
    <w:rsid w:val="00644899"/>
    <w:rsid w:val="006449DB"/>
    <w:rsid w:val="006449EE"/>
    <w:rsid w:val="006449FF"/>
    <w:rsid w:val="00644A41"/>
    <w:rsid w:val="00644E3D"/>
    <w:rsid w:val="00644F53"/>
    <w:rsid w:val="00645061"/>
    <w:rsid w:val="006450AA"/>
    <w:rsid w:val="006450B9"/>
    <w:rsid w:val="006450FF"/>
    <w:rsid w:val="006452B4"/>
    <w:rsid w:val="006453EC"/>
    <w:rsid w:val="00645419"/>
    <w:rsid w:val="00645443"/>
    <w:rsid w:val="006454AC"/>
    <w:rsid w:val="00645691"/>
    <w:rsid w:val="00645708"/>
    <w:rsid w:val="00645816"/>
    <w:rsid w:val="00645960"/>
    <w:rsid w:val="00645C11"/>
    <w:rsid w:val="00645DE5"/>
    <w:rsid w:val="00645E21"/>
    <w:rsid w:val="0064605C"/>
    <w:rsid w:val="00646067"/>
    <w:rsid w:val="006461AF"/>
    <w:rsid w:val="0064634D"/>
    <w:rsid w:val="0064637D"/>
    <w:rsid w:val="0064656C"/>
    <w:rsid w:val="006465AA"/>
    <w:rsid w:val="00646627"/>
    <w:rsid w:val="0064666C"/>
    <w:rsid w:val="00646692"/>
    <w:rsid w:val="006466A1"/>
    <w:rsid w:val="00646782"/>
    <w:rsid w:val="00646792"/>
    <w:rsid w:val="00646802"/>
    <w:rsid w:val="006468C3"/>
    <w:rsid w:val="006468C6"/>
    <w:rsid w:val="00646A91"/>
    <w:rsid w:val="00646CBA"/>
    <w:rsid w:val="00646CCF"/>
    <w:rsid w:val="00646D97"/>
    <w:rsid w:val="00646E4A"/>
    <w:rsid w:val="00647270"/>
    <w:rsid w:val="006472AE"/>
    <w:rsid w:val="006473ED"/>
    <w:rsid w:val="006476D4"/>
    <w:rsid w:val="00647703"/>
    <w:rsid w:val="0064781F"/>
    <w:rsid w:val="00647973"/>
    <w:rsid w:val="00647A65"/>
    <w:rsid w:val="00647AA6"/>
    <w:rsid w:val="00647B0D"/>
    <w:rsid w:val="00647C0A"/>
    <w:rsid w:val="00647CD0"/>
    <w:rsid w:val="00647E41"/>
    <w:rsid w:val="00647F24"/>
    <w:rsid w:val="00647FD3"/>
    <w:rsid w:val="00647FF0"/>
    <w:rsid w:val="00650077"/>
    <w:rsid w:val="006500C7"/>
    <w:rsid w:val="00650180"/>
    <w:rsid w:val="00650213"/>
    <w:rsid w:val="0065024E"/>
    <w:rsid w:val="00650265"/>
    <w:rsid w:val="006503A1"/>
    <w:rsid w:val="0065042F"/>
    <w:rsid w:val="006504D3"/>
    <w:rsid w:val="00650519"/>
    <w:rsid w:val="006505F6"/>
    <w:rsid w:val="006508AE"/>
    <w:rsid w:val="006508C4"/>
    <w:rsid w:val="0065096A"/>
    <w:rsid w:val="00650A25"/>
    <w:rsid w:val="00650E04"/>
    <w:rsid w:val="00650F19"/>
    <w:rsid w:val="00650FF4"/>
    <w:rsid w:val="00651217"/>
    <w:rsid w:val="006512CB"/>
    <w:rsid w:val="00651347"/>
    <w:rsid w:val="00651391"/>
    <w:rsid w:val="006513B1"/>
    <w:rsid w:val="006513C8"/>
    <w:rsid w:val="00651445"/>
    <w:rsid w:val="0065148A"/>
    <w:rsid w:val="0065154B"/>
    <w:rsid w:val="006515A4"/>
    <w:rsid w:val="0065173B"/>
    <w:rsid w:val="006519EE"/>
    <w:rsid w:val="00651ACB"/>
    <w:rsid w:val="00651ADA"/>
    <w:rsid w:val="00651B36"/>
    <w:rsid w:val="00651D37"/>
    <w:rsid w:val="00651D70"/>
    <w:rsid w:val="00651DF7"/>
    <w:rsid w:val="00651E53"/>
    <w:rsid w:val="00651E82"/>
    <w:rsid w:val="00652188"/>
    <w:rsid w:val="006521CD"/>
    <w:rsid w:val="006521F1"/>
    <w:rsid w:val="00652411"/>
    <w:rsid w:val="00652469"/>
    <w:rsid w:val="00652489"/>
    <w:rsid w:val="00652496"/>
    <w:rsid w:val="006524EB"/>
    <w:rsid w:val="006525A5"/>
    <w:rsid w:val="006525CA"/>
    <w:rsid w:val="00652622"/>
    <w:rsid w:val="00652860"/>
    <w:rsid w:val="0065291B"/>
    <w:rsid w:val="00652B22"/>
    <w:rsid w:val="00652B2D"/>
    <w:rsid w:val="00652B30"/>
    <w:rsid w:val="00652C98"/>
    <w:rsid w:val="00652C9B"/>
    <w:rsid w:val="00652CDD"/>
    <w:rsid w:val="00652F10"/>
    <w:rsid w:val="00652F15"/>
    <w:rsid w:val="00652F3F"/>
    <w:rsid w:val="00653031"/>
    <w:rsid w:val="00653085"/>
    <w:rsid w:val="006530CF"/>
    <w:rsid w:val="00653158"/>
    <w:rsid w:val="006532CB"/>
    <w:rsid w:val="0065336D"/>
    <w:rsid w:val="00653432"/>
    <w:rsid w:val="0065354C"/>
    <w:rsid w:val="0065361E"/>
    <w:rsid w:val="006536F9"/>
    <w:rsid w:val="0065371B"/>
    <w:rsid w:val="006538B9"/>
    <w:rsid w:val="00653926"/>
    <w:rsid w:val="0065394C"/>
    <w:rsid w:val="0065399C"/>
    <w:rsid w:val="006539D9"/>
    <w:rsid w:val="00653C11"/>
    <w:rsid w:val="00653CA6"/>
    <w:rsid w:val="00653E97"/>
    <w:rsid w:val="0065410C"/>
    <w:rsid w:val="006541FC"/>
    <w:rsid w:val="006545C9"/>
    <w:rsid w:val="006545F0"/>
    <w:rsid w:val="0065463E"/>
    <w:rsid w:val="006547DB"/>
    <w:rsid w:val="006547F0"/>
    <w:rsid w:val="006549A1"/>
    <w:rsid w:val="00654A28"/>
    <w:rsid w:val="00654A5B"/>
    <w:rsid w:val="00654B00"/>
    <w:rsid w:val="00654B35"/>
    <w:rsid w:val="00654BFA"/>
    <w:rsid w:val="00654BFD"/>
    <w:rsid w:val="00654C83"/>
    <w:rsid w:val="00654C91"/>
    <w:rsid w:val="00654D78"/>
    <w:rsid w:val="00654D90"/>
    <w:rsid w:val="00654D92"/>
    <w:rsid w:val="00654DB1"/>
    <w:rsid w:val="00654DFB"/>
    <w:rsid w:val="00654E65"/>
    <w:rsid w:val="00654EDF"/>
    <w:rsid w:val="00655229"/>
    <w:rsid w:val="00655372"/>
    <w:rsid w:val="0065539B"/>
    <w:rsid w:val="00655476"/>
    <w:rsid w:val="006554EF"/>
    <w:rsid w:val="00655694"/>
    <w:rsid w:val="006556FC"/>
    <w:rsid w:val="0065573A"/>
    <w:rsid w:val="0065576F"/>
    <w:rsid w:val="006557F6"/>
    <w:rsid w:val="0065597B"/>
    <w:rsid w:val="0065598D"/>
    <w:rsid w:val="006559C5"/>
    <w:rsid w:val="00655A2D"/>
    <w:rsid w:val="00655A88"/>
    <w:rsid w:val="00655C73"/>
    <w:rsid w:val="00655CEA"/>
    <w:rsid w:val="00655D10"/>
    <w:rsid w:val="00655D11"/>
    <w:rsid w:val="00655E46"/>
    <w:rsid w:val="00655E4E"/>
    <w:rsid w:val="00655FE0"/>
    <w:rsid w:val="006561FB"/>
    <w:rsid w:val="00656224"/>
    <w:rsid w:val="0065623D"/>
    <w:rsid w:val="006562A8"/>
    <w:rsid w:val="00656331"/>
    <w:rsid w:val="00656434"/>
    <w:rsid w:val="006565E4"/>
    <w:rsid w:val="00656776"/>
    <w:rsid w:val="00656833"/>
    <w:rsid w:val="00656918"/>
    <w:rsid w:val="00656A00"/>
    <w:rsid w:val="00656AEC"/>
    <w:rsid w:val="00656B6D"/>
    <w:rsid w:val="00656C03"/>
    <w:rsid w:val="00656D2A"/>
    <w:rsid w:val="00656D41"/>
    <w:rsid w:val="00656DA2"/>
    <w:rsid w:val="00656E1F"/>
    <w:rsid w:val="00656E90"/>
    <w:rsid w:val="00656EB5"/>
    <w:rsid w:val="00657195"/>
    <w:rsid w:val="0065722F"/>
    <w:rsid w:val="00657358"/>
    <w:rsid w:val="0065756E"/>
    <w:rsid w:val="0065764E"/>
    <w:rsid w:val="006576A5"/>
    <w:rsid w:val="0065786E"/>
    <w:rsid w:val="00657A56"/>
    <w:rsid w:val="00657ADC"/>
    <w:rsid w:val="00657B19"/>
    <w:rsid w:val="00657BF3"/>
    <w:rsid w:val="00657C1D"/>
    <w:rsid w:val="00657C5C"/>
    <w:rsid w:val="00657D9E"/>
    <w:rsid w:val="00657DE5"/>
    <w:rsid w:val="00657EFE"/>
    <w:rsid w:val="006601BA"/>
    <w:rsid w:val="00660240"/>
    <w:rsid w:val="00660299"/>
    <w:rsid w:val="006604B0"/>
    <w:rsid w:val="006604F9"/>
    <w:rsid w:val="00660506"/>
    <w:rsid w:val="006605D3"/>
    <w:rsid w:val="00660774"/>
    <w:rsid w:val="006607E0"/>
    <w:rsid w:val="00660875"/>
    <w:rsid w:val="006608CD"/>
    <w:rsid w:val="0066097F"/>
    <w:rsid w:val="00660B06"/>
    <w:rsid w:val="00660B11"/>
    <w:rsid w:val="00660C95"/>
    <w:rsid w:val="00660FD5"/>
    <w:rsid w:val="006610B9"/>
    <w:rsid w:val="006610C1"/>
    <w:rsid w:val="0066110F"/>
    <w:rsid w:val="00661209"/>
    <w:rsid w:val="00661378"/>
    <w:rsid w:val="0066139C"/>
    <w:rsid w:val="006614DD"/>
    <w:rsid w:val="006616C4"/>
    <w:rsid w:val="00661814"/>
    <w:rsid w:val="00661A24"/>
    <w:rsid w:val="00661A40"/>
    <w:rsid w:val="00661A98"/>
    <w:rsid w:val="00661A9C"/>
    <w:rsid w:val="00661AE1"/>
    <w:rsid w:val="00661B7B"/>
    <w:rsid w:val="00661D17"/>
    <w:rsid w:val="00661E17"/>
    <w:rsid w:val="006620AD"/>
    <w:rsid w:val="00662134"/>
    <w:rsid w:val="006624C0"/>
    <w:rsid w:val="006624C3"/>
    <w:rsid w:val="006624EB"/>
    <w:rsid w:val="0066254A"/>
    <w:rsid w:val="006625E7"/>
    <w:rsid w:val="0066274D"/>
    <w:rsid w:val="00662931"/>
    <w:rsid w:val="00662949"/>
    <w:rsid w:val="00662970"/>
    <w:rsid w:val="00662A44"/>
    <w:rsid w:val="00662AA9"/>
    <w:rsid w:val="00662ADD"/>
    <w:rsid w:val="00662B90"/>
    <w:rsid w:val="00662E36"/>
    <w:rsid w:val="00663275"/>
    <w:rsid w:val="0066337B"/>
    <w:rsid w:val="00663581"/>
    <w:rsid w:val="006636FD"/>
    <w:rsid w:val="0066371E"/>
    <w:rsid w:val="00663762"/>
    <w:rsid w:val="00663783"/>
    <w:rsid w:val="00663942"/>
    <w:rsid w:val="00663998"/>
    <w:rsid w:val="00663A36"/>
    <w:rsid w:val="00663B5F"/>
    <w:rsid w:val="00663BA0"/>
    <w:rsid w:val="00663BB0"/>
    <w:rsid w:val="00663CD1"/>
    <w:rsid w:val="00663D2D"/>
    <w:rsid w:val="00663D47"/>
    <w:rsid w:val="00663F46"/>
    <w:rsid w:val="00663F4F"/>
    <w:rsid w:val="006640EA"/>
    <w:rsid w:val="0066427D"/>
    <w:rsid w:val="0066448A"/>
    <w:rsid w:val="006644C5"/>
    <w:rsid w:val="00664538"/>
    <w:rsid w:val="00664554"/>
    <w:rsid w:val="0066456C"/>
    <w:rsid w:val="0066466F"/>
    <w:rsid w:val="006646BB"/>
    <w:rsid w:val="00664A5F"/>
    <w:rsid w:val="00664CA5"/>
    <w:rsid w:val="00664CDD"/>
    <w:rsid w:val="00664CF4"/>
    <w:rsid w:val="00664D50"/>
    <w:rsid w:val="00664D81"/>
    <w:rsid w:val="00664E1B"/>
    <w:rsid w:val="00664E41"/>
    <w:rsid w:val="00664F90"/>
    <w:rsid w:val="00664FFA"/>
    <w:rsid w:val="0066507B"/>
    <w:rsid w:val="0066537B"/>
    <w:rsid w:val="00665387"/>
    <w:rsid w:val="00665445"/>
    <w:rsid w:val="006654C8"/>
    <w:rsid w:val="00665956"/>
    <w:rsid w:val="006659BA"/>
    <w:rsid w:val="00665A1E"/>
    <w:rsid w:val="00665A36"/>
    <w:rsid w:val="00665C76"/>
    <w:rsid w:val="00665CDA"/>
    <w:rsid w:val="00665EE4"/>
    <w:rsid w:val="00665EEA"/>
    <w:rsid w:val="00665F92"/>
    <w:rsid w:val="0066629D"/>
    <w:rsid w:val="006662DA"/>
    <w:rsid w:val="00666314"/>
    <w:rsid w:val="006663BD"/>
    <w:rsid w:val="00666436"/>
    <w:rsid w:val="006664D5"/>
    <w:rsid w:val="0066658C"/>
    <w:rsid w:val="006665C0"/>
    <w:rsid w:val="00666664"/>
    <w:rsid w:val="0066667C"/>
    <w:rsid w:val="006666C1"/>
    <w:rsid w:val="006666DA"/>
    <w:rsid w:val="00666746"/>
    <w:rsid w:val="00666763"/>
    <w:rsid w:val="00666870"/>
    <w:rsid w:val="00666986"/>
    <w:rsid w:val="00666A53"/>
    <w:rsid w:val="00666A7D"/>
    <w:rsid w:val="00666B23"/>
    <w:rsid w:val="00666C32"/>
    <w:rsid w:val="00666C37"/>
    <w:rsid w:val="00666D74"/>
    <w:rsid w:val="00666DB1"/>
    <w:rsid w:val="00666F1E"/>
    <w:rsid w:val="0066700C"/>
    <w:rsid w:val="00667082"/>
    <w:rsid w:val="00667167"/>
    <w:rsid w:val="0066718C"/>
    <w:rsid w:val="006671B5"/>
    <w:rsid w:val="00667204"/>
    <w:rsid w:val="00667217"/>
    <w:rsid w:val="00667237"/>
    <w:rsid w:val="0066736C"/>
    <w:rsid w:val="006673E6"/>
    <w:rsid w:val="006674DE"/>
    <w:rsid w:val="00667707"/>
    <w:rsid w:val="006678AF"/>
    <w:rsid w:val="0066790A"/>
    <w:rsid w:val="00667A90"/>
    <w:rsid w:val="00667AC1"/>
    <w:rsid w:val="00667B60"/>
    <w:rsid w:val="00667B7B"/>
    <w:rsid w:val="00667D6E"/>
    <w:rsid w:val="00667DC2"/>
    <w:rsid w:val="00667E09"/>
    <w:rsid w:val="00667E51"/>
    <w:rsid w:val="00667E5B"/>
    <w:rsid w:val="006702B3"/>
    <w:rsid w:val="006702ED"/>
    <w:rsid w:val="006703FC"/>
    <w:rsid w:val="006704E6"/>
    <w:rsid w:val="006706C7"/>
    <w:rsid w:val="0067085A"/>
    <w:rsid w:val="00670877"/>
    <w:rsid w:val="0067094B"/>
    <w:rsid w:val="00670A02"/>
    <w:rsid w:val="00670A7D"/>
    <w:rsid w:val="00670B96"/>
    <w:rsid w:val="00670E3B"/>
    <w:rsid w:val="00670ECC"/>
    <w:rsid w:val="00671318"/>
    <w:rsid w:val="006714EE"/>
    <w:rsid w:val="0067166A"/>
    <w:rsid w:val="006716A3"/>
    <w:rsid w:val="006717DE"/>
    <w:rsid w:val="00671964"/>
    <w:rsid w:val="0067197F"/>
    <w:rsid w:val="00671AE8"/>
    <w:rsid w:val="00671B0A"/>
    <w:rsid w:val="00671D58"/>
    <w:rsid w:val="00671DA3"/>
    <w:rsid w:val="00671E39"/>
    <w:rsid w:val="00671F53"/>
    <w:rsid w:val="00671F60"/>
    <w:rsid w:val="00672119"/>
    <w:rsid w:val="00672235"/>
    <w:rsid w:val="0067251A"/>
    <w:rsid w:val="0067285F"/>
    <w:rsid w:val="00672B53"/>
    <w:rsid w:val="00672D14"/>
    <w:rsid w:val="00672DB5"/>
    <w:rsid w:val="00672E01"/>
    <w:rsid w:val="00673169"/>
    <w:rsid w:val="0067335D"/>
    <w:rsid w:val="006734C6"/>
    <w:rsid w:val="00673551"/>
    <w:rsid w:val="00673749"/>
    <w:rsid w:val="006737C9"/>
    <w:rsid w:val="0067380E"/>
    <w:rsid w:val="00673816"/>
    <w:rsid w:val="00673881"/>
    <w:rsid w:val="00673A39"/>
    <w:rsid w:val="00673CD5"/>
    <w:rsid w:val="00673D5F"/>
    <w:rsid w:val="00673D67"/>
    <w:rsid w:val="00673E44"/>
    <w:rsid w:val="00673E69"/>
    <w:rsid w:val="00673EF5"/>
    <w:rsid w:val="00673F64"/>
    <w:rsid w:val="00673F8F"/>
    <w:rsid w:val="006740BD"/>
    <w:rsid w:val="006740BF"/>
    <w:rsid w:val="006740E1"/>
    <w:rsid w:val="006741CC"/>
    <w:rsid w:val="0067434B"/>
    <w:rsid w:val="00674643"/>
    <w:rsid w:val="00674755"/>
    <w:rsid w:val="0067483F"/>
    <w:rsid w:val="00674923"/>
    <w:rsid w:val="00674B47"/>
    <w:rsid w:val="00674B6C"/>
    <w:rsid w:val="00674C8E"/>
    <w:rsid w:val="00674DEB"/>
    <w:rsid w:val="00674DF6"/>
    <w:rsid w:val="0067501B"/>
    <w:rsid w:val="0067506F"/>
    <w:rsid w:val="006750EF"/>
    <w:rsid w:val="0067513B"/>
    <w:rsid w:val="0067515A"/>
    <w:rsid w:val="00675197"/>
    <w:rsid w:val="0067538F"/>
    <w:rsid w:val="006755C1"/>
    <w:rsid w:val="00675716"/>
    <w:rsid w:val="00675729"/>
    <w:rsid w:val="00675851"/>
    <w:rsid w:val="00675982"/>
    <w:rsid w:val="00675A7F"/>
    <w:rsid w:val="00675AC8"/>
    <w:rsid w:val="00675AEB"/>
    <w:rsid w:val="00675B34"/>
    <w:rsid w:val="00675B3D"/>
    <w:rsid w:val="00675BFD"/>
    <w:rsid w:val="00675C36"/>
    <w:rsid w:val="00675E4C"/>
    <w:rsid w:val="00675F06"/>
    <w:rsid w:val="00675F91"/>
    <w:rsid w:val="00675FDE"/>
    <w:rsid w:val="00675FE6"/>
    <w:rsid w:val="00676012"/>
    <w:rsid w:val="006762DC"/>
    <w:rsid w:val="00676396"/>
    <w:rsid w:val="00676514"/>
    <w:rsid w:val="006767D6"/>
    <w:rsid w:val="00676B4E"/>
    <w:rsid w:val="00676B84"/>
    <w:rsid w:val="00676FFF"/>
    <w:rsid w:val="0067702C"/>
    <w:rsid w:val="006770C0"/>
    <w:rsid w:val="00677149"/>
    <w:rsid w:val="006772B1"/>
    <w:rsid w:val="00677346"/>
    <w:rsid w:val="006774B2"/>
    <w:rsid w:val="006774EF"/>
    <w:rsid w:val="0067751B"/>
    <w:rsid w:val="006778B9"/>
    <w:rsid w:val="00677B47"/>
    <w:rsid w:val="00677BAD"/>
    <w:rsid w:val="00677C90"/>
    <w:rsid w:val="00677CFC"/>
    <w:rsid w:val="00677E92"/>
    <w:rsid w:val="00677EC6"/>
    <w:rsid w:val="00677F06"/>
    <w:rsid w:val="00677F0B"/>
    <w:rsid w:val="00677F92"/>
    <w:rsid w:val="006800E0"/>
    <w:rsid w:val="0068012D"/>
    <w:rsid w:val="00680410"/>
    <w:rsid w:val="0068050E"/>
    <w:rsid w:val="00680532"/>
    <w:rsid w:val="00680559"/>
    <w:rsid w:val="00680578"/>
    <w:rsid w:val="006805BE"/>
    <w:rsid w:val="006805CE"/>
    <w:rsid w:val="006805E0"/>
    <w:rsid w:val="00680617"/>
    <w:rsid w:val="00680651"/>
    <w:rsid w:val="006807F7"/>
    <w:rsid w:val="00680922"/>
    <w:rsid w:val="0068098D"/>
    <w:rsid w:val="00680A5B"/>
    <w:rsid w:val="00680B71"/>
    <w:rsid w:val="00680BC8"/>
    <w:rsid w:val="00680BDD"/>
    <w:rsid w:val="00680CF8"/>
    <w:rsid w:val="00680E24"/>
    <w:rsid w:val="00680E2D"/>
    <w:rsid w:val="00680E2E"/>
    <w:rsid w:val="00680E30"/>
    <w:rsid w:val="00680E4C"/>
    <w:rsid w:val="006810CD"/>
    <w:rsid w:val="006810D8"/>
    <w:rsid w:val="0068115C"/>
    <w:rsid w:val="00681335"/>
    <w:rsid w:val="00681417"/>
    <w:rsid w:val="00681500"/>
    <w:rsid w:val="00681537"/>
    <w:rsid w:val="006817F1"/>
    <w:rsid w:val="00681888"/>
    <w:rsid w:val="0068196E"/>
    <w:rsid w:val="00681A11"/>
    <w:rsid w:val="00681AE7"/>
    <w:rsid w:val="00681AFE"/>
    <w:rsid w:val="00681B59"/>
    <w:rsid w:val="00681BF4"/>
    <w:rsid w:val="00681C56"/>
    <w:rsid w:val="00681DBE"/>
    <w:rsid w:val="00681FF6"/>
    <w:rsid w:val="00682082"/>
    <w:rsid w:val="006820F2"/>
    <w:rsid w:val="006821FB"/>
    <w:rsid w:val="0068227B"/>
    <w:rsid w:val="00682283"/>
    <w:rsid w:val="00682411"/>
    <w:rsid w:val="006824A1"/>
    <w:rsid w:val="006824C3"/>
    <w:rsid w:val="00682538"/>
    <w:rsid w:val="006829C2"/>
    <w:rsid w:val="00682A84"/>
    <w:rsid w:val="00682D85"/>
    <w:rsid w:val="00682EDE"/>
    <w:rsid w:val="00682F87"/>
    <w:rsid w:val="00683046"/>
    <w:rsid w:val="00683051"/>
    <w:rsid w:val="006830F6"/>
    <w:rsid w:val="006831F6"/>
    <w:rsid w:val="0068323B"/>
    <w:rsid w:val="006832A6"/>
    <w:rsid w:val="0068333D"/>
    <w:rsid w:val="006833E3"/>
    <w:rsid w:val="00683694"/>
    <w:rsid w:val="006836B7"/>
    <w:rsid w:val="006836CB"/>
    <w:rsid w:val="00683705"/>
    <w:rsid w:val="00683799"/>
    <w:rsid w:val="00683A70"/>
    <w:rsid w:val="00683B68"/>
    <w:rsid w:val="00683C1E"/>
    <w:rsid w:val="00683CE3"/>
    <w:rsid w:val="00683D17"/>
    <w:rsid w:val="00683E1E"/>
    <w:rsid w:val="00683ED4"/>
    <w:rsid w:val="00684051"/>
    <w:rsid w:val="00684095"/>
    <w:rsid w:val="00684792"/>
    <w:rsid w:val="00684889"/>
    <w:rsid w:val="0068496A"/>
    <w:rsid w:val="00684B12"/>
    <w:rsid w:val="00684B65"/>
    <w:rsid w:val="00684C68"/>
    <w:rsid w:val="00684C9A"/>
    <w:rsid w:val="00684F00"/>
    <w:rsid w:val="00684FAC"/>
    <w:rsid w:val="0068516C"/>
    <w:rsid w:val="006851AF"/>
    <w:rsid w:val="006851FC"/>
    <w:rsid w:val="0068527E"/>
    <w:rsid w:val="0068528D"/>
    <w:rsid w:val="006852D2"/>
    <w:rsid w:val="00685353"/>
    <w:rsid w:val="006853E1"/>
    <w:rsid w:val="0068545A"/>
    <w:rsid w:val="006854DF"/>
    <w:rsid w:val="0068554A"/>
    <w:rsid w:val="0068556E"/>
    <w:rsid w:val="006855AE"/>
    <w:rsid w:val="00685615"/>
    <w:rsid w:val="0068561E"/>
    <w:rsid w:val="006856BF"/>
    <w:rsid w:val="006856DC"/>
    <w:rsid w:val="006857BF"/>
    <w:rsid w:val="0068582C"/>
    <w:rsid w:val="006858AB"/>
    <w:rsid w:val="00685A38"/>
    <w:rsid w:val="00685DC2"/>
    <w:rsid w:val="00685E1E"/>
    <w:rsid w:val="00685E7F"/>
    <w:rsid w:val="00685F92"/>
    <w:rsid w:val="00685FF9"/>
    <w:rsid w:val="0068613A"/>
    <w:rsid w:val="006863D1"/>
    <w:rsid w:val="00686477"/>
    <w:rsid w:val="006865C4"/>
    <w:rsid w:val="00686694"/>
    <w:rsid w:val="006866CC"/>
    <w:rsid w:val="00686973"/>
    <w:rsid w:val="006869E2"/>
    <w:rsid w:val="00686A80"/>
    <w:rsid w:val="00686AC2"/>
    <w:rsid w:val="00686DF8"/>
    <w:rsid w:val="00686E6E"/>
    <w:rsid w:val="00686F22"/>
    <w:rsid w:val="00687033"/>
    <w:rsid w:val="006870C5"/>
    <w:rsid w:val="00687158"/>
    <w:rsid w:val="006871CC"/>
    <w:rsid w:val="006871D3"/>
    <w:rsid w:val="0068741F"/>
    <w:rsid w:val="00687673"/>
    <w:rsid w:val="0068767A"/>
    <w:rsid w:val="006876E8"/>
    <w:rsid w:val="0068771E"/>
    <w:rsid w:val="0068773B"/>
    <w:rsid w:val="006878EB"/>
    <w:rsid w:val="00687A0B"/>
    <w:rsid w:val="00687CE2"/>
    <w:rsid w:val="00687D33"/>
    <w:rsid w:val="00687D55"/>
    <w:rsid w:val="00687DF4"/>
    <w:rsid w:val="00687E28"/>
    <w:rsid w:val="00687E4E"/>
    <w:rsid w:val="00687F82"/>
    <w:rsid w:val="00687FF3"/>
    <w:rsid w:val="00690113"/>
    <w:rsid w:val="006901C1"/>
    <w:rsid w:val="00690230"/>
    <w:rsid w:val="00690308"/>
    <w:rsid w:val="0069046B"/>
    <w:rsid w:val="006905D1"/>
    <w:rsid w:val="00690A34"/>
    <w:rsid w:val="00690A48"/>
    <w:rsid w:val="00690B1C"/>
    <w:rsid w:val="00690CCD"/>
    <w:rsid w:val="00690CCF"/>
    <w:rsid w:val="00690CE0"/>
    <w:rsid w:val="00690D12"/>
    <w:rsid w:val="00690DF9"/>
    <w:rsid w:val="00690FCC"/>
    <w:rsid w:val="00690FFA"/>
    <w:rsid w:val="0069119B"/>
    <w:rsid w:val="0069121F"/>
    <w:rsid w:val="00691223"/>
    <w:rsid w:val="00691224"/>
    <w:rsid w:val="00691454"/>
    <w:rsid w:val="00691485"/>
    <w:rsid w:val="006914CA"/>
    <w:rsid w:val="006915D2"/>
    <w:rsid w:val="006915DA"/>
    <w:rsid w:val="00691690"/>
    <w:rsid w:val="00691719"/>
    <w:rsid w:val="0069174C"/>
    <w:rsid w:val="0069181E"/>
    <w:rsid w:val="00691918"/>
    <w:rsid w:val="0069196E"/>
    <w:rsid w:val="00691A05"/>
    <w:rsid w:val="00691A7C"/>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6EC"/>
    <w:rsid w:val="0069273F"/>
    <w:rsid w:val="006927AF"/>
    <w:rsid w:val="00692958"/>
    <w:rsid w:val="00692965"/>
    <w:rsid w:val="00692AC2"/>
    <w:rsid w:val="00692BED"/>
    <w:rsid w:val="00692F0E"/>
    <w:rsid w:val="00692F65"/>
    <w:rsid w:val="00692FD5"/>
    <w:rsid w:val="0069305E"/>
    <w:rsid w:val="006930B6"/>
    <w:rsid w:val="006930C3"/>
    <w:rsid w:val="00693168"/>
    <w:rsid w:val="00693431"/>
    <w:rsid w:val="00693465"/>
    <w:rsid w:val="0069358A"/>
    <w:rsid w:val="006935D2"/>
    <w:rsid w:val="0069366F"/>
    <w:rsid w:val="006936E9"/>
    <w:rsid w:val="0069371E"/>
    <w:rsid w:val="00693722"/>
    <w:rsid w:val="00693802"/>
    <w:rsid w:val="00693812"/>
    <w:rsid w:val="00693A1E"/>
    <w:rsid w:val="00693B4A"/>
    <w:rsid w:val="00693C1B"/>
    <w:rsid w:val="00693D6B"/>
    <w:rsid w:val="00693D6E"/>
    <w:rsid w:val="00693E63"/>
    <w:rsid w:val="00693E71"/>
    <w:rsid w:val="00693E91"/>
    <w:rsid w:val="006940D6"/>
    <w:rsid w:val="006941C7"/>
    <w:rsid w:val="006942E3"/>
    <w:rsid w:val="006945C7"/>
    <w:rsid w:val="0069469A"/>
    <w:rsid w:val="006946C8"/>
    <w:rsid w:val="006946CB"/>
    <w:rsid w:val="00694702"/>
    <w:rsid w:val="00694737"/>
    <w:rsid w:val="0069474B"/>
    <w:rsid w:val="0069482E"/>
    <w:rsid w:val="00694924"/>
    <w:rsid w:val="00694A51"/>
    <w:rsid w:val="00694BC1"/>
    <w:rsid w:val="00694D24"/>
    <w:rsid w:val="00694E5A"/>
    <w:rsid w:val="00694F64"/>
    <w:rsid w:val="00694F7B"/>
    <w:rsid w:val="006950CB"/>
    <w:rsid w:val="00695105"/>
    <w:rsid w:val="00695111"/>
    <w:rsid w:val="006951CF"/>
    <w:rsid w:val="00695240"/>
    <w:rsid w:val="00695313"/>
    <w:rsid w:val="0069533B"/>
    <w:rsid w:val="00695376"/>
    <w:rsid w:val="006954AF"/>
    <w:rsid w:val="00695764"/>
    <w:rsid w:val="0069579A"/>
    <w:rsid w:val="006958AF"/>
    <w:rsid w:val="006958CB"/>
    <w:rsid w:val="006958FF"/>
    <w:rsid w:val="0069598D"/>
    <w:rsid w:val="006959D7"/>
    <w:rsid w:val="00695A6C"/>
    <w:rsid w:val="00695BBB"/>
    <w:rsid w:val="00695D52"/>
    <w:rsid w:val="00695E17"/>
    <w:rsid w:val="00695E53"/>
    <w:rsid w:val="00695F95"/>
    <w:rsid w:val="00696006"/>
    <w:rsid w:val="00696007"/>
    <w:rsid w:val="006963D5"/>
    <w:rsid w:val="006966BD"/>
    <w:rsid w:val="00696702"/>
    <w:rsid w:val="00696752"/>
    <w:rsid w:val="00696773"/>
    <w:rsid w:val="00696871"/>
    <w:rsid w:val="00696A25"/>
    <w:rsid w:val="00696A83"/>
    <w:rsid w:val="00696D41"/>
    <w:rsid w:val="00696D77"/>
    <w:rsid w:val="00696D97"/>
    <w:rsid w:val="0069711F"/>
    <w:rsid w:val="00697178"/>
    <w:rsid w:val="006972FF"/>
    <w:rsid w:val="006976CD"/>
    <w:rsid w:val="00697795"/>
    <w:rsid w:val="00697841"/>
    <w:rsid w:val="00697933"/>
    <w:rsid w:val="00697987"/>
    <w:rsid w:val="0069799E"/>
    <w:rsid w:val="006979AF"/>
    <w:rsid w:val="00697D48"/>
    <w:rsid w:val="00697EA6"/>
    <w:rsid w:val="00697F8A"/>
    <w:rsid w:val="006A021D"/>
    <w:rsid w:val="006A03A7"/>
    <w:rsid w:val="006A0490"/>
    <w:rsid w:val="006A04A2"/>
    <w:rsid w:val="006A0544"/>
    <w:rsid w:val="006A0577"/>
    <w:rsid w:val="006A07EE"/>
    <w:rsid w:val="006A0891"/>
    <w:rsid w:val="006A08D2"/>
    <w:rsid w:val="006A090E"/>
    <w:rsid w:val="006A0926"/>
    <w:rsid w:val="006A093A"/>
    <w:rsid w:val="006A0A44"/>
    <w:rsid w:val="006A0ADD"/>
    <w:rsid w:val="006A0B8C"/>
    <w:rsid w:val="006A0BC5"/>
    <w:rsid w:val="006A0CB6"/>
    <w:rsid w:val="006A0DAC"/>
    <w:rsid w:val="006A0FAF"/>
    <w:rsid w:val="006A0FE7"/>
    <w:rsid w:val="006A1055"/>
    <w:rsid w:val="006A1072"/>
    <w:rsid w:val="006A1299"/>
    <w:rsid w:val="006A129E"/>
    <w:rsid w:val="006A1332"/>
    <w:rsid w:val="006A135D"/>
    <w:rsid w:val="006A14B8"/>
    <w:rsid w:val="006A1566"/>
    <w:rsid w:val="006A1638"/>
    <w:rsid w:val="006A16A1"/>
    <w:rsid w:val="006A16C4"/>
    <w:rsid w:val="006A17E8"/>
    <w:rsid w:val="006A1C7D"/>
    <w:rsid w:val="006A1D66"/>
    <w:rsid w:val="006A1F31"/>
    <w:rsid w:val="006A1F42"/>
    <w:rsid w:val="006A2099"/>
    <w:rsid w:val="006A20AF"/>
    <w:rsid w:val="006A238C"/>
    <w:rsid w:val="006A23CB"/>
    <w:rsid w:val="006A2541"/>
    <w:rsid w:val="006A255D"/>
    <w:rsid w:val="006A2588"/>
    <w:rsid w:val="006A25AE"/>
    <w:rsid w:val="006A26E4"/>
    <w:rsid w:val="006A26ED"/>
    <w:rsid w:val="006A2B09"/>
    <w:rsid w:val="006A2B37"/>
    <w:rsid w:val="006A2B7E"/>
    <w:rsid w:val="006A2EB9"/>
    <w:rsid w:val="006A2F20"/>
    <w:rsid w:val="006A2F9C"/>
    <w:rsid w:val="006A3016"/>
    <w:rsid w:val="006A302A"/>
    <w:rsid w:val="006A30D7"/>
    <w:rsid w:val="006A30EF"/>
    <w:rsid w:val="006A3159"/>
    <w:rsid w:val="006A3204"/>
    <w:rsid w:val="006A3338"/>
    <w:rsid w:val="006A33A4"/>
    <w:rsid w:val="006A37C4"/>
    <w:rsid w:val="006A38F3"/>
    <w:rsid w:val="006A38F5"/>
    <w:rsid w:val="006A39AB"/>
    <w:rsid w:val="006A3BEF"/>
    <w:rsid w:val="006A3CA0"/>
    <w:rsid w:val="006A3E63"/>
    <w:rsid w:val="006A3E9C"/>
    <w:rsid w:val="006A4022"/>
    <w:rsid w:val="006A4040"/>
    <w:rsid w:val="006A41ED"/>
    <w:rsid w:val="006A4385"/>
    <w:rsid w:val="006A4390"/>
    <w:rsid w:val="006A442F"/>
    <w:rsid w:val="006A4625"/>
    <w:rsid w:val="006A4693"/>
    <w:rsid w:val="006A4832"/>
    <w:rsid w:val="006A4846"/>
    <w:rsid w:val="006A4A30"/>
    <w:rsid w:val="006A4A8F"/>
    <w:rsid w:val="006A4B7C"/>
    <w:rsid w:val="006A4C30"/>
    <w:rsid w:val="006A4C37"/>
    <w:rsid w:val="006A5162"/>
    <w:rsid w:val="006A52BD"/>
    <w:rsid w:val="006A52E5"/>
    <w:rsid w:val="006A5478"/>
    <w:rsid w:val="006A55FD"/>
    <w:rsid w:val="006A571F"/>
    <w:rsid w:val="006A5787"/>
    <w:rsid w:val="006A57CC"/>
    <w:rsid w:val="006A5A8B"/>
    <w:rsid w:val="006A5B24"/>
    <w:rsid w:val="006A5B2C"/>
    <w:rsid w:val="006A5BD9"/>
    <w:rsid w:val="006A5D9A"/>
    <w:rsid w:val="006A5E89"/>
    <w:rsid w:val="006A5ED9"/>
    <w:rsid w:val="006A5EDF"/>
    <w:rsid w:val="006A5FA2"/>
    <w:rsid w:val="006A602D"/>
    <w:rsid w:val="006A6175"/>
    <w:rsid w:val="006A61C0"/>
    <w:rsid w:val="006A6328"/>
    <w:rsid w:val="006A63A4"/>
    <w:rsid w:val="006A6517"/>
    <w:rsid w:val="006A65B9"/>
    <w:rsid w:val="006A6602"/>
    <w:rsid w:val="006A669E"/>
    <w:rsid w:val="006A6854"/>
    <w:rsid w:val="006A6986"/>
    <w:rsid w:val="006A6BED"/>
    <w:rsid w:val="006A6C85"/>
    <w:rsid w:val="006A6D3E"/>
    <w:rsid w:val="006A6E97"/>
    <w:rsid w:val="006A704D"/>
    <w:rsid w:val="006A70D8"/>
    <w:rsid w:val="006A7220"/>
    <w:rsid w:val="006A7339"/>
    <w:rsid w:val="006A73AA"/>
    <w:rsid w:val="006A74E3"/>
    <w:rsid w:val="006A7699"/>
    <w:rsid w:val="006A76FF"/>
    <w:rsid w:val="006A77D3"/>
    <w:rsid w:val="006A783E"/>
    <w:rsid w:val="006A793D"/>
    <w:rsid w:val="006A794B"/>
    <w:rsid w:val="006A79D4"/>
    <w:rsid w:val="006A7A52"/>
    <w:rsid w:val="006A7A97"/>
    <w:rsid w:val="006A7BAA"/>
    <w:rsid w:val="006A7C1B"/>
    <w:rsid w:val="006A7C2A"/>
    <w:rsid w:val="006A7C8B"/>
    <w:rsid w:val="006A7C9C"/>
    <w:rsid w:val="006A7D75"/>
    <w:rsid w:val="006A7E04"/>
    <w:rsid w:val="006A7F94"/>
    <w:rsid w:val="006AF860"/>
    <w:rsid w:val="006B0018"/>
    <w:rsid w:val="006B0163"/>
    <w:rsid w:val="006B0238"/>
    <w:rsid w:val="006B02B1"/>
    <w:rsid w:val="006B0399"/>
    <w:rsid w:val="006B0401"/>
    <w:rsid w:val="006B04FC"/>
    <w:rsid w:val="006B056D"/>
    <w:rsid w:val="006B05A1"/>
    <w:rsid w:val="006B0784"/>
    <w:rsid w:val="006B080E"/>
    <w:rsid w:val="006B095E"/>
    <w:rsid w:val="006B09E0"/>
    <w:rsid w:val="006B0A33"/>
    <w:rsid w:val="006B0A49"/>
    <w:rsid w:val="006B0ACC"/>
    <w:rsid w:val="006B0B0A"/>
    <w:rsid w:val="006B0CF4"/>
    <w:rsid w:val="006B0EE0"/>
    <w:rsid w:val="006B0FF8"/>
    <w:rsid w:val="006B0FFF"/>
    <w:rsid w:val="006B114C"/>
    <w:rsid w:val="006B13AE"/>
    <w:rsid w:val="006B1511"/>
    <w:rsid w:val="006B1579"/>
    <w:rsid w:val="006B1628"/>
    <w:rsid w:val="006B1659"/>
    <w:rsid w:val="006B16FF"/>
    <w:rsid w:val="006B1744"/>
    <w:rsid w:val="006B19BF"/>
    <w:rsid w:val="006B1A20"/>
    <w:rsid w:val="006B1A96"/>
    <w:rsid w:val="006B1ABA"/>
    <w:rsid w:val="006B1B01"/>
    <w:rsid w:val="006B1B77"/>
    <w:rsid w:val="006B1C5E"/>
    <w:rsid w:val="006B1F29"/>
    <w:rsid w:val="006B1F4D"/>
    <w:rsid w:val="006B1F91"/>
    <w:rsid w:val="006B1FCB"/>
    <w:rsid w:val="006B2105"/>
    <w:rsid w:val="006B21FA"/>
    <w:rsid w:val="006B246F"/>
    <w:rsid w:val="006B24B8"/>
    <w:rsid w:val="006B2699"/>
    <w:rsid w:val="006B269E"/>
    <w:rsid w:val="006B2862"/>
    <w:rsid w:val="006B2890"/>
    <w:rsid w:val="006B29B9"/>
    <w:rsid w:val="006B29C8"/>
    <w:rsid w:val="006B2B56"/>
    <w:rsid w:val="006B2BE8"/>
    <w:rsid w:val="006B2D23"/>
    <w:rsid w:val="006B2D44"/>
    <w:rsid w:val="006B2DE1"/>
    <w:rsid w:val="006B2E65"/>
    <w:rsid w:val="006B2EE4"/>
    <w:rsid w:val="006B2F90"/>
    <w:rsid w:val="006B3067"/>
    <w:rsid w:val="006B30D0"/>
    <w:rsid w:val="006B30E1"/>
    <w:rsid w:val="006B3192"/>
    <w:rsid w:val="006B31D0"/>
    <w:rsid w:val="006B31F9"/>
    <w:rsid w:val="006B32D1"/>
    <w:rsid w:val="006B36AA"/>
    <w:rsid w:val="006B3763"/>
    <w:rsid w:val="006B3857"/>
    <w:rsid w:val="006B387D"/>
    <w:rsid w:val="006B3A62"/>
    <w:rsid w:val="006B3A8C"/>
    <w:rsid w:val="006B3E9B"/>
    <w:rsid w:val="006B4024"/>
    <w:rsid w:val="006B4098"/>
    <w:rsid w:val="006B438B"/>
    <w:rsid w:val="006B44F1"/>
    <w:rsid w:val="006B44FA"/>
    <w:rsid w:val="006B46F5"/>
    <w:rsid w:val="006B4710"/>
    <w:rsid w:val="006B49D4"/>
    <w:rsid w:val="006B4A29"/>
    <w:rsid w:val="006B4A2D"/>
    <w:rsid w:val="006B4B6C"/>
    <w:rsid w:val="006B4C2E"/>
    <w:rsid w:val="006B4C9F"/>
    <w:rsid w:val="006B4CEE"/>
    <w:rsid w:val="006B4D4C"/>
    <w:rsid w:val="006B4DAD"/>
    <w:rsid w:val="006B4EAD"/>
    <w:rsid w:val="006B4F7E"/>
    <w:rsid w:val="006B4FDD"/>
    <w:rsid w:val="006B509B"/>
    <w:rsid w:val="006B51D7"/>
    <w:rsid w:val="006B525C"/>
    <w:rsid w:val="006B5269"/>
    <w:rsid w:val="006B5322"/>
    <w:rsid w:val="006B5360"/>
    <w:rsid w:val="006B564E"/>
    <w:rsid w:val="006B56AB"/>
    <w:rsid w:val="006B5824"/>
    <w:rsid w:val="006B58B0"/>
    <w:rsid w:val="006B5B06"/>
    <w:rsid w:val="006B5C86"/>
    <w:rsid w:val="006B5D66"/>
    <w:rsid w:val="006B5D89"/>
    <w:rsid w:val="006B5F5D"/>
    <w:rsid w:val="006B602C"/>
    <w:rsid w:val="006B6127"/>
    <w:rsid w:val="006B62C4"/>
    <w:rsid w:val="006B6330"/>
    <w:rsid w:val="006B63E2"/>
    <w:rsid w:val="006B6413"/>
    <w:rsid w:val="006B646C"/>
    <w:rsid w:val="006B6597"/>
    <w:rsid w:val="006B6617"/>
    <w:rsid w:val="006B66A6"/>
    <w:rsid w:val="006B6926"/>
    <w:rsid w:val="006B6A87"/>
    <w:rsid w:val="006B6ABA"/>
    <w:rsid w:val="006B6ACD"/>
    <w:rsid w:val="006B6BE2"/>
    <w:rsid w:val="006B6BFC"/>
    <w:rsid w:val="006B6CDC"/>
    <w:rsid w:val="006B6CED"/>
    <w:rsid w:val="006B6CEF"/>
    <w:rsid w:val="006B6E95"/>
    <w:rsid w:val="006B6EA9"/>
    <w:rsid w:val="006B6FC6"/>
    <w:rsid w:val="006B7028"/>
    <w:rsid w:val="006B7039"/>
    <w:rsid w:val="006B7059"/>
    <w:rsid w:val="006B709E"/>
    <w:rsid w:val="006B70C9"/>
    <w:rsid w:val="006B7138"/>
    <w:rsid w:val="006B713C"/>
    <w:rsid w:val="006B71B7"/>
    <w:rsid w:val="006B71C0"/>
    <w:rsid w:val="006B7517"/>
    <w:rsid w:val="006B7521"/>
    <w:rsid w:val="006B7525"/>
    <w:rsid w:val="006B7530"/>
    <w:rsid w:val="006B767F"/>
    <w:rsid w:val="006B77FF"/>
    <w:rsid w:val="006B78C3"/>
    <w:rsid w:val="006B7916"/>
    <w:rsid w:val="006B793A"/>
    <w:rsid w:val="006B7A9B"/>
    <w:rsid w:val="006B7B8E"/>
    <w:rsid w:val="006B7C2A"/>
    <w:rsid w:val="006B7C74"/>
    <w:rsid w:val="006B7E31"/>
    <w:rsid w:val="006C01EF"/>
    <w:rsid w:val="006C029F"/>
    <w:rsid w:val="006C02CF"/>
    <w:rsid w:val="006C0362"/>
    <w:rsid w:val="006C05C9"/>
    <w:rsid w:val="006C0655"/>
    <w:rsid w:val="006C0669"/>
    <w:rsid w:val="006C06DC"/>
    <w:rsid w:val="006C06F4"/>
    <w:rsid w:val="006C0A2F"/>
    <w:rsid w:val="006C0A58"/>
    <w:rsid w:val="006C0B45"/>
    <w:rsid w:val="006C0DE3"/>
    <w:rsid w:val="006C0EA2"/>
    <w:rsid w:val="006C0F44"/>
    <w:rsid w:val="006C1013"/>
    <w:rsid w:val="006C1066"/>
    <w:rsid w:val="006C1148"/>
    <w:rsid w:val="006C1252"/>
    <w:rsid w:val="006C125B"/>
    <w:rsid w:val="006C1266"/>
    <w:rsid w:val="006C15D6"/>
    <w:rsid w:val="006C1721"/>
    <w:rsid w:val="006C1904"/>
    <w:rsid w:val="006C19ED"/>
    <w:rsid w:val="006C1A0A"/>
    <w:rsid w:val="006C1AD4"/>
    <w:rsid w:val="006C1DC6"/>
    <w:rsid w:val="006C1EDD"/>
    <w:rsid w:val="006C1F6C"/>
    <w:rsid w:val="006C20B2"/>
    <w:rsid w:val="006C2127"/>
    <w:rsid w:val="006C2135"/>
    <w:rsid w:val="006C2223"/>
    <w:rsid w:val="006C226C"/>
    <w:rsid w:val="006C2443"/>
    <w:rsid w:val="006C25B2"/>
    <w:rsid w:val="006C2643"/>
    <w:rsid w:val="006C29D1"/>
    <w:rsid w:val="006C2C65"/>
    <w:rsid w:val="006C2C6D"/>
    <w:rsid w:val="006C2E20"/>
    <w:rsid w:val="006C2EB8"/>
    <w:rsid w:val="006C317C"/>
    <w:rsid w:val="006C31DB"/>
    <w:rsid w:val="006C329E"/>
    <w:rsid w:val="006C3501"/>
    <w:rsid w:val="006C3793"/>
    <w:rsid w:val="006C37EA"/>
    <w:rsid w:val="006C3872"/>
    <w:rsid w:val="006C38D1"/>
    <w:rsid w:val="006C391B"/>
    <w:rsid w:val="006C39D2"/>
    <w:rsid w:val="006C3BA2"/>
    <w:rsid w:val="006C3BD9"/>
    <w:rsid w:val="006C3E6B"/>
    <w:rsid w:val="006C4230"/>
    <w:rsid w:val="006C4483"/>
    <w:rsid w:val="006C4490"/>
    <w:rsid w:val="006C4572"/>
    <w:rsid w:val="006C480E"/>
    <w:rsid w:val="006C4881"/>
    <w:rsid w:val="006C4A66"/>
    <w:rsid w:val="006C4AAF"/>
    <w:rsid w:val="006C4B75"/>
    <w:rsid w:val="006C4B8C"/>
    <w:rsid w:val="006C4BFF"/>
    <w:rsid w:val="006C4D26"/>
    <w:rsid w:val="006C4DF3"/>
    <w:rsid w:val="006C4F6F"/>
    <w:rsid w:val="006C5007"/>
    <w:rsid w:val="006C500A"/>
    <w:rsid w:val="006C5013"/>
    <w:rsid w:val="006C5055"/>
    <w:rsid w:val="006C531D"/>
    <w:rsid w:val="006C5347"/>
    <w:rsid w:val="006C5464"/>
    <w:rsid w:val="006C54DA"/>
    <w:rsid w:val="006C5502"/>
    <w:rsid w:val="006C55FF"/>
    <w:rsid w:val="006C564F"/>
    <w:rsid w:val="006C56C3"/>
    <w:rsid w:val="006C56CB"/>
    <w:rsid w:val="006C5718"/>
    <w:rsid w:val="006C5798"/>
    <w:rsid w:val="006C5806"/>
    <w:rsid w:val="006C58A5"/>
    <w:rsid w:val="006C5903"/>
    <w:rsid w:val="006C5929"/>
    <w:rsid w:val="006C59E3"/>
    <w:rsid w:val="006C59FA"/>
    <w:rsid w:val="006C5CF7"/>
    <w:rsid w:val="006C5FA8"/>
    <w:rsid w:val="006C616E"/>
    <w:rsid w:val="006C630B"/>
    <w:rsid w:val="006C6326"/>
    <w:rsid w:val="006C633A"/>
    <w:rsid w:val="006C638B"/>
    <w:rsid w:val="006C6527"/>
    <w:rsid w:val="006C660F"/>
    <w:rsid w:val="006C665A"/>
    <w:rsid w:val="006C66A2"/>
    <w:rsid w:val="006C66B1"/>
    <w:rsid w:val="006C696D"/>
    <w:rsid w:val="006C6AB3"/>
    <w:rsid w:val="006C6B7E"/>
    <w:rsid w:val="006C6C4D"/>
    <w:rsid w:val="006C6FF1"/>
    <w:rsid w:val="006C6FF5"/>
    <w:rsid w:val="006C7017"/>
    <w:rsid w:val="006C70FF"/>
    <w:rsid w:val="006C7168"/>
    <w:rsid w:val="006C7208"/>
    <w:rsid w:val="006C7310"/>
    <w:rsid w:val="006C751F"/>
    <w:rsid w:val="006C7725"/>
    <w:rsid w:val="006C7746"/>
    <w:rsid w:val="006C797B"/>
    <w:rsid w:val="006C7981"/>
    <w:rsid w:val="006C79CA"/>
    <w:rsid w:val="006C7B9A"/>
    <w:rsid w:val="006C7BFD"/>
    <w:rsid w:val="006C7C30"/>
    <w:rsid w:val="006C7CAB"/>
    <w:rsid w:val="006C7E0B"/>
    <w:rsid w:val="006C7E29"/>
    <w:rsid w:val="006C7E71"/>
    <w:rsid w:val="006C7F16"/>
    <w:rsid w:val="006C7F94"/>
    <w:rsid w:val="006D00B6"/>
    <w:rsid w:val="006D03FA"/>
    <w:rsid w:val="006D064C"/>
    <w:rsid w:val="006D0697"/>
    <w:rsid w:val="006D06FD"/>
    <w:rsid w:val="006D0834"/>
    <w:rsid w:val="006D0B2A"/>
    <w:rsid w:val="006D0B6C"/>
    <w:rsid w:val="006D0BBF"/>
    <w:rsid w:val="006D0CBA"/>
    <w:rsid w:val="006D0DFE"/>
    <w:rsid w:val="006D0EC0"/>
    <w:rsid w:val="006D1045"/>
    <w:rsid w:val="006D1126"/>
    <w:rsid w:val="006D119A"/>
    <w:rsid w:val="006D11F1"/>
    <w:rsid w:val="006D1205"/>
    <w:rsid w:val="006D1334"/>
    <w:rsid w:val="006D136F"/>
    <w:rsid w:val="006D16AB"/>
    <w:rsid w:val="006D174C"/>
    <w:rsid w:val="006D1811"/>
    <w:rsid w:val="006D188A"/>
    <w:rsid w:val="006D1AE7"/>
    <w:rsid w:val="006D1B1B"/>
    <w:rsid w:val="006D1B9D"/>
    <w:rsid w:val="006D1D24"/>
    <w:rsid w:val="006D1D36"/>
    <w:rsid w:val="006D1E85"/>
    <w:rsid w:val="006D1F09"/>
    <w:rsid w:val="006D2045"/>
    <w:rsid w:val="006D218F"/>
    <w:rsid w:val="006D23F2"/>
    <w:rsid w:val="006D251C"/>
    <w:rsid w:val="006D261B"/>
    <w:rsid w:val="006D2718"/>
    <w:rsid w:val="006D27B1"/>
    <w:rsid w:val="006D287B"/>
    <w:rsid w:val="006D2A2F"/>
    <w:rsid w:val="006D2A42"/>
    <w:rsid w:val="006D2A7C"/>
    <w:rsid w:val="006D2A8B"/>
    <w:rsid w:val="006D2B10"/>
    <w:rsid w:val="006D2BC5"/>
    <w:rsid w:val="006D2D41"/>
    <w:rsid w:val="006D2DF4"/>
    <w:rsid w:val="006D30A3"/>
    <w:rsid w:val="006D32E0"/>
    <w:rsid w:val="006D330B"/>
    <w:rsid w:val="006D33CD"/>
    <w:rsid w:val="006D347A"/>
    <w:rsid w:val="006D34BE"/>
    <w:rsid w:val="006D35D7"/>
    <w:rsid w:val="006D36FB"/>
    <w:rsid w:val="006D386E"/>
    <w:rsid w:val="006D3FAD"/>
    <w:rsid w:val="006D3FBD"/>
    <w:rsid w:val="006D40BA"/>
    <w:rsid w:val="006D414A"/>
    <w:rsid w:val="006D418F"/>
    <w:rsid w:val="006D424B"/>
    <w:rsid w:val="006D4279"/>
    <w:rsid w:val="006D42E5"/>
    <w:rsid w:val="006D451E"/>
    <w:rsid w:val="006D4586"/>
    <w:rsid w:val="006D458B"/>
    <w:rsid w:val="006D45E7"/>
    <w:rsid w:val="006D45F4"/>
    <w:rsid w:val="006D4644"/>
    <w:rsid w:val="006D46BE"/>
    <w:rsid w:val="006D46FB"/>
    <w:rsid w:val="006D4781"/>
    <w:rsid w:val="006D4784"/>
    <w:rsid w:val="006D49DC"/>
    <w:rsid w:val="006D49EB"/>
    <w:rsid w:val="006D4A29"/>
    <w:rsid w:val="006D4A38"/>
    <w:rsid w:val="006D4A61"/>
    <w:rsid w:val="006D4AD2"/>
    <w:rsid w:val="006D4BB9"/>
    <w:rsid w:val="006D4BD1"/>
    <w:rsid w:val="006D4CA2"/>
    <w:rsid w:val="006D4CBF"/>
    <w:rsid w:val="006D4E43"/>
    <w:rsid w:val="006D4F2C"/>
    <w:rsid w:val="006D54FA"/>
    <w:rsid w:val="006D55BE"/>
    <w:rsid w:val="006D579C"/>
    <w:rsid w:val="006D5853"/>
    <w:rsid w:val="006D58A8"/>
    <w:rsid w:val="006D5904"/>
    <w:rsid w:val="006D5A89"/>
    <w:rsid w:val="006D5B6A"/>
    <w:rsid w:val="006D5EA6"/>
    <w:rsid w:val="006D5EC6"/>
    <w:rsid w:val="006D5FB8"/>
    <w:rsid w:val="006D606A"/>
    <w:rsid w:val="006D6196"/>
    <w:rsid w:val="006D6210"/>
    <w:rsid w:val="006D622E"/>
    <w:rsid w:val="006D63F4"/>
    <w:rsid w:val="006D65A1"/>
    <w:rsid w:val="006D6732"/>
    <w:rsid w:val="006D67DE"/>
    <w:rsid w:val="006D6887"/>
    <w:rsid w:val="006D689C"/>
    <w:rsid w:val="006D68B5"/>
    <w:rsid w:val="006D6933"/>
    <w:rsid w:val="006D69B6"/>
    <w:rsid w:val="006D6B75"/>
    <w:rsid w:val="006D6B79"/>
    <w:rsid w:val="006D6B9E"/>
    <w:rsid w:val="006D6F35"/>
    <w:rsid w:val="006D6FAF"/>
    <w:rsid w:val="006D70D9"/>
    <w:rsid w:val="006D712E"/>
    <w:rsid w:val="006D7204"/>
    <w:rsid w:val="006D734D"/>
    <w:rsid w:val="006D73B9"/>
    <w:rsid w:val="006D7513"/>
    <w:rsid w:val="006D780C"/>
    <w:rsid w:val="006D7859"/>
    <w:rsid w:val="006D7912"/>
    <w:rsid w:val="006D794D"/>
    <w:rsid w:val="006D79D8"/>
    <w:rsid w:val="006D7AE3"/>
    <w:rsid w:val="006D7C59"/>
    <w:rsid w:val="006D7DDF"/>
    <w:rsid w:val="006D7F03"/>
    <w:rsid w:val="006D7F13"/>
    <w:rsid w:val="006D7F8F"/>
    <w:rsid w:val="006D7FD3"/>
    <w:rsid w:val="006E0166"/>
    <w:rsid w:val="006E023E"/>
    <w:rsid w:val="006E02C6"/>
    <w:rsid w:val="006E02E3"/>
    <w:rsid w:val="006E0312"/>
    <w:rsid w:val="006E058E"/>
    <w:rsid w:val="006E060D"/>
    <w:rsid w:val="006E064A"/>
    <w:rsid w:val="006E0686"/>
    <w:rsid w:val="006E06B6"/>
    <w:rsid w:val="006E0750"/>
    <w:rsid w:val="006E07B2"/>
    <w:rsid w:val="006E07D5"/>
    <w:rsid w:val="006E087B"/>
    <w:rsid w:val="006E0946"/>
    <w:rsid w:val="006E0C6F"/>
    <w:rsid w:val="006E0C8C"/>
    <w:rsid w:val="006E0D04"/>
    <w:rsid w:val="006E0D49"/>
    <w:rsid w:val="006E0D8D"/>
    <w:rsid w:val="006E0E5D"/>
    <w:rsid w:val="006E0F98"/>
    <w:rsid w:val="006E1072"/>
    <w:rsid w:val="006E1110"/>
    <w:rsid w:val="006E126E"/>
    <w:rsid w:val="006E12F6"/>
    <w:rsid w:val="006E1331"/>
    <w:rsid w:val="006E1413"/>
    <w:rsid w:val="006E14A6"/>
    <w:rsid w:val="006E16AD"/>
    <w:rsid w:val="006E1755"/>
    <w:rsid w:val="006E1854"/>
    <w:rsid w:val="006E18CA"/>
    <w:rsid w:val="006E1B60"/>
    <w:rsid w:val="006E1C1D"/>
    <w:rsid w:val="006E1C2A"/>
    <w:rsid w:val="006E1CC6"/>
    <w:rsid w:val="006E1D76"/>
    <w:rsid w:val="006E1F3D"/>
    <w:rsid w:val="006E1F53"/>
    <w:rsid w:val="006E1FA3"/>
    <w:rsid w:val="006E1FF3"/>
    <w:rsid w:val="006E202A"/>
    <w:rsid w:val="006E207A"/>
    <w:rsid w:val="006E22A2"/>
    <w:rsid w:val="006E22F2"/>
    <w:rsid w:val="006E233B"/>
    <w:rsid w:val="006E23D1"/>
    <w:rsid w:val="006E24A8"/>
    <w:rsid w:val="006E254B"/>
    <w:rsid w:val="006E26C6"/>
    <w:rsid w:val="006E26E0"/>
    <w:rsid w:val="006E2800"/>
    <w:rsid w:val="006E2A1C"/>
    <w:rsid w:val="006E2AD3"/>
    <w:rsid w:val="006E2B88"/>
    <w:rsid w:val="006E2BCF"/>
    <w:rsid w:val="006E2D1C"/>
    <w:rsid w:val="006E2D5E"/>
    <w:rsid w:val="006E2DFB"/>
    <w:rsid w:val="006E2E11"/>
    <w:rsid w:val="006E2EEC"/>
    <w:rsid w:val="006E34D5"/>
    <w:rsid w:val="006E3629"/>
    <w:rsid w:val="006E36A6"/>
    <w:rsid w:val="006E36FD"/>
    <w:rsid w:val="006E371F"/>
    <w:rsid w:val="006E39CE"/>
    <w:rsid w:val="006E39DE"/>
    <w:rsid w:val="006E3A8E"/>
    <w:rsid w:val="006E3AA3"/>
    <w:rsid w:val="006E3B23"/>
    <w:rsid w:val="006E3C94"/>
    <w:rsid w:val="006E3D57"/>
    <w:rsid w:val="006E3DD8"/>
    <w:rsid w:val="006E3DEA"/>
    <w:rsid w:val="006E4287"/>
    <w:rsid w:val="006E42DD"/>
    <w:rsid w:val="006E4342"/>
    <w:rsid w:val="006E4348"/>
    <w:rsid w:val="006E4567"/>
    <w:rsid w:val="006E46AE"/>
    <w:rsid w:val="006E4718"/>
    <w:rsid w:val="006E4754"/>
    <w:rsid w:val="006E475F"/>
    <w:rsid w:val="006E4767"/>
    <w:rsid w:val="006E47AB"/>
    <w:rsid w:val="006E47E0"/>
    <w:rsid w:val="006E47EF"/>
    <w:rsid w:val="006E4956"/>
    <w:rsid w:val="006E4A8B"/>
    <w:rsid w:val="006E4B19"/>
    <w:rsid w:val="006E4B20"/>
    <w:rsid w:val="006E4B5D"/>
    <w:rsid w:val="006E4B78"/>
    <w:rsid w:val="006E4BB2"/>
    <w:rsid w:val="006E4BE4"/>
    <w:rsid w:val="006E4BF8"/>
    <w:rsid w:val="006E4CF3"/>
    <w:rsid w:val="006E4DA5"/>
    <w:rsid w:val="006E4DD4"/>
    <w:rsid w:val="006E4E0B"/>
    <w:rsid w:val="006E4E5B"/>
    <w:rsid w:val="006E4F87"/>
    <w:rsid w:val="006E4FE2"/>
    <w:rsid w:val="006E50E4"/>
    <w:rsid w:val="006E5333"/>
    <w:rsid w:val="006E539F"/>
    <w:rsid w:val="006E551D"/>
    <w:rsid w:val="006E5BE3"/>
    <w:rsid w:val="006E5FB6"/>
    <w:rsid w:val="006E5FE3"/>
    <w:rsid w:val="006E600D"/>
    <w:rsid w:val="006E6066"/>
    <w:rsid w:val="006E60CD"/>
    <w:rsid w:val="006E627B"/>
    <w:rsid w:val="006E659B"/>
    <w:rsid w:val="006E66D9"/>
    <w:rsid w:val="006E672A"/>
    <w:rsid w:val="006E6752"/>
    <w:rsid w:val="006E6A60"/>
    <w:rsid w:val="006E6B45"/>
    <w:rsid w:val="006E6D5C"/>
    <w:rsid w:val="006E7064"/>
    <w:rsid w:val="006E71E1"/>
    <w:rsid w:val="006E7207"/>
    <w:rsid w:val="006E722C"/>
    <w:rsid w:val="006E743B"/>
    <w:rsid w:val="006E7454"/>
    <w:rsid w:val="006E7460"/>
    <w:rsid w:val="006E74B6"/>
    <w:rsid w:val="006E767D"/>
    <w:rsid w:val="006E788D"/>
    <w:rsid w:val="006E7898"/>
    <w:rsid w:val="006E78B3"/>
    <w:rsid w:val="006E7903"/>
    <w:rsid w:val="006E7972"/>
    <w:rsid w:val="006E7AD8"/>
    <w:rsid w:val="006E7D0F"/>
    <w:rsid w:val="006E7D28"/>
    <w:rsid w:val="006E7D2E"/>
    <w:rsid w:val="006E7D3F"/>
    <w:rsid w:val="006E7D68"/>
    <w:rsid w:val="006E7DCB"/>
    <w:rsid w:val="006F0056"/>
    <w:rsid w:val="006F006B"/>
    <w:rsid w:val="006F032C"/>
    <w:rsid w:val="006F0682"/>
    <w:rsid w:val="006F0724"/>
    <w:rsid w:val="006F0741"/>
    <w:rsid w:val="006F07C3"/>
    <w:rsid w:val="006F0854"/>
    <w:rsid w:val="006F08DF"/>
    <w:rsid w:val="006F0A9A"/>
    <w:rsid w:val="006F0BF7"/>
    <w:rsid w:val="006F0CCA"/>
    <w:rsid w:val="006F0D23"/>
    <w:rsid w:val="006F0E06"/>
    <w:rsid w:val="006F0EF0"/>
    <w:rsid w:val="006F1141"/>
    <w:rsid w:val="006F1192"/>
    <w:rsid w:val="006F1234"/>
    <w:rsid w:val="006F1288"/>
    <w:rsid w:val="006F129B"/>
    <w:rsid w:val="006F12DC"/>
    <w:rsid w:val="006F12E9"/>
    <w:rsid w:val="006F12F4"/>
    <w:rsid w:val="006F134B"/>
    <w:rsid w:val="006F154E"/>
    <w:rsid w:val="006F16B8"/>
    <w:rsid w:val="006F19EF"/>
    <w:rsid w:val="006F1B2E"/>
    <w:rsid w:val="006F1F86"/>
    <w:rsid w:val="006F2011"/>
    <w:rsid w:val="006F2043"/>
    <w:rsid w:val="006F215A"/>
    <w:rsid w:val="006F22B9"/>
    <w:rsid w:val="006F23EB"/>
    <w:rsid w:val="006F2418"/>
    <w:rsid w:val="006F24CA"/>
    <w:rsid w:val="006F2519"/>
    <w:rsid w:val="006F262F"/>
    <w:rsid w:val="006F2631"/>
    <w:rsid w:val="006F2697"/>
    <w:rsid w:val="006F276D"/>
    <w:rsid w:val="006F2916"/>
    <w:rsid w:val="006F2946"/>
    <w:rsid w:val="006F2952"/>
    <w:rsid w:val="006F29F0"/>
    <w:rsid w:val="006F2A04"/>
    <w:rsid w:val="006F2A0F"/>
    <w:rsid w:val="006F2AD3"/>
    <w:rsid w:val="006F2BB6"/>
    <w:rsid w:val="006F2D3B"/>
    <w:rsid w:val="006F2F85"/>
    <w:rsid w:val="006F2FBD"/>
    <w:rsid w:val="006F338C"/>
    <w:rsid w:val="006F33A0"/>
    <w:rsid w:val="006F342F"/>
    <w:rsid w:val="006F34ED"/>
    <w:rsid w:val="006F34F9"/>
    <w:rsid w:val="006F363D"/>
    <w:rsid w:val="006F3666"/>
    <w:rsid w:val="006F3A32"/>
    <w:rsid w:val="006F3CF1"/>
    <w:rsid w:val="006F3D4B"/>
    <w:rsid w:val="006F3D60"/>
    <w:rsid w:val="006F3FC4"/>
    <w:rsid w:val="006F4148"/>
    <w:rsid w:val="006F4164"/>
    <w:rsid w:val="006F434F"/>
    <w:rsid w:val="006F4379"/>
    <w:rsid w:val="006F43A5"/>
    <w:rsid w:val="006F43F9"/>
    <w:rsid w:val="006F4549"/>
    <w:rsid w:val="006F45C0"/>
    <w:rsid w:val="006F45E2"/>
    <w:rsid w:val="006F4619"/>
    <w:rsid w:val="006F4693"/>
    <w:rsid w:val="006F4705"/>
    <w:rsid w:val="006F4758"/>
    <w:rsid w:val="006F47E4"/>
    <w:rsid w:val="006F481E"/>
    <w:rsid w:val="006F4861"/>
    <w:rsid w:val="006F4899"/>
    <w:rsid w:val="006F4959"/>
    <w:rsid w:val="006F49C1"/>
    <w:rsid w:val="006F4A79"/>
    <w:rsid w:val="006F4ADC"/>
    <w:rsid w:val="006F4BC5"/>
    <w:rsid w:val="006F4BD6"/>
    <w:rsid w:val="006F4CD7"/>
    <w:rsid w:val="006F4E26"/>
    <w:rsid w:val="006F4E49"/>
    <w:rsid w:val="006F4FD4"/>
    <w:rsid w:val="006F50F5"/>
    <w:rsid w:val="006F5291"/>
    <w:rsid w:val="006F5446"/>
    <w:rsid w:val="006F54C5"/>
    <w:rsid w:val="006F57B0"/>
    <w:rsid w:val="006F57D8"/>
    <w:rsid w:val="006F586D"/>
    <w:rsid w:val="006F587C"/>
    <w:rsid w:val="006F59AA"/>
    <w:rsid w:val="006F5A20"/>
    <w:rsid w:val="006F5A39"/>
    <w:rsid w:val="006F5A94"/>
    <w:rsid w:val="006F5BCD"/>
    <w:rsid w:val="006F5C9E"/>
    <w:rsid w:val="006F5DCE"/>
    <w:rsid w:val="006F5EB5"/>
    <w:rsid w:val="006F604B"/>
    <w:rsid w:val="006F62ED"/>
    <w:rsid w:val="006F62FF"/>
    <w:rsid w:val="006F64F6"/>
    <w:rsid w:val="006F6584"/>
    <w:rsid w:val="006F658B"/>
    <w:rsid w:val="006F65E6"/>
    <w:rsid w:val="006F666F"/>
    <w:rsid w:val="006F66B2"/>
    <w:rsid w:val="006F6770"/>
    <w:rsid w:val="006F6777"/>
    <w:rsid w:val="006F679A"/>
    <w:rsid w:val="006F67A8"/>
    <w:rsid w:val="006F67B4"/>
    <w:rsid w:val="006F6914"/>
    <w:rsid w:val="006F69FF"/>
    <w:rsid w:val="006F6A1F"/>
    <w:rsid w:val="006F6A46"/>
    <w:rsid w:val="006F6B92"/>
    <w:rsid w:val="006F6BED"/>
    <w:rsid w:val="006F6D5D"/>
    <w:rsid w:val="006F6DA5"/>
    <w:rsid w:val="006F6EA2"/>
    <w:rsid w:val="006F7007"/>
    <w:rsid w:val="006F7029"/>
    <w:rsid w:val="006F7073"/>
    <w:rsid w:val="006F73F1"/>
    <w:rsid w:val="006F74E1"/>
    <w:rsid w:val="006F75AB"/>
    <w:rsid w:val="006F764D"/>
    <w:rsid w:val="006F77EE"/>
    <w:rsid w:val="006F7BB1"/>
    <w:rsid w:val="006F7BB3"/>
    <w:rsid w:val="006F7FC5"/>
    <w:rsid w:val="00700080"/>
    <w:rsid w:val="0070008F"/>
    <w:rsid w:val="00700185"/>
    <w:rsid w:val="007001E1"/>
    <w:rsid w:val="0070030B"/>
    <w:rsid w:val="00700388"/>
    <w:rsid w:val="007003C4"/>
    <w:rsid w:val="007004F2"/>
    <w:rsid w:val="00700637"/>
    <w:rsid w:val="007006C9"/>
    <w:rsid w:val="00700738"/>
    <w:rsid w:val="007007A4"/>
    <w:rsid w:val="007007AD"/>
    <w:rsid w:val="00700803"/>
    <w:rsid w:val="0070081E"/>
    <w:rsid w:val="0070085E"/>
    <w:rsid w:val="007009AB"/>
    <w:rsid w:val="007009F7"/>
    <w:rsid w:val="00700A65"/>
    <w:rsid w:val="00700BD3"/>
    <w:rsid w:val="00700D37"/>
    <w:rsid w:val="00700DCC"/>
    <w:rsid w:val="00700F3E"/>
    <w:rsid w:val="00700F4D"/>
    <w:rsid w:val="0070104A"/>
    <w:rsid w:val="007010B0"/>
    <w:rsid w:val="0070129D"/>
    <w:rsid w:val="007012A0"/>
    <w:rsid w:val="0070145C"/>
    <w:rsid w:val="0070150D"/>
    <w:rsid w:val="007016C6"/>
    <w:rsid w:val="0070181F"/>
    <w:rsid w:val="007018B0"/>
    <w:rsid w:val="0070191F"/>
    <w:rsid w:val="0070192E"/>
    <w:rsid w:val="00701BA3"/>
    <w:rsid w:val="00701ED6"/>
    <w:rsid w:val="00701EE3"/>
    <w:rsid w:val="007020D1"/>
    <w:rsid w:val="00702115"/>
    <w:rsid w:val="007021BE"/>
    <w:rsid w:val="00702221"/>
    <w:rsid w:val="00702358"/>
    <w:rsid w:val="00702372"/>
    <w:rsid w:val="0070244A"/>
    <w:rsid w:val="00702489"/>
    <w:rsid w:val="00702655"/>
    <w:rsid w:val="007027DB"/>
    <w:rsid w:val="0070296C"/>
    <w:rsid w:val="00702A08"/>
    <w:rsid w:val="00702A8A"/>
    <w:rsid w:val="00702A94"/>
    <w:rsid w:val="00702D00"/>
    <w:rsid w:val="00702E65"/>
    <w:rsid w:val="00702F2F"/>
    <w:rsid w:val="00702FBD"/>
    <w:rsid w:val="00702FC0"/>
    <w:rsid w:val="00703042"/>
    <w:rsid w:val="007030CC"/>
    <w:rsid w:val="0070328A"/>
    <w:rsid w:val="007035C3"/>
    <w:rsid w:val="007035EB"/>
    <w:rsid w:val="007036E9"/>
    <w:rsid w:val="007037C9"/>
    <w:rsid w:val="00703850"/>
    <w:rsid w:val="00703950"/>
    <w:rsid w:val="00703A48"/>
    <w:rsid w:val="00703A6A"/>
    <w:rsid w:val="00703ADF"/>
    <w:rsid w:val="00703BC8"/>
    <w:rsid w:val="00703CF0"/>
    <w:rsid w:val="00703D1D"/>
    <w:rsid w:val="00703D21"/>
    <w:rsid w:val="00703DDD"/>
    <w:rsid w:val="0070411F"/>
    <w:rsid w:val="0070430E"/>
    <w:rsid w:val="00704338"/>
    <w:rsid w:val="0070447F"/>
    <w:rsid w:val="0070450D"/>
    <w:rsid w:val="0070453E"/>
    <w:rsid w:val="00704595"/>
    <w:rsid w:val="0070464D"/>
    <w:rsid w:val="0070467E"/>
    <w:rsid w:val="0070473B"/>
    <w:rsid w:val="00704790"/>
    <w:rsid w:val="00704B58"/>
    <w:rsid w:val="00704CCA"/>
    <w:rsid w:val="00704CEB"/>
    <w:rsid w:val="00704DE0"/>
    <w:rsid w:val="00704DFC"/>
    <w:rsid w:val="00704E16"/>
    <w:rsid w:val="007050A8"/>
    <w:rsid w:val="0070510E"/>
    <w:rsid w:val="00705259"/>
    <w:rsid w:val="007055F3"/>
    <w:rsid w:val="0070586C"/>
    <w:rsid w:val="007058B5"/>
    <w:rsid w:val="00705BB7"/>
    <w:rsid w:val="00705C77"/>
    <w:rsid w:val="00705DCD"/>
    <w:rsid w:val="00705E2B"/>
    <w:rsid w:val="00705E6B"/>
    <w:rsid w:val="00705F49"/>
    <w:rsid w:val="00705F7A"/>
    <w:rsid w:val="0070610C"/>
    <w:rsid w:val="0070613E"/>
    <w:rsid w:val="007061B4"/>
    <w:rsid w:val="007061F6"/>
    <w:rsid w:val="0070622C"/>
    <w:rsid w:val="00706440"/>
    <w:rsid w:val="0070644B"/>
    <w:rsid w:val="0070671C"/>
    <w:rsid w:val="00706764"/>
    <w:rsid w:val="007067D7"/>
    <w:rsid w:val="0070682D"/>
    <w:rsid w:val="007068B4"/>
    <w:rsid w:val="007069CA"/>
    <w:rsid w:val="00706AA1"/>
    <w:rsid w:val="00706AED"/>
    <w:rsid w:val="00706E0E"/>
    <w:rsid w:val="00706FE2"/>
    <w:rsid w:val="0070701E"/>
    <w:rsid w:val="00707092"/>
    <w:rsid w:val="007070AC"/>
    <w:rsid w:val="007072DE"/>
    <w:rsid w:val="0070733F"/>
    <w:rsid w:val="0070741A"/>
    <w:rsid w:val="00707496"/>
    <w:rsid w:val="00707498"/>
    <w:rsid w:val="0070781F"/>
    <w:rsid w:val="0071016B"/>
    <w:rsid w:val="007101DC"/>
    <w:rsid w:val="00710420"/>
    <w:rsid w:val="00710689"/>
    <w:rsid w:val="00710764"/>
    <w:rsid w:val="007107DD"/>
    <w:rsid w:val="00710868"/>
    <w:rsid w:val="00710BD0"/>
    <w:rsid w:val="00710D05"/>
    <w:rsid w:val="00710E17"/>
    <w:rsid w:val="00710E5C"/>
    <w:rsid w:val="00710FB4"/>
    <w:rsid w:val="00711029"/>
    <w:rsid w:val="00711052"/>
    <w:rsid w:val="00711080"/>
    <w:rsid w:val="007110D4"/>
    <w:rsid w:val="00711221"/>
    <w:rsid w:val="0071139E"/>
    <w:rsid w:val="007113CC"/>
    <w:rsid w:val="0071147A"/>
    <w:rsid w:val="00711523"/>
    <w:rsid w:val="00711566"/>
    <w:rsid w:val="0071157A"/>
    <w:rsid w:val="007115DE"/>
    <w:rsid w:val="00711630"/>
    <w:rsid w:val="007117B9"/>
    <w:rsid w:val="007117E8"/>
    <w:rsid w:val="00711834"/>
    <w:rsid w:val="00711C07"/>
    <w:rsid w:val="00711D08"/>
    <w:rsid w:val="00711EA5"/>
    <w:rsid w:val="00711F95"/>
    <w:rsid w:val="00712068"/>
    <w:rsid w:val="007120B1"/>
    <w:rsid w:val="00712143"/>
    <w:rsid w:val="00712798"/>
    <w:rsid w:val="007127A4"/>
    <w:rsid w:val="00712B2D"/>
    <w:rsid w:val="00712B5B"/>
    <w:rsid w:val="00712C6B"/>
    <w:rsid w:val="00712E0B"/>
    <w:rsid w:val="00712E60"/>
    <w:rsid w:val="00712F85"/>
    <w:rsid w:val="00712FE3"/>
    <w:rsid w:val="007130A8"/>
    <w:rsid w:val="007130F8"/>
    <w:rsid w:val="00713217"/>
    <w:rsid w:val="00713297"/>
    <w:rsid w:val="00713298"/>
    <w:rsid w:val="007132B0"/>
    <w:rsid w:val="00713380"/>
    <w:rsid w:val="00713394"/>
    <w:rsid w:val="007136D1"/>
    <w:rsid w:val="007137C5"/>
    <w:rsid w:val="007137DF"/>
    <w:rsid w:val="007137EC"/>
    <w:rsid w:val="00713871"/>
    <w:rsid w:val="0071387D"/>
    <w:rsid w:val="00713A03"/>
    <w:rsid w:val="00713AB5"/>
    <w:rsid w:val="00713AB7"/>
    <w:rsid w:val="00713B1F"/>
    <w:rsid w:val="00713B44"/>
    <w:rsid w:val="00713CFE"/>
    <w:rsid w:val="00713CFF"/>
    <w:rsid w:val="00713DA7"/>
    <w:rsid w:val="00713DC5"/>
    <w:rsid w:val="00713E2A"/>
    <w:rsid w:val="00713EA9"/>
    <w:rsid w:val="00713EED"/>
    <w:rsid w:val="00713F39"/>
    <w:rsid w:val="007140B3"/>
    <w:rsid w:val="007140ED"/>
    <w:rsid w:val="0071418A"/>
    <w:rsid w:val="0071420C"/>
    <w:rsid w:val="0071442E"/>
    <w:rsid w:val="007144A2"/>
    <w:rsid w:val="0071456B"/>
    <w:rsid w:val="00714724"/>
    <w:rsid w:val="00714758"/>
    <w:rsid w:val="007147A2"/>
    <w:rsid w:val="007147B4"/>
    <w:rsid w:val="007148DD"/>
    <w:rsid w:val="00714A5A"/>
    <w:rsid w:val="00714A66"/>
    <w:rsid w:val="00714B0E"/>
    <w:rsid w:val="00714C1D"/>
    <w:rsid w:val="00714CC1"/>
    <w:rsid w:val="00714D71"/>
    <w:rsid w:val="00714EBB"/>
    <w:rsid w:val="007150E3"/>
    <w:rsid w:val="007150E8"/>
    <w:rsid w:val="007152BB"/>
    <w:rsid w:val="007152D6"/>
    <w:rsid w:val="00715351"/>
    <w:rsid w:val="007153CF"/>
    <w:rsid w:val="00715404"/>
    <w:rsid w:val="00715417"/>
    <w:rsid w:val="00715481"/>
    <w:rsid w:val="007155EB"/>
    <w:rsid w:val="0071563F"/>
    <w:rsid w:val="0071573B"/>
    <w:rsid w:val="0071574E"/>
    <w:rsid w:val="00715A1D"/>
    <w:rsid w:val="00715AB6"/>
    <w:rsid w:val="00715B1F"/>
    <w:rsid w:val="00715BC8"/>
    <w:rsid w:val="00715DA9"/>
    <w:rsid w:val="0071614A"/>
    <w:rsid w:val="0071619C"/>
    <w:rsid w:val="007161B4"/>
    <w:rsid w:val="0071622B"/>
    <w:rsid w:val="00716370"/>
    <w:rsid w:val="0071641F"/>
    <w:rsid w:val="007164BF"/>
    <w:rsid w:val="007164DB"/>
    <w:rsid w:val="00716648"/>
    <w:rsid w:val="00716674"/>
    <w:rsid w:val="00716839"/>
    <w:rsid w:val="00716A14"/>
    <w:rsid w:val="00716A9E"/>
    <w:rsid w:val="00716B60"/>
    <w:rsid w:val="00716CAB"/>
    <w:rsid w:val="00716CDF"/>
    <w:rsid w:val="00716E1B"/>
    <w:rsid w:val="00716EC1"/>
    <w:rsid w:val="00716ECC"/>
    <w:rsid w:val="00716FC8"/>
    <w:rsid w:val="00717139"/>
    <w:rsid w:val="0071714B"/>
    <w:rsid w:val="0071714E"/>
    <w:rsid w:val="007171E7"/>
    <w:rsid w:val="007172B2"/>
    <w:rsid w:val="00717329"/>
    <w:rsid w:val="007175E9"/>
    <w:rsid w:val="007176C5"/>
    <w:rsid w:val="007176E4"/>
    <w:rsid w:val="007177E4"/>
    <w:rsid w:val="00717811"/>
    <w:rsid w:val="00717982"/>
    <w:rsid w:val="00717AD5"/>
    <w:rsid w:val="00717AFE"/>
    <w:rsid w:val="00717C1D"/>
    <w:rsid w:val="00717DD9"/>
    <w:rsid w:val="00717EB6"/>
    <w:rsid w:val="007200DA"/>
    <w:rsid w:val="007200E6"/>
    <w:rsid w:val="007203B2"/>
    <w:rsid w:val="007203B5"/>
    <w:rsid w:val="007205A0"/>
    <w:rsid w:val="0072069E"/>
    <w:rsid w:val="007206C6"/>
    <w:rsid w:val="007207EB"/>
    <w:rsid w:val="007208AE"/>
    <w:rsid w:val="00720A4C"/>
    <w:rsid w:val="00720B93"/>
    <w:rsid w:val="00720C0A"/>
    <w:rsid w:val="00721381"/>
    <w:rsid w:val="00721388"/>
    <w:rsid w:val="007213A3"/>
    <w:rsid w:val="007213E8"/>
    <w:rsid w:val="007215BE"/>
    <w:rsid w:val="007215DB"/>
    <w:rsid w:val="007216CC"/>
    <w:rsid w:val="00721775"/>
    <w:rsid w:val="007217F9"/>
    <w:rsid w:val="0072183A"/>
    <w:rsid w:val="0072196C"/>
    <w:rsid w:val="00721AC0"/>
    <w:rsid w:val="00721CA4"/>
    <w:rsid w:val="00721E3A"/>
    <w:rsid w:val="00721E7B"/>
    <w:rsid w:val="00721F8E"/>
    <w:rsid w:val="0072207C"/>
    <w:rsid w:val="00722245"/>
    <w:rsid w:val="00722394"/>
    <w:rsid w:val="00722472"/>
    <w:rsid w:val="007224EC"/>
    <w:rsid w:val="007225C6"/>
    <w:rsid w:val="007225E9"/>
    <w:rsid w:val="00722913"/>
    <w:rsid w:val="00722975"/>
    <w:rsid w:val="00722A45"/>
    <w:rsid w:val="00722AA3"/>
    <w:rsid w:val="00722ACC"/>
    <w:rsid w:val="00722ADF"/>
    <w:rsid w:val="00722C6A"/>
    <w:rsid w:val="00722DD0"/>
    <w:rsid w:val="00722E1F"/>
    <w:rsid w:val="00722FA0"/>
    <w:rsid w:val="00722FAA"/>
    <w:rsid w:val="0072307C"/>
    <w:rsid w:val="007231CA"/>
    <w:rsid w:val="007231E0"/>
    <w:rsid w:val="0072331D"/>
    <w:rsid w:val="0072346C"/>
    <w:rsid w:val="007235E0"/>
    <w:rsid w:val="00723621"/>
    <w:rsid w:val="007236E1"/>
    <w:rsid w:val="00723892"/>
    <w:rsid w:val="0072393C"/>
    <w:rsid w:val="007239C0"/>
    <w:rsid w:val="007239D7"/>
    <w:rsid w:val="007239E2"/>
    <w:rsid w:val="00723AEA"/>
    <w:rsid w:val="00723BE8"/>
    <w:rsid w:val="00723CC8"/>
    <w:rsid w:val="00723E90"/>
    <w:rsid w:val="00724263"/>
    <w:rsid w:val="00724507"/>
    <w:rsid w:val="0072452C"/>
    <w:rsid w:val="007245E2"/>
    <w:rsid w:val="00724616"/>
    <w:rsid w:val="00724683"/>
    <w:rsid w:val="00724760"/>
    <w:rsid w:val="0072480D"/>
    <w:rsid w:val="0072485E"/>
    <w:rsid w:val="0072490D"/>
    <w:rsid w:val="00724B71"/>
    <w:rsid w:val="00724D7C"/>
    <w:rsid w:val="00724DE6"/>
    <w:rsid w:val="00725033"/>
    <w:rsid w:val="00725089"/>
    <w:rsid w:val="007250F8"/>
    <w:rsid w:val="0072519C"/>
    <w:rsid w:val="007251A1"/>
    <w:rsid w:val="007251B8"/>
    <w:rsid w:val="007253F8"/>
    <w:rsid w:val="00725447"/>
    <w:rsid w:val="0072555B"/>
    <w:rsid w:val="00725562"/>
    <w:rsid w:val="00725669"/>
    <w:rsid w:val="00725750"/>
    <w:rsid w:val="007257AF"/>
    <w:rsid w:val="00725815"/>
    <w:rsid w:val="007258C0"/>
    <w:rsid w:val="00725A86"/>
    <w:rsid w:val="00725A8B"/>
    <w:rsid w:val="00725B56"/>
    <w:rsid w:val="00725CCA"/>
    <w:rsid w:val="00725CF0"/>
    <w:rsid w:val="00725D84"/>
    <w:rsid w:val="00725D89"/>
    <w:rsid w:val="00725D8D"/>
    <w:rsid w:val="00725E31"/>
    <w:rsid w:val="00725F44"/>
    <w:rsid w:val="00725F5B"/>
    <w:rsid w:val="00725F80"/>
    <w:rsid w:val="00726030"/>
    <w:rsid w:val="007260F5"/>
    <w:rsid w:val="007260F7"/>
    <w:rsid w:val="0072611B"/>
    <w:rsid w:val="007263C2"/>
    <w:rsid w:val="007263C3"/>
    <w:rsid w:val="0072650C"/>
    <w:rsid w:val="007265BB"/>
    <w:rsid w:val="007266AB"/>
    <w:rsid w:val="00726707"/>
    <w:rsid w:val="00726730"/>
    <w:rsid w:val="007267FC"/>
    <w:rsid w:val="0072684E"/>
    <w:rsid w:val="00726852"/>
    <w:rsid w:val="007268A7"/>
    <w:rsid w:val="007269A5"/>
    <w:rsid w:val="00726A7A"/>
    <w:rsid w:val="00726AA2"/>
    <w:rsid w:val="00726DAC"/>
    <w:rsid w:val="00726E77"/>
    <w:rsid w:val="00726F92"/>
    <w:rsid w:val="00727002"/>
    <w:rsid w:val="00727162"/>
    <w:rsid w:val="0072734F"/>
    <w:rsid w:val="00727407"/>
    <w:rsid w:val="00727481"/>
    <w:rsid w:val="007274AD"/>
    <w:rsid w:val="0072752B"/>
    <w:rsid w:val="007275D3"/>
    <w:rsid w:val="007275D9"/>
    <w:rsid w:val="00727611"/>
    <w:rsid w:val="00727687"/>
    <w:rsid w:val="007276F9"/>
    <w:rsid w:val="0072775C"/>
    <w:rsid w:val="007277EE"/>
    <w:rsid w:val="00727815"/>
    <w:rsid w:val="0072794C"/>
    <w:rsid w:val="00727981"/>
    <w:rsid w:val="007279D7"/>
    <w:rsid w:val="00727B19"/>
    <w:rsid w:val="00727C73"/>
    <w:rsid w:val="00727CF7"/>
    <w:rsid w:val="00727D77"/>
    <w:rsid w:val="00727E73"/>
    <w:rsid w:val="00730156"/>
    <w:rsid w:val="007302C9"/>
    <w:rsid w:val="00730444"/>
    <w:rsid w:val="007305BE"/>
    <w:rsid w:val="007306A1"/>
    <w:rsid w:val="007306B5"/>
    <w:rsid w:val="007307C8"/>
    <w:rsid w:val="007307E3"/>
    <w:rsid w:val="00730AA3"/>
    <w:rsid w:val="00730BDE"/>
    <w:rsid w:val="00730C01"/>
    <w:rsid w:val="00730CAA"/>
    <w:rsid w:val="00730DDF"/>
    <w:rsid w:val="00730EB9"/>
    <w:rsid w:val="00730F27"/>
    <w:rsid w:val="0073117F"/>
    <w:rsid w:val="0073129A"/>
    <w:rsid w:val="007313A3"/>
    <w:rsid w:val="007317A4"/>
    <w:rsid w:val="007317AF"/>
    <w:rsid w:val="00731808"/>
    <w:rsid w:val="0073197C"/>
    <w:rsid w:val="007319EA"/>
    <w:rsid w:val="00731AEC"/>
    <w:rsid w:val="00731B0C"/>
    <w:rsid w:val="00731DBF"/>
    <w:rsid w:val="00731DFD"/>
    <w:rsid w:val="0073207E"/>
    <w:rsid w:val="0073209D"/>
    <w:rsid w:val="00732290"/>
    <w:rsid w:val="007322BA"/>
    <w:rsid w:val="007322F2"/>
    <w:rsid w:val="00732454"/>
    <w:rsid w:val="0073245E"/>
    <w:rsid w:val="0073265B"/>
    <w:rsid w:val="007326BA"/>
    <w:rsid w:val="007326C6"/>
    <w:rsid w:val="007327C3"/>
    <w:rsid w:val="00732800"/>
    <w:rsid w:val="00732BC5"/>
    <w:rsid w:val="00732BDA"/>
    <w:rsid w:val="00732C0D"/>
    <w:rsid w:val="00732C9B"/>
    <w:rsid w:val="00732CBF"/>
    <w:rsid w:val="00732E4D"/>
    <w:rsid w:val="00732F25"/>
    <w:rsid w:val="007330A5"/>
    <w:rsid w:val="007330AB"/>
    <w:rsid w:val="007330B6"/>
    <w:rsid w:val="007330D5"/>
    <w:rsid w:val="0073318C"/>
    <w:rsid w:val="007333D9"/>
    <w:rsid w:val="0073344E"/>
    <w:rsid w:val="007334EB"/>
    <w:rsid w:val="00733502"/>
    <w:rsid w:val="0073358D"/>
    <w:rsid w:val="007335C8"/>
    <w:rsid w:val="0073368B"/>
    <w:rsid w:val="007336BF"/>
    <w:rsid w:val="0073370E"/>
    <w:rsid w:val="00733764"/>
    <w:rsid w:val="00733798"/>
    <w:rsid w:val="007337DC"/>
    <w:rsid w:val="007338C5"/>
    <w:rsid w:val="007339C9"/>
    <w:rsid w:val="00733C75"/>
    <w:rsid w:val="00733D48"/>
    <w:rsid w:val="00733D4F"/>
    <w:rsid w:val="00733D6E"/>
    <w:rsid w:val="00733D76"/>
    <w:rsid w:val="00733D8F"/>
    <w:rsid w:val="00733DE5"/>
    <w:rsid w:val="00734252"/>
    <w:rsid w:val="0073428D"/>
    <w:rsid w:val="0073429F"/>
    <w:rsid w:val="0073436F"/>
    <w:rsid w:val="0073456B"/>
    <w:rsid w:val="007346FF"/>
    <w:rsid w:val="00734D61"/>
    <w:rsid w:val="00734DA7"/>
    <w:rsid w:val="00734DFF"/>
    <w:rsid w:val="00734E23"/>
    <w:rsid w:val="00735044"/>
    <w:rsid w:val="00735149"/>
    <w:rsid w:val="00735215"/>
    <w:rsid w:val="00735235"/>
    <w:rsid w:val="0073530F"/>
    <w:rsid w:val="007353A0"/>
    <w:rsid w:val="007353FF"/>
    <w:rsid w:val="00735479"/>
    <w:rsid w:val="007354A5"/>
    <w:rsid w:val="00735535"/>
    <w:rsid w:val="00735664"/>
    <w:rsid w:val="0073571B"/>
    <w:rsid w:val="007358CF"/>
    <w:rsid w:val="0073597A"/>
    <w:rsid w:val="00735993"/>
    <w:rsid w:val="00735997"/>
    <w:rsid w:val="00735AA9"/>
    <w:rsid w:val="00735BB8"/>
    <w:rsid w:val="00735C03"/>
    <w:rsid w:val="00735C14"/>
    <w:rsid w:val="00735D3F"/>
    <w:rsid w:val="00735E90"/>
    <w:rsid w:val="00735EC3"/>
    <w:rsid w:val="00735EF4"/>
    <w:rsid w:val="00735F5D"/>
    <w:rsid w:val="00735FAF"/>
    <w:rsid w:val="00735FCB"/>
    <w:rsid w:val="0073607C"/>
    <w:rsid w:val="00736343"/>
    <w:rsid w:val="007364E4"/>
    <w:rsid w:val="00736559"/>
    <w:rsid w:val="007365B4"/>
    <w:rsid w:val="00736631"/>
    <w:rsid w:val="007366C5"/>
    <w:rsid w:val="0073670F"/>
    <w:rsid w:val="007367E6"/>
    <w:rsid w:val="00736A32"/>
    <w:rsid w:val="00736A3C"/>
    <w:rsid w:val="00736AE0"/>
    <w:rsid w:val="00736BF8"/>
    <w:rsid w:val="00736D50"/>
    <w:rsid w:val="00736E15"/>
    <w:rsid w:val="00736F56"/>
    <w:rsid w:val="007370A4"/>
    <w:rsid w:val="00737431"/>
    <w:rsid w:val="007376C7"/>
    <w:rsid w:val="00737799"/>
    <w:rsid w:val="00737AC4"/>
    <w:rsid w:val="00737AD5"/>
    <w:rsid w:val="00737B35"/>
    <w:rsid w:val="00737F03"/>
    <w:rsid w:val="007400C9"/>
    <w:rsid w:val="00740100"/>
    <w:rsid w:val="007403A4"/>
    <w:rsid w:val="007403EA"/>
    <w:rsid w:val="0074042D"/>
    <w:rsid w:val="00740622"/>
    <w:rsid w:val="0074080C"/>
    <w:rsid w:val="007408A1"/>
    <w:rsid w:val="00740A6C"/>
    <w:rsid w:val="00740A74"/>
    <w:rsid w:val="00740AD5"/>
    <w:rsid w:val="00740C0E"/>
    <w:rsid w:val="00740F25"/>
    <w:rsid w:val="0074107A"/>
    <w:rsid w:val="007411CA"/>
    <w:rsid w:val="0074125D"/>
    <w:rsid w:val="0074127F"/>
    <w:rsid w:val="0074128D"/>
    <w:rsid w:val="00741312"/>
    <w:rsid w:val="00741376"/>
    <w:rsid w:val="00741417"/>
    <w:rsid w:val="00741498"/>
    <w:rsid w:val="007414EC"/>
    <w:rsid w:val="00741522"/>
    <w:rsid w:val="007415C5"/>
    <w:rsid w:val="0074165E"/>
    <w:rsid w:val="007416D5"/>
    <w:rsid w:val="007416EE"/>
    <w:rsid w:val="007417CE"/>
    <w:rsid w:val="00741807"/>
    <w:rsid w:val="0074183C"/>
    <w:rsid w:val="0074185D"/>
    <w:rsid w:val="0074186F"/>
    <w:rsid w:val="00741AAE"/>
    <w:rsid w:val="00741CEC"/>
    <w:rsid w:val="00741E45"/>
    <w:rsid w:val="00741FBE"/>
    <w:rsid w:val="00741FFD"/>
    <w:rsid w:val="00742135"/>
    <w:rsid w:val="00742273"/>
    <w:rsid w:val="0074228E"/>
    <w:rsid w:val="0074245B"/>
    <w:rsid w:val="0074248F"/>
    <w:rsid w:val="00742650"/>
    <w:rsid w:val="007426AD"/>
    <w:rsid w:val="00742883"/>
    <w:rsid w:val="00742D2B"/>
    <w:rsid w:val="00742E11"/>
    <w:rsid w:val="00742FE4"/>
    <w:rsid w:val="0074323E"/>
    <w:rsid w:val="007432E6"/>
    <w:rsid w:val="0074333A"/>
    <w:rsid w:val="007433CC"/>
    <w:rsid w:val="00743568"/>
    <w:rsid w:val="00743753"/>
    <w:rsid w:val="007438BA"/>
    <w:rsid w:val="00743921"/>
    <w:rsid w:val="00743928"/>
    <w:rsid w:val="007439C5"/>
    <w:rsid w:val="00743A50"/>
    <w:rsid w:val="00743D0E"/>
    <w:rsid w:val="00743DEB"/>
    <w:rsid w:val="00743E29"/>
    <w:rsid w:val="00743EBD"/>
    <w:rsid w:val="00743F4B"/>
    <w:rsid w:val="00743FD2"/>
    <w:rsid w:val="007440FE"/>
    <w:rsid w:val="00744124"/>
    <w:rsid w:val="007441EA"/>
    <w:rsid w:val="00744222"/>
    <w:rsid w:val="007442E4"/>
    <w:rsid w:val="007442FE"/>
    <w:rsid w:val="00744387"/>
    <w:rsid w:val="00744450"/>
    <w:rsid w:val="007445C4"/>
    <w:rsid w:val="0074471C"/>
    <w:rsid w:val="0074477C"/>
    <w:rsid w:val="0074490C"/>
    <w:rsid w:val="00744A2C"/>
    <w:rsid w:val="00744B90"/>
    <w:rsid w:val="00744D80"/>
    <w:rsid w:val="00744DDE"/>
    <w:rsid w:val="00744E27"/>
    <w:rsid w:val="00744F71"/>
    <w:rsid w:val="00744F8D"/>
    <w:rsid w:val="00744F9F"/>
    <w:rsid w:val="00745061"/>
    <w:rsid w:val="0074519E"/>
    <w:rsid w:val="007451EF"/>
    <w:rsid w:val="007452A8"/>
    <w:rsid w:val="0074532F"/>
    <w:rsid w:val="007455DC"/>
    <w:rsid w:val="00745636"/>
    <w:rsid w:val="0074568F"/>
    <w:rsid w:val="007457C1"/>
    <w:rsid w:val="007457D2"/>
    <w:rsid w:val="0074588B"/>
    <w:rsid w:val="0074593B"/>
    <w:rsid w:val="007459D1"/>
    <w:rsid w:val="007459F2"/>
    <w:rsid w:val="00745C9B"/>
    <w:rsid w:val="00745D01"/>
    <w:rsid w:val="00745D7A"/>
    <w:rsid w:val="00745DE6"/>
    <w:rsid w:val="00745E09"/>
    <w:rsid w:val="00745FA5"/>
    <w:rsid w:val="00746027"/>
    <w:rsid w:val="00746386"/>
    <w:rsid w:val="007463C3"/>
    <w:rsid w:val="00746446"/>
    <w:rsid w:val="0074648F"/>
    <w:rsid w:val="007464BA"/>
    <w:rsid w:val="00746599"/>
    <w:rsid w:val="00746860"/>
    <w:rsid w:val="0074688E"/>
    <w:rsid w:val="007468E4"/>
    <w:rsid w:val="00746A27"/>
    <w:rsid w:val="00746AC8"/>
    <w:rsid w:val="00746B37"/>
    <w:rsid w:val="00746B9E"/>
    <w:rsid w:val="00746BBC"/>
    <w:rsid w:val="00746DA6"/>
    <w:rsid w:val="00746FE0"/>
    <w:rsid w:val="00746FEC"/>
    <w:rsid w:val="00747040"/>
    <w:rsid w:val="007471AD"/>
    <w:rsid w:val="00747334"/>
    <w:rsid w:val="0074742D"/>
    <w:rsid w:val="007474E7"/>
    <w:rsid w:val="00747581"/>
    <w:rsid w:val="007475A2"/>
    <w:rsid w:val="007475E7"/>
    <w:rsid w:val="00747675"/>
    <w:rsid w:val="007476DC"/>
    <w:rsid w:val="0074775C"/>
    <w:rsid w:val="007477D8"/>
    <w:rsid w:val="00747864"/>
    <w:rsid w:val="00747914"/>
    <w:rsid w:val="00747B78"/>
    <w:rsid w:val="00747E2B"/>
    <w:rsid w:val="00747E4E"/>
    <w:rsid w:val="00747FDC"/>
    <w:rsid w:val="00750119"/>
    <w:rsid w:val="00750183"/>
    <w:rsid w:val="00750241"/>
    <w:rsid w:val="00750242"/>
    <w:rsid w:val="007502A8"/>
    <w:rsid w:val="00750367"/>
    <w:rsid w:val="00750380"/>
    <w:rsid w:val="00750424"/>
    <w:rsid w:val="007504A8"/>
    <w:rsid w:val="007504DF"/>
    <w:rsid w:val="007504FA"/>
    <w:rsid w:val="00750614"/>
    <w:rsid w:val="007507A9"/>
    <w:rsid w:val="00750B14"/>
    <w:rsid w:val="00750DBA"/>
    <w:rsid w:val="00750EB1"/>
    <w:rsid w:val="00750EB8"/>
    <w:rsid w:val="0075103B"/>
    <w:rsid w:val="0075105F"/>
    <w:rsid w:val="007510E1"/>
    <w:rsid w:val="00751178"/>
    <w:rsid w:val="007511BA"/>
    <w:rsid w:val="0075124C"/>
    <w:rsid w:val="007512D1"/>
    <w:rsid w:val="00751329"/>
    <w:rsid w:val="00751426"/>
    <w:rsid w:val="007514B4"/>
    <w:rsid w:val="0075166E"/>
    <w:rsid w:val="00751670"/>
    <w:rsid w:val="00751686"/>
    <w:rsid w:val="0075178E"/>
    <w:rsid w:val="00751864"/>
    <w:rsid w:val="007519DF"/>
    <w:rsid w:val="00751AB5"/>
    <w:rsid w:val="00751AC6"/>
    <w:rsid w:val="00751D4D"/>
    <w:rsid w:val="00751E7A"/>
    <w:rsid w:val="00751F18"/>
    <w:rsid w:val="00751F20"/>
    <w:rsid w:val="00751FDC"/>
    <w:rsid w:val="00751FF0"/>
    <w:rsid w:val="007520D0"/>
    <w:rsid w:val="007521D1"/>
    <w:rsid w:val="0075220A"/>
    <w:rsid w:val="00752363"/>
    <w:rsid w:val="00752382"/>
    <w:rsid w:val="0075245C"/>
    <w:rsid w:val="007526CE"/>
    <w:rsid w:val="00752807"/>
    <w:rsid w:val="007528E3"/>
    <w:rsid w:val="00752AB7"/>
    <w:rsid w:val="00752AFF"/>
    <w:rsid w:val="00752C3F"/>
    <w:rsid w:val="00752D5E"/>
    <w:rsid w:val="00752E2C"/>
    <w:rsid w:val="00752E50"/>
    <w:rsid w:val="0075309D"/>
    <w:rsid w:val="00753150"/>
    <w:rsid w:val="00753211"/>
    <w:rsid w:val="0075328E"/>
    <w:rsid w:val="00753366"/>
    <w:rsid w:val="007533BD"/>
    <w:rsid w:val="00753418"/>
    <w:rsid w:val="0075344A"/>
    <w:rsid w:val="00753559"/>
    <w:rsid w:val="00753560"/>
    <w:rsid w:val="007535D5"/>
    <w:rsid w:val="0075370A"/>
    <w:rsid w:val="0075373C"/>
    <w:rsid w:val="007537E7"/>
    <w:rsid w:val="00753851"/>
    <w:rsid w:val="0075386C"/>
    <w:rsid w:val="00753921"/>
    <w:rsid w:val="00753942"/>
    <w:rsid w:val="007539D7"/>
    <w:rsid w:val="00753A4C"/>
    <w:rsid w:val="00753A52"/>
    <w:rsid w:val="00753A6F"/>
    <w:rsid w:val="00753A71"/>
    <w:rsid w:val="00753ABF"/>
    <w:rsid w:val="00753B99"/>
    <w:rsid w:val="00753BC7"/>
    <w:rsid w:val="00753C42"/>
    <w:rsid w:val="00753C4A"/>
    <w:rsid w:val="00753DCA"/>
    <w:rsid w:val="00753FEC"/>
    <w:rsid w:val="007540A3"/>
    <w:rsid w:val="007541F8"/>
    <w:rsid w:val="00754397"/>
    <w:rsid w:val="0075444F"/>
    <w:rsid w:val="007544F7"/>
    <w:rsid w:val="00754558"/>
    <w:rsid w:val="00754726"/>
    <w:rsid w:val="00754865"/>
    <w:rsid w:val="0075499B"/>
    <w:rsid w:val="00754D78"/>
    <w:rsid w:val="00754DD7"/>
    <w:rsid w:val="00754E19"/>
    <w:rsid w:val="007550AF"/>
    <w:rsid w:val="007550B2"/>
    <w:rsid w:val="0075521E"/>
    <w:rsid w:val="00755312"/>
    <w:rsid w:val="007554D2"/>
    <w:rsid w:val="00755563"/>
    <w:rsid w:val="007556E7"/>
    <w:rsid w:val="00755783"/>
    <w:rsid w:val="007557E0"/>
    <w:rsid w:val="00755BD1"/>
    <w:rsid w:val="00755CC8"/>
    <w:rsid w:val="00755E78"/>
    <w:rsid w:val="00755F12"/>
    <w:rsid w:val="00756247"/>
    <w:rsid w:val="00756288"/>
    <w:rsid w:val="007567DA"/>
    <w:rsid w:val="00756A91"/>
    <w:rsid w:val="00756AAD"/>
    <w:rsid w:val="00756ADE"/>
    <w:rsid w:val="00756AF0"/>
    <w:rsid w:val="00756B8C"/>
    <w:rsid w:val="00756D00"/>
    <w:rsid w:val="00756ED1"/>
    <w:rsid w:val="00757057"/>
    <w:rsid w:val="00757091"/>
    <w:rsid w:val="00757096"/>
    <w:rsid w:val="00757143"/>
    <w:rsid w:val="00757255"/>
    <w:rsid w:val="00757315"/>
    <w:rsid w:val="00757436"/>
    <w:rsid w:val="007578B7"/>
    <w:rsid w:val="00757A4D"/>
    <w:rsid w:val="00757BE2"/>
    <w:rsid w:val="00757C6D"/>
    <w:rsid w:val="00757CC2"/>
    <w:rsid w:val="00757DFF"/>
    <w:rsid w:val="00757EB1"/>
    <w:rsid w:val="00757EB3"/>
    <w:rsid w:val="00757F61"/>
    <w:rsid w:val="00757FAB"/>
    <w:rsid w:val="007600BA"/>
    <w:rsid w:val="0076015E"/>
    <w:rsid w:val="0076016B"/>
    <w:rsid w:val="00760268"/>
    <w:rsid w:val="0076031B"/>
    <w:rsid w:val="007604FE"/>
    <w:rsid w:val="007605B9"/>
    <w:rsid w:val="007607D0"/>
    <w:rsid w:val="007608C7"/>
    <w:rsid w:val="00760A70"/>
    <w:rsid w:val="00760A82"/>
    <w:rsid w:val="00760A94"/>
    <w:rsid w:val="00760C19"/>
    <w:rsid w:val="00760D20"/>
    <w:rsid w:val="00760F1A"/>
    <w:rsid w:val="00760FF0"/>
    <w:rsid w:val="00761115"/>
    <w:rsid w:val="00761156"/>
    <w:rsid w:val="0076119F"/>
    <w:rsid w:val="007611DF"/>
    <w:rsid w:val="0076148F"/>
    <w:rsid w:val="007614B3"/>
    <w:rsid w:val="007615BC"/>
    <w:rsid w:val="007615D9"/>
    <w:rsid w:val="007616A0"/>
    <w:rsid w:val="00761718"/>
    <w:rsid w:val="00761A4D"/>
    <w:rsid w:val="00761BF3"/>
    <w:rsid w:val="00761C87"/>
    <w:rsid w:val="00761CA2"/>
    <w:rsid w:val="00761D61"/>
    <w:rsid w:val="00761DB3"/>
    <w:rsid w:val="00761DCA"/>
    <w:rsid w:val="00761E81"/>
    <w:rsid w:val="00761F4E"/>
    <w:rsid w:val="00762003"/>
    <w:rsid w:val="00762095"/>
    <w:rsid w:val="007621B4"/>
    <w:rsid w:val="0076223B"/>
    <w:rsid w:val="00762264"/>
    <w:rsid w:val="00762385"/>
    <w:rsid w:val="007623E2"/>
    <w:rsid w:val="007624E6"/>
    <w:rsid w:val="0076256E"/>
    <w:rsid w:val="007625AF"/>
    <w:rsid w:val="007625CD"/>
    <w:rsid w:val="00762757"/>
    <w:rsid w:val="00762815"/>
    <w:rsid w:val="00762955"/>
    <w:rsid w:val="0076295C"/>
    <w:rsid w:val="0076298C"/>
    <w:rsid w:val="00762AAD"/>
    <w:rsid w:val="00762AFB"/>
    <w:rsid w:val="00762D10"/>
    <w:rsid w:val="00762D8C"/>
    <w:rsid w:val="00762DDF"/>
    <w:rsid w:val="00763007"/>
    <w:rsid w:val="00763033"/>
    <w:rsid w:val="0076316A"/>
    <w:rsid w:val="00763306"/>
    <w:rsid w:val="007634BE"/>
    <w:rsid w:val="00763649"/>
    <w:rsid w:val="0076371C"/>
    <w:rsid w:val="007637C0"/>
    <w:rsid w:val="0076383F"/>
    <w:rsid w:val="00763898"/>
    <w:rsid w:val="007638EF"/>
    <w:rsid w:val="00763A09"/>
    <w:rsid w:val="00763A57"/>
    <w:rsid w:val="00763A7F"/>
    <w:rsid w:val="00763C35"/>
    <w:rsid w:val="00763D4B"/>
    <w:rsid w:val="007640CE"/>
    <w:rsid w:val="0076425C"/>
    <w:rsid w:val="007642F0"/>
    <w:rsid w:val="0076437E"/>
    <w:rsid w:val="0076468E"/>
    <w:rsid w:val="007648C2"/>
    <w:rsid w:val="007648CF"/>
    <w:rsid w:val="00764B38"/>
    <w:rsid w:val="00764B8A"/>
    <w:rsid w:val="00764BA6"/>
    <w:rsid w:val="00764C08"/>
    <w:rsid w:val="00764C16"/>
    <w:rsid w:val="00764CB9"/>
    <w:rsid w:val="007650BC"/>
    <w:rsid w:val="00765148"/>
    <w:rsid w:val="007652F6"/>
    <w:rsid w:val="00765605"/>
    <w:rsid w:val="0076564B"/>
    <w:rsid w:val="00765897"/>
    <w:rsid w:val="00765B1E"/>
    <w:rsid w:val="00765B7E"/>
    <w:rsid w:val="00765BC2"/>
    <w:rsid w:val="00765DA8"/>
    <w:rsid w:val="00765DE7"/>
    <w:rsid w:val="007660A5"/>
    <w:rsid w:val="00766171"/>
    <w:rsid w:val="0076619E"/>
    <w:rsid w:val="00766453"/>
    <w:rsid w:val="00766489"/>
    <w:rsid w:val="0076654E"/>
    <w:rsid w:val="00766583"/>
    <w:rsid w:val="00766697"/>
    <w:rsid w:val="007666E2"/>
    <w:rsid w:val="007668D4"/>
    <w:rsid w:val="0076692E"/>
    <w:rsid w:val="00766AB3"/>
    <w:rsid w:val="00766B36"/>
    <w:rsid w:val="00766CCF"/>
    <w:rsid w:val="00766E2D"/>
    <w:rsid w:val="00766E8F"/>
    <w:rsid w:val="00766EAF"/>
    <w:rsid w:val="00766F47"/>
    <w:rsid w:val="00766F68"/>
    <w:rsid w:val="00767007"/>
    <w:rsid w:val="007670BC"/>
    <w:rsid w:val="007670F3"/>
    <w:rsid w:val="00767182"/>
    <w:rsid w:val="00767352"/>
    <w:rsid w:val="00767383"/>
    <w:rsid w:val="007673B0"/>
    <w:rsid w:val="00767628"/>
    <w:rsid w:val="00767702"/>
    <w:rsid w:val="0076788E"/>
    <w:rsid w:val="007678E9"/>
    <w:rsid w:val="00767A92"/>
    <w:rsid w:val="00767AC3"/>
    <w:rsid w:val="00767CCF"/>
    <w:rsid w:val="00767F29"/>
    <w:rsid w:val="00767FFD"/>
    <w:rsid w:val="00770107"/>
    <w:rsid w:val="00770250"/>
    <w:rsid w:val="00770260"/>
    <w:rsid w:val="00770282"/>
    <w:rsid w:val="00770564"/>
    <w:rsid w:val="007707CC"/>
    <w:rsid w:val="007707F0"/>
    <w:rsid w:val="0077084A"/>
    <w:rsid w:val="00770875"/>
    <w:rsid w:val="007708C2"/>
    <w:rsid w:val="00770AC0"/>
    <w:rsid w:val="00770BE2"/>
    <w:rsid w:val="00770E09"/>
    <w:rsid w:val="00770E6A"/>
    <w:rsid w:val="00770EA7"/>
    <w:rsid w:val="00770F3D"/>
    <w:rsid w:val="007710FD"/>
    <w:rsid w:val="00771236"/>
    <w:rsid w:val="00771238"/>
    <w:rsid w:val="0077160D"/>
    <w:rsid w:val="00771663"/>
    <w:rsid w:val="00771718"/>
    <w:rsid w:val="00771B33"/>
    <w:rsid w:val="00771C27"/>
    <w:rsid w:val="00771C30"/>
    <w:rsid w:val="00771C5C"/>
    <w:rsid w:val="00771D3A"/>
    <w:rsid w:val="0077206C"/>
    <w:rsid w:val="00772231"/>
    <w:rsid w:val="0077232D"/>
    <w:rsid w:val="0077233A"/>
    <w:rsid w:val="00772369"/>
    <w:rsid w:val="00772418"/>
    <w:rsid w:val="007724AD"/>
    <w:rsid w:val="007726DF"/>
    <w:rsid w:val="00772711"/>
    <w:rsid w:val="007727D1"/>
    <w:rsid w:val="0077290E"/>
    <w:rsid w:val="0077295C"/>
    <w:rsid w:val="00772B6C"/>
    <w:rsid w:val="00772BEE"/>
    <w:rsid w:val="00772DEE"/>
    <w:rsid w:val="00772F91"/>
    <w:rsid w:val="0077302F"/>
    <w:rsid w:val="007730F0"/>
    <w:rsid w:val="00773151"/>
    <w:rsid w:val="0077325F"/>
    <w:rsid w:val="00773315"/>
    <w:rsid w:val="007733A9"/>
    <w:rsid w:val="007734E0"/>
    <w:rsid w:val="007737BD"/>
    <w:rsid w:val="00773883"/>
    <w:rsid w:val="007738E9"/>
    <w:rsid w:val="0077399E"/>
    <w:rsid w:val="007739B6"/>
    <w:rsid w:val="00773C5A"/>
    <w:rsid w:val="00773DA5"/>
    <w:rsid w:val="00773DFC"/>
    <w:rsid w:val="00773EA9"/>
    <w:rsid w:val="0077401A"/>
    <w:rsid w:val="0077408C"/>
    <w:rsid w:val="00774104"/>
    <w:rsid w:val="00774121"/>
    <w:rsid w:val="007742D6"/>
    <w:rsid w:val="00774493"/>
    <w:rsid w:val="0077457C"/>
    <w:rsid w:val="0077469D"/>
    <w:rsid w:val="007748D5"/>
    <w:rsid w:val="0077494F"/>
    <w:rsid w:val="00774A38"/>
    <w:rsid w:val="00774BB2"/>
    <w:rsid w:val="00774C91"/>
    <w:rsid w:val="00774DD1"/>
    <w:rsid w:val="00774E0E"/>
    <w:rsid w:val="00774E53"/>
    <w:rsid w:val="00774FE1"/>
    <w:rsid w:val="007750D3"/>
    <w:rsid w:val="00775170"/>
    <w:rsid w:val="007751EE"/>
    <w:rsid w:val="0077520B"/>
    <w:rsid w:val="0077521F"/>
    <w:rsid w:val="007752B1"/>
    <w:rsid w:val="007752D8"/>
    <w:rsid w:val="0077533D"/>
    <w:rsid w:val="0077535F"/>
    <w:rsid w:val="00775402"/>
    <w:rsid w:val="00775462"/>
    <w:rsid w:val="007754AB"/>
    <w:rsid w:val="00775527"/>
    <w:rsid w:val="007755E2"/>
    <w:rsid w:val="00775676"/>
    <w:rsid w:val="007757FC"/>
    <w:rsid w:val="00775947"/>
    <w:rsid w:val="00775ABF"/>
    <w:rsid w:val="00775B2A"/>
    <w:rsid w:val="00775B77"/>
    <w:rsid w:val="00775B9C"/>
    <w:rsid w:val="00775DE3"/>
    <w:rsid w:val="00775E83"/>
    <w:rsid w:val="00775E8C"/>
    <w:rsid w:val="00775F36"/>
    <w:rsid w:val="00776036"/>
    <w:rsid w:val="00776081"/>
    <w:rsid w:val="007760CD"/>
    <w:rsid w:val="00776167"/>
    <w:rsid w:val="0077616B"/>
    <w:rsid w:val="0077620B"/>
    <w:rsid w:val="007762A1"/>
    <w:rsid w:val="007762F6"/>
    <w:rsid w:val="00776398"/>
    <w:rsid w:val="007763DD"/>
    <w:rsid w:val="00776458"/>
    <w:rsid w:val="007764B1"/>
    <w:rsid w:val="00776644"/>
    <w:rsid w:val="007766E5"/>
    <w:rsid w:val="00776779"/>
    <w:rsid w:val="007767AE"/>
    <w:rsid w:val="007768E3"/>
    <w:rsid w:val="00776943"/>
    <w:rsid w:val="00776BF7"/>
    <w:rsid w:val="00776C87"/>
    <w:rsid w:val="00776C92"/>
    <w:rsid w:val="00776D54"/>
    <w:rsid w:val="00776F77"/>
    <w:rsid w:val="00777001"/>
    <w:rsid w:val="00777184"/>
    <w:rsid w:val="007771C9"/>
    <w:rsid w:val="007772A6"/>
    <w:rsid w:val="00777315"/>
    <w:rsid w:val="0077733F"/>
    <w:rsid w:val="00777579"/>
    <w:rsid w:val="0077759B"/>
    <w:rsid w:val="007778B5"/>
    <w:rsid w:val="00777980"/>
    <w:rsid w:val="00777A67"/>
    <w:rsid w:val="00777A72"/>
    <w:rsid w:val="00777AD8"/>
    <w:rsid w:val="00777B54"/>
    <w:rsid w:val="00777B7D"/>
    <w:rsid w:val="00777B7F"/>
    <w:rsid w:val="00777D21"/>
    <w:rsid w:val="00777D40"/>
    <w:rsid w:val="00777F04"/>
    <w:rsid w:val="00777F5C"/>
    <w:rsid w:val="00780113"/>
    <w:rsid w:val="00780131"/>
    <w:rsid w:val="00780164"/>
    <w:rsid w:val="007801B9"/>
    <w:rsid w:val="00780207"/>
    <w:rsid w:val="00780299"/>
    <w:rsid w:val="007802ED"/>
    <w:rsid w:val="007802F0"/>
    <w:rsid w:val="00780390"/>
    <w:rsid w:val="007803C0"/>
    <w:rsid w:val="007803E1"/>
    <w:rsid w:val="007805D5"/>
    <w:rsid w:val="00780631"/>
    <w:rsid w:val="00780707"/>
    <w:rsid w:val="007809C5"/>
    <w:rsid w:val="00780AB6"/>
    <w:rsid w:val="00780C0A"/>
    <w:rsid w:val="00780C16"/>
    <w:rsid w:val="00780D0D"/>
    <w:rsid w:val="00780D4B"/>
    <w:rsid w:val="00780DB6"/>
    <w:rsid w:val="00780F91"/>
    <w:rsid w:val="00780FC0"/>
    <w:rsid w:val="007810C3"/>
    <w:rsid w:val="007810DE"/>
    <w:rsid w:val="00781158"/>
    <w:rsid w:val="00781378"/>
    <w:rsid w:val="007814EC"/>
    <w:rsid w:val="0078157E"/>
    <w:rsid w:val="0078164B"/>
    <w:rsid w:val="00781836"/>
    <w:rsid w:val="007818E1"/>
    <w:rsid w:val="007819C6"/>
    <w:rsid w:val="007819E9"/>
    <w:rsid w:val="00781A39"/>
    <w:rsid w:val="00781AED"/>
    <w:rsid w:val="00781AF4"/>
    <w:rsid w:val="00781B31"/>
    <w:rsid w:val="00781B35"/>
    <w:rsid w:val="00781B50"/>
    <w:rsid w:val="00781BC9"/>
    <w:rsid w:val="00781BED"/>
    <w:rsid w:val="00781C11"/>
    <w:rsid w:val="00781E67"/>
    <w:rsid w:val="00781F22"/>
    <w:rsid w:val="00781F96"/>
    <w:rsid w:val="00781F99"/>
    <w:rsid w:val="00782029"/>
    <w:rsid w:val="007820CB"/>
    <w:rsid w:val="0078218E"/>
    <w:rsid w:val="007824CE"/>
    <w:rsid w:val="00782571"/>
    <w:rsid w:val="007825AD"/>
    <w:rsid w:val="007826AE"/>
    <w:rsid w:val="007826DA"/>
    <w:rsid w:val="00782757"/>
    <w:rsid w:val="0078276D"/>
    <w:rsid w:val="007827F7"/>
    <w:rsid w:val="0078288E"/>
    <w:rsid w:val="0078291E"/>
    <w:rsid w:val="00782A01"/>
    <w:rsid w:val="00782AC1"/>
    <w:rsid w:val="00782AC5"/>
    <w:rsid w:val="00782B27"/>
    <w:rsid w:val="00782B52"/>
    <w:rsid w:val="00782C60"/>
    <w:rsid w:val="00782E0D"/>
    <w:rsid w:val="007830D0"/>
    <w:rsid w:val="007831D9"/>
    <w:rsid w:val="0078321E"/>
    <w:rsid w:val="007832E8"/>
    <w:rsid w:val="00783396"/>
    <w:rsid w:val="007833B1"/>
    <w:rsid w:val="00783430"/>
    <w:rsid w:val="00783456"/>
    <w:rsid w:val="0078356E"/>
    <w:rsid w:val="00783677"/>
    <w:rsid w:val="007836D7"/>
    <w:rsid w:val="00783709"/>
    <w:rsid w:val="007837E4"/>
    <w:rsid w:val="00783827"/>
    <w:rsid w:val="0078383C"/>
    <w:rsid w:val="00783843"/>
    <w:rsid w:val="0078386A"/>
    <w:rsid w:val="00783924"/>
    <w:rsid w:val="00783A69"/>
    <w:rsid w:val="00783AB7"/>
    <w:rsid w:val="00783BE1"/>
    <w:rsid w:val="00783C5E"/>
    <w:rsid w:val="00783DC6"/>
    <w:rsid w:val="00783E21"/>
    <w:rsid w:val="00783F45"/>
    <w:rsid w:val="00783FCE"/>
    <w:rsid w:val="00784086"/>
    <w:rsid w:val="007841E4"/>
    <w:rsid w:val="00784384"/>
    <w:rsid w:val="007844FC"/>
    <w:rsid w:val="00784560"/>
    <w:rsid w:val="00784565"/>
    <w:rsid w:val="0078462F"/>
    <w:rsid w:val="007846C3"/>
    <w:rsid w:val="0078483F"/>
    <w:rsid w:val="00784889"/>
    <w:rsid w:val="0078495D"/>
    <w:rsid w:val="00784963"/>
    <w:rsid w:val="007849FF"/>
    <w:rsid w:val="00784A74"/>
    <w:rsid w:val="00784B69"/>
    <w:rsid w:val="00784D73"/>
    <w:rsid w:val="00784DC0"/>
    <w:rsid w:val="00784E83"/>
    <w:rsid w:val="00784EF2"/>
    <w:rsid w:val="00784EF8"/>
    <w:rsid w:val="00784F1F"/>
    <w:rsid w:val="00784F9D"/>
    <w:rsid w:val="00785006"/>
    <w:rsid w:val="0078519D"/>
    <w:rsid w:val="00785216"/>
    <w:rsid w:val="00785258"/>
    <w:rsid w:val="007855EB"/>
    <w:rsid w:val="0078561E"/>
    <w:rsid w:val="0078570A"/>
    <w:rsid w:val="0078571D"/>
    <w:rsid w:val="00785818"/>
    <w:rsid w:val="007859D1"/>
    <w:rsid w:val="00785A6C"/>
    <w:rsid w:val="00785ABE"/>
    <w:rsid w:val="00785ACD"/>
    <w:rsid w:val="00785BD9"/>
    <w:rsid w:val="00785D91"/>
    <w:rsid w:val="00785DB9"/>
    <w:rsid w:val="00785DF2"/>
    <w:rsid w:val="00785E6A"/>
    <w:rsid w:val="00785F5C"/>
    <w:rsid w:val="00786009"/>
    <w:rsid w:val="0078628C"/>
    <w:rsid w:val="00786383"/>
    <w:rsid w:val="00786434"/>
    <w:rsid w:val="0078644A"/>
    <w:rsid w:val="007865BF"/>
    <w:rsid w:val="007866F7"/>
    <w:rsid w:val="00786742"/>
    <w:rsid w:val="0078676E"/>
    <w:rsid w:val="0078681F"/>
    <w:rsid w:val="00786954"/>
    <w:rsid w:val="007869F2"/>
    <w:rsid w:val="00786A69"/>
    <w:rsid w:val="00786AFD"/>
    <w:rsid w:val="00786B28"/>
    <w:rsid w:val="00786DF2"/>
    <w:rsid w:val="00786E2F"/>
    <w:rsid w:val="00786F08"/>
    <w:rsid w:val="00786FFC"/>
    <w:rsid w:val="007870F3"/>
    <w:rsid w:val="00787116"/>
    <w:rsid w:val="007873A8"/>
    <w:rsid w:val="00787558"/>
    <w:rsid w:val="0078765A"/>
    <w:rsid w:val="007876CD"/>
    <w:rsid w:val="007876D5"/>
    <w:rsid w:val="0078774E"/>
    <w:rsid w:val="00787817"/>
    <w:rsid w:val="00787B7D"/>
    <w:rsid w:val="00787C29"/>
    <w:rsid w:val="007900DF"/>
    <w:rsid w:val="0079017F"/>
    <w:rsid w:val="007903D5"/>
    <w:rsid w:val="00790448"/>
    <w:rsid w:val="0079049C"/>
    <w:rsid w:val="007908C6"/>
    <w:rsid w:val="00790AA0"/>
    <w:rsid w:val="00790AF6"/>
    <w:rsid w:val="00790B4B"/>
    <w:rsid w:val="00790BC0"/>
    <w:rsid w:val="00790EF3"/>
    <w:rsid w:val="00790F17"/>
    <w:rsid w:val="00791146"/>
    <w:rsid w:val="00791376"/>
    <w:rsid w:val="007914D0"/>
    <w:rsid w:val="007914DC"/>
    <w:rsid w:val="0079178A"/>
    <w:rsid w:val="00791C7B"/>
    <w:rsid w:val="00791C84"/>
    <w:rsid w:val="00792056"/>
    <w:rsid w:val="00792065"/>
    <w:rsid w:val="0079232D"/>
    <w:rsid w:val="0079235B"/>
    <w:rsid w:val="00792375"/>
    <w:rsid w:val="007924F8"/>
    <w:rsid w:val="00792534"/>
    <w:rsid w:val="007925CD"/>
    <w:rsid w:val="00792629"/>
    <w:rsid w:val="007926ED"/>
    <w:rsid w:val="0079278C"/>
    <w:rsid w:val="0079281F"/>
    <w:rsid w:val="0079295B"/>
    <w:rsid w:val="00792A17"/>
    <w:rsid w:val="00792B32"/>
    <w:rsid w:val="00792B4E"/>
    <w:rsid w:val="00792BA6"/>
    <w:rsid w:val="00792BCF"/>
    <w:rsid w:val="00792CF6"/>
    <w:rsid w:val="00792D97"/>
    <w:rsid w:val="00792DB3"/>
    <w:rsid w:val="00792E45"/>
    <w:rsid w:val="00793005"/>
    <w:rsid w:val="00793017"/>
    <w:rsid w:val="0079309D"/>
    <w:rsid w:val="00793241"/>
    <w:rsid w:val="00793350"/>
    <w:rsid w:val="00793380"/>
    <w:rsid w:val="00793452"/>
    <w:rsid w:val="007934AC"/>
    <w:rsid w:val="00793698"/>
    <w:rsid w:val="00793766"/>
    <w:rsid w:val="007937B5"/>
    <w:rsid w:val="00793826"/>
    <w:rsid w:val="00793882"/>
    <w:rsid w:val="0079395B"/>
    <w:rsid w:val="007939B8"/>
    <w:rsid w:val="007939BF"/>
    <w:rsid w:val="00793A79"/>
    <w:rsid w:val="00793B9A"/>
    <w:rsid w:val="00793BA6"/>
    <w:rsid w:val="00793C76"/>
    <w:rsid w:val="00793C88"/>
    <w:rsid w:val="00793E94"/>
    <w:rsid w:val="00793EC0"/>
    <w:rsid w:val="00794051"/>
    <w:rsid w:val="00794098"/>
    <w:rsid w:val="007940D2"/>
    <w:rsid w:val="007940E8"/>
    <w:rsid w:val="007942E8"/>
    <w:rsid w:val="0079433E"/>
    <w:rsid w:val="0079438D"/>
    <w:rsid w:val="007943AC"/>
    <w:rsid w:val="007943B4"/>
    <w:rsid w:val="0079445D"/>
    <w:rsid w:val="00794630"/>
    <w:rsid w:val="007946CC"/>
    <w:rsid w:val="00794754"/>
    <w:rsid w:val="00794773"/>
    <w:rsid w:val="0079485C"/>
    <w:rsid w:val="007948CA"/>
    <w:rsid w:val="007949A6"/>
    <w:rsid w:val="007949AD"/>
    <w:rsid w:val="00794A93"/>
    <w:rsid w:val="00794AFB"/>
    <w:rsid w:val="00794D12"/>
    <w:rsid w:val="00794D2C"/>
    <w:rsid w:val="00794D51"/>
    <w:rsid w:val="00794DEF"/>
    <w:rsid w:val="00794F40"/>
    <w:rsid w:val="0079529E"/>
    <w:rsid w:val="0079532E"/>
    <w:rsid w:val="00795532"/>
    <w:rsid w:val="0079557F"/>
    <w:rsid w:val="00795615"/>
    <w:rsid w:val="00795714"/>
    <w:rsid w:val="00795865"/>
    <w:rsid w:val="00795A21"/>
    <w:rsid w:val="00795A67"/>
    <w:rsid w:val="00795DD4"/>
    <w:rsid w:val="00795DFD"/>
    <w:rsid w:val="00796014"/>
    <w:rsid w:val="00796054"/>
    <w:rsid w:val="007960F2"/>
    <w:rsid w:val="00796311"/>
    <w:rsid w:val="007963E7"/>
    <w:rsid w:val="00796423"/>
    <w:rsid w:val="0079657D"/>
    <w:rsid w:val="007966A9"/>
    <w:rsid w:val="007966DA"/>
    <w:rsid w:val="0079675A"/>
    <w:rsid w:val="00796781"/>
    <w:rsid w:val="007967D2"/>
    <w:rsid w:val="0079683F"/>
    <w:rsid w:val="00796883"/>
    <w:rsid w:val="00796A4B"/>
    <w:rsid w:val="00796C80"/>
    <w:rsid w:val="00796D36"/>
    <w:rsid w:val="00796EC1"/>
    <w:rsid w:val="00796F9B"/>
    <w:rsid w:val="00797088"/>
    <w:rsid w:val="00797094"/>
    <w:rsid w:val="007970E3"/>
    <w:rsid w:val="00797107"/>
    <w:rsid w:val="00797108"/>
    <w:rsid w:val="00797472"/>
    <w:rsid w:val="00797747"/>
    <w:rsid w:val="0079797C"/>
    <w:rsid w:val="00797988"/>
    <w:rsid w:val="00797D5D"/>
    <w:rsid w:val="00797E96"/>
    <w:rsid w:val="00797F5D"/>
    <w:rsid w:val="007A004B"/>
    <w:rsid w:val="007A0095"/>
    <w:rsid w:val="007A03A5"/>
    <w:rsid w:val="007A0418"/>
    <w:rsid w:val="007A04A2"/>
    <w:rsid w:val="007A056B"/>
    <w:rsid w:val="007A0721"/>
    <w:rsid w:val="007A08D6"/>
    <w:rsid w:val="007A08E7"/>
    <w:rsid w:val="007A098C"/>
    <w:rsid w:val="007A0ABD"/>
    <w:rsid w:val="007A0B39"/>
    <w:rsid w:val="007A0D35"/>
    <w:rsid w:val="007A0E2E"/>
    <w:rsid w:val="007A0F64"/>
    <w:rsid w:val="007A1019"/>
    <w:rsid w:val="007A1148"/>
    <w:rsid w:val="007A11C1"/>
    <w:rsid w:val="007A1233"/>
    <w:rsid w:val="007A130D"/>
    <w:rsid w:val="007A13FB"/>
    <w:rsid w:val="007A14B1"/>
    <w:rsid w:val="007A14DC"/>
    <w:rsid w:val="007A15EF"/>
    <w:rsid w:val="007A16D5"/>
    <w:rsid w:val="007A17C3"/>
    <w:rsid w:val="007A17D8"/>
    <w:rsid w:val="007A18C4"/>
    <w:rsid w:val="007A1921"/>
    <w:rsid w:val="007A19E4"/>
    <w:rsid w:val="007A1A44"/>
    <w:rsid w:val="007A1AC0"/>
    <w:rsid w:val="007A1BA8"/>
    <w:rsid w:val="007A1C4C"/>
    <w:rsid w:val="007A1D7C"/>
    <w:rsid w:val="007A1DCB"/>
    <w:rsid w:val="007A1EA6"/>
    <w:rsid w:val="007A201B"/>
    <w:rsid w:val="007A20E1"/>
    <w:rsid w:val="007A2405"/>
    <w:rsid w:val="007A256C"/>
    <w:rsid w:val="007A2580"/>
    <w:rsid w:val="007A2583"/>
    <w:rsid w:val="007A264E"/>
    <w:rsid w:val="007A27B3"/>
    <w:rsid w:val="007A2901"/>
    <w:rsid w:val="007A2918"/>
    <w:rsid w:val="007A2A3E"/>
    <w:rsid w:val="007A2A6D"/>
    <w:rsid w:val="007A2AC6"/>
    <w:rsid w:val="007A2C8E"/>
    <w:rsid w:val="007A2CF0"/>
    <w:rsid w:val="007A2D8A"/>
    <w:rsid w:val="007A2DA1"/>
    <w:rsid w:val="007A2DC4"/>
    <w:rsid w:val="007A2FAE"/>
    <w:rsid w:val="007A300D"/>
    <w:rsid w:val="007A30D8"/>
    <w:rsid w:val="007A31DE"/>
    <w:rsid w:val="007A323D"/>
    <w:rsid w:val="007A33AE"/>
    <w:rsid w:val="007A33F6"/>
    <w:rsid w:val="007A3440"/>
    <w:rsid w:val="007A3470"/>
    <w:rsid w:val="007A360B"/>
    <w:rsid w:val="007A363C"/>
    <w:rsid w:val="007A37C8"/>
    <w:rsid w:val="007A37D2"/>
    <w:rsid w:val="007A3877"/>
    <w:rsid w:val="007A38AE"/>
    <w:rsid w:val="007A3975"/>
    <w:rsid w:val="007A39C1"/>
    <w:rsid w:val="007A39D9"/>
    <w:rsid w:val="007A3A09"/>
    <w:rsid w:val="007A3A50"/>
    <w:rsid w:val="007A3AB7"/>
    <w:rsid w:val="007A3BC2"/>
    <w:rsid w:val="007A3BD9"/>
    <w:rsid w:val="007A3D29"/>
    <w:rsid w:val="007A3D2F"/>
    <w:rsid w:val="007A3D6E"/>
    <w:rsid w:val="007A3D9B"/>
    <w:rsid w:val="007A3DB0"/>
    <w:rsid w:val="007A3DC2"/>
    <w:rsid w:val="007A4069"/>
    <w:rsid w:val="007A41CC"/>
    <w:rsid w:val="007A42CE"/>
    <w:rsid w:val="007A4372"/>
    <w:rsid w:val="007A43D2"/>
    <w:rsid w:val="007A4412"/>
    <w:rsid w:val="007A459E"/>
    <w:rsid w:val="007A46A6"/>
    <w:rsid w:val="007A4752"/>
    <w:rsid w:val="007A4838"/>
    <w:rsid w:val="007A4963"/>
    <w:rsid w:val="007A4979"/>
    <w:rsid w:val="007A4C63"/>
    <w:rsid w:val="007A4F13"/>
    <w:rsid w:val="007A4F2D"/>
    <w:rsid w:val="007A4F80"/>
    <w:rsid w:val="007A51C6"/>
    <w:rsid w:val="007A5354"/>
    <w:rsid w:val="007A5373"/>
    <w:rsid w:val="007A5399"/>
    <w:rsid w:val="007A5494"/>
    <w:rsid w:val="007A5529"/>
    <w:rsid w:val="007A5809"/>
    <w:rsid w:val="007A5955"/>
    <w:rsid w:val="007A5ACC"/>
    <w:rsid w:val="007A5B7B"/>
    <w:rsid w:val="007A5BB7"/>
    <w:rsid w:val="007A5C0F"/>
    <w:rsid w:val="007A6070"/>
    <w:rsid w:val="007A60BA"/>
    <w:rsid w:val="007A614A"/>
    <w:rsid w:val="007A65B8"/>
    <w:rsid w:val="007A67B6"/>
    <w:rsid w:val="007A6934"/>
    <w:rsid w:val="007A6AA9"/>
    <w:rsid w:val="007A6BE3"/>
    <w:rsid w:val="007A6C16"/>
    <w:rsid w:val="007A6EFF"/>
    <w:rsid w:val="007A71C0"/>
    <w:rsid w:val="007A721B"/>
    <w:rsid w:val="007A72E4"/>
    <w:rsid w:val="007A732C"/>
    <w:rsid w:val="007A7592"/>
    <w:rsid w:val="007A75A0"/>
    <w:rsid w:val="007A75B5"/>
    <w:rsid w:val="007A77E3"/>
    <w:rsid w:val="007A77F6"/>
    <w:rsid w:val="007A7817"/>
    <w:rsid w:val="007A78A0"/>
    <w:rsid w:val="007A792D"/>
    <w:rsid w:val="007A7B18"/>
    <w:rsid w:val="007A7BAB"/>
    <w:rsid w:val="007A7C3E"/>
    <w:rsid w:val="007A7E15"/>
    <w:rsid w:val="007B00C2"/>
    <w:rsid w:val="007B0138"/>
    <w:rsid w:val="007B01F3"/>
    <w:rsid w:val="007B02D8"/>
    <w:rsid w:val="007B0326"/>
    <w:rsid w:val="007B046F"/>
    <w:rsid w:val="007B0533"/>
    <w:rsid w:val="007B05BB"/>
    <w:rsid w:val="007B0652"/>
    <w:rsid w:val="007B06AA"/>
    <w:rsid w:val="007B0837"/>
    <w:rsid w:val="007B083E"/>
    <w:rsid w:val="007B092E"/>
    <w:rsid w:val="007B0BC4"/>
    <w:rsid w:val="007B0D57"/>
    <w:rsid w:val="007B0DD4"/>
    <w:rsid w:val="007B0E09"/>
    <w:rsid w:val="007B0E0D"/>
    <w:rsid w:val="007B0E50"/>
    <w:rsid w:val="007B0E68"/>
    <w:rsid w:val="007B0F1B"/>
    <w:rsid w:val="007B0FC3"/>
    <w:rsid w:val="007B10F9"/>
    <w:rsid w:val="007B121C"/>
    <w:rsid w:val="007B12C1"/>
    <w:rsid w:val="007B1419"/>
    <w:rsid w:val="007B1421"/>
    <w:rsid w:val="007B1740"/>
    <w:rsid w:val="007B19A0"/>
    <w:rsid w:val="007B19FC"/>
    <w:rsid w:val="007B1A8C"/>
    <w:rsid w:val="007B1B0F"/>
    <w:rsid w:val="007B1CE1"/>
    <w:rsid w:val="007B1CEE"/>
    <w:rsid w:val="007B1D5F"/>
    <w:rsid w:val="007B1DFB"/>
    <w:rsid w:val="007B1E05"/>
    <w:rsid w:val="007B1F44"/>
    <w:rsid w:val="007B23CD"/>
    <w:rsid w:val="007B2659"/>
    <w:rsid w:val="007B2676"/>
    <w:rsid w:val="007B2682"/>
    <w:rsid w:val="007B27C6"/>
    <w:rsid w:val="007B2833"/>
    <w:rsid w:val="007B293C"/>
    <w:rsid w:val="007B2992"/>
    <w:rsid w:val="007B29E6"/>
    <w:rsid w:val="007B2B74"/>
    <w:rsid w:val="007B2D3A"/>
    <w:rsid w:val="007B2E45"/>
    <w:rsid w:val="007B2F17"/>
    <w:rsid w:val="007B30E3"/>
    <w:rsid w:val="007B3168"/>
    <w:rsid w:val="007B31D3"/>
    <w:rsid w:val="007B3301"/>
    <w:rsid w:val="007B3341"/>
    <w:rsid w:val="007B34DA"/>
    <w:rsid w:val="007B3809"/>
    <w:rsid w:val="007B38C9"/>
    <w:rsid w:val="007B3BA7"/>
    <w:rsid w:val="007B3C01"/>
    <w:rsid w:val="007B3CB2"/>
    <w:rsid w:val="007B3D0D"/>
    <w:rsid w:val="007B3D58"/>
    <w:rsid w:val="007B3D6C"/>
    <w:rsid w:val="007B3E02"/>
    <w:rsid w:val="007B3F57"/>
    <w:rsid w:val="007B3FED"/>
    <w:rsid w:val="007B43A4"/>
    <w:rsid w:val="007B43BE"/>
    <w:rsid w:val="007B44C5"/>
    <w:rsid w:val="007B459E"/>
    <w:rsid w:val="007B462E"/>
    <w:rsid w:val="007B4738"/>
    <w:rsid w:val="007B4792"/>
    <w:rsid w:val="007B48B9"/>
    <w:rsid w:val="007B4A14"/>
    <w:rsid w:val="007B4ACE"/>
    <w:rsid w:val="007B4B00"/>
    <w:rsid w:val="007B4B13"/>
    <w:rsid w:val="007B4B4C"/>
    <w:rsid w:val="007B4B5E"/>
    <w:rsid w:val="007B4BCC"/>
    <w:rsid w:val="007B4CB1"/>
    <w:rsid w:val="007B4D57"/>
    <w:rsid w:val="007B4E38"/>
    <w:rsid w:val="007B4E5B"/>
    <w:rsid w:val="007B4F59"/>
    <w:rsid w:val="007B5005"/>
    <w:rsid w:val="007B50B1"/>
    <w:rsid w:val="007B52D4"/>
    <w:rsid w:val="007B5331"/>
    <w:rsid w:val="007B5413"/>
    <w:rsid w:val="007B54A4"/>
    <w:rsid w:val="007B5568"/>
    <w:rsid w:val="007B56ED"/>
    <w:rsid w:val="007B5757"/>
    <w:rsid w:val="007B57AC"/>
    <w:rsid w:val="007B5878"/>
    <w:rsid w:val="007B5A1B"/>
    <w:rsid w:val="007B5B97"/>
    <w:rsid w:val="007B5BE6"/>
    <w:rsid w:val="007B5C05"/>
    <w:rsid w:val="007B5E62"/>
    <w:rsid w:val="007B5F14"/>
    <w:rsid w:val="007B624D"/>
    <w:rsid w:val="007B6407"/>
    <w:rsid w:val="007B6796"/>
    <w:rsid w:val="007B6863"/>
    <w:rsid w:val="007B6BE1"/>
    <w:rsid w:val="007B6DD7"/>
    <w:rsid w:val="007B6ED8"/>
    <w:rsid w:val="007B7028"/>
    <w:rsid w:val="007B704E"/>
    <w:rsid w:val="007B7109"/>
    <w:rsid w:val="007B7207"/>
    <w:rsid w:val="007B7425"/>
    <w:rsid w:val="007B751D"/>
    <w:rsid w:val="007B76DC"/>
    <w:rsid w:val="007B7709"/>
    <w:rsid w:val="007B77CF"/>
    <w:rsid w:val="007B787E"/>
    <w:rsid w:val="007B78F0"/>
    <w:rsid w:val="007B7C2C"/>
    <w:rsid w:val="007B7D1C"/>
    <w:rsid w:val="007B7F0E"/>
    <w:rsid w:val="007C0055"/>
    <w:rsid w:val="007C0086"/>
    <w:rsid w:val="007C0180"/>
    <w:rsid w:val="007C03B6"/>
    <w:rsid w:val="007C04BB"/>
    <w:rsid w:val="007C04F4"/>
    <w:rsid w:val="007C0554"/>
    <w:rsid w:val="007C05DC"/>
    <w:rsid w:val="007C06FE"/>
    <w:rsid w:val="007C072D"/>
    <w:rsid w:val="007C0798"/>
    <w:rsid w:val="007C091D"/>
    <w:rsid w:val="007C0999"/>
    <w:rsid w:val="007C0A36"/>
    <w:rsid w:val="007C0ACB"/>
    <w:rsid w:val="007C0AE4"/>
    <w:rsid w:val="007C0D15"/>
    <w:rsid w:val="007C0F59"/>
    <w:rsid w:val="007C118F"/>
    <w:rsid w:val="007C1348"/>
    <w:rsid w:val="007C1449"/>
    <w:rsid w:val="007C153A"/>
    <w:rsid w:val="007C15EF"/>
    <w:rsid w:val="007C1664"/>
    <w:rsid w:val="007C177F"/>
    <w:rsid w:val="007C17BB"/>
    <w:rsid w:val="007C17C2"/>
    <w:rsid w:val="007C18B0"/>
    <w:rsid w:val="007C1B61"/>
    <w:rsid w:val="007C1C92"/>
    <w:rsid w:val="007C1CC9"/>
    <w:rsid w:val="007C1D48"/>
    <w:rsid w:val="007C1E42"/>
    <w:rsid w:val="007C1F60"/>
    <w:rsid w:val="007C20E0"/>
    <w:rsid w:val="007C21B7"/>
    <w:rsid w:val="007C230A"/>
    <w:rsid w:val="007C2379"/>
    <w:rsid w:val="007C238E"/>
    <w:rsid w:val="007C23E8"/>
    <w:rsid w:val="007C2678"/>
    <w:rsid w:val="007C2867"/>
    <w:rsid w:val="007C28A4"/>
    <w:rsid w:val="007C2B7B"/>
    <w:rsid w:val="007C2C6B"/>
    <w:rsid w:val="007C2E4A"/>
    <w:rsid w:val="007C2E61"/>
    <w:rsid w:val="007C2E64"/>
    <w:rsid w:val="007C2ED1"/>
    <w:rsid w:val="007C2FB1"/>
    <w:rsid w:val="007C2FD1"/>
    <w:rsid w:val="007C2FE1"/>
    <w:rsid w:val="007C2FED"/>
    <w:rsid w:val="007C307B"/>
    <w:rsid w:val="007C324B"/>
    <w:rsid w:val="007C3312"/>
    <w:rsid w:val="007C339C"/>
    <w:rsid w:val="007C33DD"/>
    <w:rsid w:val="007C3485"/>
    <w:rsid w:val="007C34DE"/>
    <w:rsid w:val="007C3513"/>
    <w:rsid w:val="007C35C6"/>
    <w:rsid w:val="007C3745"/>
    <w:rsid w:val="007C375E"/>
    <w:rsid w:val="007C3A25"/>
    <w:rsid w:val="007C3AF2"/>
    <w:rsid w:val="007C3C22"/>
    <w:rsid w:val="007C3C4B"/>
    <w:rsid w:val="007C3CB3"/>
    <w:rsid w:val="007C3D9E"/>
    <w:rsid w:val="007C3DD7"/>
    <w:rsid w:val="007C3E7B"/>
    <w:rsid w:val="007C3E98"/>
    <w:rsid w:val="007C3FB4"/>
    <w:rsid w:val="007C4007"/>
    <w:rsid w:val="007C4020"/>
    <w:rsid w:val="007C4035"/>
    <w:rsid w:val="007C4039"/>
    <w:rsid w:val="007C42BC"/>
    <w:rsid w:val="007C4335"/>
    <w:rsid w:val="007C439F"/>
    <w:rsid w:val="007C4508"/>
    <w:rsid w:val="007C4568"/>
    <w:rsid w:val="007C4588"/>
    <w:rsid w:val="007C45BC"/>
    <w:rsid w:val="007C4789"/>
    <w:rsid w:val="007C4C76"/>
    <w:rsid w:val="007C4D58"/>
    <w:rsid w:val="007C4D6B"/>
    <w:rsid w:val="007C4D75"/>
    <w:rsid w:val="007C4DAF"/>
    <w:rsid w:val="007C4E50"/>
    <w:rsid w:val="007C4EB5"/>
    <w:rsid w:val="007C4F3B"/>
    <w:rsid w:val="007C5017"/>
    <w:rsid w:val="007C530D"/>
    <w:rsid w:val="007C5475"/>
    <w:rsid w:val="007C54C6"/>
    <w:rsid w:val="007C557B"/>
    <w:rsid w:val="007C5587"/>
    <w:rsid w:val="007C56DC"/>
    <w:rsid w:val="007C56E4"/>
    <w:rsid w:val="007C570E"/>
    <w:rsid w:val="007C57D0"/>
    <w:rsid w:val="007C59DB"/>
    <w:rsid w:val="007C5B74"/>
    <w:rsid w:val="007C5EBD"/>
    <w:rsid w:val="007C6025"/>
    <w:rsid w:val="007C6048"/>
    <w:rsid w:val="007C6433"/>
    <w:rsid w:val="007C65AD"/>
    <w:rsid w:val="007C65F3"/>
    <w:rsid w:val="007C694C"/>
    <w:rsid w:val="007C695E"/>
    <w:rsid w:val="007C69D9"/>
    <w:rsid w:val="007C6A48"/>
    <w:rsid w:val="007C6B13"/>
    <w:rsid w:val="007C6B66"/>
    <w:rsid w:val="007C6BC2"/>
    <w:rsid w:val="007C7129"/>
    <w:rsid w:val="007C715F"/>
    <w:rsid w:val="007C72D3"/>
    <w:rsid w:val="007C73E5"/>
    <w:rsid w:val="007C73ED"/>
    <w:rsid w:val="007C748D"/>
    <w:rsid w:val="007C74A1"/>
    <w:rsid w:val="007C7889"/>
    <w:rsid w:val="007C7A3A"/>
    <w:rsid w:val="007C7A8F"/>
    <w:rsid w:val="007C7B48"/>
    <w:rsid w:val="007C7BF4"/>
    <w:rsid w:val="007C7C5B"/>
    <w:rsid w:val="007C7C5D"/>
    <w:rsid w:val="007C7D16"/>
    <w:rsid w:val="007C7D18"/>
    <w:rsid w:val="007C7D1C"/>
    <w:rsid w:val="007C7D4C"/>
    <w:rsid w:val="007C7E4C"/>
    <w:rsid w:val="007D00AF"/>
    <w:rsid w:val="007D00B1"/>
    <w:rsid w:val="007D0248"/>
    <w:rsid w:val="007D029D"/>
    <w:rsid w:val="007D03A8"/>
    <w:rsid w:val="007D03AF"/>
    <w:rsid w:val="007D04C1"/>
    <w:rsid w:val="007D0584"/>
    <w:rsid w:val="007D0699"/>
    <w:rsid w:val="007D07D4"/>
    <w:rsid w:val="007D07F7"/>
    <w:rsid w:val="007D0866"/>
    <w:rsid w:val="007D0868"/>
    <w:rsid w:val="007D0B93"/>
    <w:rsid w:val="007D0E12"/>
    <w:rsid w:val="007D0EA8"/>
    <w:rsid w:val="007D0ED7"/>
    <w:rsid w:val="007D0EED"/>
    <w:rsid w:val="007D0FDA"/>
    <w:rsid w:val="007D0FE9"/>
    <w:rsid w:val="007D1001"/>
    <w:rsid w:val="007D10F3"/>
    <w:rsid w:val="007D1683"/>
    <w:rsid w:val="007D168C"/>
    <w:rsid w:val="007D16FC"/>
    <w:rsid w:val="007D1795"/>
    <w:rsid w:val="007D1C1C"/>
    <w:rsid w:val="007D1D35"/>
    <w:rsid w:val="007D1D6A"/>
    <w:rsid w:val="007D1EAC"/>
    <w:rsid w:val="007D1ED0"/>
    <w:rsid w:val="007D1EF3"/>
    <w:rsid w:val="007D1EFF"/>
    <w:rsid w:val="007D1F97"/>
    <w:rsid w:val="007D20CC"/>
    <w:rsid w:val="007D20EA"/>
    <w:rsid w:val="007D2136"/>
    <w:rsid w:val="007D21DD"/>
    <w:rsid w:val="007D21E8"/>
    <w:rsid w:val="007D23A7"/>
    <w:rsid w:val="007D25A4"/>
    <w:rsid w:val="007D25C4"/>
    <w:rsid w:val="007D2616"/>
    <w:rsid w:val="007D26A5"/>
    <w:rsid w:val="007D2765"/>
    <w:rsid w:val="007D287F"/>
    <w:rsid w:val="007D28FF"/>
    <w:rsid w:val="007D294A"/>
    <w:rsid w:val="007D29A4"/>
    <w:rsid w:val="007D2A37"/>
    <w:rsid w:val="007D2A56"/>
    <w:rsid w:val="007D2C46"/>
    <w:rsid w:val="007D2C64"/>
    <w:rsid w:val="007D2C75"/>
    <w:rsid w:val="007D2CBB"/>
    <w:rsid w:val="007D2DA4"/>
    <w:rsid w:val="007D2F36"/>
    <w:rsid w:val="007D2FBD"/>
    <w:rsid w:val="007D3094"/>
    <w:rsid w:val="007D3174"/>
    <w:rsid w:val="007D31B2"/>
    <w:rsid w:val="007D3223"/>
    <w:rsid w:val="007D335C"/>
    <w:rsid w:val="007D3373"/>
    <w:rsid w:val="007D34CD"/>
    <w:rsid w:val="007D3531"/>
    <w:rsid w:val="007D3533"/>
    <w:rsid w:val="007D35B3"/>
    <w:rsid w:val="007D36E9"/>
    <w:rsid w:val="007D381C"/>
    <w:rsid w:val="007D3983"/>
    <w:rsid w:val="007D39C6"/>
    <w:rsid w:val="007D3CAD"/>
    <w:rsid w:val="007D3D03"/>
    <w:rsid w:val="007D3D97"/>
    <w:rsid w:val="007D3DC7"/>
    <w:rsid w:val="007D3F2B"/>
    <w:rsid w:val="007D3F41"/>
    <w:rsid w:val="007D402C"/>
    <w:rsid w:val="007D406F"/>
    <w:rsid w:val="007D40DF"/>
    <w:rsid w:val="007D4161"/>
    <w:rsid w:val="007D416D"/>
    <w:rsid w:val="007D4268"/>
    <w:rsid w:val="007D42B4"/>
    <w:rsid w:val="007D4414"/>
    <w:rsid w:val="007D445A"/>
    <w:rsid w:val="007D44B7"/>
    <w:rsid w:val="007D44DE"/>
    <w:rsid w:val="007D45DB"/>
    <w:rsid w:val="007D45F2"/>
    <w:rsid w:val="007D4775"/>
    <w:rsid w:val="007D48AA"/>
    <w:rsid w:val="007D4956"/>
    <w:rsid w:val="007D4981"/>
    <w:rsid w:val="007D4CD1"/>
    <w:rsid w:val="007D4D87"/>
    <w:rsid w:val="007D4DBC"/>
    <w:rsid w:val="007D4E2E"/>
    <w:rsid w:val="007D4EB8"/>
    <w:rsid w:val="007D4EC6"/>
    <w:rsid w:val="007D4FD3"/>
    <w:rsid w:val="007D5036"/>
    <w:rsid w:val="007D50A4"/>
    <w:rsid w:val="007D5106"/>
    <w:rsid w:val="007D517D"/>
    <w:rsid w:val="007D51E7"/>
    <w:rsid w:val="007D528B"/>
    <w:rsid w:val="007D52AC"/>
    <w:rsid w:val="007D5304"/>
    <w:rsid w:val="007D535F"/>
    <w:rsid w:val="007D53CC"/>
    <w:rsid w:val="007D53D2"/>
    <w:rsid w:val="007D553B"/>
    <w:rsid w:val="007D55EA"/>
    <w:rsid w:val="007D561D"/>
    <w:rsid w:val="007D5762"/>
    <w:rsid w:val="007D5803"/>
    <w:rsid w:val="007D5843"/>
    <w:rsid w:val="007D5890"/>
    <w:rsid w:val="007D5A80"/>
    <w:rsid w:val="007D5C3E"/>
    <w:rsid w:val="007D5D81"/>
    <w:rsid w:val="007D5F54"/>
    <w:rsid w:val="007D6042"/>
    <w:rsid w:val="007D6063"/>
    <w:rsid w:val="007D60EC"/>
    <w:rsid w:val="007D60F0"/>
    <w:rsid w:val="007D6186"/>
    <w:rsid w:val="007D618C"/>
    <w:rsid w:val="007D6292"/>
    <w:rsid w:val="007D6295"/>
    <w:rsid w:val="007D6427"/>
    <w:rsid w:val="007D65A0"/>
    <w:rsid w:val="007D66B2"/>
    <w:rsid w:val="007D66CD"/>
    <w:rsid w:val="007D6734"/>
    <w:rsid w:val="007D6930"/>
    <w:rsid w:val="007D6975"/>
    <w:rsid w:val="007D6977"/>
    <w:rsid w:val="007D6A72"/>
    <w:rsid w:val="007D6A9C"/>
    <w:rsid w:val="007D6BF3"/>
    <w:rsid w:val="007D6EDD"/>
    <w:rsid w:val="007D6F3A"/>
    <w:rsid w:val="007D6F5F"/>
    <w:rsid w:val="007D7060"/>
    <w:rsid w:val="007D73AC"/>
    <w:rsid w:val="007D740F"/>
    <w:rsid w:val="007D75B7"/>
    <w:rsid w:val="007D7849"/>
    <w:rsid w:val="007D793E"/>
    <w:rsid w:val="007D7B03"/>
    <w:rsid w:val="007D7B59"/>
    <w:rsid w:val="007D7C7E"/>
    <w:rsid w:val="007D7D60"/>
    <w:rsid w:val="007D7E24"/>
    <w:rsid w:val="007E0068"/>
    <w:rsid w:val="007E00DE"/>
    <w:rsid w:val="007E01D3"/>
    <w:rsid w:val="007E01D9"/>
    <w:rsid w:val="007E0231"/>
    <w:rsid w:val="007E0314"/>
    <w:rsid w:val="007E0345"/>
    <w:rsid w:val="007E057F"/>
    <w:rsid w:val="007E0583"/>
    <w:rsid w:val="007E05C2"/>
    <w:rsid w:val="007E0666"/>
    <w:rsid w:val="007E0697"/>
    <w:rsid w:val="007E07A6"/>
    <w:rsid w:val="007E083D"/>
    <w:rsid w:val="007E091D"/>
    <w:rsid w:val="007E09A2"/>
    <w:rsid w:val="007E0A5E"/>
    <w:rsid w:val="007E0AB0"/>
    <w:rsid w:val="007E0B86"/>
    <w:rsid w:val="007E0C9E"/>
    <w:rsid w:val="007E0CFB"/>
    <w:rsid w:val="007E0D48"/>
    <w:rsid w:val="007E0D76"/>
    <w:rsid w:val="007E0D83"/>
    <w:rsid w:val="007E0DE8"/>
    <w:rsid w:val="007E0E51"/>
    <w:rsid w:val="007E0E85"/>
    <w:rsid w:val="007E0EDC"/>
    <w:rsid w:val="007E103A"/>
    <w:rsid w:val="007E137D"/>
    <w:rsid w:val="007E13B8"/>
    <w:rsid w:val="007E1596"/>
    <w:rsid w:val="007E163C"/>
    <w:rsid w:val="007E17DF"/>
    <w:rsid w:val="007E1861"/>
    <w:rsid w:val="007E1AF6"/>
    <w:rsid w:val="007E1B0E"/>
    <w:rsid w:val="007E1B7E"/>
    <w:rsid w:val="007E1BB9"/>
    <w:rsid w:val="007E1CF1"/>
    <w:rsid w:val="007E1D27"/>
    <w:rsid w:val="007E1D63"/>
    <w:rsid w:val="007E1F0C"/>
    <w:rsid w:val="007E2036"/>
    <w:rsid w:val="007E219F"/>
    <w:rsid w:val="007E21A5"/>
    <w:rsid w:val="007E23AA"/>
    <w:rsid w:val="007E2784"/>
    <w:rsid w:val="007E278E"/>
    <w:rsid w:val="007E2C00"/>
    <w:rsid w:val="007E2C48"/>
    <w:rsid w:val="007E2CEF"/>
    <w:rsid w:val="007E2D46"/>
    <w:rsid w:val="007E2D69"/>
    <w:rsid w:val="007E2D84"/>
    <w:rsid w:val="007E2DCB"/>
    <w:rsid w:val="007E2E2B"/>
    <w:rsid w:val="007E2E8A"/>
    <w:rsid w:val="007E2EE7"/>
    <w:rsid w:val="007E2EF8"/>
    <w:rsid w:val="007E2FC3"/>
    <w:rsid w:val="007E3057"/>
    <w:rsid w:val="007E30C6"/>
    <w:rsid w:val="007E30E3"/>
    <w:rsid w:val="007E3104"/>
    <w:rsid w:val="007E3107"/>
    <w:rsid w:val="007E3174"/>
    <w:rsid w:val="007E32EC"/>
    <w:rsid w:val="007E3376"/>
    <w:rsid w:val="007E337A"/>
    <w:rsid w:val="007E337B"/>
    <w:rsid w:val="007E3426"/>
    <w:rsid w:val="007E342D"/>
    <w:rsid w:val="007E35B4"/>
    <w:rsid w:val="007E3AB4"/>
    <w:rsid w:val="007E3B92"/>
    <w:rsid w:val="007E3C8A"/>
    <w:rsid w:val="007E3D2A"/>
    <w:rsid w:val="007E3D61"/>
    <w:rsid w:val="007E3DD7"/>
    <w:rsid w:val="007E3F67"/>
    <w:rsid w:val="007E4262"/>
    <w:rsid w:val="007E4276"/>
    <w:rsid w:val="007E428A"/>
    <w:rsid w:val="007E4343"/>
    <w:rsid w:val="007E4455"/>
    <w:rsid w:val="007E457C"/>
    <w:rsid w:val="007E4658"/>
    <w:rsid w:val="007E4708"/>
    <w:rsid w:val="007E470B"/>
    <w:rsid w:val="007E473C"/>
    <w:rsid w:val="007E4A53"/>
    <w:rsid w:val="007E4B3A"/>
    <w:rsid w:val="007E4C5D"/>
    <w:rsid w:val="007E4D73"/>
    <w:rsid w:val="007E4D98"/>
    <w:rsid w:val="007E4E19"/>
    <w:rsid w:val="007E4E34"/>
    <w:rsid w:val="007E4EB3"/>
    <w:rsid w:val="007E4F6C"/>
    <w:rsid w:val="007E4FA2"/>
    <w:rsid w:val="007E4FF3"/>
    <w:rsid w:val="007E5054"/>
    <w:rsid w:val="007E5182"/>
    <w:rsid w:val="007E5220"/>
    <w:rsid w:val="007E52CE"/>
    <w:rsid w:val="007E53EB"/>
    <w:rsid w:val="007E5402"/>
    <w:rsid w:val="007E5479"/>
    <w:rsid w:val="007E5489"/>
    <w:rsid w:val="007E54C1"/>
    <w:rsid w:val="007E55B7"/>
    <w:rsid w:val="007E567D"/>
    <w:rsid w:val="007E5685"/>
    <w:rsid w:val="007E56AB"/>
    <w:rsid w:val="007E59FD"/>
    <w:rsid w:val="007E5A93"/>
    <w:rsid w:val="007E5B96"/>
    <w:rsid w:val="007E5C5D"/>
    <w:rsid w:val="007E5C6A"/>
    <w:rsid w:val="007E5CC6"/>
    <w:rsid w:val="007E5E5F"/>
    <w:rsid w:val="007E5E85"/>
    <w:rsid w:val="007E6066"/>
    <w:rsid w:val="007E6185"/>
    <w:rsid w:val="007E628D"/>
    <w:rsid w:val="007E6320"/>
    <w:rsid w:val="007E6372"/>
    <w:rsid w:val="007E639C"/>
    <w:rsid w:val="007E64BC"/>
    <w:rsid w:val="007E6513"/>
    <w:rsid w:val="007E6526"/>
    <w:rsid w:val="007E655A"/>
    <w:rsid w:val="007E67AE"/>
    <w:rsid w:val="007E6808"/>
    <w:rsid w:val="007E69F1"/>
    <w:rsid w:val="007E6A9E"/>
    <w:rsid w:val="007E6B70"/>
    <w:rsid w:val="007E6CE5"/>
    <w:rsid w:val="007E6DC6"/>
    <w:rsid w:val="007E6DD6"/>
    <w:rsid w:val="007E6E86"/>
    <w:rsid w:val="007E70AB"/>
    <w:rsid w:val="007E71DB"/>
    <w:rsid w:val="007E7319"/>
    <w:rsid w:val="007E73A8"/>
    <w:rsid w:val="007E7414"/>
    <w:rsid w:val="007E7416"/>
    <w:rsid w:val="007E7472"/>
    <w:rsid w:val="007E758D"/>
    <w:rsid w:val="007E758E"/>
    <w:rsid w:val="007E7595"/>
    <w:rsid w:val="007E767C"/>
    <w:rsid w:val="007E771A"/>
    <w:rsid w:val="007E7731"/>
    <w:rsid w:val="007E7788"/>
    <w:rsid w:val="007E77E6"/>
    <w:rsid w:val="007E7A05"/>
    <w:rsid w:val="007E7ACE"/>
    <w:rsid w:val="007E7AEC"/>
    <w:rsid w:val="007E7B03"/>
    <w:rsid w:val="007E7B1F"/>
    <w:rsid w:val="007E7CD3"/>
    <w:rsid w:val="007E7D89"/>
    <w:rsid w:val="007E7E62"/>
    <w:rsid w:val="007E7FD1"/>
    <w:rsid w:val="007E7FFD"/>
    <w:rsid w:val="007F001C"/>
    <w:rsid w:val="007F00C6"/>
    <w:rsid w:val="007F0111"/>
    <w:rsid w:val="007F01A4"/>
    <w:rsid w:val="007F01F7"/>
    <w:rsid w:val="007F0318"/>
    <w:rsid w:val="007F04DB"/>
    <w:rsid w:val="007F0538"/>
    <w:rsid w:val="007F0566"/>
    <w:rsid w:val="007F090F"/>
    <w:rsid w:val="007F094A"/>
    <w:rsid w:val="007F0AB3"/>
    <w:rsid w:val="007F0DED"/>
    <w:rsid w:val="007F0DF7"/>
    <w:rsid w:val="007F0E56"/>
    <w:rsid w:val="007F0E81"/>
    <w:rsid w:val="007F1124"/>
    <w:rsid w:val="007F1158"/>
    <w:rsid w:val="007F1243"/>
    <w:rsid w:val="007F1359"/>
    <w:rsid w:val="007F13BE"/>
    <w:rsid w:val="007F149A"/>
    <w:rsid w:val="007F16FB"/>
    <w:rsid w:val="007F1786"/>
    <w:rsid w:val="007F1906"/>
    <w:rsid w:val="007F1995"/>
    <w:rsid w:val="007F1A8D"/>
    <w:rsid w:val="007F1D1A"/>
    <w:rsid w:val="007F1E26"/>
    <w:rsid w:val="007F1E93"/>
    <w:rsid w:val="007F1EC9"/>
    <w:rsid w:val="007F1F56"/>
    <w:rsid w:val="007F2061"/>
    <w:rsid w:val="007F2080"/>
    <w:rsid w:val="007F230C"/>
    <w:rsid w:val="007F258D"/>
    <w:rsid w:val="007F25EA"/>
    <w:rsid w:val="007F2760"/>
    <w:rsid w:val="007F27F0"/>
    <w:rsid w:val="007F28DA"/>
    <w:rsid w:val="007F28E4"/>
    <w:rsid w:val="007F2A0B"/>
    <w:rsid w:val="007F2A31"/>
    <w:rsid w:val="007F2A60"/>
    <w:rsid w:val="007F2AA1"/>
    <w:rsid w:val="007F2B17"/>
    <w:rsid w:val="007F2B40"/>
    <w:rsid w:val="007F2B90"/>
    <w:rsid w:val="007F2C88"/>
    <w:rsid w:val="007F2D79"/>
    <w:rsid w:val="007F2DE3"/>
    <w:rsid w:val="007F30DF"/>
    <w:rsid w:val="007F31EF"/>
    <w:rsid w:val="007F32B5"/>
    <w:rsid w:val="007F33F9"/>
    <w:rsid w:val="007F3566"/>
    <w:rsid w:val="007F3598"/>
    <w:rsid w:val="007F3710"/>
    <w:rsid w:val="007F373B"/>
    <w:rsid w:val="007F3826"/>
    <w:rsid w:val="007F3840"/>
    <w:rsid w:val="007F3973"/>
    <w:rsid w:val="007F3A27"/>
    <w:rsid w:val="007F3A8F"/>
    <w:rsid w:val="007F3B58"/>
    <w:rsid w:val="007F3BBF"/>
    <w:rsid w:val="007F3BEE"/>
    <w:rsid w:val="007F3D37"/>
    <w:rsid w:val="007F3D57"/>
    <w:rsid w:val="007F409F"/>
    <w:rsid w:val="007F414D"/>
    <w:rsid w:val="007F41FE"/>
    <w:rsid w:val="007F4324"/>
    <w:rsid w:val="007F4471"/>
    <w:rsid w:val="007F44FE"/>
    <w:rsid w:val="007F463F"/>
    <w:rsid w:val="007F4641"/>
    <w:rsid w:val="007F46DB"/>
    <w:rsid w:val="007F47F5"/>
    <w:rsid w:val="007F4860"/>
    <w:rsid w:val="007F4864"/>
    <w:rsid w:val="007F4A13"/>
    <w:rsid w:val="007F4C3A"/>
    <w:rsid w:val="007F4D9D"/>
    <w:rsid w:val="007F4DF0"/>
    <w:rsid w:val="007F4E04"/>
    <w:rsid w:val="007F5058"/>
    <w:rsid w:val="007F50DB"/>
    <w:rsid w:val="007F50E1"/>
    <w:rsid w:val="007F50E4"/>
    <w:rsid w:val="007F518F"/>
    <w:rsid w:val="007F51A1"/>
    <w:rsid w:val="007F51F1"/>
    <w:rsid w:val="007F523A"/>
    <w:rsid w:val="007F55DE"/>
    <w:rsid w:val="007F5618"/>
    <w:rsid w:val="007F579F"/>
    <w:rsid w:val="007F5980"/>
    <w:rsid w:val="007F59C7"/>
    <w:rsid w:val="007F5E42"/>
    <w:rsid w:val="007F5E50"/>
    <w:rsid w:val="007F5E8F"/>
    <w:rsid w:val="007F5F04"/>
    <w:rsid w:val="007F601F"/>
    <w:rsid w:val="007F605B"/>
    <w:rsid w:val="007F6105"/>
    <w:rsid w:val="007F6322"/>
    <w:rsid w:val="007F64E3"/>
    <w:rsid w:val="007F650B"/>
    <w:rsid w:val="007F654E"/>
    <w:rsid w:val="007F68FB"/>
    <w:rsid w:val="007F6B85"/>
    <w:rsid w:val="007F6BDB"/>
    <w:rsid w:val="007F6BEA"/>
    <w:rsid w:val="007F6C1D"/>
    <w:rsid w:val="007F6C2B"/>
    <w:rsid w:val="007F6C45"/>
    <w:rsid w:val="007F6D76"/>
    <w:rsid w:val="007F6D96"/>
    <w:rsid w:val="007F6EC2"/>
    <w:rsid w:val="007F70F9"/>
    <w:rsid w:val="007F70FF"/>
    <w:rsid w:val="007F711D"/>
    <w:rsid w:val="007F7156"/>
    <w:rsid w:val="007F715A"/>
    <w:rsid w:val="007F716E"/>
    <w:rsid w:val="007F720D"/>
    <w:rsid w:val="007F72CF"/>
    <w:rsid w:val="007F736A"/>
    <w:rsid w:val="007F7576"/>
    <w:rsid w:val="007F7990"/>
    <w:rsid w:val="007F7E1E"/>
    <w:rsid w:val="007F7EE7"/>
    <w:rsid w:val="007F7F54"/>
    <w:rsid w:val="00800004"/>
    <w:rsid w:val="00800011"/>
    <w:rsid w:val="00800020"/>
    <w:rsid w:val="00800307"/>
    <w:rsid w:val="00800354"/>
    <w:rsid w:val="008003A1"/>
    <w:rsid w:val="00800418"/>
    <w:rsid w:val="0080045A"/>
    <w:rsid w:val="008005CF"/>
    <w:rsid w:val="008005D8"/>
    <w:rsid w:val="008008FF"/>
    <w:rsid w:val="0080090E"/>
    <w:rsid w:val="00800924"/>
    <w:rsid w:val="00800967"/>
    <w:rsid w:val="00800A1D"/>
    <w:rsid w:val="00800BED"/>
    <w:rsid w:val="00800C22"/>
    <w:rsid w:val="00800C5C"/>
    <w:rsid w:val="00800DC3"/>
    <w:rsid w:val="00800DF7"/>
    <w:rsid w:val="00800EB4"/>
    <w:rsid w:val="00801083"/>
    <w:rsid w:val="00801088"/>
    <w:rsid w:val="008010CB"/>
    <w:rsid w:val="0080112A"/>
    <w:rsid w:val="0080128E"/>
    <w:rsid w:val="008013B7"/>
    <w:rsid w:val="008013F4"/>
    <w:rsid w:val="008014EC"/>
    <w:rsid w:val="008015DF"/>
    <w:rsid w:val="0080165F"/>
    <w:rsid w:val="008018FA"/>
    <w:rsid w:val="008019DD"/>
    <w:rsid w:val="00801AD1"/>
    <w:rsid w:val="00801BAC"/>
    <w:rsid w:val="00801DE7"/>
    <w:rsid w:val="00801DF6"/>
    <w:rsid w:val="008020FF"/>
    <w:rsid w:val="00802118"/>
    <w:rsid w:val="008023AE"/>
    <w:rsid w:val="008023C5"/>
    <w:rsid w:val="00802720"/>
    <w:rsid w:val="0080273E"/>
    <w:rsid w:val="008028F5"/>
    <w:rsid w:val="00802954"/>
    <w:rsid w:val="00802968"/>
    <w:rsid w:val="008029B3"/>
    <w:rsid w:val="00802AAD"/>
    <w:rsid w:val="00802B1D"/>
    <w:rsid w:val="00802B81"/>
    <w:rsid w:val="00802E61"/>
    <w:rsid w:val="00802E6A"/>
    <w:rsid w:val="0080308C"/>
    <w:rsid w:val="0080317C"/>
    <w:rsid w:val="00803399"/>
    <w:rsid w:val="008035A6"/>
    <w:rsid w:val="0080362A"/>
    <w:rsid w:val="00803645"/>
    <w:rsid w:val="00803656"/>
    <w:rsid w:val="008036CF"/>
    <w:rsid w:val="0080378B"/>
    <w:rsid w:val="00803853"/>
    <w:rsid w:val="008038C7"/>
    <w:rsid w:val="00803905"/>
    <w:rsid w:val="0080392B"/>
    <w:rsid w:val="00803A3C"/>
    <w:rsid w:val="00803AEB"/>
    <w:rsid w:val="00803B75"/>
    <w:rsid w:val="00803BEE"/>
    <w:rsid w:val="00803C18"/>
    <w:rsid w:val="00803F19"/>
    <w:rsid w:val="00803F31"/>
    <w:rsid w:val="00803FFA"/>
    <w:rsid w:val="00804057"/>
    <w:rsid w:val="00804175"/>
    <w:rsid w:val="008041C3"/>
    <w:rsid w:val="008041F7"/>
    <w:rsid w:val="008042A2"/>
    <w:rsid w:val="008042CA"/>
    <w:rsid w:val="008042CF"/>
    <w:rsid w:val="0080433E"/>
    <w:rsid w:val="008043B2"/>
    <w:rsid w:val="008045A6"/>
    <w:rsid w:val="008045F6"/>
    <w:rsid w:val="0080464B"/>
    <w:rsid w:val="008047F3"/>
    <w:rsid w:val="00804867"/>
    <w:rsid w:val="0080490A"/>
    <w:rsid w:val="00804911"/>
    <w:rsid w:val="0080495F"/>
    <w:rsid w:val="008049BD"/>
    <w:rsid w:val="008049F6"/>
    <w:rsid w:val="00804A1D"/>
    <w:rsid w:val="00804B0B"/>
    <w:rsid w:val="00804B9B"/>
    <w:rsid w:val="00804EF4"/>
    <w:rsid w:val="008050D2"/>
    <w:rsid w:val="008050F4"/>
    <w:rsid w:val="00805298"/>
    <w:rsid w:val="008053AF"/>
    <w:rsid w:val="008053F1"/>
    <w:rsid w:val="008054B2"/>
    <w:rsid w:val="0080553F"/>
    <w:rsid w:val="0080559D"/>
    <w:rsid w:val="0080566F"/>
    <w:rsid w:val="008058E2"/>
    <w:rsid w:val="008058FD"/>
    <w:rsid w:val="00805AC8"/>
    <w:rsid w:val="00805B24"/>
    <w:rsid w:val="00805C4C"/>
    <w:rsid w:val="00805C9D"/>
    <w:rsid w:val="00805CBF"/>
    <w:rsid w:val="00805D31"/>
    <w:rsid w:val="00805E0F"/>
    <w:rsid w:val="00805F3E"/>
    <w:rsid w:val="00805FB7"/>
    <w:rsid w:val="0080610D"/>
    <w:rsid w:val="00806182"/>
    <w:rsid w:val="008061CB"/>
    <w:rsid w:val="00806450"/>
    <w:rsid w:val="0080667D"/>
    <w:rsid w:val="008067AA"/>
    <w:rsid w:val="008069E1"/>
    <w:rsid w:val="00806AB6"/>
    <w:rsid w:val="00806BC8"/>
    <w:rsid w:val="00806EB7"/>
    <w:rsid w:val="00806F6C"/>
    <w:rsid w:val="00806FBF"/>
    <w:rsid w:val="00807096"/>
    <w:rsid w:val="0080728A"/>
    <w:rsid w:val="008072AE"/>
    <w:rsid w:val="0080731A"/>
    <w:rsid w:val="008074F9"/>
    <w:rsid w:val="00807661"/>
    <w:rsid w:val="008076CA"/>
    <w:rsid w:val="00807953"/>
    <w:rsid w:val="00807A95"/>
    <w:rsid w:val="00807AEF"/>
    <w:rsid w:val="00807C21"/>
    <w:rsid w:val="00807D78"/>
    <w:rsid w:val="00807DA9"/>
    <w:rsid w:val="00807E20"/>
    <w:rsid w:val="00807F0F"/>
    <w:rsid w:val="0081009B"/>
    <w:rsid w:val="00810242"/>
    <w:rsid w:val="008102ED"/>
    <w:rsid w:val="0081043F"/>
    <w:rsid w:val="00810594"/>
    <w:rsid w:val="0081060B"/>
    <w:rsid w:val="008106A5"/>
    <w:rsid w:val="00810792"/>
    <w:rsid w:val="0081085A"/>
    <w:rsid w:val="008108CA"/>
    <w:rsid w:val="00810AEA"/>
    <w:rsid w:val="00810B0D"/>
    <w:rsid w:val="00810B39"/>
    <w:rsid w:val="00810B80"/>
    <w:rsid w:val="00810C47"/>
    <w:rsid w:val="00810DCC"/>
    <w:rsid w:val="00810DE4"/>
    <w:rsid w:val="0081110D"/>
    <w:rsid w:val="00811235"/>
    <w:rsid w:val="00811327"/>
    <w:rsid w:val="00811425"/>
    <w:rsid w:val="008114E8"/>
    <w:rsid w:val="00811698"/>
    <w:rsid w:val="008116A2"/>
    <w:rsid w:val="008118EC"/>
    <w:rsid w:val="00811AD8"/>
    <w:rsid w:val="00811B70"/>
    <w:rsid w:val="00811B7C"/>
    <w:rsid w:val="00811D62"/>
    <w:rsid w:val="00811E28"/>
    <w:rsid w:val="00811E5E"/>
    <w:rsid w:val="00812105"/>
    <w:rsid w:val="0081216B"/>
    <w:rsid w:val="008121AB"/>
    <w:rsid w:val="00812375"/>
    <w:rsid w:val="008123A3"/>
    <w:rsid w:val="00812524"/>
    <w:rsid w:val="0081256F"/>
    <w:rsid w:val="00812599"/>
    <w:rsid w:val="008127F1"/>
    <w:rsid w:val="0081287D"/>
    <w:rsid w:val="00812BAD"/>
    <w:rsid w:val="00812BCB"/>
    <w:rsid w:val="00812C4F"/>
    <w:rsid w:val="00812C54"/>
    <w:rsid w:val="00812D03"/>
    <w:rsid w:val="00812D25"/>
    <w:rsid w:val="00812D2D"/>
    <w:rsid w:val="00812E03"/>
    <w:rsid w:val="00812E4F"/>
    <w:rsid w:val="00812F22"/>
    <w:rsid w:val="008131AA"/>
    <w:rsid w:val="008131E9"/>
    <w:rsid w:val="00813444"/>
    <w:rsid w:val="00813445"/>
    <w:rsid w:val="00813600"/>
    <w:rsid w:val="008136F8"/>
    <w:rsid w:val="008136FA"/>
    <w:rsid w:val="008137B7"/>
    <w:rsid w:val="00813958"/>
    <w:rsid w:val="00813BF0"/>
    <w:rsid w:val="00813E1E"/>
    <w:rsid w:val="00813E4A"/>
    <w:rsid w:val="00813E77"/>
    <w:rsid w:val="00814016"/>
    <w:rsid w:val="00814329"/>
    <w:rsid w:val="00814330"/>
    <w:rsid w:val="00814383"/>
    <w:rsid w:val="008143DE"/>
    <w:rsid w:val="008144DD"/>
    <w:rsid w:val="00814507"/>
    <w:rsid w:val="00814682"/>
    <w:rsid w:val="008146C0"/>
    <w:rsid w:val="008147DF"/>
    <w:rsid w:val="008147E7"/>
    <w:rsid w:val="00814834"/>
    <w:rsid w:val="00814A4C"/>
    <w:rsid w:val="00814B9B"/>
    <w:rsid w:val="00814CEC"/>
    <w:rsid w:val="00814DAA"/>
    <w:rsid w:val="00814E22"/>
    <w:rsid w:val="00814EF5"/>
    <w:rsid w:val="00814F33"/>
    <w:rsid w:val="00814FE0"/>
    <w:rsid w:val="0081502D"/>
    <w:rsid w:val="00815067"/>
    <w:rsid w:val="0081509E"/>
    <w:rsid w:val="008150C8"/>
    <w:rsid w:val="008151D3"/>
    <w:rsid w:val="0081521F"/>
    <w:rsid w:val="00815255"/>
    <w:rsid w:val="008153FB"/>
    <w:rsid w:val="00815456"/>
    <w:rsid w:val="008154A2"/>
    <w:rsid w:val="008154BC"/>
    <w:rsid w:val="008154FD"/>
    <w:rsid w:val="00815500"/>
    <w:rsid w:val="00815513"/>
    <w:rsid w:val="0081576A"/>
    <w:rsid w:val="008157BE"/>
    <w:rsid w:val="00815818"/>
    <w:rsid w:val="00815844"/>
    <w:rsid w:val="008158B9"/>
    <w:rsid w:val="008158E2"/>
    <w:rsid w:val="00815A29"/>
    <w:rsid w:val="00815A5A"/>
    <w:rsid w:val="00815BD8"/>
    <w:rsid w:val="00815DE5"/>
    <w:rsid w:val="0081617F"/>
    <w:rsid w:val="0081634A"/>
    <w:rsid w:val="00816353"/>
    <w:rsid w:val="008164DC"/>
    <w:rsid w:val="0081667C"/>
    <w:rsid w:val="00816A8E"/>
    <w:rsid w:val="00816AE5"/>
    <w:rsid w:val="00816E97"/>
    <w:rsid w:val="00816FF5"/>
    <w:rsid w:val="008170FB"/>
    <w:rsid w:val="0081715A"/>
    <w:rsid w:val="008174F8"/>
    <w:rsid w:val="008176CB"/>
    <w:rsid w:val="008176F0"/>
    <w:rsid w:val="008178E0"/>
    <w:rsid w:val="008179C2"/>
    <w:rsid w:val="00817B69"/>
    <w:rsid w:val="00817BE6"/>
    <w:rsid w:val="00817D3F"/>
    <w:rsid w:val="00817E23"/>
    <w:rsid w:val="00817E62"/>
    <w:rsid w:val="00817F1A"/>
    <w:rsid w:val="00817F5C"/>
    <w:rsid w:val="0082020A"/>
    <w:rsid w:val="008202F4"/>
    <w:rsid w:val="008203E9"/>
    <w:rsid w:val="008204D4"/>
    <w:rsid w:val="0082055B"/>
    <w:rsid w:val="008205B5"/>
    <w:rsid w:val="008206C3"/>
    <w:rsid w:val="00820733"/>
    <w:rsid w:val="0082093C"/>
    <w:rsid w:val="00820A80"/>
    <w:rsid w:val="00820AB1"/>
    <w:rsid w:val="00820E82"/>
    <w:rsid w:val="00820EC9"/>
    <w:rsid w:val="00820EEB"/>
    <w:rsid w:val="00820F6D"/>
    <w:rsid w:val="0082103B"/>
    <w:rsid w:val="00821042"/>
    <w:rsid w:val="00821095"/>
    <w:rsid w:val="008210A2"/>
    <w:rsid w:val="00821303"/>
    <w:rsid w:val="0082133C"/>
    <w:rsid w:val="0082134D"/>
    <w:rsid w:val="008213B9"/>
    <w:rsid w:val="0082145B"/>
    <w:rsid w:val="00821470"/>
    <w:rsid w:val="0082148F"/>
    <w:rsid w:val="0082158F"/>
    <w:rsid w:val="0082171C"/>
    <w:rsid w:val="00821744"/>
    <w:rsid w:val="008218F4"/>
    <w:rsid w:val="0082190D"/>
    <w:rsid w:val="00821B42"/>
    <w:rsid w:val="00821C21"/>
    <w:rsid w:val="00821D89"/>
    <w:rsid w:val="00821EC0"/>
    <w:rsid w:val="00822118"/>
    <w:rsid w:val="008222DC"/>
    <w:rsid w:val="0082236C"/>
    <w:rsid w:val="008223AB"/>
    <w:rsid w:val="008223F9"/>
    <w:rsid w:val="00822513"/>
    <w:rsid w:val="0082252A"/>
    <w:rsid w:val="00822551"/>
    <w:rsid w:val="0082256C"/>
    <w:rsid w:val="008225CF"/>
    <w:rsid w:val="008227A5"/>
    <w:rsid w:val="00822946"/>
    <w:rsid w:val="00822D17"/>
    <w:rsid w:val="00822D8C"/>
    <w:rsid w:val="00822DAE"/>
    <w:rsid w:val="00822F98"/>
    <w:rsid w:val="00823177"/>
    <w:rsid w:val="0082329F"/>
    <w:rsid w:val="008232A5"/>
    <w:rsid w:val="00823412"/>
    <w:rsid w:val="00823415"/>
    <w:rsid w:val="0082349C"/>
    <w:rsid w:val="008234C3"/>
    <w:rsid w:val="00823525"/>
    <w:rsid w:val="00823827"/>
    <w:rsid w:val="008238A6"/>
    <w:rsid w:val="008239EE"/>
    <w:rsid w:val="008239F4"/>
    <w:rsid w:val="008239FA"/>
    <w:rsid w:val="00823A4F"/>
    <w:rsid w:val="00823A90"/>
    <w:rsid w:val="00823AF2"/>
    <w:rsid w:val="00823C42"/>
    <w:rsid w:val="00823CB0"/>
    <w:rsid w:val="00823CD8"/>
    <w:rsid w:val="0082405A"/>
    <w:rsid w:val="00824245"/>
    <w:rsid w:val="0082452C"/>
    <w:rsid w:val="00824563"/>
    <w:rsid w:val="0082462A"/>
    <w:rsid w:val="00824683"/>
    <w:rsid w:val="0082469F"/>
    <w:rsid w:val="008246D4"/>
    <w:rsid w:val="00824761"/>
    <w:rsid w:val="008247FD"/>
    <w:rsid w:val="0082485D"/>
    <w:rsid w:val="008248D1"/>
    <w:rsid w:val="00824937"/>
    <w:rsid w:val="00824967"/>
    <w:rsid w:val="00824A4A"/>
    <w:rsid w:val="00824A6C"/>
    <w:rsid w:val="00824A89"/>
    <w:rsid w:val="00824BDC"/>
    <w:rsid w:val="00824C59"/>
    <w:rsid w:val="00824CA3"/>
    <w:rsid w:val="00824DB6"/>
    <w:rsid w:val="00824DBF"/>
    <w:rsid w:val="00824E0E"/>
    <w:rsid w:val="00824E8A"/>
    <w:rsid w:val="00825206"/>
    <w:rsid w:val="00825260"/>
    <w:rsid w:val="008252C0"/>
    <w:rsid w:val="00825949"/>
    <w:rsid w:val="008259C5"/>
    <w:rsid w:val="00825A37"/>
    <w:rsid w:val="00825C52"/>
    <w:rsid w:val="00825DA5"/>
    <w:rsid w:val="00825DA6"/>
    <w:rsid w:val="00825E29"/>
    <w:rsid w:val="00825EE7"/>
    <w:rsid w:val="00825EE9"/>
    <w:rsid w:val="00826038"/>
    <w:rsid w:val="008260F6"/>
    <w:rsid w:val="008261BB"/>
    <w:rsid w:val="00826238"/>
    <w:rsid w:val="00826269"/>
    <w:rsid w:val="008262C4"/>
    <w:rsid w:val="0082632A"/>
    <w:rsid w:val="008264F3"/>
    <w:rsid w:val="0082662C"/>
    <w:rsid w:val="00826664"/>
    <w:rsid w:val="008266D3"/>
    <w:rsid w:val="0082672F"/>
    <w:rsid w:val="00826824"/>
    <w:rsid w:val="008268D8"/>
    <w:rsid w:val="008269CB"/>
    <w:rsid w:val="00826B77"/>
    <w:rsid w:val="00826C84"/>
    <w:rsid w:val="00826DBD"/>
    <w:rsid w:val="00826EA7"/>
    <w:rsid w:val="00826F54"/>
    <w:rsid w:val="00827058"/>
    <w:rsid w:val="0082720D"/>
    <w:rsid w:val="00827250"/>
    <w:rsid w:val="0082755C"/>
    <w:rsid w:val="0082764E"/>
    <w:rsid w:val="00827667"/>
    <w:rsid w:val="008277F2"/>
    <w:rsid w:val="00827805"/>
    <w:rsid w:val="00827812"/>
    <w:rsid w:val="00827829"/>
    <w:rsid w:val="00827CCF"/>
    <w:rsid w:val="00827D1D"/>
    <w:rsid w:val="00827D44"/>
    <w:rsid w:val="00827DCB"/>
    <w:rsid w:val="00827DEF"/>
    <w:rsid w:val="00827E9B"/>
    <w:rsid w:val="00830061"/>
    <w:rsid w:val="00830123"/>
    <w:rsid w:val="0083028F"/>
    <w:rsid w:val="008303E9"/>
    <w:rsid w:val="008305DA"/>
    <w:rsid w:val="00830622"/>
    <w:rsid w:val="0083062F"/>
    <w:rsid w:val="008308A5"/>
    <w:rsid w:val="0083091A"/>
    <w:rsid w:val="00830925"/>
    <w:rsid w:val="00830981"/>
    <w:rsid w:val="00830BD9"/>
    <w:rsid w:val="00830C08"/>
    <w:rsid w:val="00830E52"/>
    <w:rsid w:val="00830E93"/>
    <w:rsid w:val="00830FA4"/>
    <w:rsid w:val="00831046"/>
    <w:rsid w:val="0083108C"/>
    <w:rsid w:val="0083112B"/>
    <w:rsid w:val="00831321"/>
    <w:rsid w:val="00831391"/>
    <w:rsid w:val="0083150A"/>
    <w:rsid w:val="008315D7"/>
    <w:rsid w:val="008315EA"/>
    <w:rsid w:val="00831619"/>
    <w:rsid w:val="008317CB"/>
    <w:rsid w:val="00831857"/>
    <w:rsid w:val="008318E7"/>
    <w:rsid w:val="00831953"/>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D5"/>
    <w:rsid w:val="00832378"/>
    <w:rsid w:val="008323BA"/>
    <w:rsid w:val="00832496"/>
    <w:rsid w:val="008324D7"/>
    <w:rsid w:val="00832522"/>
    <w:rsid w:val="00832649"/>
    <w:rsid w:val="0083279B"/>
    <w:rsid w:val="00832982"/>
    <w:rsid w:val="00832A69"/>
    <w:rsid w:val="00832B7F"/>
    <w:rsid w:val="00832BA5"/>
    <w:rsid w:val="00832C3D"/>
    <w:rsid w:val="00832C86"/>
    <w:rsid w:val="00832D8C"/>
    <w:rsid w:val="00832E49"/>
    <w:rsid w:val="00832F65"/>
    <w:rsid w:val="00832FCE"/>
    <w:rsid w:val="00833026"/>
    <w:rsid w:val="008330BC"/>
    <w:rsid w:val="00833114"/>
    <w:rsid w:val="0083317E"/>
    <w:rsid w:val="00833297"/>
    <w:rsid w:val="0083330E"/>
    <w:rsid w:val="0083341D"/>
    <w:rsid w:val="008334EA"/>
    <w:rsid w:val="0083355A"/>
    <w:rsid w:val="00833576"/>
    <w:rsid w:val="008336F6"/>
    <w:rsid w:val="008338AB"/>
    <w:rsid w:val="008338B8"/>
    <w:rsid w:val="008338E2"/>
    <w:rsid w:val="00833902"/>
    <w:rsid w:val="00833C48"/>
    <w:rsid w:val="00833C4E"/>
    <w:rsid w:val="00833C87"/>
    <w:rsid w:val="00833D1C"/>
    <w:rsid w:val="00833D26"/>
    <w:rsid w:val="00833EA2"/>
    <w:rsid w:val="00833F55"/>
    <w:rsid w:val="0083408B"/>
    <w:rsid w:val="008341ED"/>
    <w:rsid w:val="00834270"/>
    <w:rsid w:val="008343F7"/>
    <w:rsid w:val="0083452D"/>
    <w:rsid w:val="00834613"/>
    <w:rsid w:val="00834707"/>
    <w:rsid w:val="008347D2"/>
    <w:rsid w:val="008348B5"/>
    <w:rsid w:val="00834929"/>
    <w:rsid w:val="00834A26"/>
    <w:rsid w:val="00834BE1"/>
    <w:rsid w:val="00834BF7"/>
    <w:rsid w:val="00834C03"/>
    <w:rsid w:val="00834D1E"/>
    <w:rsid w:val="00834D63"/>
    <w:rsid w:val="00834DB4"/>
    <w:rsid w:val="00835052"/>
    <w:rsid w:val="0083517E"/>
    <w:rsid w:val="008351C4"/>
    <w:rsid w:val="00835217"/>
    <w:rsid w:val="0083532A"/>
    <w:rsid w:val="0083565D"/>
    <w:rsid w:val="008356B6"/>
    <w:rsid w:val="00835709"/>
    <w:rsid w:val="00835945"/>
    <w:rsid w:val="00835963"/>
    <w:rsid w:val="0083598E"/>
    <w:rsid w:val="00835B35"/>
    <w:rsid w:val="00835CA0"/>
    <w:rsid w:val="00835D0F"/>
    <w:rsid w:val="00835E2E"/>
    <w:rsid w:val="00835E60"/>
    <w:rsid w:val="00836078"/>
    <w:rsid w:val="008360FE"/>
    <w:rsid w:val="008361D1"/>
    <w:rsid w:val="008361FE"/>
    <w:rsid w:val="00836419"/>
    <w:rsid w:val="0083667D"/>
    <w:rsid w:val="008368F7"/>
    <w:rsid w:val="0083694E"/>
    <w:rsid w:val="00836BC4"/>
    <w:rsid w:val="00836CC1"/>
    <w:rsid w:val="00836D27"/>
    <w:rsid w:val="00836D7D"/>
    <w:rsid w:val="00836E57"/>
    <w:rsid w:val="00836F4E"/>
    <w:rsid w:val="00836F57"/>
    <w:rsid w:val="00836F74"/>
    <w:rsid w:val="00836FCE"/>
    <w:rsid w:val="00837177"/>
    <w:rsid w:val="008374B9"/>
    <w:rsid w:val="008376D7"/>
    <w:rsid w:val="008376EA"/>
    <w:rsid w:val="00837824"/>
    <w:rsid w:val="008378D9"/>
    <w:rsid w:val="008378F1"/>
    <w:rsid w:val="00837938"/>
    <w:rsid w:val="00837A5B"/>
    <w:rsid w:val="00837AB3"/>
    <w:rsid w:val="00837BD7"/>
    <w:rsid w:val="00837CAD"/>
    <w:rsid w:val="00837E96"/>
    <w:rsid w:val="00837F61"/>
    <w:rsid w:val="0084005E"/>
    <w:rsid w:val="00840101"/>
    <w:rsid w:val="008401A9"/>
    <w:rsid w:val="008403EA"/>
    <w:rsid w:val="008404A6"/>
    <w:rsid w:val="00840501"/>
    <w:rsid w:val="00840540"/>
    <w:rsid w:val="00840A9B"/>
    <w:rsid w:val="00840AA2"/>
    <w:rsid w:val="00840B11"/>
    <w:rsid w:val="00840B23"/>
    <w:rsid w:val="00840BD0"/>
    <w:rsid w:val="00840CE7"/>
    <w:rsid w:val="00840D30"/>
    <w:rsid w:val="00840DD3"/>
    <w:rsid w:val="00840DD5"/>
    <w:rsid w:val="00840F07"/>
    <w:rsid w:val="00840F38"/>
    <w:rsid w:val="00840F5E"/>
    <w:rsid w:val="00841046"/>
    <w:rsid w:val="0084116B"/>
    <w:rsid w:val="008411DC"/>
    <w:rsid w:val="0084121E"/>
    <w:rsid w:val="00841311"/>
    <w:rsid w:val="0084132B"/>
    <w:rsid w:val="008414A8"/>
    <w:rsid w:val="00841566"/>
    <w:rsid w:val="008415DC"/>
    <w:rsid w:val="008416A0"/>
    <w:rsid w:val="008416A7"/>
    <w:rsid w:val="008416F7"/>
    <w:rsid w:val="0084175D"/>
    <w:rsid w:val="008418A3"/>
    <w:rsid w:val="008418C5"/>
    <w:rsid w:val="00841B86"/>
    <w:rsid w:val="00841BA4"/>
    <w:rsid w:val="00841BB8"/>
    <w:rsid w:val="00841CB7"/>
    <w:rsid w:val="00841CCD"/>
    <w:rsid w:val="00841D7D"/>
    <w:rsid w:val="00841E41"/>
    <w:rsid w:val="00841E9F"/>
    <w:rsid w:val="00841F1B"/>
    <w:rsid w:val="00842114"/>
    <w:rsid w:val="008421B2"/>
    <w:rsid w:val="00842261"/>
    <w:rsid w:val="00842335"/>
    <w:rsid w:val="008423BF"/>
    <w:rsid w:val="00842574"/>
    <w:rsid w:val="00842579"/>
    <w:rsid w:val="008425AF"/>
    <w:rsid w:val="00842601"/>
    <w:rsid w:val="00842700"/>
    <w:rsid w:val="0084291D"/>
    <w:rsid w:val="008429DD"/>
    <w:rsid w:val="00842A25"/>
    <w:rsid w:val="00842AE4"/>
    <w:rsid w:val="00842D09"/>
    <w:rsid w:val="00842D50"/>
    <w:rsid w:val="008431D1"/>
    <w:rsid w:val="0084322D"/>
    <w:rsid w:val="008432DF"/>
    <w:rsid w:val="00843373"/>
    <w:rsid w:val="008434FA"/>
    <w:rsid w:val="00843532"/>
    <w:rsid w:val="0084375C"/>
    <w:rsid w:val="00843768"/>
    <w:rsid w:val="008437BE"/>
    <w:rsid w:val="008438FE"/>
    <w:rsid w:val="00843C68"/>
    <w:rsid w:val="00843CC5"/>
    <w:rsid w:val="00843E3C"/>
    <w:rsid w:val="00843F5A"/>
    <w:rsid w:val="00843F7A"/>
    <w:rsid w:val="00844013"/>
    <w:rsid w:val="00844165"/>
    <w:rsid w:val="00844192"/>
    <w:rsid w:val="0084420D"/>
    <w:rsid w:val="0084430B"/>
    <w:rsid w:val="00844358"/>
    <w:rsid w:val="008444E6"/>
    <w:rsid w:val="0084473C"/>
    <w:rsid w:val="008447DF"/>
    <w:rsid w:val="008448A9"/>
    <w:rsid w:val="00844936"/>
    <w:rsid w:val="008449F9"/>
    <w:rsid w:val="00844A74"/>
    <w:rsid w:val="00844B16"/>
    <w:rsid w:val="00844BD0"/>
    <w:rsid w:val="00844C6F"/>
    <w:rsid w:val="00844D2A"/>
    <w:rsid w:val="00844EE7"/>
    <w:rsid w:val="00845063"/>
    <w:rsid w:val="00845387"/>
    <w:rsid w:val="0084544E"/>
    <w:rsid w:val="00845503"/>
    <w:rsid w:val="0084559C"/>
    <w:rsid w:val="008457B3"/>
    <w:rsid w:val="008459F2"/>
    <w:rsid w:val="00845A55"/>
    <w:rsid w:val="00845A84"/>
    <w:rsid w:val="00845B60"/>
    <w:rsid w:val="00845C60"/>
    <w:rsid w:val="00845CC4"/>
    <w:rsid w:val="00845CC7"/>
    <w:rsid w:val="00845CD0"/>
    <w:rsid w:val="00845D6F"/>
    <w:rsid w:val="00845EDE"/>
    <w:rsid w:val="00845F91"/>
    <w:rsid w:val="00845FD5"/>
    <w:rsid w:val="00846046"/>
    <w:rsid w:val="0084623B"/>
    <w:rsid w:val="00846251"/>
    <w:rsid w:val="008462C4"/>
    <w:rsid w:val="0084643E"/>
    <w:rsid w:val="00846444"/>
    <w:rsid w:val="0084661C"/>
    <w:rsid w:val="0084668F"/>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FC"/>
    <w:rsid w:val="00847D34"/>
    <w:rsid w:val="00847DB9"/>
    <w:rsid w:val="00847DCA"/>
    <w:rsid w:val="00847F29"/>
    <w:rsid w:val="00847F42"/>
    <w:rsid w:val="00850142"/>
    <w:rsid w:val="008501B1"/>
    <w:rsid w:val="0085028F"/>
    <w:rsid w:val="008502BD"/>
    <w:rsid w:val="00850462"/>
    <w:rsid w:val="008504EB"/>
    <w:rsid w:val="0085050F"/>
    <w:rsid w:val="00850589"/>
    <w:rsid w:val="00850757"/>
    <w:rsid w:val="00850A96"/>
    <w:rsid w:val="00850D50"/>
    <w:rsid w:val="00850DBA"/>
    <w:rsid w:val="00850DD9"/>
    <w:rsid w:val="00850E01"/>
    <w:rsid w:val="00850E06"/>
    <w:rsid w:val="00850E57"/>
    <w:rsid w:val="00850E8E"/>
    <w:rsid w:val="00851064"/>
    <w:rsid w:val="0085118A"/>
    <w:rsid w:val="00851195"/>
    <w:rsid w:val="00851218"/>
    <w:rsid w:val="008512B4"/>
    <w:rsid w:val="00851391"/>
    <w:rsid w:val="008513CB"/>
    <w:rsid w:val="00851455"/>
    <w:rsid w:val="0085172A"/>
    <w:rsid w:val="0085172F"/>
    <w:rsid w:val="00851769"/>
    <w:rsid w:val="008518F5"/>
    <w:rsid w:val="008519D2"/>
    <w:rsid w:val="00851BD0"/>
    <w:rsid w:val="00851E3E"/>
    <w:rsid w:val="00851E6D"/>
    <w:rsid w:val="00851F5B"/>
    <w:rsid w:val="008521C7"/>
    <w:rsid w:val="008521FC"/>
    <w:rsid w:val="0085220E"/>
    <w:rsid w:val="0085232E"/>
    <w:rsid w:val="0085236D"/>
    <w:rsid w:val="00852523"/>
    <w:rsid w:val="0085254A"/>
    <w:rsid w:val="00852569"/>
    <w:rsid w:val="008525CF"/>
    <w:rsid w:val="008525E9"/>
    <w:rsid w:val="008526EA"/>
    <w:rsid w:val="0085286D"/>
    <w:rsid w:val="008528CB"/>
    <w:rsid w:val="00852AF7"/>
    <w:rsid w:val="00852C40"/>
    <w:rsid w:val="00852CB4"/>
    <w:rsid w:val="00852E27"/>
    <w:rsid w:val="00852E7F"/>
    <w:rsid w:val="00852EE3"/>
    <w:rsid w:val="00852F91"/>
    <w:rsid w:val="008530BF"/>
    <w:rsid w:val="00853195"/>
    <w:rsid w:val="008531CC"/>
    <w:rsid w:val="00853252"/>
    <w:rsid w:val="0085330F"/>
    <w:rsid w:val="0085332F"/>
    <w:rsid w:val="00853366"/>
    <w:rsid w:val="0085337C"/>
    <w:rsid w:val="008533C0"/>
    <w:rsid w:val="00853491"/>
    <w:rsid w:val="00853585"/>
    <w:rsid w:val="00853688"/>
    <w:rsid w:val="00853788"/>
    <w:rsid w:val="008538B5"/>
    <w:rsid w:val="00853931"/>
    <w:rsid w:val="00853A5A"/>
    <w:rsid w:val="00853BD7"/>
    <w:rsid w:val="00853CA6"/>
    <w:rsid w:val="00853D94"/>
    <w:rsid w:val="00853FD1"/>
    <w:rsid w:val="008542F3"/>
    <w:rsid w:val="008543F1"/>
    <w:rsid w:val="00854415"/>
    <w:rsid w:val="00854581"/>
    <w:rsid w:val="008545C7"/>
    <w:rsid w:val="00854860"/>
    <w:rsid w:val="008549DB"/>
    <w:rsid w:val="00854A40"/>
    <w:rsid w:val="00854A85"/>
    <w:rsid w:val="00854ACD"/>
    <w:rsid w:val="00854AE5"/>
    <w:rsid w:val="00854BCF"/>
    <w:rsid w:val="00854C15"/>
    <w:rsid w:val="00854C7F"/>
    <w:rsid w:val="00854CC4"/>
    <w:rsid w:val="00854D7B"/>
    <w:rsid w:val="00854F33"/>
    <w:rsid w:val="00855009"/>
    <w:rsid w:val="008550F2"/>
    <w:rsid w:val="0085511D"/>
    <w:rsid w:val="0085522B"/>
    <w:rsid w:val="008553F9"/>
    <w:rsid w:val="00855405"/>
    <w:rsid w:val="00855446"/>
    <w:rsid w:val="00855508"/>
    <w:rsid w:val="00855599"/>
    <w:rsid w:val="00855683"/>
    <w:rsid w:val="00855840"/>
    <w:rsid w:val="008559D5"/>
    <w:rsid w:val="00855AB1"/>
    <w:rsid w:val="00855ACF"/>
    <w:rsid w:val="00855B56"/>
    <w:rsid w:val="00855BC5"/>
    <w:rsid w:val="00855C06"/>
    <w:rsid w:val="00855C0E"/>
    <w:rsid w:val="00855D87"/>
    <w:rsid w:val="00855DAA"/>
    <w:rsid w:val="00855DDC"/>
    <w:rsid w:val="00855E5E"/>
    <w:rsid w:val="00855FE5"/>
    <w:rsid w:val="008563AF"/>
    <w:rsid w:val="008565BC"/>
    <w:rsid w:val="00856624"/>
    <w:rsid w:val="0085663B"/>
    <w:rsid w:val="008566F3"/>
    <w:rsid w:val="008566F6"/>
    <w:rsid w:val="00856713"/>
    <w:rsid w:val="00856814"/>
    <w:rsid w:val="008568E0"/>
    <w:rsid w:val="00856B5C"/>
    <w:rsid w:val="00856DD0"/>
    <w:rsid w:val="00856E59"/>
    <w:rsid w:val="00857260"/>
    <w:rsid w:val="0085727E"/>
    <w:rsid w:val="00857299"/>
    <w:rsid w:val="008572B5"/>
    <w:rsid w:val="0085733B"/>
    <w:rsid w:val="008573E6"/>
    <w:rsid w:val="0085752F"/>
    <w:rsid w:val="00857545"/>
    <w:rsid w:val="008575C5"/>
    <w:rsid w:val="00857888"/>
    <w:rsid w:val="00857A8E"/>
    <w:rsid w:val="00857B0B"/>
    <w:rsid w:val="00857BA6"/>
    <w:rsid w:val="00857C3F"/>
    <w:rsid w:val="0086007A"/>
    <w:rsid w:val="008600D7"/>
    <w:rsid w:val="00860155"/>
    <w:rsid w:val="008602E8"/>
    <w:rsid w:val="008603E3"/>
    <w:rsid w:val="00860646"/>
    <w:rsid w:val="00860686"/>
    <w:rsid w:val="00860726"/>
    <w:rsid w:val="0086092F"/>
    <w:rsid w:val="00860A63"/>
    <w:rsid w:val="00860ADF"/>
    <w:rsid w:val="00860D0E"/>
    <w:rsid w:val="00860D39"/>
    <w:rsid w:val="00860D7E"/>
    <w:rsid w:val="00860FF6"/>
    <w:rsid w:val="00861045"/>
    <w:rsid w:val="0086117C"/>
    <w:rsid w:val="0086131F"/>
    <w:rsid w:val="00861494"/>
    <w:rsid w:val="008614B2"/>
    <w:rsid w:val="00861552"/>
    <w:rsid w:val="008615F9"/>
    <w:rsid w:val="008617D2"/>
    <w:rsid w:val="0086186F"/>
    <w:rsid w:val="00861A85"/>
    <w:rsid w:val="00861C58"/>
    <w:rsid w:val="00861F1D"/>
    <w:rsid w:val="00862058"/>
    <w:rsid w:val="0086207C"/>
    <w:rsid w:val="00862092"/>
    <w:rsid w:val="008620D4"/>
    <w:rsid w:val="008620E9"/>
    <w:rsid w:val="00862345"/>
    <w:rsid w:val="0086243D"/>
    <w:rsid w:val="00862586"/>
    <w:rsid w:val="00862642"/>
    <w:rsid w:val="00862678"/>
    <w:rsid w:val="00862724"/>
    <w:rsid w:val="0086283C"/>
    <w:rsid w:val="0086290A"/>
    <w:rsid w:val="00862957"/>
    <w:rsid w:val="008629A7"/>
    <w:rsid w:val="008629B1"/>
    <w:rsid w:val="00862A91"/>
    <w:rsid w:val="00862ADD"/>
    <w:rsid w:val="00862BBB"/>
    <w:rsid w:val="00862CE4"/>
    <w:rsid w:val="00862CF5"/>
    <w:rsid w:val="00862D3E"/>
    <w:rsid w:val="00862D4D"/>
    <w:rsid w:val="00862D81"/>
    <w:rsid w:val="00862DD6"/>
    <w:rsid w:val="00862F06"/>
    <w:rsid w:val="00862FE4"/>
    <w:rsid w:val="00863128"/>
    <w:rsid w:val="00863207"/>
    <w:rsid w:val="008632AC"/>
    <w:rsid w:val="0086330F"/>
    <w:rsid w:val="00863318"/>
    <w:rsid w:val="00863369"/>
    <w:rsid w:val="0086347E"/>
    <w:rsid w:val="00863569"/>
    <w:rsid w:val="008635A5"/>
    <w:rsid w:val="0086375D"/>
    <w:rsid w:val="00863827"/>
    <w:rsid w:val="00863862"/>
    <w:rsid w:val="008638A0"/>
    <w:rsid w:val="00863A92"/>
    <w:rsid w:val="00863B00"/>
    <w:rsid w:val="00863BF3"/>
    <w:rsid w:val="00863C26"/>
    <w:rsid w:val="00863DB9"/>
    <w:rsid w:val="00863DEA"/>
    <w:rsid w:val="00863E91"/>
    <w:rsid w:val="00864156"/>
    <w:rsid w:val="0086415D"/>
    <w:rsid w:val="008643F0"/>
    <w:rsid w:val="008643F7"/>
    <w:rsid w:val="0086441C"/>
    <w:rsid w:val="0086447F"/>
    <w:rsid w:val="0086456C"/>
    <w:rsid w:val="00864666"/>
    <w:rsid w:val="0086468E"/>
    <w:rsid w:val="008647A3"/>
    <w:rsid w:val="008647BC"/>
    <w:rsid w:val="0086482C"/>
    <w:rsid w:val="00864901"/>
    <w:rsid w:val="00864981"/>
    <w:rsid w:val="00864A03"/>
    <w:rsid w:val="00864B22"/>
    <w:rsid w:val="00864D21"/>
    <w:rsid w:val="00864D55"/>
    <w:rsid w:val="00864E04"/>
    <w:rsid w:val="00865031"/>
    <w:rsid w:val="008651BC"/>
    <w:rsid w:val="008652C7"/>
    <w:rsid w:val="0086547E"/>
    <w:rsid w:val="00865589"/>
    <w:rsid w:val="0086560D"/>
    <w:rsid w:val="008657CF"/>
    <w:rsid w:val="00865813"/>
    <w:rsid w:val="0086583B"/>
    <w:rsid w:val="008659B8"/>
    <w:rsid w:val="008659F1"/>
    <w:rsid w:val="00865A54"/>
    <w:rsid w:val="00865ADF"/>
    <w:rsid w:val="00865CFC"/>
    <w:rsid w:val="00865D77"/>
    <w:rsid w:val="00865DD3"/>
    <w:rsid w:val="00865DD5"/>
    <w:rsid w:val="00865DE7"/>
    <w:rsid w:val="00865E8D"/>
    <w:rsid w:val="00865EBD"/>
    <w:rsid w:val="00865FE2"/>
    <w:rsid w:val="00866019"/>
    <w:rsid w:val="0086617D"/>
    <w:rsid w:val="0086625E"/>
    <w:rsid w:val="00866314"/>
    <w:rsid w:val="00866371"/>
    <w:rsid w:val="008663AB"/>
    <w:rsid w:val="00866830"/>
    <w:rsid w:val="0086683D"/>
    <w:rsid w:val="008668DC"/>
    <w:rsid w:val="008669B7"/>
    <w:rsid w:val="008669DC"/>
    <w:rsid w:val="00866A57"/>
    <w:rsid w:val="00866B0F"/>
    <w:rsid w:val="00866BFE"/>
    <w:rsid w:val="00866C10"/>
    <w:rsid w:val="00866D05"/>
    <w:rsid w:val="00866E5D"/>
    <w:rsid w:val="0086721F"/>
    <w:rsid w:val="00867222"/>
    <w:rsid w:val="008672DD"/>
    <w:rsid w:val="0086732A"/>
    <w:rsid w:val="008673DF"/>
    <w:rsid w:val="00867494"/>
    <w:rsid w:val="00867636"/>
    <w:rsid w:val="00867730"/>
    <w:rsid w:val="008677C1"/>
    <w:rsid w:val="008677FF"/>
    <w:rsid w:val="0086784E"/>
    <w:rsid w:val="00867893"/>
    <w:rsid w:val="008678D3"/>
    <w:rsid w:val="00867935"/>
    <w:rsid w:val="00867936"/>
    <w:rsid w:val="008679EF"/>
    <w:rsid w:val="008679F7"/>
    <w:rsid w:val="00867A00"/>
    <w:rsid w:val="00867A34"/>
    <w:rsid w:val="00867DE2"/>
    <w:rsid w:val="00867DF0"/>
    <w:rsid w:val="00867E2F"/>
    <w:rsid w:val="008700A2"/>
    <w:rsid w:val="00870182"/>
    <w:rsid w:val="008701DB"/>
    <w:rsid w:val="00870270"/>
    <w:rsid w:val="0087029F"/>
    <w:rsid w:val="008702B6"/>
    <w:rsid w:val="00870388"/>
    <w:rsid w:val="008703EF"/>
    <w:rsid w:val="00870599"/>
    <w:rsid w:val="008705A7"/>
    <w:rsid w:val="0087061A"/>
    <w:rsid w:val="00870703"/>
    <w:rsid w:val="00870B34"/>
    <w:rsid w:val="00870B51"/>
    <w:rsid w:val="00870BF5"/>
    <w:rsid w:val="00870C52"/>
    <w:rsid w:val="00870CD4"/>
    <w:rsid w:val="00870ED7"/>
    <w:rsid w:val="00870FD0"/>
    <w:rsid w:val="00871091"/>
    <w:rsid w:val="00871106"/>
    <w:rsid w:val="00871163"/>
    <w:rsid w:val="00871221"/>
    <w:rsid w:val="008715DD"/>
    <w:rsid w:val="00871677"/>
    <w:rsid w:val="008716A5"/>
    <w:rsid w:val="00871716"/>
    <w:rsid w:val="0087180A"/>
    <w:rsid w:val="00871A24"/>
    <w:rsid w:val="00871A9F"/>
    <w:rsid w:val="00871AAC"/>
    <w:rsid w:val="00871C2C"/>
    <w:rsid w:val="00871CF3"/>
    <w:rsid w:val="00871D55"/>
    <w:rsid w:val="00871DDF"/>
    <w:rsid w:val="00871E84"/>
    <w:rsid w:val="00871FCD"/>
    <w:rsid w:val="0087203F"/>
    <w:rsid w:val="008720AA"/>
    <w:rsid w:val="00872117"/>
    <w:rsid w:val="0087220E"/>
    <w:rsid w:val="0087232B"/>
    <w:rsid w:val="0087233A"/>
    <w:rsid w:val="00872378"/>
    <w:rsid w:val="00872477"/>
    <w:rsid w:val="00872554"/>
    <w:rsid w:val="008725A4"/>
    <w:rsid w:val="00872710"/>
    <w:rsid w:val="008727AF"/>
    <w:rsid w:val="008728E3"/>
    <w:rsid w:val="008728F2"/>
    <w:rsid w:val="00872AC9"/>
    <w:rsid w:val="00872B13"/>
    <w:rsid w:val="00872C1F"/>
    <w:rsid w:val="00872C6F"/>
    <w:rsid w:val="00872D8A"/>
    <w:rsid w:val="00872F77"/>
    <w:rsid w:val="0087304B"/>
    <w:rsid w:val="0087307E"/>
    <w:rsid w:val="00873152"/>
    <w:rsid w:val="00873164"/>
    <w:rsid w:val="00873317"/>
    <w:rsid w:val="00873437"/>
    <w:rsid w:val="0087364D"/>
    <w:rsid w:val="008739EF"/>
    <w:rsid w:val="00873BE3"/>
    <w:rsid w:val="00873C39"/>
    <w:rsid w:val="00873C7D"/>
    <w:rsid w:val="00873E4A"/>
    <w:rsid w:val="00874140"/>
    <w:rsid w:val="0087418A"/>
    <w:rsid w:val="008741AD"/>
    <w:rsid w:val="00874228"/>
    <w:rsid w:val="0087444C"/>
    <w:rsid w:val="008744ED"/>
    <w:rsid w:val="00874510"/>
    <w:rsid w:val="0087453A"/>
    <w:rsid w:val="008745C2"/>
    <w:rsid w:val="008746E7"/>
    <w:rsid w:val="008746E9"/>
    <w:rsid w:val="008746F1"/>
    <w:rsid w:val="008747DB"/>
    <w:rsid w:val="0087494E"/>
    <w:rsid w:val="00874995"/>
    <w:rsid w:val="00874B74"/>
    <w:rsid w:val="00874B90"/>
    <w:rsid w:val="00874C0C"/>
    <w:rsid w:val="00874D21"/>
    <w:rsid w:val="00874DF5"/>
    <w:rsid w:val="00874E3D"/>
    <w:rsid w:val="00874EDE"/>
    <w:rsid w:val="00874F8C"/>
    <w:rsid w:val="00874FFC"/>
    <w:rsid w:val="00875117"/>
    <w:rsid w:val="0087511B"/>
    <w:rsid w:val="00875158"/>
    <w:rsid w:val="00875240"/>
    <w:rsid w:val="00875258"/>
    <w:rsid w:val="00875422"/>
    <w:rsid w:val="00875540"/>
    <w:rsid w:val="00875649"/>
    <w:rsid w:val="008756C8"/>
    <w:rsid w:val="00875800"/>
    <w:rsid w:val="008758CC"/>
    <w:rsid w:val="00875910"/>
    <w:rsid w:val="00875A31"/>
    <w:rsid w:val="00875B48"/>
    <w:rsid w:val="00875B4B"/>
    <w:rsid w:val="00875BEF"/>
    <w:rsid w:val="00875C75"/>
    <w:rsid w:val="00875CCA"/>
    <w:rsid w:val="00875D28"/>
    <w:rsid w:val="00875D4C"/>
    <w:rsid w:val="00875D89"/>
    <w:rsid w:val="00875E56"/>
    <w:rsid w:val="00875ED5"/>
    <w:rsid w:val="00875FE3"/>
    <w:rsid w:val="00875FF7"/>
    <w:rsid w:val="008760F6"/>
    <w:rsid w:val="0087643E"/>
    <w:rsid w:val="0087647C"/>
    <w:rsid w:val="008764C2"/>
    <w:rsid w:val="008765CF"/>
    <w:rsid w:val="008765F8"/>
    <w:rsid w:val="008765FF"/>
    <w:rsid w:val="00876627"/>
    <w:rsid w:val="00876750"/>
    <w:rsid w:val="008767BE"/>
    <w:rsid w:val="008768B0"/>
    <w:rsid w:val="0087695F"/>
    <w:rsid w:val="00876986"/>
    <w:rsid w:val="00876C2B"/>
    <w:rsid w:val="00876CD8"/>
    <w:rsid w:val="00876D69"/>
    <w:rsid w:val="00876EC2"/>
    <w:rsid w:val="00877103"/>
    <w:rsid w:val="00877177"/>
    <w:rsid w:val="00877220"/>
    <w:rsid w:val="00877585"/>
    <w:rsid w:val="0087758D"/>
    <w:rsid w:val="0087778A"/>
    <w:rsid w:val="0087789F"/>
    <w:rsid w:val="008778FF"/>
    <w:rsid w:val="008779C3"/>
    <w:rsid w:val="00877A90"/>
    <w:rsid w:val="00877B63"/>
    <w:rsid w:val="00877C85"/>
    <w:rsid w:val="00877CBA"/>
    <w:rsid w:val="00877CCA"/>
    <w:rsid w:val="00877F99"/>
    <w:rsid w:val="00877FCF"/>
    <w:rsid w:val="00880025"/>
    <w:rsid w:val="00880048"/>
    <w:rsid w:val="008801EA"/>
    <w:rsid w:val="008803BC"/>
    <w:rsid w:val="008803DB"/>
    <w:rsid w:val="0088044A"/>
    <w:rsid w:val="008804A0"/>
    <w:rsid w:val="0088064D"/>
    <w:rsid w:val="008806AF"/>
    <w:rsid w:val="008806FA"/>
    <w:rsid w:val="00880883"/>
    <w:rsid w:val="00880911"/>
    <w:rsid w:val="008809BC"/>
    <w:rsid w:val="00880A96"/>
    <w:rsid w:val="00880B17"/>
    <w:rsid w:val="00880B30"/>
    <w:rsid w:val="00880BA0"/>
    <w:rsid w:val="00880C63"/>
    <w:rsid w:val="00880D06"/>
    <w:rsid w:val="00880D72"/>
    <w:rsid w:val="00880D9B"/>
    <w:rsid w:val="00880EC9"/>
    <w:rsid w:val="0088102E"/>
    <w:rsid w:val="0088121F"/>
    <w:rsid w:val="008814FD"/>
    <w:rsid w:val="00881535"/>
    <w:rsid w:val="008816E1"/>
    <w:rsid w:val="008818E4"/>
    <w:rsid w:val="0088192C"/>
    <w:rsid w:val="00881A23"/>
    <w:rsid w:val="00881AE1"/>
    <w:rsid w:val="00881B36"/>
    <w:rsid w:val="00881B37"/>
    <w:rsid w:val="00881E10"/>
    <w:rsid w:val="00881F48"/>
    <w:rsid w:val="00882110"/>
    <w:rsid w:val="00882229"/>
    <w:rsid w:val="008822F5"/>
    <w:rsid w:val="008824EC"/>
    <w:rsid w:val="00882526"/>
    <w:rsid w:val="008825E5"/>
    <w:rsid w:val="00882701"/>
    <w:rsid w:val="008827EE"/>
    <w:rsid w:val="00882829"/>
    <w:rsid w:val="008828BE"/>
    <w:rsid w:val="0088290D"/>
    <w:rsid w:val="00882987"/>
    <w:rsid w:val="008829E5"/>
    <w:rsid w:val="00882A8D"/>
    <w:rsid w:val="00882B82"/>
    <w:rsid w:val="00882C11"/>
    <w:rsid w:val="00882CCC"/>
    <w:rsid w:val="00882D69"/>
    <w:rsid w:val="00882E1D"/>
    <w:rsid w:val="00882EF1"/>
    <w:rsid w:val="0088303A"/>
    <w:rsid w:val="00883178"/>
    <w:rsid w:val="008833FA"/>
    <w:rsid w:val="0088360B"/>
    <w:rsid w:val="00883651"/>
    <w:rsid w:val="00883657"/>
    <w:rsid w:val="008836A7"/>
    <w:rsid w:val="00883821"/>
    <w:rsid w:val="008838A1"/>
    <w:rsid w:val="008838B9"/>
    <w:rsid w:val="00883C21"/>
    <w:rsid w:val="00883DAB"/>
    <w:rsid w:val="00883DC8"/>
    <w:rsid w:val="00883DD2"/>
    <w:rsid w:val="00883E1F"/>
    <w:rsid w:val="00883E59"/>
    <w:rsid w:val="00883EF2"/>
    <w:rsid w:val="00884099"/>
    <w:rsid w:val="008840D4"/>
    <w:rsid w:val="008840FE"/>
    <w:rsid w:val="008841A4"/>
    <w:rsid w:val="00884200"/>
    <w:rsid w:val="00884284"/>
    <w:rsid w:val="00884668"/>
    <w:rsid w:val="00884881"/>
    <w:rsid w:val="0088497A"/>
    <w:rsid w:val="00884A57"/>
    <w:rsid w:val="00884C1F"/>
    <w:rsid w:val="00884C3B"/>
    <w:rsid w:val="00884D9C"/>
    <w:rsid w:val="00884E44"/>
    <w:rsid w:val="0088511F"/>
    <w:rsid w:val="00885243"/>
    <w:rsid w:val="0088525E"/>
    <w:rsid w:val="00885282"/>
    <w:rsid w:val="00885335"/>
    <w:rsid w:val="00885368"/>
    <w:rsid w:val="00885430"/>
    <w:rsid w:val="0088545E"/>
    <w:rsid w:val="008855C1"/>
    <w:rsid w:val="008856B1"/>
    <w:rsid w:val="0088571E"/>
    <w:rsid w:val="008858F9"/>
    <w:rsid w:val="00885AD0"/>
    <w:rsid w:val="00885AD2"/>
    <w:rsid w:val="00885C67"/>
    <w:rsid w:val="00885C9C"/>
    <w:rsid w:val="00885E63"/>
    <w:rsid w:val="00885F16"/>
    <w:rsid w:val="00885FE5"/>
    <w:rsid w:val="0088602F"/>
    <w:rsid w:val="00886276"/>
    <w:rsid w:val="008862DE"/>
    <w:rsid w:val="00886359"/>
    <w:rsid w:val="00886449"/>
    <w:rsid w:val="00886491"/>
    <w:rsid w:val="00886532"/>
    <w:rsid w:val="008865F8"/>
    <w:rsid w:val="0088670B"/>
    <w:rsid w:val="008869EB"/>
    <w:rsid w:val="00886AE7"/>
    <w:rsid w:val="00886BFB"/>
    <w:rsid w:val="00886BFE"/>
    <w:rsid w:val="00886CC1"/>
    <w:rsid w:val="008870EA"/>
    <w:rsid w:val="008870F6"/>
    <w:rsid w:val="0088716F"/>
    <w:rsid w:val="008871E1"/>
    <w:rsid w:val="00887252"/>
    <w:rsid w:val="0088732B"/>
    <w:rsid w:val="00887343"/>
    <w:rsid w:val="008874EB"/>
    <w:rsid w:val="00887606"/>
    <w:rsid w:val="00887665"/>
    <w:rsid w:val="008876DD"/>
    <w:rsid w:val="00887751"/>
    <w:rsid w:val="008877CF"/>
    <w:rsid w:val="00887853"/>
    <w:rsid w:val="00887AD0"/>
    <w:rsid w:val="00887B59"/>
    <w:rsid w:val="00887C7C"/>
    <w:rsid w:val="00887EF5"/>
    <w:rsid w:val="00887F1C"/>
    <w:rsid w:val="0089000B"/>
    <w:rsid w:val="00890140"/>
    <w:rsid w:val="0089019C"/>
    <w:rsid w:val="00890228"/>
    <w:rsid w:val="0089049B"/>
    <w:rsid w:val="00890568"/>
    <w:rsid w:val="008905A1"/>
    <w:rsid w:val="00890A1D"/>
    <w:rsid w:val="00890A62"/>
    <w:rsid w:val="00890B89"/>
    <w:rsid w:val="00890D4A"/>
    <w:rsid w:val="00890DEA"/>
    <w:rsid w:val="00890E38"/>
    <w:rsid w:val="00890E90"/>
    <w:rsid w:val="00890EE1"/>
    <w:rsid w:val="00890FB4"/>
    <w:rsid w:val="008911E2"/>
    <w:rsid w:val="008912C8"/>
    <w:rsid w:val="008914C0"/>
    <w:rsid w:val="008914CA"/>
    <w:rsid w:val="00891595"/>
    <w:rsid w:val="008915D3"/>
    <w:rsid w:val="00891601"/>
    <w:rsid w:val="00891650"/>
    <w:rsid w:val="00891663"/>
    <w:rsid w:val="008918D0"/>
    <w:rsid w:val="00891A30"/>
    <w:rsid w:val="00891AC9"/>
    <w:rsid w:val="00891C80"/>
    <w:rsid w:val="00891E58"/>
    <w:rsid w:val="00891EA1"/>
    <w:rsid w:val="00891F82"/>
    <w:rsid w:val="00891FCB"/>
    <w:rsid w:val="00891FE1"/>
    <w:rsid w:val="0089206A"/>
    <w:rsid w:val="008920E4"/>
    <w:rsid w:val="008921FB"/>
    <w:rsid w:val="0089229E"/>
    <w:rsid w:val="00892357"/>
    <w:rsid w:val="00892371"/>
    <w:rsid w:val="0089244D"/>
    <w:rsid w:val="0089246F"/>
    <w:rsid w:val="0089249F"/>
    <w:rsid w:val="008925FD"/>
    <w:rsid w:val="00892694"/>
    <w:rsid w:val="008926DC"/>
    <w:rsid w:val="0089294F"/>
    <w:rsid w:val="00892A4A"/>
    <w:rsid w:val="00892D4E"/>
    <w:rsid w:val="00892DEB"/>
    <w:rsid w:val="00892F7A"/>
    <w:rsid w:val="00892F8F"/>
    <w:rsid w:val="00892FC8"/>
    <w:rsid w:val="00893014"/>
    <w:rsid w:val="00893293"/>
    <w:rsid w:val="0089332F"/>
    <w:rsid w:val="00893342"/>
    <w:rsid w:val="00893365"/>
    <w:rsid w:val="008933FB"/>
    <w:rsid w:val="008934A9"/>
    <w:rsid w:val="00893795"/>
    <w:rsid w:val="008938AE"/>
    <w:rsid w:val="008938C4"/>
    <w:rsid w:val="008938DC"/>
    <w:rsid w:val="00893A1D"/>
    <w:rsid w:val="00893A42"/>
    <w:rsid w:val="00893A50"/>
    <w:rsid w:val="00893B40"/>
    <w:rsid w:val="00893CD0"/>
    <w:rsid w:val="00893E47"/>
    <w:rsid w:val="00893F47"/>
    <w:rsid w:val="00893FF3"/>
    <w:rsid w:val="008941DA"/>
    <w:rsid w:val="0089430E"/>
    <w:rsid w:val="00894385"/>
    <w:rsid w:val="008943F7"/>
    <w:rsid w:val="00894515"/>
    <w:rsid w:val="00894769"/>
    <w:rsid w:val="00894882"/>
    <w:rsid w:val="00894883"/>
    <w:rsid w:val="00894958"/>
    <w:rsid w:val="00894A08"/>
    <w:rsid w:val="00894C17"/>
    <w:rsid w:val="00894CAF"/>
    <w:rsid w:val="00894CDF"/>
    <w:rsid w:val="00894E44"/>
    <w:rsid w:val="00894E60"/>
    <w:rsid w:val="00894F9C"/>
    <w:rsid w:val="00894FE1"/>
    <w:rsid w:val="00895000"/>
    <w:rsid w:val="0089510B"/>
    <w:rsid w:val="0089510D"/>
    <w:rsid w:val="00895153"/>
    <w:rsid w:val="0089536A"/>
    <w:rsid w:val="008953D6"/>
    <w:rsid w:val="008954D5"/>
    <w:rsid w:val="008955A6"/>
    <w:rsid w:val="0089563A"/>
    <w:rsid w:val="00895C26"/>
    <w:rsid w:val="00895C68"/>
    <w:rsid w:val="00895CDA"/>
    <w:rsid w:val="00895F4E"/>
    <w:rsid w:val="00895F4F"/>
    <w:rsid w:val="00895F95"/>
    <w:rsid w:val="008960EC"/>
    <w:rsid w:val="00896176"/>
    <w:rsid w:val="008961D2"/>
    <w:rsid w:val="008962B0"/>
    <w:rsid w:val="00896312"/>
    <w:rsid w:val="00896376"/>
    <w:rsid w:val="008963D2"/>
    <w:rsid w:val="008964B5"/>
    <w:rsid w:val="00896531"/>
    <w:rsid w:val="00896700"/>
    <w:rsid w:val="008967E1"/>
    <w:rsid w:val="00896839"/>
    <w:rsid w:val="0089693D"/>
    <w:rsid w:val="008969D1"/>
    <w:rsid w:val="00896B6D"/>
    <w:rsid w:val="00896D47"/>
    <w:rsid w:val="00896DAD"/>
    <w:rsid w:val="00896DDB"/>
    <w:rsid w:val="00897161"/>
    <w:rsid w:val="008972BC"/>
    <w:rsid w:val="00897537"/>
    <w:rsid w:val="008975E9"/>
    <w:rsid w:val="008975EF"/>
    <w:rsid w:val="008978BE"/>
    <w:rsid w:val="008978F6"/>
    <w:rsid w:val="008979CA"/>
    <w:rsid w:val="00897BC9"/>
    <w:rsid w:val="00897C9F"/>
    <w:rsid w:val="00897F53"/>
    <w:rsid w:val="008A003E"/>
    <w:rsid w:val="008A0262"/>
    <w:rsid w:val="008A02D1"/>
    <w:rsid w:val="008A0373"/>
    <w:rsid w:val="008A0638"/>
    <w:rsid w:val="008A063A"/>
    <w:rsid w:val="008A063B"/>
    <w:rsid w:val="008A06A0"/>
    <w:rsid w:val="008A0704"/>
    <w:rsid w:val="008A078A"/>
    <w:rsid w:val="008A08A2"/>
    <w:rsid w:val="008A0BBA"/>
    <w:rsid w:val="008A0C74"/>
    <w:rsid w:val="008A0DEC"/>
    <w:rsid w:val="008A0E50"/>
    <w:rsid w:val="008A0E91"/>
    <w:rsid w:val="008A1029"/>
    <w:rsid w:val="008A10A3"/>
    <w:rsid w:val="008A1124"/>
    <w:rsid w:val="008A128B"/>
    <w:rsid w:val="008A1296"/>
    <w:rsid w:val="008A135C"/>
    <w:rsid w:val="008A13A3"/>
    <w:rsid w:val="008A13F5"/>
    <w:rsid w:val="008A1408"/>
    <w:rsid w:val="008A140E"/>
    <w:rsid w:val="008A1467"/>
    <w:rsid w:val="008A1705"/>
    <w:rsid w:val="008A1758"/>
    <w:rsid w:val="008A17E3"/>
    <w:rsid w:val="008A17FF"/>
    <w:rsid w:val="008A183A"/>
    <w:rsid w:val="008A1A08"/>
    <w:rsid w:val="008A1C59"/>
    <w:rsid w:val="008A1EE9"/>
    <w:rsid w:val="008A1EFA"/>
    <w:rsid w:val="008A20D0"/>
    <w:rsid w:val="008A21CA"/>
    <w:rsid w:val="008A2334"/>
    <w:rsid w:val="008A242D"/>
    <w:rsid w:val="008A26EE"/>
    <w:rsid w:val="008A27FF"/>
    <w:rsid w:val="008A297B"/>
    <w:rsid w:val="008A2A40"/>
    <w:rsid w:val="008A2A8D"/>
    <w:rsid w:val="008A2B32"/>
    <w:rsid w:val="008A2B77"/>
    <w:rsid w:val="008A2D47"/>
    <w:rsid w:val="008A2E18"/>
    <w:rsid w:val="008A2FDC"/>
    <w:rsid w:val="008A327C"/>
    <w:rsid w:val="008A3310"/>
    <w:rsid w:val="008A3325"/>
    <w:rsid w:val="008A3381"/>
    <w:rsid w:val="008A3392"/>
    <w:rsid w:val="008A343B"/>
    <w:rsid w:val="008A34C5"/>
    <w:rsid w:val="008A3660"/>
    <w:rsid w:val="008A380B"/>
    <w:rsid w:val="008A385F"/>
    <w:rsid w:val="008A3948"/>
    <w:rsid w:val="008A39F9"/>
    <w:rsid w:val="008A3B3B"/>
    <w:rsid w:val="008A3CF7"/>
    <w:rsid w:val="008A3DAA"/>
    <w:rsid w:val="008A3F63"/>
    <w:rsid w:val="008A446B"/>
    <w:rsid w:val="008A45A7"/>
    <w:rsid w:val="008A473F"/>
    <w:rsid w:val="008A4796"/>
    <w:rsid w:val="008A47E9"/>
    <w:rsid w:val="008A48C9"/>
    <w:rsid w:val="008A49CF"/>
    <w:rsid w:val="008A4A64"/>
    <w:rsid w:val="008A4B14"/>
    <w:rsid w:val="008A4B73"/>
    <w:rsid w:val="008A4B81"/>
    <w:rsid w:val="008A4C34"/>
    <w:rsid w:val="008A4C38"/>
    <w:rsid w:val="008A4CA4"/>
    <w:rsid w:val="008A4F32"/>
    <w:rsid w:val="008A4FD6"/>
    <w:rsid w:val="008A5022"/>
    <w:rsid w:val="008A502B"/>
    <w:rsid w:val="008A51AA"/>
    <w:rsid w:val="008A54D9"/>
    <w:rsid w:val="008A5804"/>
    <w:rsid w:val="008A5A4B"/>
    <w:rsid w:val="008A5A65"/>
    <w:rsid w:val="008A5B5A"/>
    <w:rsid w:val="008A5BA1"/>
    <w:rsid w:val="008A5CE5"/>
    <w:rsid w:val="008A5E07"/>
    <w:rsid w:val="008A5E93"/>
    <w:rsid w:val="008A5F1F"/>
    <w:rsid w:val="008A5F48"/>
    <w:rsid w:val="008A5FC9"/>
    <w:rsid w:val="008A615B"/>
    <w:rsid w:val="008A6241"/>
    <w:rsid w:val="008A631D"/>
    <w:rsid w:val="008A63DF"/>
    <w:rsid w:val="008A6793"/>
    <w:rsid w:val="008A6C18"/>
    <w:rsid w:val="008A6C8F"/>
    <w:rsid w:val="008A6DAA"/>
    <w:rsid w:val="008A6E56"/>
    <w:rsid w:val="008A6FCA"/>
    <w:rsid w:val="008A72BA"/>
    <w:rsid w:val="008A7498"/>
    <w:rsid w:val="008A766E"/>
    <w:rsid w:val="008A76DB"/>
    <w:rsid w:val="008A7943"/>
    <w:rsid w:val="008A7A2E"/>
    <w:rsid w:val="008A7B7E"/>
    <w:rsid w:val="008A7BC3"/>
    <w:rsid w:val="008A7D7C"/>
    <w:rsid w:val="008A7DDC"/>
    <w:rsid w:val="008A7E29"/>
    <w:rsid w:val="008A7E9A"/>
    <w:rsid w:val="008A7F07"/>
    <w:rsid w:val="008B0127"/>
    <w:rsid w:val="008B01AD"/>
    <w:rsid w:val="008B01C5"/>
    <w:rsid w:val="008B0252"/>
    <w:rsid w:val="008B0280"/>
    <w:rsid w:val="008B028C"/>
    <w:rsid w:val="008B02D8"/>
    <w:rsid w:val="008B0329"/>
    <w:rsid w:val="008B0349"/>
    <w:rsid w:val="008B03EF"/>
    <w:rsid w:val="008B0444"/>
    <w:rsid w:val="008B047C"/>
    <w:rsid w:val="008B04EB"/>
    <w:rsid w:val="008B05DF"/>
    <w:rsid w:val="008B06C7"/>
    <w:rsid w:val="008B06EA"/>
    <w:rsid w:val="008B0743"/>
    <w:rsid w:val="008B09EB"/>
    <w:rsid w:val="008B0CA9"/>
    <w:rsid w:val="008B0DB1"/>
    <w:rsid w:val="008B10C0"/>
    <w:rsid w:val="008B10F0"/>
    <w:rsid w:val="008B1219"/>
    <w:rsid w:val="008B123D"/>
    <w:rsid w:val="008B123E"/>
    <w:rsid w:val="008B13E1"/>
    <w:rsid w:val="008B1415"/>
    <w:rsid w:val="008B141B"/>
    <w:rsid w:val="008B1524"/>
    <w:rsid w:val="008B177D"/>
    <w:rsid w:val="008B1830"/>
    <w:rsid w:val="008B1B75"/>
    <w:rsid w:val="008B1D3A"/>
    <w:rsid w:val="008B1E5F"/>
    <w:rsid w:val="008B1EE6"/>
    <w:rsid w:val="008B2004"/>
    <w:rsid w:val="008B2071"/>
    <w:rsid w:val="008B2074"/>
    <w:rsid w:val="008B20CB"/>
    <w:rsid w:val="008B211B"/>
    <w:rsid w:val="008B263C"/>
    <w:rsid w:val="008B282A"/>
    <w:rsid w:val="008B284F"/>
    <w:rsid w:val="008B2985"/>
    <w:rsid w:val="008B2A08"/>
    <w:rsid w:val="008B2C36"/>
    <w:rsid w:val="008B2CDA"/>
    <w:rsid w:val="008B2DCB"/>
    <w:rsid w:val="008B2EFC"/>
    <w:rsid w:val="008B3078"/>
    <w:rsid w:val="008B3126"/>
    <w:rsid w:val="008B3205"/>
    <w:rsid w:val="008B32A8"/>
    <w:rsid w:val="008B330D"/>
    <w:rsid w:val="008B331E"/>
    <w:rsid w:val="008B3407"/>
    <w:rsid w:val="008B3434"/>
    <w:rsid w:val="008B34BC"/>
    <w:rsid w:val="008B34E0"/>
    <w:rsid w:val="008B36BB"/>
    <w:rsid w:val="008B383A"/>
    <w:rsid w:val="008B390B"/>
    <w:rsid w:val="008B3B3C"/>
    <w:rsid w:val="008B3BF6"/>
    <w:rsid w:val="008B3C64"/>
    <w:rsid w:val="008B3E98"/>
    <w:rsid w:val="008B3F54"/>
    <w:rsid w:val="008B407C"/>
    <w:rsid w:val="008B40BB"/>
    <w:rsid w:val="008B41B5"/>
    <w:rsid w:val="008B4201"/>
    <w:rsid w:val="008B421C"/>
    <w:rsid w:val="008B423C"/>
    <w:rsid w:val="008B4283"/>
    <w:rsid w:val="008B434C"/>
    <w:rsid w:val="008B44D8"/>
    <w:rsid w:val="008B4687"/>
    <w:rsid w:val="008B4915"/>
    <w:rsid w:val="008B4951"/>
    <w:rsid w:val="008B4999"/>
    <w:rsid w:val="008B4A28"/>
    <w:rsid w:val="008B4B3B"/>
    <w:rsid w:val="008B4B72"/>
    <w:rsid w:val="008B4B7F"/>
    <w:rsid w:val="008B4C9D"/>
    <w:rsid w:val="008B4CDC"/>
    <w:rsid w:val="008B4E6E"/>
    <w:rsid w:val="008B5039"/>
    <w:rsid w:val="008B50E0"/>
    <w:rsid w:val="008B5174"/>
    <w:rsid w:val="008B51C4"/>
    <w:rsid w:val="008B5314"/>
    <w:rsid w:val="008B5322"/>
    <w:rsid w:val="008B54D3"/>
    <w:rsid w:val="008B555E"/>
    <w:rsid w:val="008B5616"/>
    <w:rsid w:val="008B5714"/>
    <w:rsid w:val="008B5809"/>
    <w:rsid w:val="008B5814"/>
    <w:rsid w:val="008B585E"/>
    <w:rsid w:val="008B5A90"/>
    <w:rsid w:val="008B5AE6"/>
    <w:rsid w:val="008B5C4E"/>
    <w:rsid w:val="008B5D57"/>
    <w:rsid w:val="008B5FD2"/>
    <w:rsid w:val="008B5FDD"/>
    <w:rsid w:val="008B606A"/>
    <w:rsid w:val="008B61E6"/>
    <w:rsid w:val="008B624A"/>
    <w:rsid w:val="008B629B"/>
    <w:rsid w:val="008B62AE"/>
    <w:rsid w:val="008B658D"/>
    <w:rsid w:val="008B6653"/>
    <w:rsid w:val="008B6680"/>
    <w:rsid w:val="008B66A8"/>
    <w:rsid w:val="008B66F6"/>
    <w:rsid w:val="008B67EF"/>
    <w:rsid w:val="008B6864"/>
    <w:rsid w:val="008B697D"/>
    <w:rsid w:val="008B6B36"/>
    <w:rsid w:val="008B6CD7"/>
    <w:rsid w:val="008B6F87"/>
    <w:rsid w:val="008B6FC4"/>
    <w:rsid w:val="008B70D6"/>
    <w:rsid w:val="008B72B8"/>
    <w:rsid w:val="008B733F"/>
    <w:rsid w:val="008B7383"/>
    <w:rsid w:val="008B73F3"/>
    <w:rsid w:val="008B73FD"/>
    <w:rsid w:val="008B7455"/>
    <w:rsid w:val="008B7462"/>
    <w:rsid w:val="008B74A4"/>
    <w:rsid w:val="008B74AF"/>
    <w:rsid w:val="008B74EF"/>
    <w:rsid w:val="008B74FF"/>
    <w:rsid w:val="008B762D"/>
    <w:rsid w:val="008B77C4"/>
    <w:rsid w:val="008B7802"/>
    <w:rsid w:val="008B7932"/>
    <w:rsid w:val="008B7A39"/>
    <w:rsid w:val="008B7A72"/>
    <w:rsid w:val="008B7AE3"/>
    <w:rsid w:val="008B7C13"/>
    <w:rsid w:val="008B7C1B"/>
    <w:rsid w:val="008B7C38"/>
    <w:rsid w:val="008B7CFE"/>
    <w:rsid w:val="008C00B2"/>
    <w:rsid w:val="008C00F3"/>
    <w:rsid w:val="008C0167"/>
    <w:rsid w:val="008C028D"/>
    <w:rsid w:val="008C034B"/>
    <w:rsid w:val="008C038D"/>
    <w:rsid w:val="008C03C5"/>
    <w:rsid w:val="008C040C"/>
    <w:rsid w:val="008C0457"/>
    <w:rsid w:val="008C0607"/>
    <w:rsid w:val="008C0756"/>
    <w:rsid w:val="008C094F"/>
    <w:rsid w:val="008C09CA"/>
    <w:rsid w:val="008C0A32"/>
    <w:rsid w:val="008C0D27"/>
    <w:rsid w:val="008C0E55"/>
    <w:rsid w:val="008C0F9D"/>
    <w:rsid w:val="008C0FDF"/>
    <w:rsid w:val="008C0FEA"/>
    <w:rsid w:val="008C1001"/>
    <w:rsid w:val="008C1007"/>
    <w:rsid w:val="008C1079"/>
    <w:rsid w:val="008C115A"/>
    <w:rsid w:val="008C12BA"/>
    <w:rsid w:val="008C12DD"/>
    <w:rsid w:val="008C13CC"/>
    <w:rsid w:val="008C13DB"/>
    <w:rsid w:val="008C15EF"/>
    <w:rsid w:val="008C1683"/>
    <w:rsid w:val="008C1797"/>
    <w:rsid w:val="008C17E2"/>
    <w:rsid w:val="008C1811"/>
    <w:rsid w:val="008C181D"/>
    <w:rsid w:val="008C1A26"/>
    <w:rsid w:val="008C1ABD"/>
    <w:rsid w:val="008C1C2C"/>
    <w:rsid w:val="008C1EAA"/>
    <w:rsid w:val="008C1F70"/>
    <w:rsid w:val="008C2102"/>
    <w:rsid w:val="008C21C4"/>
    <w:rsid w:val="008C21DC"/>
    <w:rsid w:val="008C2369"/>
    <w:rsid w:val="008C2502"/>
    <w:rsid w:val="008C2707"/>
    <w:rsid w:val="008C27C4"/>
    <w:rsid w:val="008C290A"/>
    <w:rsid w:val="008C2AFC"/>
    <w:rsid w:val="008C2C10"/>
    <w:rsid w:val="008C2C62"/>
    <w:rsid w:val="008C2C8F"/>
    <w:rsid w:val="008C2DFC"/>
    <w:rsid w:val="008C2F05"/>
    <w:rsid w:val="008C2FE7"/>
    <w:rsid w:val="008C3091"/>
    <w:rsid w:val="008C30E2"/>
    <w:rsid w:val="008C31B7"/>
    <w:rsid w:val="008C34DA"/>
    <w:rsid w:val="008C34FC"/>
    <w:rsid w:val="008C3666"/>
    <w:rsid w:val="008C37D4"/>
    <w:rsid w:val="008C3826"/>
    <w:rsid w:val="008C3892"/>
    <w:rsid w:val="008C39CC"/>
    <w:rsid w:val="008C3A20"/>
    <w:rsid w:val="008C3A2E"/>
    <w:rsid w:val="008C3A3E"/>
    <w:rsid w:val="008C3B7F"/>
    <w:rsid w:val="008C3D1E"/>
    <w:rsid w:val="008C3D85"/>
    <w:rsid w:val="008C3ED4"/>
    <w:rsid w:val="008C3EDC"/>
    <w:rsid w:val="008C3EF5"/>
    <w:rsid w:val="008C411D"/>
    <w:rsid w:val="008C4483"/>
    <w:rsid w:val="008C44FC"/>
    <w:rsid w:val="008C46B4"/>
    <w:rsid w:val="008C47FF"/>
    <w:rsid w:val="008C4995"/>
    <w:rsid w:val="008C4A19"/>
    <w:rsid w:val="008C4A99"/>
    <w:rsid w:val="008C4BB5"/>
    <w:rsid w:val="008C4C16"/>
    <w:rsid w:val="008C4D57"/>
    <w:rsid w:val="008C4DA8"/>
    <w:rsid w:val="008C4E82"/>
    <w:rsid w:val="008C4F3A"/>
    <w:rsid w:val="008C4F45"/>
    <w:rsid w:val="008C5100"/>
    <w:rsid w:val="008C5107"/>
    <w:rsid w:val="008C5258"/>
    <w:rsid w:val="008C55CF"/>
    <w:rsid w:val="008C5719"/>
    <w:rsid w:val="008C58A9"/>
    <w:rsid w:val="008C5960"/>
    <w:rsid w:val="008C5C62"/>
    <w:rsid w:val="008C5CDC"/>
    <w:rsid w:val="008C5D98"/>
    <w:rsid w:val="008C5DA1"/>
    <w:rsid w:val="008C5E1E"/>
    <w:rsid w:val="008C5E25"/>
    <w:rsid w:val="008C5EAD"/>
    <w:rsid w:val="008C5EDA"/>
    <w:rsid w:val="008C5F3C"/>
    <w:rsid w:val="008C6059"/>
    <w:rsid w:val="008C6197"/>
    <w:rsid w:val="008C64ED"/>
    <w:rsid w:val="008C64F5"/>
    <w:rsid w:val="008C6536"/>
    <w:rsid w:val="008C6566"/>
    <w:rsid w:val="008C659F"/>
    <w:rsid w:val="008C6738"/>
    <w:rsid w:val="008C67CA"/>
    <w:rsid w:val="008C689A"/>
    <w:rsid w:val="008C6B2F"/>
    <w:rsid w:val="008C6BAD"/>
    <w:rsid w:val="008C6C59"/>
    <w:rsid w:val="008C6C90"/>
    <w:rsid w:val="008C6DEE"/>
    <w:rsid w:val="008C6E60"/>
    <w:rsid w:val="008C6E63"/>
    <w:rsid w:val="008C6E68"/>
    <w:rsid w:val="008C6EBD"/>
    <w:rsid w:val="008C6EE4"/>
    <w:rsid w:val="008C6EFA"/>
    <w:rsid w:val="008C704A"/>
    <w:rsid w:val="008C7110"/>
    <w:rsid w:val="008C71D6"/>
    <w:rsid w:val="008C7474"/>
    <w:rsid w:val="008C7482"/>
    <w:rsid w:val="008C74ED"/>
    <w:rsid w:val="008C7579"/>
    <w:rsid w:val="008C7605"/>
    <w:rsid w:val="008C776C"/>
    <w:rsid w:val="008C77A2"/>
    <w:rsid w:val="008C77EC"/>
    <w:rsid w:val="008C7841"/>
    <w:rsid w:val="008C7959"/>
    <w:rsid w:val="008C79AA"/>
    <w:rsid w:val="008C7A2F"/>
    <w:rsid w:val="008C7A37"/>
    <w:rsid w:val="008C7A56"/>
    <w:rsid w:val="008C7B54"/>
    <w:rsid w:val="008C7C21"/>
    <w:rsid w:val="008C7D5E"/>
    <w:rsid w:val="008C7D69"/>
    <w:rsid w:val="008C7DD8"/>
    <w:rsid w:val="008D003A"/>
    <w:rsid w:val="008D0307"/>
    <w:rsid w:val="008D04FE"/>
    <w:rsid w:val="008D0772"/>
    <w:rsid w:val="008D078E"/>
    <w:rsid w:val="008D08FA"/>
    <w:rsid w:val="008D0973"/>
    <w:rsid w:val="008D0B69"/>
    <w:rsid w:val="008D0BC2"/>
    <w:rsid w:val="008D0BEF"/>
    <w:rsid w:val="008D0F9A"/>
    <w:rsid w:val="008D1036"/>
    <w:rsid w:val="008D1182"/>
    <w:rsid w:val="008D12C7"/>
    <w:rsid w:val="008D13D9"/>
    <w:rsid w:val="008D161F"/>
    <w:rsid w:val="008D17E8"/>
    <w:rsid w:val="008D18B0"/>
    <w:rsid w:val="008D198B"/>
    <w:rsid w:val="008D1AAC"/>
    <w:rsid w:val="008D1BB4"/>
    <w:rsid w:val="008D1D0C"/>
    <w:rsid w:val="008D1EA0"/>
    <w:rsid w:val="008D1F37"/>
    <w:rsid w:val="008D1F55"/>
    <w:rsid w:val="008D21B6"/>
    <w:rsid w:val="008D2241"/>
    <w:rsid w:val="008D22E1"/>
    <w:rsid w:val="008D2700"/>
    <w:rsid w:val="008D27A6"/>
    <w:rsid w:val="008D27F6"/>
    <w:rsid w:val="008D2852"/>
    <w:rsid w:val="008D288D"/>
    <w:rsid w:val="008D2970"/>
    <w:rsid w:val="008D2B6B"/>
    <w:rsid w:val="008D2CC7"/>
    <w:rsid w:val="008D2DB1"/>
    <w:rsid w:val="008D2DE2"/>
    <w:rsid w:val="008D2E56"/>
    <w:rsid w:val="008D3065"/>
    <w:rsid w:val="008D31CF"/>
    <w:rsid w:val="008D356B"/>
    <w:rsid w:val="008D37DA"/>
    <w:rsid w:val="008D38F8"/>
    <w:rsid w:val="008D3975"/>
    <w:rsid w:val="008D3A50"/>
    <w:rsid w:val="008D3BAC"/>
    <w:rsid w:val="008D3E91"/>
    <w:rsid w:val="008D3EC7"/>
    <w:rsid w:val="008D3F05"/>
    <w:rsid w:val="008D3F3B"/>
    <w:rsid w:val="008D4050"/>
    <w:rsid w:val="008D40BC"/>
    <w:rsid w:val="008D4366"/>
    <w:rsid w:val="008D43AB"/>
    <w:rsid w:val="008D451C"/>
    <w:rsid w:val="008D4606"/>
    <w:rsid w:val="008D47D0"/>
    <w:rsid w:val="008D483E"/>
    <w:rsid w:val="008D484B"/>
    <w:rsid w:val="008D48A2"/>
    <w:rsid w:val="008D4A62"/>
    <w:rsid w:val="008D4C1F"/>
    <w:rsid w:val="008D4C48"/>
    <w:rsid w:val="008D4CC8"/>
    <w:rsid w:val="008D500F"/>
    <w:rsid w:val="008D5058"/>
    <w:rsid w:val="008D5250"/>
    <w:rsid w:val="008D52E9"/>
    <w:rsid w:val="008D5378"/>
    <w:rsid w:val="008D5439"/>
    <w:rsid w:val="008D546C"/>
    <w:rsid w:val="008D5643"/>
    <w:rsid w:val="008D56CB"/>
    <w:rsid w:val="008D577D"/>
    <w:rsid w:val="008D57EA"/>
    <w:rsid w:val="008D592F"/>
    <w:rsid w:val="008D5ACC"/>
    <w:rsid w:val="008D5C07"/>
    <w:rsid w:val="008D5C1C"/>
    <w:rsid w:val="008D5D1E"/>
    <w:rsid w:val="008D5D22"/>
    <w:rsid w:val="008D5DCC"/>
    <w:rsid w:val="008D5EFA"/>
    <w:rsid w:val="008D615A"/>
    <w:rsid w:val="008D6236"/>
    <w:rsid w:val="008D624E"/>
    <w:rsid w:val="008D6279"/>
    <w:rsid w:val="008D62F1"/>
    <w:rsid w:val="008D6424"/>
    <w:rsid w:val="008D6436"/>
    <w:rsid w:val="008D6455"/>
    <w:rsid w:val="008D665B"/>
    <w:rsid w:val="008D69E7"/>
    <w:rsid w:val="008D6A3F"/>
    <w:rsid w:val="008D6B69"/>
    <w:rsid w:val="008D6BE8"/>
    <w:rsid w:val="008D6DD7"/>
    <w:rsid w:val="008D6E7F"/>
    <w:rsid w:val="008D6E90"/>
    <w:rsid w:val="008D6F08"/>
    <w:rsid w:val="008D7096"/>
    <w:rsid w:val="008D72D3"/>
    <w:rsid w:val="008D7396"/>
    <w:rsid w:val="008D73A7"/>
    <w:rsid w:val="008D74A5"/>
    <w:rsid w:val="008D7550"/>
    <w:rsid w:val="008D7582"/>
    <w:rsid w:val="008D764C"/>
    <w:rsid w:val="008D7705"/>
    <w:rsid w:val="008D776F"/>
    <w:rsid w:val="008D7891"/>
    <w:rsid w:val="008D79FF"/>
    <w:rsid w:val="008D7B22"/>
    <w:rsid w:val="008D7C73"/>
    <w:rsid w:val="008D7C7B"/>
    <w:rsid w:val="008D7E89"/>
    <w:rsid w:val="008D7F9B"/>
    <w:rsid w:val="008D7FD4"/>
    <w:rsid w:val="008E0012"/>
    <w:rsid w:val="008E00E9"/>
    <w:rsid w:val="008E0279"/>
    <w:rsid w:val="008E02BA"/>
    <w:rsid w:val="008E03FD"/>
    <w:rsid w:val="008E05D7"/>
    <w:rsid w:val="008E05D9"/>
    <w:rsid w:val="008E0666"/>
    <w:rsid w:val="008E0814"/>
    <w:rsid w:val="008E087A"/>
    <w:rsid w:val="008E0913"/>
    <w:rsid w:val="008E0AB0"/>
    <w:rsid w:val="008E0AE4"/>
    <w:rsid w:val="008E0C9A"/>
    <w:rsid w:val="008E0D27"/>
    <w:rsid w:val="008E0D2F"/>
    <w:rsid w:val="008E0F35"/>
    <w:rsid w:val="008E12DC"/>
    <w:rsid w:val="008E1332"/>
    <w:rsid w:val="008E155C"/>
    <w:rsid w:val="008E165E"/>
    <w:rsid w:val="008E17A5"/>
    <w:rsid w:val="008E182E"/>
    <w:rsid w:val="008E1989"/>
    <w:rsid w:val="008E1BC5"/>
    <w:rsid w:val="008E1CC3"/>
    <w:rsid w:val="008E1FEA"/>
    <w:rsid w:val="008E2098"/>
    <w:rsid w:val="008E2139"/>
    <w:rsid w:val="008E219A"/>
    <w:rsid w:val="008E21F6"/>
    <w:rsid w:val="008E23BD"/>
    <w:rsid w:val="008E2584"/>
    <w:rsid w:val="008E2597"/>
    <w:rsid w:val="008E25B9"/>
    <w:rsid w:val="008E26CB"/>
    <w:rsid w:val="008E26CC"/>
    <w:rsid w:val="008E2737"/>
    <w:rsid w:val="008E2759"/>
    <w:rsid w:val="008E27DF"/>
    <w:rsid w:val="008E27FB"/>
    <w:rsid w:val="008E2800"/>
    <w:rsid w:val="008E28E0"/>
    <w:rsid w:val="008E2A43"/>
    <w:rsid w:val="008E2AF9"/>
    <w:rsid w:val="008E2BA8"/>
    <w:rsid w:val="008E2C11"/>
    <w:rsid w:val="008E2C7C"/>
    <w:rsid w:val="008E2CAF"/>
    <w:rsid w:val="008E2CE3"/>
    <w:rsid w:val="008E2D07"/>
    <w:rsid w:val="008E3001"/>
    <w:rsid w:val="008E3064"/>
    <w:rsid w:val="008E334A"/>
    <w:rsid w:val="008E33D5"/>
    <w:rsid w:val="008E3415"/>
    <w:rsid w:val="008E34B9"/>
    <w:rsid w:val="008E34D9"/>
    <w:rsid w:val="008E3559"/>
    <w:rsid w:val="008E36E8"/>
    <w:rsid w:val="008E37E6"/>
    <w:rsid w:val="008E38C1"/>
    <w:rsid w:val="008E3928"/>
    <w:rsid w:val="008E3A0E"/>
    <w:rsid w:val="008E3C0C"/>
    <w:rsid w:val="008E3C0E"/>
    <w:rsid w:val="008E3CC0"/>
    <w:rsid w:val="008E3F2F"/>
    <w:rsid w:val="008E4058"/>
    <w:rsid w:val="008E40D1"/>
    <w:rsid w:val="008E41F8"/>
    <w:rsid w:val="008E4224"/>
    <w:rsid w:val="008E43E0"/>
    <w:rsid w:val="008E453C"/>
    <w:rsid w:val="008E4583"/>
    <w:rsid w:val="008E45B2"/>
    <w:rsid w:val="008E45F6"/>
    <w:rsid w:val="008E4630"/>
    <w:rsid w:val="008E46E8"/>
    <w:rsid w:val="008E4726"/>
    <w:rsid w:val="008E48DD"/>
    <w:rsid w:val="008E4A89"/>
    <w:rsid w:val="008E4B50"/>
    <w:rsid w:val="008E4B71"/>
    <w:rsid w:val="008E4BB8"/>
    <w:rsid w:val="008E4C61"/>
    <w:rsid w:val="008E4CEE"/>
    <w:rsid w:val="008E4FC6"/>
    <w:rsid w:val="008E4FC8"/>
    <w:rsid w:val="008E5049"/>
    <w:rsid w:val="008E5164"/>
    <w:rsid w:val="008E51CB"/>
    <w:rsid w:val="008E51D3"/>
    <w:rsid w:val="008E51EE"/>
    <w:rsid w:val="008E5527"/>
    <w:rsid w:val="008E56B5"/>
    <w:rsid w:val="008E577A"/>
    <w:rsid w:val="008E57D0"/>
    <w:rsid w:val="008E59AA"/>
    <w:rsid w:val="008E5AE9"/>
    <w:rsid w:val="008E5AFB"/>
    <w:rsid w:val="008E5AFD"/>
    <w:rsid w:val="008E5B1B"/>
    <w:rsid w:val="008E5BC3"/>
    <w:rsid w:val="008E5CE1"/>
    <w:rsid w:val="008E6206"/>
    <w:rsid w:val="008E62DD"/>
    <w:rsid w:val="008E647A"/>
    <w:rsid w:val="008E64AD"/>
    <w:rsid w:val="008E64E5"/>
    <w:rsid w:val="008E653E"/>
    <w:rsid w:val="008E6583"/>
    <w:rsid w:val="008E65D9"/>
    <w:rsid w:val="008E6617"/>
    <w:rsid w:val="008E664F"/>
    <w:rsid w:val="008E67CE"/>
    <w:rsid w:val="008E690B"/>
    <w:rsid w:val="008E6959"/>
    <w:rsid w:val="008E6BFC"/>
    <w:rsid w:val="008E6DCE"/>
    <w:rsid w:val="008E72DA"/>
    <w:rsid w:val="008E7344"/>
    <w:rsid w:val="008E7374"/>
    <w:rsid w:val="008E7393"/>
    <w:rsid w:val="008E74E9"/>
    <w:rsid w:val="008E7581"/>
    <w:rsid w:val="008E7640"/>
    <w:rsid w:val="008E7664"/>
    <w:rsid w:val="008E768A"/>
    <w:rsid w:val="008E7765"/>
    <w:rsid w:val="008E78D3"/>
    <w:rsid w:val="008E78D8"/>
    <w:rsid w:val="008E7A8B"/>
    <w:rsid w:val="008E7C2F"/>
    <w:rsid w:val="008E7DF9"/>
    <w:rsid w:val="008F00B9"/>
    <w:rsid w:val="008F00F0"/>
    <w:rsid w:val="008F0122"/>
    <w:rsid w:val="008F0169"/>
    <w:rsid w:val="008F0182"/>
    <w:rsid w:val="008F03C8"/>
    <w:rsid w:val="008F03ED"/>
    <w:rsid w:val="008F04B4"/>
    <w:rsid w:val="008F054C"/>
    <w:rsid w:val="008F059A"/>
    <w:rsid w:val="008F05A2"/>
    <w:rsid w:val="008F05B7"/>
    <w:rsid w:val="008F05DA"/>
    <w:rsid w:val="008F0623"/>
    <w:rsid w:val="008F078B"/>
    <w:rsid w:val="008F0895"/>
    <w:rsid w:val="008F0A14"/>
    <w:rsid w:val="008F0A54"/>
    <w:rsid w:val="008F0A92"/>
    <w:rsid w:val="008F0B24"/>
    <w:rsid w:val="008F0C75"/>
    <w:rsid w:val="008F0DC6"/>
    <w:rsid w:val="008F0EC8"/>
    <w:rsid w:val="008F0EE1"/>
    <w:rsid w:val="008F0FCF"/>
    <w:rsid w:val="008F0FE7"/>
    <w:rsid w:val="008F11E6"/>
    <w:rsid w:val="008F1279"/>
    <w:rsid w:val="008F1434"/>
    <w:rsid w:val="008F145B"/>
    <w:rsid w:val="008F155A"/>
    <w:rsid w:val="008F1606"/>
    <w:rsid w:val="008F16EC"/>
    <w:rsid w:val="008F18CE"/>
    <w:rsid w:val="008F18E7"/>
    <w:rsid w:val="008F19B1"/>
    <w:rsid w:val="008F19CF"/>
    <w:rsid w:val="008F1E82"/>
    <w:rsid w:val="008F1EDC"/>
    <w:rsid w:val="008F1EF0"/>
    <w:rsid w:val="008F1F4B"/>
    <w:rsid w:val="008F1F8D"/>
    <w:rsid w:val="008F2003"/>
    <w:rsid w:val="008F20A6"/>
    <w:rsid w:val="008F2349"/>
    <w:rsid w:val="008F236F"/>
    <w:rsid w:val="008F2440"/>
    <w:rsid w:val="008F248C"/>
    <w:rsid w:val="008F2748"/>
    <w:rsid w:val="008F281D"/>
    <w:rsid w:val="008F2975"/>
    <w:rsid w:val="008F29C9"/>
    <w:rsid w:val="008F2A2F"/>
    <w:rsid w:val="008F2A87"/>
    <w:rsid w:val="008F2C63"/>
    <w:rsid w:val="008F2D75"/>
    <w:rsid w:val="008F2D97"/>
    <w:rsid w:val="008F2F04"/>
    <w:rsid w:val="008F3125"/>
    <w:rsid w:val="008F319B"/>
    <w:rsid w:val="008F3225"/>
    <w:rsid w:val="008F32AA"/>
    <w:rsid w:val="008F34B3"/>
    <w:rsid w:val="008F366E"/>
    <w:rsid w:val="008F3877"/>
    <w:rsid w:val="008F3A0A"/>
    <w:rsid w:val="008F3A6C"/>
    <w:rsid w:val="008F3A76"/>
    <w:rsid w:val="008F3A80"/>
    <w:rsid w:val="008F3CB3"/>
    <w:rsid w:val="008F3CCA"/>
    <w:rsid w:val="008F3D4C"/>
    <w:rsid w:val="008F3D55"/>
    <w:rsid w:val="008F3D64"/>
    <w:rsid w:val="008F3D88"/>
    <w:rsid w:val="008F3ED8"/>
    <w:rsid w:val="008F3FB7"/>
    <w:rsid w:val="008F409B"/>
    <w:rsid w:val="008F43E5"/>
    <w:rsid w:val="008F44E2"/>
    <w:rsid w:val="008F44FC"/>
    <w:rsid w:val="008F4689"/>
    <w:rsid w:val="008F48B1"/>
    <w:rsid w:val="008F4997"/>
    <w:rsid w:val="008F49C1"/>
    <w:rsid w:val="008F4A01"/>
    <w:rsid w:val="008F4B1B"/>
    <w:rsid w:val="008F4C52"/>
    <w:rsid w:val="008F4CE1"/>
    <w:rsid w:val="008F4E46"/>
    <w:rsid w:val="008F4E83"/>
    <w:rsid w:val="008F4F1E"/>
    <w:rsid w:val="008F4F26"/>
    <w:rsid w:val="008F5166"/>
    <w:rsid w:val="008F5195"/>
    <w:rsid w:val="008F520E"/>
    <w:rsid w:val="008F5406"/>
    <w:rsid w:val="008F54C7"/>
    <w:rsid w:val="008F5516"/>
    <w:rsid w:val="008F5707"/>
    <w:rsid w:val="008F5839"/>
    <w:rsid w:val="008F58A3"/>
    <w:rsid w:val="008F5A55"/>
    <w:rsid w:val="008F5B7C"/>
    <w:rsid w:val="008F5BAF"/>
    <w:rsid w:val="008F5DAA"/>
    <w:rsid w:val="008F5DDF"/>
    <w:rsid w:val="008F5E29"/>
    <w:rsid w:val="008F5EF2"/>
    <w:rsid w:val="008F6057"/>
    <w:rsid w:val="008F6079"/>
    <w:rsid w:val="008F627F"/>
    <w:rsid w:val="008F6388"/>
    <w:rsid w:val="008F659E"/>
    <w:rsid w:val="008F6656"/>
    <w:rsid w:val="008F67CA"/>
    <w:rsid w:val="008F6834"/>
    <w:rsid w:val="008F689B"/>
    <w:rsid w:val="008F6B6C"/>
    <w:rsid w:val="008F6C19"/>
    <w:rsid w:val="008F6E7C"/>
    <w:rsid w:val="008F6EB0"/>
    <w:rsid w:val="008F6EDF"/>
    <w:rsid w:val="008F6F26"/>
    <w:rsid w:val="008F6FB0"/>
    <w:rsid w:val="008F7061"/>
    <w:rsid w:val="008F7075"/>
    <w:rsid w:val="008F719F"/>
    <w:rsid w:val="008F71B1"/>
    <w:rsid w:val="008F71DF"/>
    <w:rsid w:val="008F73C3"/>
    <w:rsid w:val="008F746C"/>
    <w:rsid w:val="008F74AE"/>
    <w:rsid w:val="008F77FA"/>
    <w:rsid w:val="008F78B3"/>
    <w:rsid w:val="008F7AA0"/>
    <w:rsid w:val="008F7B37"/>
    <w:rsid w:val="008F7CEE"/>
    <w:rsid w:val="008F7E2D"/>
    <w:rsid w:val="008F7EAD"/>
    <w:rsid w:val="008F7EB3"/>
    <w:rsid w:val="008F7EF4"/>
    <w:rsid w:val="0090023E"/>
    <w:rsid w:val="0090033E"/>
    <w:rsid w:val="00900450"/>
    <w:rsid w:val="00900453"/>
    <w:rsid w:val="00900622"/>
    <w:rsid w:val="009006E9"/>
    <w:rsid w:val="009007A3"/>
    <w:rsid w:val="009008EE"/>
    <w:rsid w:val="009009CC"/>
    <w:rsid w:val="009009F5"/>
    <w:rsid w:val="00900A83"/>
    <w:rsid w:val="00900BC0"/>
    <w:rsid w:val="00900EA7"/>
    <w:rsid w:val="00900F36"/>
    <w:rsid w:val="0090105C"/>
    <w:rsid w:val="00901250"/>
    <w:rsid w:val="00901274"/>
    <w:rsid w:val="0090139C"/>
    <w:rsid w:val="009013DA"/>
    <w:rsid w:val="00901476"/>
    <w:rsid w:val="009014A1"/>
    <w:rsid w:val="009014E0"/>
    <w:rsid w:val="009016C8"/>
    <w:rsid w:val="0090173C"/>
    <w:rsid w:val="00901832"/>
    <w:rsid w:val="00901975"/>
    <w:rsid w:val="00901AD9"/>
    <w:rsid w:val="00901B13"/>
    <w:rsid w:val="00901B3D"/>
    <w:rsid w:val="00901CC0"/>
    <w:rsid w:val="00901D5B"/>
    <w:rsid w:val="00901DD4"/>
    <w:rsid w:val="00901E55"/>
    <w:rsid w:val="009020EF"/>
    <w:rsid w:val="009021D9"/>
    <w:rsid w:val="009021FD"/>
    <w:rsid w:val="00902382"/>
    <w:rsid w:val="00902509"/>
    <w:rsid w:val="00902525"/>
    <w:rsid w:val="0090260D"/>
    <w:rsid w:val="00902689"/>
    <w:rsid w:val="00902712"/>
    <w:rsid w:val="00902778"/>
    <w:rsid w:val="009027CA"/>
    <w:rsid w:val="009028A8"/>
    <w:rsid w:val="00902BDD"/>
    <w:rsid w:val="00902C1E"/>
    <w:rsid w:val="00902CA9"/>
    <w:rsid w:val="00902CE8"/>
    <w:rsid w:val="00902D17"/>
    <w:rsid w:val="00902D2A"/>
    <w:rsid w:val="009032B5"/>
    <w:rsid w:val="0090332A"/>
    <w:rsid w:val="009034F3"/>
    <w:rsid w:val="00903507"/>
    <w:rsid w:val="00903517"/>
    <w:rsid w:val="00903657"/>
    <w:rsid w:val="0090368D"/>
    <w:rsid w:val="00903813"/>
    <w:rsid w:val="00903819"/>
    <w:rsid w:val="009038B6"/>
    <w:rsid w:val="00903931"/>
    <w:rsid w:val="009039D2"/>
    <w:rsid w:val="009039F3"/>
    <w:rsid w:val="00903A13"/>
    <w:rsid w:val="00903BCD"/>
    <w:rsid w:val="00903C6B"/>
    <w:rsid w:val="00903E4C"/>
    <w:rsid w:val="00903E5F"/>
    <w:rsid w:val="00903E68"/>
    <w:rsid w:val="0090400F"/>
    <w:rsid w:val="00904068"/>
    <w:rsid w:val="00904100"/>
    <w:rsid w:val="00904280"/>
    <w:rsid w:val="009042F5"/>
    <w:rsid w:val="00904302"/>
    <w:rsid w:val="0090445F"/>
    <w:rsid w:val="0090454B"/>
    <w:rsid w:val="009045FE"/>
    <w:rsid w:val="00904761"/>
    <w:rsid w:val="0090476B"/>
    <w:rsid w:val="00904792"/>
    <w:rsid w:val="009047EC"/>
    <w:rsid w:val="00904A9E"/>
    <w:rsid w:val="00904CA7"/>
    <w:rsid w:val="00904DD0"/>
    <w:rsid w:val="00904FB3"/>
    <w:rsid w:val="00905104"/>
    <w:rsid w:val="00905409"/>
    <w:rsid w:val="0090553E"/>
    <w:rsid w:val="0090556C"/>
    <w:rsid w:val="00905765"/>
    <w:rsid w:val="00905AAE"/>
    <w:rsid w:val="00905B24"/>
    <w:rsid w:val="00905D27"/>
    <w:rsid w:val="00905E91"/>
    <w:rsid w:val="00906071"/>
    <w:rsid w:val="009060A4"/>
    <w:rsid w:val="009061B9"/>
    <w:rsid w:val="0090629F"/>
    <w:rsid w:val="009062C7"/>
    <w:rsid w:val="0090632F"/>
    <w:rsid w:val="0090639D"/>
    <w:rsid w:val="009063B1"/>
    <w:rsid w:val="00906535"/>
    <w:rsid w:val="00906589"/>
    <w:rsid w:val="0090661D"/>
    <w:rsid w:val="00906672"/>
    <w:rsid w:val="009066A4"/>
    <w:rsid w:val="009066EC"/>
    <w:rsid w:val="009067EE"/>
    <w:rsid w:val="0090689A"/>
    <w:rsid w:val="00906A1E"/>
    <w:rsid w:val="00906B94"/>
    <w:rsid w:val="00906BAD"/>
    <w:rsid w:val="00906C20"/>
    <w:rsid w:val="00906DD2"/>
    <w:rsid w:val="00906EB6"/>
    <w:rsid w:val="00906F40"/>
    <w:rsid w:val="00907098"/>
    <w:rsid w:val="00907136"/>
    <w:rsid w:val="0090716C"/>
    <w:rsid w:val="009071C5"/>
    <w:rsid w:val="0090723C"/>
    <w:rsid w:val="009073BB"/>
    <w:rsid w:val="009077D9"/>
    <w:rsid w:val="009078C8"/>
    <w:rsid w:val="009078CC"/>
    <w:rsid w:val="00907984"/>
    <w:rsid w:val="00907BA0"/>
    <w:rsid w:val="00907C77"/>
    <w:rsid w:val="00907CA7"/>
    <w:rsid w:val="00907D94"/>
    <w:rsid w:val="00907D96"/>
    <w:rsid w:val="00907DC2"/>
    <w:rsid w:val="00907E73"/>
    <w:rsid w:val="00907EEF"/>
    <w:rsid w:val="00907F78"/>
    <w:rsid w:val="00907FE9"/>
    <w:rsid w:val="0091002C"/>
    <w:rsid w:val="00910247"/>
    <w:rsid w:val="0091035A"/>
    <w:rsid w:val="009103AF"/>
    <w:rsid w:val="0091040A"/>
    <w:rsid w:val="00910415"/>
    <w:rsid w:val="009104FE"/>
    <w:rsid w:val="00910566"/>
    <w:rsid w:val="009105CD"/>
    <w:rsid w:val="00910610"/>
    <w:rsid w:val="009108DF"/>
    <w:rsid w:val="0091094E"/>
    <w:rsid w:val="00910B2D"/>
    <w:rsid w:val="00910B8C"/>
    <w:rsid w:val="00910BDB"/>
    <w:rsid w:val="00910CE7"/>
    <w:rsid w:val="00910D01"/>
    <w:rsid w:val="00910E03"/>
    <w:rsid w:val="00910ECC"/>
    <w:rsid w:val="00910F7D"/>
    <w:rsid w:val="00910FB5"/>
    <w:rsid w:val="00911106"/>
    <w:rsid w:val="00911117"/>
    <w:rsid w:val="00911127"/>
    <w:rsid w:val="009112F1"/>
    <w:rsid w:val="009119C7"/>
    <w:rsid w:val="009119F7"/>
    <w:rsid w:val="00911A44"/>
    <w:rsid w:val="00911A5A"/>
    <w:rsid w:val="00911ABC"/>
    <w:rsid w:val="00911AF6"/>
    <w:rsid w:val="00911CAF"/>
    <w:rsid w:val="00911CF6"/>
    <w:rsid w:val="00911F40"/>
    <w:rsid w:val="0091217E"/>
    <w:rsid w:val="009121FC"/>
    <w:rsid w:val="0091226F"/>
    <w:rsid w:val="00912296"/>
    <w:rsid w:val="009122C1"/>
    <w:rsid w:val="0091230E"/>
    <w:rsid w:val="0091233F"/>
    <w:rsid w:val="009124B7"/>
    <w:rsid w:val="00912536"/>
    <w:rsid w:val="00912651"/>
    <w:rsid w:val="0091283D"/>
    <w:rsid w:val="0091288D"/>
    <w:rsid w:val="0091294F"/>
    <w:rsid w:val="009129C4"/>
    <w:rsid w:val="00912A61"/>
    <w:rsid w:val="00912B02"/>
    <w:rsid w:val="00912B6E"/>
    <w:rsid w:val="00912CDC"/>
    <w:rsid w:val="00912CE8"/>
    <w:rsid w:val="00912D0E"/>
    <w:rsid w:val="00912D24"/>
    <w:rsid w:val="00912D39"/>
    <w:rsid w:val="00912E68"/>
    <w:rsid w:val="00912F18"/>
    <w:rsid w:val="00912F84"/>
    <w:rsid w:val="00913004"/>
    <w:rsid w:val="00913180"/>
    <w:rsid w:val="00913370"/>
    <w:rsid w:val="00913515"/>
    <w:rsid w:val="009135C4"/>
    <w:rsid w:val="00913643"/>
    <w:rsid w:val="00913789"/>
    <w:rsid w:val="00913806"/>
    <w:rsid w:val="009139C1"/>
    <w:rsid w:val="009139C3"/>
    <w:rsid w:val="00913A58"/>
    <w:rsid w:val="00913BA4"/>
    <w:rsid w:val="00913DD0"/>
    <w:rsid w:val="00913F1E"/>
    <w:rsid w:val="0091409E"/>
    <w:rsid w:val="009140B9"/>
    <w:rsid w:val="009141D5"/>
    <w:rsid w:val="0091421E"/>
    <w:rsid w:val="00914399"/>
    <w:rsid w:val="00914445"/>
    <w:rsid w:val="0091459D"/>
    <w:rsid w:val="00914632"/>
    <w:rsid w:val="009148EF"/>
    <w:rsid w:val="00914AAD"/>
    <w:rsid w:val="00914ADC"/>
    <w:rsid w:val="00914E31"/>
    <w:rsid w:val="00914EB4"/>
    <w:rsid w:val="00914F13"/>
    <w:rsid w:val="00914FB3"/>
    <w:rsid w:val="009151A8"/>
    <w:rsid w:val="009151C7"/>
    <w:rsid w:val="0091520A"/>
    <w:rsid w:val="00915435"/>
    <w:rsid w:val="0091543B"/>
    <w:rsid w:val="00915482"/>
    <w:rsid w:val="00915550"/>
    <w:rsid w:val="00915647"/>
    <w:rsid w:val="009156AF"/>
    <w:rsid w:val="009157CC"/>
    <w:rsid w:val="00915C0A"/>
    <w:rsid w:val="00915CB2"/>
    <w:rsid w:val="00915D01"/>
    <w:rsid w:val="00915D10"/>
    <w:rsid w:val="00915DA6"/>
    <w:rsid w:val="00915EEE"/>
    <w:rsid w:val="00916016"/>
    <w:rsid w:val="00916030"/>
    <w:rsid w:val="009160FF"/>
    <w:rsid w:val="009161FF"/>
    <w:rsid w:val="0091622A"/>
    <w:rsid w:val="009162AE"/>
    <w:rsid w:val="009162C9"/>
    <w:rsid w:val="0091639E"/>
    <w:rsid w:val="00916462"/>
    <w:rsid w:val="009164FE"/>
    <w:rsid w:val="0091699F"/>
    <w:rsid w:val="009169AB"/>
    <w:rsid w:val="00916A3F"/>
    <w:rsid w:val="00916B63"/>
    <w:rsid w:val="00916B9B"/>
    <w:rsid w:val="00916CA5"/>
    <w:rsid w:val="00916CAD"/>
    <w:rsid w:val="00916CF1"/>
    <w:rsid w:val="00916F74"/>
    <w:rsid w:val="00916FE3"/>
    <w:rsid w:val="0091700A"/>
    <w:rsid w:val="0091713A"/>
    <w:rsid w:val="00917176"/>
    <w:rsid w:val="00917230"/>
    <w:rsid w:val="0091723E"/>
    <w:rsid w:val="009172CF"/>
    <w:rsid w:val="00917533"/>
    <w:rsid w:val="0091758F"/>
    <w:rsid w:val="0091761E"/>
    <w:rsid w:val="00917706"/>
    <w:rsid w:val="0091775F"/>
    <w:rsid w:val="00917764"/>
    <w:rsid w:val="0091784F"/>
    <w:rsid w:val="009178A0"/>
    <w:rsid w:val="009178A5"/>
    <w:rsid w:val="00917905"/>
    <w:rsid w:val="009179B5"/>
    <w:rsid w:val="009179FA"/>
    <w:rsid w:val="00917A1A"/>
    <w:rsid w:val="00917B69"/>
    <w:rsid w:val="00917B6C"/>
    <w:rsid w:val="00917BB2"/>
    <w:rsid w:val="00917F57"/>
    <w:rsid w:val="00920136"/>
    <w:rsid w:val="0092024E"/>
    <w:rsid w:val="0092028F"/>
    <w:rsid w:val="009202DE"/>
    <w:rsid w:val="009204D5"/>
    <w:rsid w:val="009204FB"/>
    <w:rsid w:val="00920610"/>
    <w:rsid w:val="00920640"/>
    <w:rsid w:val="00920667"/>
    <w:rsid w:val="009206F3"/>
    <w:rsid w:val="009208E0"/>
    <w:rsid w:val="0092098C"/>
    <w:rsid w:val="009209DF"/>
    <w:rsid w:val="009209EC"/>
    <w:rsid w:val="00920B43"/>
    <w:rsid w:val="00920D02"/>
    <w:rsid w:val="00920D7A"/>
    <w:rsid w:val="00920DEB"/>
    <w:rsid w:val="00920F43"/>
    <w:rsid w:val="0092109D"/>
    <w:rsid w:val="009211FB"/>
    <w:rsid w:val="0092176A"/>
    <w:rsid w:val="00921775"/>
    <w:rsid w:val="009217A0"/>
    <w:rsid w:val="00921862"/>
    <w:rsid w:val="009218B8"/>
    <w:rsid w:val="00921940"/>
    <w:rsid w:val="00921A1C"/>
    <w:rsid w:val="00921A5A"/>
    <w:rsid w:val="00921BC2"/>
    <w:rsid w:val="00921D87"/>
    <w:rsid w:val="00921E13"/>
    <w:rsid w:val="00922077"/>
    <w:rsid w:val="00922078"/>
    <w:rsid w:val="009221C3"/>
    <w:rsid w:val="009221CD"/>
    <w:rsid w:val="0092246E"/>
    <w:rsid w:val="0092248E"/>
    <w:rsid w:val="009224C8"/>
    <w:rsid w:val="009224E0"/>
    <w:rsid w:val="0092265B"/>
    <w:rsid w:val="00922760"/>
    <w:rsid w:val="0092283D"/>
    <w:rsid w:val="0092288B"/>
    <w:rsid w:val="00922904"/>
    <w:rsid w:val="009229F2"/>
    <w:rsid w:val="00922B56"/>
    <w:rsid w:val="00922BCE"/>
    <w:rsid w:val="00922C70"/>
    <w:rsid w:val="00922D20"/>
    <w:rsid w:val="00922D53"/>
    <w:rsid w:val="00922E01"/>
    <w:rsid w:val="00922FBB"/>
    <w:rsid w:val="00922FF4"/>
    <w:rsid w:val="009233C3"/>
    <w:rsid w:val="00923484"/>
    <w:rsid w:val="0092362C"/>
    <w:rsid w:val="00923651"/>
    <w:rsid w:val="00923705"/>
    <w:rsid w:val="0092372E"/>
    <w:rsid w:val="00923779"/>
    <w:rsid w:val="00923799"/>
    <w:rsid w:val="009237DA"/>
    <w:rsid w:val="00923806"/>
    <w:rsid w:val="00923A1D"/>
    <w:rsid w:val="00923A7D"/>
    <w:rsid w:val="00923A9B"/>
    <w:rsid w:val="00923B25"/>
    <w:rsid w:val="00923B26"/>
    <w:rsid w:val="00923B46"/>
    <w:rsid w:val="00923BD2"/>
    <w:rsid w:val="00923E00"/>
    <w:rsid w:val="00923EF6"/>
    <w:rsid w:val="00923F7E"/>
    <w:rsid w:val="0092408D"/>
    <w:rsid w:val="009240A8"/>
    <w:rsid w:val="00924327"/>
    <w:rsid w:val="009243FA"/>
    <w:rsid w:val="00924449"/>
    <w:rsid w:val="0092464E"/>
    <w:rsid w:val="00924773"/>
    <w:rsid w:val="0092477D"/>
    <w:rsid w:val="009248E0"/>
    <w:rsid w:val="009248E5"/>
    <w:rsid w:val="009248F0"/>
    <w:rsid w:val="00924936"/>
    <w:rsid w:val="00924992"/>
    <w:rsid w:val="009249EE"/>
    <w:rsid w:val="00924AF2"/>
    <w:rsid w:val="00924BEB"/>
    <w:rsid w:val="00924C35"/>
    <w:rsid w:val="00924CD0"/>
    <w:rsid w:val="00924DBA"/>
    <w:rsid w:val="00924E02"/>
    <w:rsid w:val="00924EEF"/>
    <w:rsid w:val="00924F5D"/>
    <w:rsid w:val="00925214"/>
    <w:rsid w:val="00925279"/>
    <w:rsid w:val="00925349"/>
    <w:rsid w:val="0092539C"/>
    <w:rsid w:val="009253A4"/>
    <w:rsid w:val="0092541C"/>
    <w:rsid w:val="00925592"/>
    <w:rsid w:val="00925630"/>
    <w:rsid w:val="0092565E"/>
    <w:rsid w:val="009256EA"/>
    <w:rsid w:val="00925769"/>
    <w:rsid w:val="0092587B"/>
    <w:rsid w:val="00925AFB"/>
    <w:rsid w:val="00925B62"/>
    <w:rsid w:val="00925C69"/>
    <w:rsid w:val="00925FCB"/>
    <w:rsid w:val="00925FD8"/>
    <w:rsid w:val="00925FDD"/>
    <w:rsid w:val="00926020"/>
    <w:rsid w:val="009261E6"/>
    <w:rsid w:val="0092626F"/>
    <w:rsid w:val="00926538"/>
    <w:rsid w:val="00926567"/>
    <w:rsid w:val="00926760"/>
    <w:rsid w:val="00926832"/>
    <w:rsid w:val="009269F9"/>
    <w:rsid w:val="00926BF2"/>
    <w:rsid w:val="00926C07"/>
    <w:rsid w:val="00926D3B"/>
    <w:rsid w:val="00927147"/>
    <w:rsid w:val="00927310"/>
    <w:rsid w:val="00927368"/>
    <w:rsid w:val="0092740A"/>
    <w:rsid w:val="009278F0"/>
    <w:rsid w:val="0092791D"/>
    <w:rsid w:val="00927B0E"/>
    <w:rsid w:val="00927BE6"/>
    <w:rsid w:val="00927BFF"/>
    <w:rsid w:val="00927D2F"/>
    <w:rsid w:val="00927D82"/>
    <w:rsid w:val="00927D99"/>
    <w:rsid w:val="00927E65"/>
    <w:rsid w:val="00927F1D"/>
    <w:rsid w:val="00927FA7"/>
    <w:rsid w:val="00930199"/>
    <w:rsid w:val="009302AE"/>
    <w:rsid w:val="0093052F"/>
    <w:rsid w:val="009305FE"/>
    <w:rsid w:val="00930777"/>
    <w:rsid w:val="009307CF"/>
    <w:rsid w:val="009307DA"/>
    <w:rsid w:val="009307F2"/>
    <w:rsid w:val="009308F3"/>
    <w:rsid w:val="0093091C"/>
    <w:rsid w:val="009309A9"/>
    <w:rsid w:val="00930C04"/>
    <w:rsid w:val="00930C38"/>
    <w:rsid w:val="00930F47"/>
    <w:rsid w:val="00931293"/>
    <w:rsid w:val="009312AB"/>
    <w:rsid w:val="009312FD"/>
    <w:rsid w:val="0093144A"/>
    <w:rsid w:val="0093149B"/>
    <w:rsid w:val="009314C9"/>
    <w:rsid w:val="009318B9"/>
    <w:rsid w:val="009318D0"/>
    <w:rsid w:val="009319FE"/>
    <w:rsid w:val="00931A94"/>
    <w:rsid w:val="00931B2B"/>
    <w:rsid w:val="00931C62"/>
    <w:rsid w:val="00931CC3"/>
    <w:rsid w:val="00931D3D"/>
    <w:rsid w:val="00931DFC"/>
    <w:rsid w:val="00931E09"/>
    <w:rsid w:val="00931E1C"/>
    <w:rsid w:val="00931FEB"/>
    <w:rsid w:val="00932069"/>
    <w:rsid w:val="009320D0"/>
    <w:rsid w:val="00932205"/>
    <w:rsid w:val="00932334"/>
    <w:rsid w:val="00932419"/>
    <w:rsid w:val="009324C0"/>
    <w:rsid w:val="0093259C"/>
    <w:rsid w:val="009326E8"/>
    <w:rsid w:val="0093274A"/>
    <w:rsid w:val="00932857"/>
    <w:rsid w:val="0093288E"/>
    <w:rsid w:val="009329A8"/>
    <w:rsid w:val="00932A94"/>
    <w:rsid w:val="00932BD4"/>
    <w:rsid w:val="00932C68"/>
    <w:rsid w:val="00932D4F"/>
    <w:rsid w:val="00932DA2"/>
    <w:rsid w:val="009330A2"/>
    <w:rsid w:val="00933198"/>
    <w:rsid w:val="00933350"/>
    <w:rsid w:val="00933360"/>
    <w:rsid w:val="0093337A"/>
    <w:rsid w:val="009333BB"/>
    <w:rsid w:val="00933525"/>
    <w:rsid w:val="00933565"/>
    <w:rsid w:val="00933619"/>
    <w:rsid w:val="0093380E"/>
    <w:rsid w:val="00933931"/>
    <w:rsid w:val="00933A39"/>
    <w:rsid w:val="00933ABA"/>
    <w:rsid w:val="00933BDD"/>
    <w:rsid w:val="00933CEB"/>
    <w:rsid w:val="00934138"/>
    <w:rsid w:val="00934153"/>
    <w:rsid w:val="00934164"/>
    <w:rsid w:val="009342E7"/>
    <w:rsid w:val="0093449F"/>
    <w:rsid w:val="00934523"/>
    <w:rsid w:val="009345E9"/>
    <w:rsid w:val="0093470C"/>
    <w:rsid w:val="009347E1"/>
    <w:rsid w:val="0093483A"/>
    <w:rsid w:val="009348AA"/>
    <w:rsid w:val="009348F3"/>
    <w:rsid w:val="0093496C"/>
    <w:rsid w:val="00934B84"/>
    <w:rsid w:val="00934C70"/>
    <w:rsid w:val="00934DE4"/>
    <w:rsid w:val="00935007"/>
    <w:rsid w:val="0093508E"/>
    <w:rsid w:val="00935193"/>
    <w:rsid w:val="00935279"/>
    <w:rsid w:val="009352F1"/>
    <w:rsid w:val="00935337"/>
    <w:rsid w:val="0093539F"/>
    <w:rsid w:val="009353F1"/>
    <w:rsid w:val="00935551"/>
    <w:rsid w:val="0093581C"/>
    <w:rsid w:val="00935A54"/>
    <w:rsid w:val="00935BD1"/>
    <w:rsid w:val="00935C9F"/>
    <w:rsid w:val="00935CA5"/>
    <w:rsid w:val="00935DA8"/>
    <w:rsid w:val="00935DCB"/>
    <w:rsid w:val="00935E97"/>
    <w:rsid w:val="0093600F"/>
    <w:rsid w:val="009360A6"/>
    <w:rsid w:val="00936173"/>
    <w:rsid w:val="009362FB"/>
    <w:rsid w:val="0093638C"/>
    <w:rsid w:val="009364B4"/>
    <w:rsid w:val="009364F2"/>
    <w:rsid w:val="00936656"/>
    <w:rsid w:val="00936664"/>
    <w:rsid w:val="00936685"/>
    <w:rsid w:val="00936702"/>
    <w:rsid w:val="009368C1"/>
    <w:rsid w:val="009368DF"/>
    <w:rsid w:val="00936B49"/>
    <w:rsid w:val="00936C01"/>
    <w:rsid w:val="00936DCF"/>
    <w:rsid w:val="00936E51"/>
    <w:rsid w:val="00937016"/>
    <w:rsid w:val="0093713E"/>
    <w:rsid w:val="0093738C"/>
    <w:rsid w:val="009373E0"/>
    <w:rsid w:val="009374EE"/>
    <w:rsid w:val="0093751C"/>
    <w:rsid w:val="00937630"/>
    <w:rsid w:val="00937705"/>
    <w:rsid w:val="00937755"/>
    <w:rsid w:val="00937807"/>
    <w:rsid w:val="0093780A"/>
    <w:rsid w:val="00937826"/>
    <w:rsid w:val="009378D6"/>
    <w:rsid w:val="00937B34"/>
    <w:rsid w:val="00937CC3"/>
    <w:rsid w:val="00937D06"/>
    <w:rsid w:val="00937F08"/>
    <w:rsid w:val="00937F20"/>
    <w:rsid w:val="00937FD5"/>
    <w:rsid w:val="00940262"/>
    <w:rsid w:val="009402C8"/>
    <w:rsid w:val="009402F2"/>
    <w:rsid w:val="009404CE"/>
    <w:rsid w:val="00940590"/>
    <w:rsid w:val="00940841"/>
    <w:rsid w:val="00940910"/>
    <w:rsid w:val="00940933"/>
    <w:rsid w:val="00940FDB"/>
    <w:rsid w:val="009410B2"/>
    <w:rsid w:val="009411E8"/>
    <w:rsid w:val="00941231"/>
    <w:rsid w:val="00941517"/>
    <w:rsid w:val="00941589"/>
    <w:rsid w:val="00941638"/>
    <w:rsid w:val="0094166B"/>
    <w:rsid w:val="009416A0"/>
    <w:rsid w:val="00941940"/>
    <w:rsid w:val="00941962"/>
    <w:rsid w:val="00941ABD"/>
    <w:rsid w:val="00941C2A"/>
    <w:rsid w:val="00941E2A"/>
    <w:rsid w:val="0094216D"/>
    <w:rsid w:val="009421D2"/>
    <w:rsid w:val="00942257"/>
    <w:rsid w:val="0094237A"/>
    <w:rsid w:val="0094244E"/>
    <w:rsid w:val="009428A9"/>
    <w:rsid w:val="0094293F"/>
    <w:rsid w:val="00942965"/>
    <w:rsid w:val="00942984"/>
    <w:rsid w:val="009429E8"/>
    <w:rsid w:val="009429E9"/>
    <w:rsid w:val="00942BC3"/>
    <w:rsid w:val="00942EF6"/>
    <w:rsid w:val="009430DA"/>
    <w:rsid w:val="0094328A"/>
    <w:rsid w:val="009432E9"/>
    <w:rsid w:val="0094331C"/>
    <w:rsid w:val="009433EE"/>
    <w:rsid w:val="00943635"/>
    <w:rsid w:val="0094371E"/>
    <w:rsid w:val="00943794"/>
    <w:rsid w:val="00943814"/>
    <w:rsid w:val="00943A07"/>
    <w:rsid w:val="00943A82"/>
    <w:rsid w:val="00943C14"/>
    <w:rsid w:val="00943CAD"/>
    <w:rsid w:val="00943DE0"/>
    <w:rsid w:val="00943DF2"/>
    <w:rsid w:val="00943E48"/>
    <w:rsid w:val="00943E9E"/>
    <w:rsid w:val="00943F1D"/>
    <w:rsid w:val="00944000"/>
    <w:rsid w:val="00944042"/>
    <w:rsid w:val="00944068"/>
    <w:rsid w:val="009440FD"/>
    <w:rsid w:val="0094440C"/>
    <w:rsid w:val="00944521"/>
    <w:rsid w:val="0094457B"/>
    <w:rsid w:val="00944877"/>
    <w:rsid w:val="00944B48"/>
    <w:rsid w:val="00944C1F"/>
    <w:rsid w:val="00944C3F"/>
    <w:rsid w:val="00944DD2"/>
    <w:rsid w:val="00944E01"/>
    <w:rsid w:val="00944E6A"/>
    <w:rsid w:val="00944EF8"/>
    <w:rsid w:val="00944F6C"/>
    <w:rsid w:val="00945076"/>
    <w:rsid w:val="009453F5"/>
    <w:rsid w:val="0094549A"/>
    <w:rsid w:val="00945662"/>
    <w:rsid w:val="00945683"/>
    <w:rsid w:val="0094570F"/>
    <w:rsid w:val="0094576C"/>
    <w:rsid w:val="00945779"/>
    <w:rsid w:val="009457C9"/>
    <w:rsid w:val="0094586F"/>
    <w:rsid w:val="0094595C"/>
    <w:rsid w:val="009459E9"/>
    <w:rsid w:val="00945BB8"/>
    <w:rsid w:val="00945C0C"/>
    <w:rsid w:val="00945C46"/>
    <w:rsid w:val="00945EEF"/>
    <w:rsid w:val="009460E5"/>
    <w:rsid w:val="00946163"/>
    <w:rsid w:val="00946235"/>
    <w:rsid w:val="0094637F"/>
    <w:rsid w:val="0094670D"/>
    <w:rsid w:val="0094671F"/>
    <w:rsid w:val="00946753"/>
    <w:rsid w:val="009467A7"/>
    <w:rsid w:val="00946813"/>
    <w:rsid w:val="00946935"/>
    <w:rsid w:val="0094693A"/>
    <w:rsid w:val="00946A7C"/>
    <w:rsid w:val="00946AF6"/>
    <w:rsid w:val="00946B70"/>
    <w:rsid w:val="00946BE0"/>
    <w:rsid w:val="00946CD0"/>
    <w:rsid w:val="00946E3E"/>
    <w:rsid w:val="00946EAA"/>
    <w:rsid w:val="00946F67"/>
    <w:rsid w:val="00946FF9"/>
    <w:rsid w:val="00947010"/>
    <w:rsid w:val="0094706D"/>
    <w:rsid w:val="00947159"/>
    <w:rsid w:val="00947248"/>
    <w:rsid w:val="00947352"/>
    <w:rsid w:val="009474B5"/>
    <w:rsid w:val="00947623"/>
    <w:rsid w:val="00947654"/>
    <w:rsid w:val="009476C6"/>
    <w:rsid w:val="00947744"/>
    <w:rsid w:val="00947773"/>
    <w:rsid w:val="009477C2"/>
    <w:rsid w:val="009477CD"/>
    <w:rsid w:val="009477D7"/>
    <w:rsid w:val="00947967"/>
    <w:rsid w:val="009479AB"/>
    <w:rsid w:val="009479F8"/>
    <w:rsid w:val="00947BEF"/>
    <w:rsid w:val="00947C84"/>
    <w:rsid w:val="00947CAE"/>
    <w:rsid w:val="00947CF6"/>
    <w:rsid w:val="00947D6C"/>
    <w:rsid w:val="00947DE1"/>
    <w:rsid w:val="00947EDE"/>
    <w:rsid w:val="00947F41"/>
    <w:rsid w:val="00947F97"/>
    <w:rsid w:val="0095000E"/>
    <w:rsid w:val="00950050"/>
    <w:rsid w:val="009500CA"/>
    <w:rsid w:val="00950145"/>
    <w:rsid w:val="00950458"/>
    <w:rsid w:val="009505B2"/>
    <w:rsid w:val="009506EA"/>
    <w:rsid w:val="0095073D"/>
    <w:rsid w:val="0095074D"/>
    <w:rsid w:val="00950805"/>
    <w:rsid w:val="009508C1"/>
    <w:rsid w:val="00950A1D"/>
    <w:rsid w:val="00950B7D"/>
    <w:rsid w:val="00950C81"/>
    <w:rsid w:val="00950DD8"/>
    <w:rsid w:val="00950E3B"/>
    <w:rsid w:val="00950EC4"/>
    <w:rsid w:val="00951098"/>
    <w:rsid w:val="0095112F"/>
    <w:rsid w:val="00951262"/>
    <w:rsid w:val="009512A3"/>
    <w:rsid w:val="0095136F"/>
    <w:rsid w:val="00951545"/>
    <w:rsid w:val="00951689"/>
    <w:rsid w:val="00951770"/>
    <w:rsid w:val="00951841"/>
    <w:rsid w:val="009518FC"/>
    <w:rsid w:val="00951BA2"/>
    <w:rsid w:val="00951BD6"/>
    <w:rsid w:val="00951DB2"/>
    <w:rsid w:val="00951DF8"/>
    <w:rsid w:val="00951FD0"/>
    <w:rsid w:val="00952024"/>
    <w:rsid w:val="00952152"/>
    <w:rsid w:val="009521AD"/>
    <w:rsid w:val="0095259A"/>
    <w:rsid w:val="00952604"/>
    <w:rsid w:val="00952959"/>
    <w:rsid w:val="00952A34"/>
    <w:rsid w:val="00952A52"/>
    <w:rsid w:val="00952B3C"/>
    <w:rsid w:val="00952E09"/>
    <w:rsid w:val="00952EC5"/>
    <w:rsid w:val="00952F53"/>
    <w:rsid w:val="00953006"/>
    <w:rsid w:val="00953045"/>
    <w:rsid w:val="00953271"/>
    <w:rsid w:val="0095332E"/>
    <w:rsid w:val="009533C2"/>
    <w:rsid w:val="0095382C"/>
    <w:rsid w:val="00953924"/>
    <w:rsid w:val="00953ADC"/>
    <w:rsid w:val="00953AFE"/>
    <w:rsid w:val="00953CD0"/>
    <w:rsid w:val="00953F0D"/>
    <w:rsid w:val="00953FAD"/>
    <w:rsid w:val="00954172"/>
    <w:rsid w:val="0095421D"/>
    <w:rsid w:val="00954436"/>
    <w:rsid w:val="009548FE"/>
    <w:rsid w:val="00954901"/>
    <w:rsid w:val="00954AF6"/>
    <w:rsid w:val="00954B56"/>
    <w:rsid w:val="00954BC1"/>
    <w:rsid w:val="00954C11"/>
    <w:rsid w:val="00954C65"/>
    <w:rsid w:val="00954C89"/>
    <w:rsid w:val="00954DE2"/>
    <w:rsid w:val="009552CC"/>
    <w:rsid w:val="00955338"/>
    <w:rsid w:val="009553C4"/>
    <w:rsid w:val="00955476"/>
    <w:rsid w:val="009554DE"/>
    <w:rsid w:val="009555F7"/>
    <w:rsid w:val="00955656"/>
    <w:rsid w:val="00955670"/>
    <w:rsid w:val="00955863"/>
    <w:rsid w:val="00955A28"/>
    <w:rsid w:val="00955A81"/>
    <w:rsid w:val="00955A95"/>
    <w:rsid w:val="00955B27"/>
    <w:rsid w:val="00955CAB"/>
    <w:rsid w:val="0095606C"/>
    <w:rsid w:val="00956084"/>
    <w:rsid w:val="00956434"/>
    <w:rsid w:val="00956502"/>
    <w:rsid w:val="009567A3"/>
    <w:rsid w:val="00956852"/>
    <w:rsid w:val="009568E8"/>
    <w:rsid w:val="00956972"/>
    <w:rsid w:val="00956992"/>
    <w:rsid w:val="00956C94"/>
    <w:rsid w:val="00956D59"/>
    <w:rsid w:val="00956DF0"/>
    <w:rsid w:val="00956E25"/>
    <w:rsid w:val="00956F25"/>
    <w:rsid w:val="00956F26"/>
    <w:rsid w:val="00956FAB"/>
    <w:rsid w:val="00957012"/>
    <w:rsid w:val="0095704D"/>
    <w:rsid w:val="00957073"/>
    <w:rsid w:val="009571E6"/>
    <w:rsid w:val="009573DA"/>
    <w:rsid w:val="009573DE"/>
    <w:rsid w:val="00957682"/>
    <w:rsid w:val="009576CE"/>
    <w:rsid w:val="0095779D"/>
    <w:rsid w:val="009578F0"/>
    <w:rsid w:val="00957916"/>
    <w:rsid w:val="00957A69"/>
    <w:rsid w:val="00957A7E"/>
    <w:rsid w:val="00957A8C"/>
    <w:rsid w:val="00957B4C"/>
    <w:rsid w:val="00957BA6"/>
    <w:rsid w:val="00957EA0"/>
    <w:rsid w:val="00957EB3"/>
    <w:rsid w:val="00957F02"/>
    <w:rsid w:val="009601E5"/>
    <w:rsid w:val="009602EF"/>
    <w:rsid w:val="009603D8"/>
    <w:rsid w:val="0096043B"/>
    <w:rsid w:val="0096045C"/>
    <w:rsid w:val="00960518"/>
    <w:rsid w:val="00960526"/>
    <w:rsid w:val="009605BE"/>
    <w:rsid w:val="00960600"/>
    <w:rsid w:val="0096074B"/>
    <w:rsid w:val="00960775"/>
    <w:rsid w:val="00960859"/>
    <w:rsid w:val="00960A83"/>
    <w:rsid w:val="00960DBB"/>
    <w:rsid w:val="00960DC8"/>
    <w:rsid w:val="00960EA9"/>
    <w:rsid w:val="00960ED0"/>
    <w:rsid w:val="0096103A"/>
    <w:rsid w:val="00961076"/>
    <w:rsid w:val="0096133A"/>
    <w:rsid w:val="00961358"/>
    <w:rsid w:val="0096152F"/>
    <w:rsid w:val="009615D5"/>
    <w:rsid w:val="009615DF"/>
    <w:rsid w:val="009615F0"/>
    <w:rsid w:val="0096166C"/>
    <w:rsid w:val="009616E7"/>
    <w:rsid w:val="00961A2F"/>
    <w:rsid w:val="00961A4D"/>
    <w:rsid w:val="00961A5B"/>
    <w:rsid w:val="00961B9E"/>
    <w:rsid w:val="00961D40"/>
    <w:rsid w:val="00961E1E"/>
    <w:rsid w:val="00961EB1"/>
    <w:rsid w:val="00962074"/>
    <w:rsid w:val="00962616"/>
    <w:rsid w:val="0096271B"/>
    <w:rsid w:val="009627C0"/>
    <w:rsid w:val="00962804"/>
    <w:rsid w:val="009628CC"/>
    <w:rsid w:val="00962963"/>
    <w:rsid w:val="00962AD7"/>
    <w:rsid w:val="00962AF2"/>
    <w:rsid w:val="00962BB6"/>
    <w:rsid w:val="00962C32"/>
    <w:rsid w:val="00962C8D"/>
    <w:rsid w:val="00962C9D"/>
    <w:rsid w:val="00962FF5"/>
    <w:rsid w:val="0096301D"/>
    <w:rsid w:val="009630AE"/>
    <w:rsid w:val="00963177"/>
    <w:rsid w:val="0096330F"/>
    <w:rsid w:val="00963320"/>
    <w:rsid w:val="0096336A"/>
    <w:rsid w:val="009633FD"/>
    <w:rsid w:val="00963507"/>
    <w:rsid w:val="00963516"/>
    <w:rsid w:val="00963655"/>
    <w:rsid w:val="0096370B"/>
    <w:rsid w:val="009637B2"/>
    <w:rsid w:val="009637E8"/>
    <w:rsid w:val="009637F8"/>
    <w:rsid w:val="0096381A"/>
    <w:rsid w:val="00963A70"/>
    <w:rsid w:val="00963AE5"/>
    <w:rsid w:val="00963B4D"/>
    <w:rsid w:val="00963C05"/>
    <w:rsid w:val="00963C7D"/>
    <w:rsid w:val="00963D62"/>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855"/>
    <w:rsid w:val="00964966"/>
    <w:rsid w:val="00964A17"/>
    <w:rsid w:val="00964AD8"/>
    <w:rsid w:val="00964B25"/>
    <w:rsid w:val="00964B72"/>
    <w:rsid w:val="00964BE9"/>
    <w:rsid w:val="00964C39"/>
    <w:rsid w:val="00964D0A"/>
    <w:rsid w:val="00964DB8"/>
    <w:rsid w:val="00964DBE"/>
    <w:rsid w:val="00964ECD"/>
    <w:rsid w:val="00965055"/>
    <w:rsid w:val="009650E9"/>
    <w:rsid w:val="009651C8"/>
    <w:rsid w:val="009652BF"/>
    <w:rsid w:val="009653C9"/>
    <w:rsid w:val="009653CA"/>
    <w:rsid w:val="00965431"/>
    <w:rsid w:val="009654D3"/>
    <w:rsid w:val="009654EB"/>
    <w:rsid w:val="00965504"/>
    <w:rsid w:val="00965536"/>
    <w:rsid w:val="0096561A"/>
    <w:rsid w:val="0096572F"/>
    <w:rsid w:val="0096574C"/>
    <w:rsid w:val="0096575E"/>
    <w:rsid w:val="009657C9"/>
    <w:rsid w:val="0096589E"/>
    <w:rsid w:val="009659A8"/>
    <w:rsid w:val="00965A5E"/>
    <w:rsid w:val="00965C34"/>
    <w:rsid w:val="00965CD7"/>
    <w:rsid w:val="00965E37"/>
    <w:rsid w:val="00965E5F"/>
    <w:rsid w:val="00965F2D"/>
    <w:rsid w:val="0096602A"/>
    <w:rsid w:val="009661E3"/>
    <w:rsid w:val="009662A4"/>
    <w:rsid w:val="0096630A"/>
    <w:rsid w:val="009663D6"/>
    <w:rsid w:val="0096646C"/>
    <w:rsid w:val="00966486"/>
    <w:rsid w:val="00966898"/>
    <w:rsid w:val="00966920"/>
    <w:rsid w:val="0096695A"/>
    <w:rsid w:val="009669D7"/>
    <w:rsid w:val="00966D31"/>
    <w:rsid w:val="00966E96"/>
    <w:rsid w:val="00966EDA"/>
    <w:rsid w:val="00966FE2"/>
    <w:rsid w:val="0096702D"/>
    <w:rsid w:val="009670C1"/>
    <w:rsid w:val="00967138"/>
    <w:rsid w:val="00967141"/>
    <w:rsid w:val="00967219"/>
    <w:rsid w:val="00967275"/>
    <w:rsid w:val="009674C0"/>
    <w:rsid w:val="009674CA"/>
    <w:rsid w:val="009674E6"/>
    <w:rsid w:val="0096754D"/>
    <w:rsid w:val="00967556"/>
    <w:rsid w:val="00967598"/>
    <w:rsid w:val="009675D7"/>
    <w:rsid w:val="009675EC"/>
    <w:rsid w:val="009677D0"/>
    <w:rsid w:val="0096780A"/>
    <w:rsid w:val="0096789F"/>
    <w:rsid w:val="00967BCE"/>
    <w:rsid w:val="00967BDB"/>
    <w:rsid w:val="00967CF4"/>
    <w:rsid w:val="00967D3C"/>
    <w:rsid w:val="00967E38"/>
    <w:rsid w:val="00967E52"/>
    <w:rsid w:val="0096ECC4"/>
    <w:rsid w:val="00970133"/>
    <w:rsid w:val="0097029C"/>
    <w:rsid w:val="0097037F"/>
    <w:rsid w:val="00970475"/>
    <w:rsid w:val="00970574"/>
    <w:rsid w:val="009705BA"/>
    <w:rsid w:val="0097068E"/>
    <w:rsid w:val="009706CA"/>
    <w:rsid w:val="0097077F"/>
    <w:rsid w:val="00970852"/>
    <w:rsid w:val="00970935"/>
    <w:rsid w:val="00970961"/>
    <w:rsid w:val="00970965"/>
    <w:rsid w:val="00970BCF"/>
    <w:rsid w:val="00970CC1"/>
    <w:rsid w:val="00970E06"/>
    <w:rsid w:val="00970E10"/>
    <w:rsid w:val="00970E21"/>
    <w:rsid w:val="00970F75"/>
    <w:rsid w:val="00971116"/>
    <w:rsid w:val="009714B7"/>
    <w:rsid w:val="009716DB"/>
    <w:rsid w:val="009716E3"/>
    <w:rsid w:val="00971865"/>
    <w:rsid w:val="00971962"/>
    <w:rsid w:val="009719A8"/>
    <w:rsid w:val="00971A4F"/>
    <w:rsid w:val="00971B64"/>
    <w:rsid w:val="00971F82"/>
    <w:rsid w:val="00972165"/>
    <w:rsid w:val="009721BC"/>
    <w:rsid w:val="009723CF"/>
    <w:rsid w:val="009725D9"/>
    <w:rsid w:val="009725EF"/>
    <w:rsid w:val="009727E2"/>
    <w:rsid w:val="009728FE"/>
    <w:rsid w:val="009729D7"/>
    <w:rsid w:val="00972B0A"/>
    <w:rsid w:val="00972CA7"/>
    <w:rsid w:val="00972CBE"/>
    <w:rsid w:val="00972D04"/>
    <w:rsid w:val="00972E7E"/>
    <w:rsid w:val="00972F0A"/>
    <w:rsid w:val="0097310D"/>
    <w:rsid w:val="0097316F"/>
    <w:rsid w:val="009731B0"/>
    <w:rsid w:val="009732CA"/>
    <w:rsid w:val="00973605"/>
    <w:rsid w:val="0097388E"/>
    <w:rsid w:val="009738AF"/>
    <w:rsid w:val="009738F3"/>
    <w:rsid w:val="009738F7"/>
    <w:rsid w:val="00973972"/>
    <w:rsid w:val="00973993"/>
    <w:rsid w:val="009739BA"/>
    <w:rsid w:val="00973B76"/>
    <w:rsid w:val="00973BB7"/>
    <w:rsid w:val="00973BE7"/>
    <w:rsid w:val="00974142"/>
    <w:rsid w:val="0097414B"/>
    <w:rsid w:val="00974231"/>
    <w:rsid w:val="00974293"/>
    <w:rsid w:val="009742E7"/>
    <w:rsid w:val="00974384"/>
    <w:rsid w:val="009743B4"/>
    <w:rsid w:val="009744BB"/>
    <w:rsid w:val="0097476F"/>
    <w:rsid w:val="00974A2D"/>
    <w:rsid w:val="00974A36"/>
    <w:rsid w:val="00974AAD"/>
    <w:rsid w:val="00974AED"/>
    <w:rsid w:val="00974B0F"/>
    <w:rsid w:val="00974B25"/>
    <w:rsid w:val="00974BC2"/>
    <w:rsid w:val="00974C14"/>
    <w:rsid w:val="00974C68"/>
    <w:rsid w:val="00974D1A"/>
    <w:rsid w:val="00974D25"/>
    <w:rsid w:val="00974D30"/>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5D3"/>
    <w:rsid w:val="00975645"/>
    <w:rsid w:val="00975771"/>
    <w:rsid w:val="0097580C"/>
    <w:rsid w:val="0097588B"/>
    <w:rsid w:val="00975936"/>
    <w:rsid w:val="009759D6"/>
    <w:rsid w:val="009759F6"/>
    <w:rsid w:val="00975A54"/>
    <w:rsid w:val="00975BB4"/>
    <w:rsid w:val="00975BE9"/>
    <w:rsid w:val="00975C52"/>
    <w:rsid w:val="00975DA1"/>
    <w:rsid w:val="00975E47"/>
    <w:rsid w:val="00976017"/>
    <w:rsid w:val="0097606A"/>
    <w:rsid w:val="00976101"/>
    <w:rsid w:val="00976158"/>
    <w:rsid w:val="009761F4"/>
    <w:rsid w:val="0097622B"/>
    <w:rsid w:val="00976278"/>
    <w:rsid w:val="009762A2"/>
    <w:rsid w:val="009762A7"/>
    <w:rsid w:val="009763BF"/>
    <w:rsid w:val="00976452"/>
    <w:rsid w:val="009764D1"/>
    <w:rsid w:val="00976618"/>
    <w:rsid w:val="0097679B"/>
    <w:rsid w:val="00976825"/>
    <w:rsid w:val="00976841"/>
    <w:rsid w:val="00976921"/>
    <w:rsid w:val="00976B5F"/>
    <w:rsid w:val="00976D86"/>
    <w:rsid w:val="00976E5C"/>
    <w:rsid w:val="00976F4B"/>
    <w:rsid w:val="009770A9"/>
    <w:rsid w:val="00977217"/>
    <w:rsid w:val="00977364"/>
    <w:rsid w:val="00977493"/>
    <w:rsid w:val="00977655"/>
    <w:rsid w:val="009776A2"/>
    <w:rsid w:val="00977746"/>
    <w:rsid w:val="009777DD"/>
    <w:rsid w:val="00977890"/>
    <w:rsid w:val="00977896"/>
    <w:rsid w:val="00977AC7"/>
    <w:rsid w:val="00977B00"/>
    <w:rsid w:val="00977D19"/>
    <w:rsid w:val="00977E1B"/>
    <w:rsid w:val="00977E33"/>
    <w:rsid w:val="00977E39"/>
    <w:rsid w:val="00977F24"/>
    <w:rsid w:val="00977F62"/>
    <w:rsid w:val="00977F84"/>
    <w:rsid w:val="009803D4"/>
    <w:rsid w:val="009803D8"/>
    <w:rsid w:val="00980492"/>
    <w:rsid w:val="009806DA"/>
    <w:rsid w:val="00980708"/>
    <w:rsid w:val="009808E1"/>
    <w:rsid w:val="009808E4"/>
    <w:rsid w:val="00980988"/>
    <w:rsid w:val="00980C23"/>
    <w:rsid w:val="00980D1F"/>
    <w:rsid w:val="00980DF5"/>
    <w:rsid w:val="00980E19"/>
    <w:rsid w:val="00981093"/>
    <w:rsid w:val="0098122B"/>
    <w:rsid w:val="00981719"/>
    <w:rsid w:val="00981969"/>
    <w:rsid w:val="009819D0"/>
    <w:rsid w:val="00981A56"/>
    <w:rsid w:val="00981BD1"/>
    <w:rsid w:val="00981D05"/>
    <w:rsid w:val="00981DA8"/>
    <w:rsid w:val="00981E38"/>
    <w:rsid w:val="00981ECE"/>
    <w:rsid w:val="009820B8"/>
    <w:rsid w:val="009821BD"/>
    <w:rsid w:val="009821CB"/>
    <w:rsid w:val="009821DC"/>
    <w:rsid w:val="009822FD"/>
    <w:rsid w:val="009826F0"/>
    <w:rsid w:val="00982866"/>
    <w:rsid w:val="00982890"/>
    <w:rsid w:val="00982940"/>
    <w:rsid w:val="00982961"/>
    <w:rsid w:val="009829B0"/>
    <w:rsid w:val="00982A2D"/>
    <w:rsid w:val="00982A5B"/>
    <w:rsid w:val="00982BCE"/>
    <w:rsid w:val="00982C9C"/>
    <w:rsid w:val="00982DCD"/>
    <w:rsid w:val="00982F8A"/>
    <w:rsid w:val="009830D6"/>
    <w:rsid w:val="00983225"/>
    <w:rsid w:val="009832CC"/>
    <w:rsid w:val="009832D7"/>
    <w:rsid w:val="00983347"/>
    <w:rsid w:val="0098340F"/>
    <w:rsid w:val="009834C9"/>
    <w:rsid w:val="009834F1"/>
    <w:rsid w:val="009835E7"/>
    <w:rsid w:val="00983695"/>
    <w:rsid w:val="00983770"/>
    <w:rsid w:val="00983782"/>
    <w:rsid w:val="00983875"/>
    <w:rsid w:val="00983975"/>
    <w:rsid w:val="0098397C"/>
    <w:rsid w:val="009839A9"/>
    <w:rsid w:val="00983AFD"/>
    <w:rsid w:val="00983D32"/>
    <w:rsid w:val="00983D4F"/>
    <w:rsid w:val="00983EB2"/>
    <w:rsid w:val="009840A6"/>
    <w:rsid w:val="009840AB"/>
    <w:rsid w:val="0098419C"/>
    <w:rsid w:val="009842A4"/>
    <w:rsid w:val="0098457A"/>
    <w:rsid w:val="0098488F"/>
    <w:rsid w:val="00984929"/>
    <w:rsid w:val="00984956"/>
    <w:rsid w:val="00984A0D"/>
    <w:rsid w:val="00984B9F"/>
    <w:rsid w:val="00984D27"/>
    <w:rsid w:val="00984EAE"/>
    <w:rsid w:val="0098513B"/>
    <w:rsid w:val="009852B2"/>
    <w:rsid w:val="009853FE"/>
    <w:rsid w:val="00985450"/>
    <w:rsid w:val="009856B5"/>
    <w:rsid w:val="009856BF"/>
    <w:rsid w:val="009856F9"/>
    <w:rsid w:val="00985705"/>
    <w:rsid w:val="00985711"/>
    <w:rsid w:val="0098576F"/>
    <w:rsid w:val="009859B3"/>
    <w:rsid w:val="00985C19"/>
    <w:rsid w:val="00985C6B"/>
    <w:rsid w:val="00985C90"/>
    <w:rsid w:val="00985CE6"/>
    <w:rsid w:val="00985D77"/>
    <w:rsid w:val="00985F19"/>
    <w:rsid w:val="00985FB5"/>
    <w:rsid w:val="0098601C"/>
    <w:rsid w:val="0098617A"/>
    <w:rsid w:val="0098634E"/>
    <w:rsid w:val="00986435"/>
    <w:rsid w:val="00986454"/>
    <w:rsid w:val="0098672E"/>
    <w:rsid w:val="00986768"/>
    <w:rsid w:val="0098687E"/>
    <w:rsid w:val="00986B80"/>
    <w:rsid w:val="00986BAA"/>
    <w:rsid w:val="00986C1B"/>
    <w:rsid w:val="00986CB8"/>
    <w:rsid w:val="00986E63"/>
    <w:rsid w:val="00986F95"/>
    <w:rsid w:val="00986FBE"/>
    <w:rsid w:val="00986FC7"/>
    <w:rsid w:val="00987009"/>
    <w:rsid w:val="009870F5"/>
    <w:rsid w:val="00987123"/>
    <w:rsid w:val="00987147"/>
    <w:rsid w:val="009873E1"/>
    <w:rsid w:val="00987587"/>
    <w:rsid w:val="009875CC"/>
    <w:rsid w:val="009876E8"/>
    <w:rsid w:val="00987A12"/>
    <w:rsid w:val="00987AA0"/>
    <w:rsid w:val="00987E19"/>
    <w:rsid w:val="00987E2A"/>
    <w:rsid w:val="00987E49"/>
    <w:rsid w:val="00987E79"/>
    <w:rsid w:val="00987F14"/>
    <w:rsid w:val="00987FCD"/>
    <w:rsid w:val="0099016B"/>
    <w:rsid w:val="009901DB"/>
    <w:rsid w:val="009901E2"/>
    <w:rsid w:val="0099028B"/>
    <w:rsid w:val="009902FC"/>
    <w:rsid w:val="0099033C"/>
    <w:rsid w:val="00990528"/>
    <w:rsid w:val="0099053D"/>
    <w:rsid w:val="00990576"/>
    <w:rsid w:val="009906FB"/>
    <w:rsid w:val="009909C7"/>
    <w:rsid w:val="00990ACD"/>
    <w:rsid w:val="00990B3A"/>
    <w:rsid w:val="00990C15"/>
    <w:rsid w:val="00990D77"/>
    <w:rsid w:val="00990F79"/>
    <w:rsid w:val="00990F99"/>
    <w:rsid w:val="009910A7"/>
    <w:rsid w:val="00991281"/>
    <w:rsid w:val="00991810"/>
    <w:rsid w:val="00991844"/>
    <w:rsid w:val="009919F2"/>
    <w:rsid w:val="00991CC4"/>
    <w:rsid w:val="00991CD3"/>
    <w:rsid w:val="00991DD7"/>
    <w:rsid w:val="00991DE8"/>
    <w:rsid w:val="00991F3A"/>
    <w:rsid w:val="00991F8C"/>
    <w:rsid w:val="00991F9C"/>
    <w:rsid w:val="00992013"/>
    <w:rsid w:val="00992082"/>
    <w:rsid w:val="00992096"/>
    <w:rsid w:val="009921DB"/>
    <w:rsid w:val="00992468"/>
    <w:rsid w:val="009924EB"/>
    <w:rsid w:val="0099260C"/>
    <w:rsid w:val="00992672"/>
    <w:rsid w:val="0099267F"/>
    <w:rsid w:val="00992708"/>
    <w:rsid w:val="00992897"/>
    <w:rsid w:val="009928C9"/>
    <w:rsid w:val="0099293C"/>
    <w:rsid w:val="009929FA"/>
    <w:rsid w:val="00992A5D"/>
    <w:rsid w:val="00992AAC"/>
    <w:rsid w:val="00992AB1"/>
    <w:rsid w:val="00992BC2"/>
    <w:rsid w:val="00992BF3"/>
    <w:rsid w:val="00992C1F"/>
    <w:rsid w:val="00992C54"/>
    <w:rsid w:val="00992C9A"/>
    <w:rsid w:val="00992CAB"/>
    <w:rsid w:val="00992FEA"/>
    <w:rsid w:val="00993038"/>
    <w:rsid w:val="0099304A"/>
    <w:rsid w:val="009930D4"/>
    <w:rsid w:val="00993100"/>
    <w:rsid w:val="009932C2"/>
    <w:rsid w:val="009932CD"/>
    <w:rsid w:val="0099330E"/>
    <w:rsid w:val="0099343D"/>
    <w:rsid w:val="009935D2"/>
    <w:rsid w:val="0099368B"/>
    <w:rsid w:val="00993950"/>
    <w:rsid w:val="00993C44"/>
    <w:rsid w:val="00993CEA"/>
    <w:rsid w:val="00993E0B"/>
    <w:rsid w:val="00993E7E"/>
    <w:rsid w:val="00993F2F"/>
    <w:rsid w:val="00993F4A"/>
    <w:rsid w:val="00993F6D"/>
    <w:rsid w:val="00993FCE"/>
    <w:rsid w:val="00993FE6"/>
    <w:rsid w:val="00994019"/>
    <w:rsid w:val="00994021"/>
    <w:rsid w:val="009941C3"/>
    <w:rsid w:val="00994412"/>
    <w:rsid w:val="009945E5"/>
    <w:rsid w:val="00994638"/>
    <w:rsid w:val="009946B8"/>
    <w:rsid w:val="009946ED"/>
    <w:rsid w:val="0099474B"/>
    <w:rsid w:val="0099486F"/>
    <w:rsid w:val="00994893"/>
    <w:rsid w:val="0099492C"/>
    <w:rsid w:val="00994948"/>
    <w:rsid w:val="00994A3A"/>
    <w:rsid w:val="00994AAE"/>
    <w:rsid w:val="00994AD9"/>
    <w:rsid w:val="00994B87"/>
    <w:rsid w:val="00994D81"/>
    <w:rsid w:val="00994FF6"/>
    <w:rsid w:val="00995080"/>
    <w:rsid w:val="009950DB"/>
    <w:rsid w:val="009951B7"/>
    <w:rsid w:val="009951C8"/>
    <w:rsid w:val="009951FE"/>
    <w:rsid w:val="00995232"/>
    <w:rsid w:val="00995305"/>
    <w:rsid w:val="00995388"/>
    <w:rsid w:val="0099569B"/>
    <w:rsid w:val="009958AC"/>
    <w:rsid w:val="009958FF"/>
    <w:rsid w:val="00995947"/>
    <w:rsid w:val="00995A19"/>
    <w:rsid w:val="00995B05"/>
    <w:rsid w:val="00995B2A"/>
    <w:rsid w:val="00995B7D"/>
    <w:rsid w:val="00995B96"/>
    <w:rsid w:val="00995BB2"/>
    <w:rsid w:val="00995C01"/>
    <w:rsid w:val="00995CE7"/>
    <w:rsid w:val="00995D11"/>
    <w:rsid w:val="00996093"/>
    <w:rsid w:val="00996296"/>
    <w:rsid w:val="00996324"/>
    <w:rsid w:val="00996390"/>
    <w:rsid w:val="00996415"/>
    <w:rsid w:val="00996603"/>
    <w:rsid w:val="00996791"/>
    <w:rsid w:val="00996C77"/>
    <w:rsid w:val="00996CD6"/>
    <w:rsid w:val="00996D11"/>
    <w:rsid w:val="00996D6C"/>
    <w:rsid w:val="00997043"/>
    <w:rsid w:val="009971E3"/>
    <w:rsid w:val="00997217"/>
    <w:rsid w:val="0099740D"/>
    <w:rsid w:val="00997457"/>
    <w:rsid w:val="00997492"/>
    <w:rsid w:val="00997624"/>
    <w:rsid w:val="00997644"/>
    <w:rsid w:val="009978D7"/>
    <w:rsid w:val="009978E4"/>
    <w:rsid w:val="009979E8"/>
    <w:rsid w:val="00997A3C"/>
    <w:rsid w:val="00997D47"/>
    <w:rsid w:val="00997DE3"/>
    <w:rsid w:val="00997EF9"/>
    <w:rsid w:val="00997F12"/>
    <w:rsid w:val="00997F72"/>
    <w:rsid w:val="00997FF0"/>
    <w:rsid w:val="009A000C"/>
    <w:rsid w:val="009A00F0"/>
    <w:rsid w:val="009A0144"/>
    <w:rsid w:val="009A01B5"/>
    <w:rsid w:val="009A026F"/>
    <w:rsid w:val="009A027A"/>
    <w:rsid w:val="009A034C"/>
    <w:rsid w:val="009A0436"/>
    <w:rsid w:val="009A04AB"/>
    <w:rsid w:val="009A0543"/>
    <w:rsid w:val="009A054B"/>
    <w:rsid w:val="009A07C4"/>
    <w:rsid w:val="009A08F4"/>
    <w:rsid w:val="009A09B8"/>
    <w:rsid w:val="009A0AC2"/>
    <w:rsid w:val="009A0B25"/>
    <w:rsid w:val="009A0C5E"/>
    <w:rsid w:val="009A0D27"/>
    <w:rsid w:val="009A0D2C"/>
    <w:rsid w:val="009A0DC9"/>
    <w:rsid w:val="009A0E3B"/>
    <w:rsid w:val="009A0E40"/>
    <w:rsid w:val="009A0E45"/>
    <w:rsid w:val="009A0E5D"/>
    <w:rsid w:val="009A0F8D"/>
    <w:rsid w:val="009A1083"/>
    <w:rsid w:val="009A115F"/>
    <w:rsid w:val="009A11B3"/>
    <w:rsid w:val="009A11E7"/>
    <w:rsid w:val="009A1220"/>
    <w:rsid w:val="009A13BA"/>
    <w:rsid w:val="009A163A"/>
    <w:rsid w:val="009A166A"/>
    <w:rsid w:val="009A1853"/>
    <w:rsid w:val="009A1856"/>
    <w:rsid w:val="009A189F"/>
    <w:rsid w:val="009A1906"/>
    <w:rsid w:val="009A1A87"/>
    <w:rsid w:val="009A1AA6"/>
    <w:rsid w:val="009A1BDF"/>
    <w:rsid w:val="009A1CB1"/>
    <w:rsid w:val="009A1CBB"/>
    <w:rsid w:val="009A1DE5"/>
    <w:rsid w:val="009A1E37"/>
    <w:rsid w:val="009A1EBB"/>
    <w:rsid w:val="009A2013"/>
    <w:rsid w:val="009A207B"/>
    <w:rsid w:val="009A2101"/>
    <w:rsid w:val="009A234C"/>
    <w:rsid w:val="009A24BB"/>
    <w:rsid w:val="009A268E"/>
    <w:rsid w:val="009A2766"/>
    <w:rsid w:val="009A27BC"/>
    <w:rsid w:val="009A27D4"/>
    <w:rsid w:val="009A2803"/>
    <w:rsid w:val="009A29CB"/>
    <w:rsid w:val="009A2A94"/>
    <w:rsid w:val="009A2CBC"/>
    <w:rsid w:val="009A2D5C"/>
    <w:rsid w:val="009A2D6B"/>
    <w:rsid w:val="009A2DCB"/>
    <w:rsid w:val="009A2E00"/>
    <w:rsid w:val="009A2ECB"/>
    <w:rsid w:val="009A2ED8"/>
    <w:rsid w:val="009A2F3B"/>
    <w:rsid w:val="009A2FA5"/>
    <w:rsid w:val="009A3133"/>
    <w:rsid w:val="009A3208"/>
    <w:rsid w:val="009A33C7"/>
    <w:rsid w:val="009A3505"/>
    <w:rsid w:val="009A3557"/>
    <w:rsid w:val="009A367B"/>
    <w:rsid w:val="009A36E1"/>
    <w:rsid w:val="009A37AF"/>
    <w:rsid w:val="009A37F0"/>
    <w:rsid w:val="009A38FB"/>
    <w:rsid w:val="009A391A"/>
    <w:rsid w:val="009A3B0D"/>
    <w:rsid w:val="009A3BCA"/>
    <w:rsid w:val="009A3BE7"/>
    <w:rsid w:val="009A3C0A"/>
    <w:rsid w:val="009A3DA6"/>
    <w:rsid w:val="009A3DB8"/>
    <w:rsid w:val="009A3EEB"/>
    <w:rsid w:val="009A3F95"/>
    <w:rsid w:val="009A4009"/>
    <w:rsid w:val="009A44BD"/>
    <w:rsid w:val="009A4540"/>
    <w:rsid w:val="009A4551"/>
    <w:rsid w:val="009A45EC"/>
    <w:rsid w:val="009A4636"/>
    <w:rsid w:val="009A4701"/>
    <w:rsid w:val="009A4731"/>
    <w:rsid w:val="009A474A"/>
    <w:rsid w:val="009A4802"/>
    <w:rsid w:val="009A4824"/>
    <w:rsid w:val="009A483A"/>
    <w:rsid w:val="009A493A"/>
    <w:rsid w:val="009A4961"/>
    <w:rsid w:val="009A4A94"/>
    <w:rsid w:val="009A4AB0"/>
    <w:rsid w:val="009A4C66"/>
    <w:rsid w:val="009A4DFA"/>
    <w:rsid w:val="009A508E"/>
    <w:rsid w:val="009A5314"/>
    <w:rsid w:val="009A5360"/>
    <w:rsid w:val="009A54C8"/>
    <w:rsid w:val="009A54DD"/>
    <w:rsid w:val="009A5600"/>
    <w:rsid w:val="009A5751"/>
    <w:rsid w:val="009A57D1"/>
    <w:rsid w:val="009A58B7"/>
    <w:rsid w:val="009A591F"/>
    <w:rsid w:val="009A5994"/>
    <w:rsid w:val="009A59D8"/>
    <w:rsid w:val="009A5AE1"/>
    <w:rsid w:val="009A5B3E"/>
    <w:rsid w:val="009A5BAB"/>
    <w:rsid w:val="009A5CAD"/>
    <w:rsid w:val="009A5D8B"/>
    <w:rsid w:val="009A5EA1"/>
    <w:rsid w:val="009A5EC2"/>
    <w:rsid w:val="009A624D"/>
    <w:rsid w:val="009A6263"/>
    <w:rsid w:val="009A6266"/>
    <w:rsid w:val="009A629E"/>
    <w:rsid w:val="009A63E6"/>
    <w:rsid w:val="009A6591"/>
    <w:rsid w:val="009A65AE"/>
    <w:rsid w:val="009A66FC"/>
    <w:rsid w:val="009A6713"/>
    <w:rsid w:val="009A67D3"/>
    <w:rsid w:val="009A67DE"/>
    <w:rsid w:val="009A6819"/>
    <w:rsid w:val="009A6891"/>
    <w:rsid w:val="009A69B5"/>
    <w:rsid w:val="009A6C28"/>
    <w:rsid w:val="009A6EBC"/>
    <w:rsid w:val="009A6EDB"/>
    <w:rsid w:val="009A6EE3"/>
    <w:rsid w:val="009A6FBE"/>
    <w:rsid w:val="009A724F"/>
    <w:rsid w:val="009A73C7"/>
    <w:rsid w:val="009A7425"/>
    <w:rsid w:val="009A7523"/>
    <w:rsid w:val="009A7846"/>
    <w:rsid w:val="009A7881"/>
    <w:rsid w:val="009A78D6"/>
    <w:rsid w:val="009A79C1"/>
    <w:rsid w:val="009A7B0B"/>
    <w:rsid w:val="009A7B0C"/>
    <w:rsid w:val="009A7B11"/>
    <w:rsid w:val="009A7D00"/>
    <w:rsid w:val="009A7D84"/>
    <w:rsid w:val="009A7DF6"/>
    <w:rsid w:val="009A7E60"/>
    <w:rsid w:val="009A7EDD"/>
    <w:rsid w:val="009A7F2C"/>
    <w:rsid w:val="009B00B1"/>
    <w:rsid w:val="009B0183"/>
    <w:rsid w:val="009B01B6"/>
    <w:rsid w:val="009B0633"/>
    <w:rsid w:val="009B0758"/>
    <w:rsid w:val="009B0A77"/>
    <w:rsid w:val="009B0AF3"/>
    <w:rsid w:val="009B0CD7"/>
    <w:rsid w:val="009B0D93"/>
    <w:rsid w:val="009B0DC4"/>
    <w:rsid w:val="009B1026"/>
    <w:rsid w:val="009B1114"/>
    <w:rsid w:val="009B1184"/>
    <w:rsid w:val="009B124B"/>
    <w:rsid w:val="009B136A"/>
    <w:rsid w:val="009B1522"/>
    <w:rsid w:val="009B160E"/>
    <w:rsid w:val="009B167B"/>
    <w:rsid w:val="009B1744"/>
    <w:rsid w:val="009B179D"/>
    <w:rsid w:val="009B1904"/>
    <w:rsid w:val="009B191A"/>
    <w:rsid w:val="009B194A"/>
    <w:rsid w:val="009B19B6"/>
    <w:rsid w:val="009B1A11"/>
    <w:rsid w:val="009B1B8F"/>
    <w:rsid w:val="009B1C7B"/>
    <w:rsid w:val="009B1CD3"/>
    <w:rsid w:val="009B1D46"/>
    <w:rsid w:val="009B1D68"/>
    <w:rsid w:val="009B1D86"/>
    <w:rsid w:val="009B1E56"/>
    <w:rsid w:val="009B1EB1"/>
    <w:rsid w:val="009B2096"/>
    <w:rsid w:val="009B20F3"/>
    <w:rsid w:val="009B2128"/>
    <w:rsid w:val="009B2153"/>
    <w:rsid w:val="009B221B"/>
    <w:rsid w:val="009B225A"/>
    <w:rsid w:val="009B2322"/>
    <w:rsid w:val="009B239E"/>
    <w:rsid w:val="009B23B6"/>
    <w:rsid w:val="009B2521"/>
    <w:rsid w:val="009B2540"/>
    <w:rsid w:val="009B2593"/>
    <w:rsid w:val="009B25B0"/>
    <w:rsid w:val="009B2796"/>
    <w:rsid w:val="009B27B8"/>
    <w:rsid w:val="009B28D8"/>
    <w:rsid w:val="009B28DE"/>
    <w:rsid w:val="009B29E4"/>
    <w:rsid w:val="009B2A0F"/>
    <w:rsid w:val="009B2AA3"/>
    <w:rsid w:val="009B2B5F"/>
    <w:rsid w:val="009B2C8A"/>
    <w:rsid w:val="009B2CAA"/>
    <w:rsid w:val="009B2CC5"/>
    <w:rsid w:val="009B2CE3"/>
    <w:rsid w:val="009B2CE7"/>
    <w:rsid w:val="009B2FB4"/>
    <w:rsid w:val="009B3130"/>
    <w:rsid w:val="009B3308"/>
    <w:rsid w:val="009B3565"/>
    <w:rsid w:val="009B364D"/>
    <w:rsid w:val="009B3769"/>
    <w:rsid w:val="009B3A65"/>
    <w:rsid w:val="009B3C6B"/>
    <w:rsid w:val="009B3D94"/>
    <w:rsid w:val="009B3DF2"/>
    <w:rsid w:val="009B3F93"/>
    <w:rsid w:val="009B40E3"/>
    <w:rsid w:val="009B4200"/>
    <w:rsid w:val="009B422A"/>
    <w:rsid w:val="009B427B"/>
    <w:rsid w:val="009B4296"/>
    <w:rsid w:val="009B429F"/>
    <w:rsid w:val="009B43F3"/>
    <w:rsid w:val="009B4445"/>
    <w:rsid w:val="009B44EC"/>
    <w:rsid w:val="009B45C4"/>
    <w:rsid w:val="009B45EF"/>
    <w:rsid w:val="009B47CD"/>
    <w:rsid w:val="009B486F"/>
    <w:rsid w:val="009B48B2"/>
    <w:rsid w:val="009B4918"/>
    <w:rsid w:val="009B49CB"/>
    <w:rsid w:val="009B4A1C"/>
    <w:rsid w:val="009B4A70"/>
    <w:rsid w:val="009B4B6B"/>
    <w:rsid w:val="009B4E32"/>
    <w:rsid w:val="009B4F0A"/>
    <w:rsid w:val="009B4F68"/>
    <w:rsid w:val="009B4FE4"/>
    <w:rsid w:val="009B4FF0"/>
    <w:rsid w:val="009B50EC"/>
    <w:rsid w:val="009B5117"/>
    <w:rsid w:val="009B51C3"/>
    <w:rsid w:val="009B51E3"/>
    <w:rsid w:val="009B522B"/>
    <w:rsid w:val="009B5345"/>
    <w:rsid w:val="009B5369"/>
    <w:rsid w:val="009B53A4"/>
    <w:rsid w:val="009B5446"/>
    <w:rsid w:val="009B559A"/>
    <w:rsid w:val="009B562E"/>
    <w:rsid w:val="009B567A"/>
    <w:rsid w:val="009B573F"/>
    <w:rsid w:val="009B575F"/>
    <w:rsid w:val="009B57DD"/>
    <w:rsid w:val="009B5804"/>
    <w:rsid w:val="009B5857"/>
    <w:rsid w:val="009B588B"/>
    <w:rsid w:val="009B58CF"/>
    <w:rsid w:val="009B5988"/>
    <w:rsid w:val="009B59C0"/>
    <w:rsid w:val="009B59ED"/>
    <w:rsid w:val="009B5C83"/>
    <w:rsid w:val="009B5EAA"/>
    <w:rsid w:val="009B5EFB"/>
    <w:rsid w:val="009B61A4"/>
    <w:rsid w:val="009B61E3"/>
    <w:rsid w:val="009B62BA"/>
    <w:rsid w:val="009B63BF"/>
    <w:rsid w:val="009B64C5"/>
    <w:rsid w:val="009B657D"/>
    <w:rsid w:val="009B674D"/>
    <w:rsid w:val="009B679F"/>
    <w:rsid w:val="009B682A"/>
    <w:rsid w:val="009B68BA"/>
    <w:rsid w:val="009B68E0"/>
    <w:rsid w:val="009B6908"/>
    <w:rsid w:val="009B6A18"/>
    <w:rsid w:val="009B6AC6"/>
    <w:rsid w:val="009B6C56"/>
    <w:rsid w:val="009B6EC4"/>
    <w:rsid w:val="009B6FF7"/>
    <w:rsid w:val="009B7139"/>
    <w:rsid w:val="009B7145"/>
    <w:rsid w:val="009B714F"/>
    <w:rsid w:val="009B71E0"/>
    <w:rsid w:val="009B72A3"/>
    <w:rsid w:val="009B73F5"/>
    <w:rsid w:val="009B7579"/>
    <w:rsid w:val="009B75EE"/>
    <w:rsid w:val="009B772D"/>
    <w:rsid w:val="009B7732"/>
    <w:rsid w:val="009B7955"/>
    <w:rsid w:val="009B7BB0"/>
    <w:rsid w:val="009B7C1E"/>
    <w:rsid w:val="009B7CBC"/>
    <w:rsid w:val="009B7DF7"/>
    <w:rsid w:val="009B7DFB"/>
    <w:rsid w:val="009B7E7A"/>
    <w:rsid w:val="009B7EEE"/>
    <w:rsid w:val="009B7FDE"/>
    <w:rsid w:val="009B7FE8"/>
    <w:rsid w:val="009C007A"/>
    <w:rsid w:val="009C01BF"/>
    <w:rsid w:val="009C01EE"/>
    <w:rsid w:val="009C02AE"/>
    <w:rsid w:val="009C02F7"/>
    <w:rsid w:val="009C0479"/>
    <w:rsid w:val="009C0551"/>
    <w:rsid w:val="009C0776"/>
    <w:rsid w:val="009C0852"/>
    <w:rsid w:val="009C0C4E"/>
    <w:rsid w:val="009C0C80"/>
    <w:rsid w:val="009C0CC7"/>
    <w:rsid w:val="009C0D2C"/>
    <w:rsid w:val="009C0EFF"/>
    <w:rsid w:val="009C108E"/>
    <w:rsid w:val="009C10B0"/>
    <w:rsid w:val="009C1123"/>
    <w:rsid w:val="009C119B"/>
    <w:rsid w:val="009C11CF"/>
    <w:rsid w:val="009C1216"/>
    <w:rsid w:val="009C130B"/>
    <w:rsid w:val="009C131D"/>
    <w:rsid w:val="009C1321"/>
    <w:rsid w:val="009C1438"/>
    <w:rsid w:val="009C14B2"/>
    <w:rsid w:val="009C1501"/>
    <w:rsid w:val="009C173C"/>
    <w:rsid w:val="009C1981"/>
    <w:rsid w:val="009C1A2E"/>
    <w:rsid w:val="009C1AF4"/>
    <w:rsid w:val="009C1C43"/>
    <w:rsid w:val="009C1DDD"/>
    <w:rsid w:val="009C1EB0"/>
    <w:rsid w:val="009C1F09"/>
    <w:rsid w:val="009C1FE1"/>
    <w:rsid w:val="009C206A"/>
    <w:rsid w:val="009C20C1"/>
    <w:rsid w:val="009C20F0"/>
    <w:rsid w:val="009C20FB"/>
    <w:rsid w:val="009C2346"/>
    <w:rsid w:val="009C23F9"/>
    <w:rsid w:val="009C2496"/>
    <w:rsid w:val="009C2558"/>
    <w:rsid w:val="009C2607"/>
    <w:rsid w:val="009C2912"/>
    <w:rsid w:val="009C292A"/>
    <w:rsid w:val="009C2A1D"/>
    <w:rsid w:val="009C2A7C"/>
    <w:rsid w:val="009C2C37"/>
    <w:rsid w:val="009C2D9E"/>
    <w:rsid w:val="009C2E02"/>
    <w:rsid w:val="009C2E05"/>
    <w:rsid w:val="009C2E4E"/>
    <w:rsid w:val="009C2F72"/>
    <w:rsid w:val="009C3066"/>
    <w:rsid w:val="009C31CE"/>
    <w:rsid w:val="009C32DD"/>
    <w:rsid w:val="009C34BE"/>
    <w:rsid w:val="009C370E"/>
    <w:rsid w:val="009C37C4"/>
    <w:rsid w:val="009C398C"/>
    <w:rsid w:val="009C3B74"/>
    <w:rsid w:val="009C3B7C"/>
    <w:rsid w:val="009C3BA7"/>
    <w:rsid w:val="009C3CB7"/>
    <w:rsid w:val="009C3CCD"/>
    <w:rsid w:val="009C3D33"/>
    <w:rsid w:val="009C3E8D"/>
    <w:rsid w:val="009C3EB4"/>
    <w:rsid w:val="009C4041"/>
    <w:rsid w:val="009C46EC"/>
    <w:rsid w:val="009C4983"/>
    <w:rsid w:val="009C49B3"/>
    <w:rsid w:val="009C4A32"/>
    <w:rsid w:val="009C4D0D"/>
    <w:rsid w:val="009C4DA4"/>
    <w:rsid w:val="009C4DFB"/>
    <w:rsid w:val="009C4F32"/>
    <w:rsid w:val="009C4F44"/>
    <w:rsid w:val="009C4FCA"/>
    <w:rsid w:val="009C50D7"/>
    <w:rsid w:val="009C5101"/>
    <w:rsid w:val="009C5232"/>
    <w:rsid w:val="009C5757"/>
    <w:rsid w:val="009C589C"/>
    <w:rsid w:val="009C58D2"/>
    <w:rsid w:val="009C597F"/>
    <w:rsid w:val="009C59C8"/>
    <w:rsid w:val="009C5A0C"/>
    <w:rsid w:val="009C5CC7"/>
    <w:rsid w:val="009C5D78"/>
    <w:rsid w:val="009C5E51"/>
    <w:rsid w:val="009C6069"/>
    <w:rsid w:val="009C60AC"/>
    <w:rsid w:val="009C6117"/>
    <w:rsid w:val="009C619D"/>
    <w:rsid w:val="009C61AA"/>
    <w:rsid w:val="009C61E8"/>
    <w:rsid w:val="009C628C"/>
    <w:rsid w:val="009C62C5"/>
    <w:rsid w:val="009C6351"/>
    <w:rsid w:val="009C635E"/>
    <w:rsid w:val="009C63A4"/>
    <w:rsid w:val="009C64AF"/>
    <w:rsid w:val="009C64F1"/>
    <w:rsid w:val="009C6571"/>
    <w:rsid w:val="009C65EB"/>
    <w:rsid w:val="009C665C"/>
    <w:rsid w:val="009C66FC"/>
    <w:rsid w:val="009C6918"/>
    <w:rsid w:val="009C696C"/>
    <w:rsid w:val="009C69C9"/>
    <w:rsid w:val="009C6A0D"/>
    <w:rsid w:val="009C6ACD"/>
    <w:rsid w:val="009C6B61"/>
    <w:rsid w:val="009C6BEA"/>
    <w:rsid w:val="009C6C88"/>
    <w:rsid w:val="009C6D77"/>
    <w:rsid w:val="009C6DCD"/>
    <w:rsid w:val="009C6F88"/>
    <w:rsid w:val="009C72B3"/>
    <w:rsid w:val="009C72E4"/>
    <w:rsid w:val="009C7437"/>
    <w:rsid w:val="009C74FF"/>
    <w:rsid w:val="009C75DF"/>
    <w:rsid w:val="009C75F4"/>
    <w:rsid w:val="009C7666"/>
    <w:rsid w:val="009C786D"/>
    <w:rsid w:val="009C78E8"/>
    <w:rsid w:val="009C7A05"/>
    <w:rsid w:val="009C7B34"/>
    <w:rsid w:val="009C7BD3"/>
    <w:rsid w:val="009C7C96"/>
    <w:rsid w:val="009C7CB4"/>
    <w:rsid w:val="009C7D75"/>
    <w:rsid w:val="009C7E3E"/>
    <w:rsid w:val="009D00D8"/>
    <w:rsid w:val="009D00E3"/>
    <w:rsid w:val="009D017A"/>
    <w:rsid w:val="009D01AD"/>
    <w:rsid w:val="009D01BE"/>
    <w:rsid w:val="009D028E"/>
    <w:rsid w:val="009D051E"/>
    <w:rsid w:val="009D053F"/>
    <w:rsid w:val="009D0574"/>
    <w:rsid w:val="009D0692"/>
    <w:rsid w:val="009D07CB"/>
    <w:rsid w:val="009D0A2C"/>
    <w:rsid w:val="009D0A91"/>
    <w:rsid w:val="009D0ABE"/>
    <w:rsid w:val="009D0C3B"/>
    <w:rsid w:val="009D0E15"/>
    <w:rsid w:val="009D0F64"/>
    <w:rsid w:val="009D1194"/>
    <w:rsid w:val="009D11EC"/>
    <w:rsid w:val="009D1471"/>
    <w:rsid w:val="009D14A0"/>
    <w:rsid w:val="009D14A5"/>
    <w:rsid w:val="009D14C1"/>
    <w:rsid w:val="009D1816"/>
    <w:rsid w:val="009D1877"/>
    <w:rsid w:val="009D18BB"/>
    <w:rsid w:val="009D1A5D"/>
    <w:rsid w:val="009D1BFB"/>
    <w:rsid w:val="009D1C64"/>
    <w:rsid w:val="009D1ED1"/>
    <w:rsid w:val="009D1EEC"/>
    <w:rsid w:val="009D1FCD"/>
    <w:rsid w:val="009D203B"/>
    <w:rsid w:val="009D20D7"/>
    <w:rsid w:val="009D2128"/>
    <w:rsid w:val="009D21B4"/>
    <w:rsid w:val="009D241C"/>
    <w:rsid w:val="009D2420"/>
    <w:rsid w:val="009D243E"/>
    <w:rsid w:val="009D24EE"/>
    <w:rsid w:val="009D2551"/>
    <w:rsid w:val="009D25D9"/>
    <w:rsid w:val="009D2633"/>
    <w:rsid w:val="009D2653"/>
    <w:rsid w:val="009D2751"/>
    <w:rsid w:val="009D28B8"/>
    <w:rsid w:val="009D28FB"/>
    <w:rsid w:val="009D2958"/>
    <w:rsid w:val="009D2AFE"/>
    <w:rsid w:val="009D2B89"/>
    <w:rsid w:val="009D2BD0"/>
    <w:rsid w:val="009D2BE7"/>
    <w:rsid w:val="009D2C52"/>
    <w:rsid w:val="009D2C96"/>
    <w:rsid w:val="009D2CBE"/>
    <w:rsid w:val="009D2D41"/>
    <w:rsid w:val="009D2D5B"/>
    <w:rsid w:val="009D30DC"/>
    <w:rsid w:val="009D311F"/>
    <w:rsid w:val="009D315F"/>
    <w:rsid w:val="009D36FF"/>
    <w:rsid w:val="009D3749"/>
    <w:rsid w:val="009D3821"/>
    <w:rsid w:val="009D39C4"/>
    <w:rsid w:val="009D3AC0"/>
    <w:rsid w:val="009D3E1E"/>
    <w:rsid w:val="009D3E7C"/>
    <w:rsid w:val="009D3EE5"/>
    <w:rsid w:val="009D3F22"/>
    <w:rsid w:val="009D4161"/>
    <w:rsid w:val="009D41BD"/>
    <w:rsid w:val="009D423B"/>
    <w:rsid w:val="009D43A8"/>
    <w:rsid w:val="009D4421"/>
    <w:rsid w:val="009D44BD"/>
    <w:rsid w:val="009D474C"/>
    <w:rsid w:val="009D4A2C"/>
    <w:rsid w:val="009D4B3C"/>
    <w:rsid w:val="009D4ED9"/>
    <w:rsid w:val="009D4EE7"/>
    <w:rsid w:val="009D50D2"/>
    <w:rsid w:val="009D5158"/>
    <w:rsid w:val="009D5399"/>
    <w:rsid w:val="009D543F"/>
    <w:rsid w:val="009D5516"/>
    <w:rsid w:val="009D5584"/>
    <w:rsid w:val="009D56B1"/>
    <w:rsid w:val="009D56BC"/>
    <w:rsid w:val="009D56FB"/>
    <w:rsid w:val="009D59D3"/>
    <w:rsid w:val="009D59D9"/>
    <w:rsid w:val="009D5A07"/>
    <w:rsid w:val="009D5A18"/>
    <w:rsid w:val="009D5BBA"/>
    <w:rsid w:val="009D5CBD"/>
    <w:rsid w:val="009D5DD4"/>
    <w:rsid w:val="009D5DEE"/>
    <w:rsid w:val="009D604F"/>
    <w:rsid w:val="009D60A8"/>
    <w:rsid w:val="009D615D"/>
    <w:rsid w:val="009D617D"/>
    <w:rsid w:val="009D622B"/>
    <w:rsid w:val="009D6386"/>
    <w:rsid w:val="009D6460"/>
    <w:rsid w:val="009D649B"/>
    <w:rsid w:val="009D64F8"/>
    <w:rsid w:val="009D6527"/>
    <w:rsid w:val="009D6693"/>
    <w:rsid w:val="009D6787"/>
    <w:rsid w:val="009D6887"/>
    <w:rsid w:val="009D68BC"/>
    <w:rsid w:val="009D6AA2"/>
    <w:rsid w:val="009D6CDC"/>
    <w:rsid w:val="009D6CF5"/>
    <w:rsid w:val="009D6E79"/>
    <w:rsid w:val="009D6F34"/>
    <w:rsid w:val="009D7090"/>
    <w:rsid w:val="009D70B9"/>
    <w:rsid w:val="009D7141"/>
    <w:rsid w:val="009D745B"/>
    <w:rsid w:val="009D75B3"/>
    <w:rsid w:val="009D75EE"/>
    <w:rsid w:val="009D7615"/>
    <w:rsid w:val="009D76A6"/>
    <w:rsid w:val="009D7740"/>
    <w:rsid w:val="009D7869"/>
    <w:rsid w:val="009D7898"/>
    <w:rsid w:val="009D7B4A"/>
    <w:rsid w:val="009D7B6D"/>
    <w:rsid w:val="009D7C46"/>
    <w:rsid w:val="009E035F"/>
    <w:rsid w:val="009E03DD"/>
    <w:rsid w:val="009E04F4"/>
    <w:rsid w:val="009E0512"/>
    <w:rsid w:val="009E07BD"/>
    <w:rsid w:val="009E0862"/>
    <w:rsid w:val="009E0AD0"/>
    <w:rsid w:val="009E0B81"/>
    <w:rsid w:val="009E0B8D"/>
    <w:rsid w:val="009E0C54"/>
    <w:rsid w:val="009E0EC3"/>
    <w:rsid w:val="009E0FEF"/>
    <w:rsid w:val="009E10FE"/>
    <w:rsid w:val="009E12FE"/>
    <w:rsid w:val="009E1324"/>
    <w:rsid w:val="009E134F"/>
    <w:rsid w:val="009E13FE"/>
    <w:rsid w:val="009E1480"/>
    <w:rsid w:val="009E14F1"/>
    <w:rsid w:val="009E156C"/>
    <w:rsid w:val="009E15AD"/>
    <w:rsid w:val="009E15CF"/>
    <w:rsid w:val="009E15FF"/>
    <w:rsid w:val="009E1661"/>
    <w:rsid w:val="009E17E9"/>
    <w:rsid w:val="009E1896"/>
    <w:rsid w:val="009E1996"/>
    <w:rsid w:val="009E1A2E"/>
    <w:rsid w:val="009E1AE7"/>
    <w:rsid w:val="009E2039"/>
    <w:rsid w:val="009E20AA"/>
    <w:rsid w:val="009E2117"/>
    <w:rsid w:val="009E2152"/>
    <w:rsid w:val="009E2159"/>
    <w:rsid w:val="009E2209"/>
    <w:rsid w:val="009E22ED"/>
    <w:rsid w:val="009E243B"/>
    <w:rsid w:val="009E24B8"/>
    <w:rsid w:val="009E2522"/>
    <w:rsid w:val="009E2743"/>
    <w:rsid w:val="009E28DB"/>
    <w:rsid w:val="009E28E7"/>
    <w:rsid w:val="009E294A"/>
    <w:rsid w:val="009E2AD4"/>
    <w:rsid w:val="009E2C4E"/>
    <w:rsid w:val="009E2CCA"/>
    <w:rsid w:val="009E2E49"/>
    <w:rsid w:val="009E2EAC"/>
    <w:rsid w:val="009E2EBA"/>
    <w:rsid w:val="009E2F25"/>
    <w:rsid w:val="009E30E9"/>
    <w:rsid w:val="009E3157"/>
    <w:rsid w:val="009E31A0"/>
    <w:rsid w:val="009E3201"/>
    <w:rsid w:val="009E3284"/>
    <w:rsid w:val="009E32B0"/>
    <w:rsid w:val="009E3307"/>
    <w:rsid w:val="009E3394"/>
    <w:rsid w:val="009E3398"/>
    <w:rsid w:val="009E33C8"/>
    <w:rsid w:val="009E3483"/>
    <w:rsid w:val="009E3490"/>
    <w:rsid w:val="009E3590"/>
    <w:rsid w:val="009E366C"/>
    <w:rsid w:val="009E36ED"/>
    <w:rsid w:val="009E37BD"/>
    <w:rsid w:val="009E38C4"/>
    <w:rsid w:val="009E3972"/>
    <w:rsid w:val="009E3987"/>
    <w:rsid w:val="009E39E0"/>
    <w:rsid w:val="009E3AE7"/>
    <w:rsid w:val="009E3B08"/>
    <w:rsid w:val="009E3B0A"/>
    <w:rsid w:val="009E3C7C"/>
    <w:rsid w:val="009E3E36"/>
    <w:rsid w:val="009E3EB7"/>
    <w:rsid w:val="009E403B"/>
    <w:rsid w:val="009E4073"/>
    <w:rsid w:val="009E40E3"/>
    <w:rsid w:val="009E4310"/>
    <w:rsid w:val="009E441D"/>
    <w:rsid w:val="009E4459"/>
    <w:rsid w:val="009E455E"/>
    <w:rsid w:val="009E4679"/>
    <w:rsid w:val="009E478F"/>
    <w:rsid w:val="009E49FF"/>
    <w:rsid w:val="009E4C3C"/>
    <w:rsid w:val="009E4C44"/>
    <w:rsid w:val="009E4C4A"/>
    <w:rsid w:val="009E4C4B"/>
    <w:rsid w:val="009E4C6D"/>
    <w:rsid w:val="009E4D5D"/>
    <w:rsid w:val="009E4D66"/>
    <w:rsid w:val="009E4DB7"/>
    <w:rsid w:val="009E4ED5"/>
    <w:rsid w:val="009E4F3E"/>
    <w:rsid w:val="009E4F92"/>
    <w:rsid w:val="009E50F9"/>
    <w:rsid w:val="009E51C9"/>
    <w:rsid w:val="009E5237"/>
    <w:rsid w:val="009E524C"/>
    <w:rsid w:val="009E5565"/>
    <w:rsid w:val="009E5576"/>
    <w:rsid w:val="009E560B"/>
    <w:rsid w:val="009E5901"/>
    <w:rsid w:val="009E591B"/>
    <w:rsid w:val="009E5934"/>
    <w:rsid w:val="009E5B74"/>
    <w:rsid w:val="009E5B7B"/>
    <w:rsid w:val="009E5C30"/>
    <w:rsid w:val="009E5C31"/>
    <w:rsid w:val="009E5C37"/>
    <w:rsid w:val="009E5D12"/>
    <w:rsid w:val="009E5E11"/>
    <w:rsid w:val="009E5ED2"/>
    <w:rsid w:val="009E5F1B"/>
    <w:rsid w:val="009E5FDE"/>
    <w:rsid w:val="009E6208"/>
    <w:rsid w:val="009E620C"/>
    <w:rsid w:val="009E625A"/>
    <w:rsid w:val="009E6301"/>
    <w:rsid w:val="009E6336"/>
    <w:rsid w:val="009E6445"/>
    <w:rsid w:val="009E66C0"/>
    <w:rsid w:val="009E671F"/>
    <w:rsid w:val="009E6978"/>
    <w:rsid w:val="009E6983"/>
    <w:rsid w:val="009E6A10"/>
    <w:rsid w:val="009E6B3B"/>
    <w:rsid w:val="009E6F87"/>
    <w:rsid w:val="009E6FB0"/>
    <w:rsid w:val="009E7083"/>
    <w:rsid w:val="009E7272"/>
    <w:rsid w:val="009E74E0"/>
    <w:rsid w:val="009E7552"/>
    <w:rsid w:val="009E761C"/>
    <w:rsid w:val="009E7B32"/>
    <w:rsid w:val="009E7CA0"/>
    <w:rsid w:val="009E7D61"/>
    <w:rsid w:val="009E7E90"/>
    <w:rsid w:val="009E7F2F"/>
    <w:rsid w:val="009E7F9E"/>
    <w:rsid w:val="009F00D1"/>
    <w:rsid w:val="009F0248"/>
    <w:rsid w:val="009F025B"/>
    <w:rsid w:val="009F0416"/>
    <w:rsid w:val="009F04F6"/>
    <w:rsid w:val="009F0574"/>
    <w:rsid w:val="009F0649"/>
    <w:rsid w:val="009F0654"/>
    <w:rsid w:val="009F0681"/>
    <w:rsid w:val="009F0762"/>
    <w:rsid w:val="009F0867"/>
    <w:rsid w:val="009F0913"/>
    <w:rsid w:val="009F0965"/>
    <w:rsid w:val="009F0A4F"/>
    <w:rsid w:val="009F0ABD"/>
    <w:rsid w:val="009F0C22"/>
    <w:rsid w:val="009F0CDD"/>
    <w:rsid w:val="009F0E7E"/>
    <w:rsid w:val="009F0EF5"/>
    <w:rsid w:val="009F0F0A"/>
    <w:rsid w:val="009F0F23"/>
    <w:rsid w:val="009F0F33"/>
    <w:rsid w:val="009F1049"/>
    <w:rsid w:val="009F1091"/>
    <w:rsid w:val="009F10D0"/>
    <w:rsid w:val="009F164F"/>
    <w:rsid w:val="009F1705"/>
    <w:rsid w:val="009F1B74"/>
    <w:rsid w:val="009F1B7D"/>
    <w:rsid w:val="009F1BDA"/>
    <w:rsid w:val="009F1C7A"/>
    <w:rsid w:val="009F1C92"/>
    <w:rsid w:val="009F1C9C"/>
    <w:rsid w:val="009F1DAE"/>
    <w:rsid w:val="009F1E1D"/>
    <w:rsid w:val="009F1F61"/>
    <w:rsid w:val="009F2076"/>
    <w:rsid w:val="009F20F5"/>
    <w:rsid w:val="009F2143"/>
    <w:rsid w:val="009F219E"/>
    <w:rsid w:val="009F23EE"/>
    <w:rsid w:val="009F24F7"/>
    <w:rsid w:val="009F2501"/>
    <w:rsid w:val="009F2586"/>
    <w:rsid w:val="009F263B"/>
    <w:rsid w:val="009F2760"/>
    <w:rsid w:val="009F2775"/>
    <w:rsid w:val="009F277F"/>
    <w:rsid w:val="009F2843"/>
    <w:rsid w:val="009F2913"/>
    <w:rsid w:val="009F29E3"/>
    <w:rsid w:val="009F2A8A"/>
    <w:rsid w:val="009F2B05"/>
    <w:rsid w:val="009F2B5C"/>
    <w:rsid w:val="009F2C3E"/>
    <w:rsid w:val="009F2CB3"/>
    <w:rsid w:val="009F2CEB"/>
    <w:rsid w:val="009F2D49"/>
    <w:rsid w:val="009F2D55"/>
    <w:rsid w:val="009F2E8B"/>
    <w:rsid w:val="009F309F"/>
    <w:rsid w:val="009F3197"/>
    <w:rsid w:val="009F33B1"/>
    <w:rsid w:val="009F3453"/>
    <w:rsid w:val="009F35CA"/>
    <w:rsid w:val="009F36BE"/>
    <w:rsid w:val="009F36F5"/>
    <w:rsid w:val="009F38E7"/>
    <w:rsid w:val="009F390B"/>
    <w:rsid w:val="009F3A01"/>
    <w:rsid w:val="009F3C24"/>
    <w:rsid w:val="009F3FED"/>
    <w:rsid w:val="009F4072"/>
    <w:rsid w:val="009F409E"/>
    <w:rsid w:val="009F416B"/>
    <w:rsid w:val="009F4263"/>
    <w:rsid w:val="009F42AE"/>
    <w:rsid w:val="009F438A"/>
    <w:rsid w:val="009F43E2"/>
    <w:rsid w:val="009F4401"/>
    <w:rsid w:val="009F4490"/>
    <w:rsid w:val="009F44B7"/>
    <w:rsid w:val="009F44E7"/>
    <w:rsid w:val="009F450B"/>
    <w:rsid w:val="009F47AE"/>
    <w:rsid w:val="009F47F9"/>
    <w:rsid w:val="009F4800"/>
    <w:rsid w:val="009F4A15"/>
    <w:rsid w:val="009F4A92"/>
    <w:rsid w:val="009F4DFB"/>
    <w:rsid w:val="009F5167"/>
    <w:rsid w:val="009F5396"/>
    <w:rsid w:val="009F55F1"/>
    <w:rsid w:val="009F5694"/>
    <w:rsid w:val="009F57A9"/>
    <w:rsid w:val="009F57F3"/>
    <w:rsid w:val="009F5926"/>
    <w:rsid w:val="009F5ABB"/>
    <w:rsid w:val="009F5AC0"/>
    <w:rsid w:val="009F5DBB"/>
    <w:rsid w:val="009F5F20"/>
    <w:rsid w:val="009F5FD8"/>
    <w:rsid w:val="009F60BE"/>
    <w:rsid w:val="009F60D8"/>
    <w:rsid w:val="009F6199"/>
    <w:rsid w:val="009F647E"/>
    <w:rsid w:val="009F6483"/>
    <w:rsid w:val="009F64A5"/>
    <w:rsid w:val="009F64D8"/>
    <w:rsid w:val="009F66C1"/>
    <w:rsid w:val="009F67B0"/>
    <w:rsid w:val="009F69B0"/>
    <w:rsid w:val="009F6CE7"/>
    <w:rsid w:val="009F6D56"/>
    <w:rsid w:val="009F6E01"/>
    <w:rsid w:val="009F6E80"/>
    <w:rsid w:val="009F6FAE"/>
    <w:rsid w:val="009F71F2"/>
    <w:rsid w:val="009F72BE"/>
    <w:rsid w:val="009F72D8"/>
    <w:rsid w:val="009F763D"/>
    <w:rsid w:val="009F7744"/>
    <w:rsid w:val="009F7849"/>
    <w:rsid w:val="009F7D29"/>
    <w:rsid w:val="009F7D7B"/>
    <w:rsid w:val="009F7DFB"/>
    <w:rsid w:val="009F7E5D"/>
    <w:rsid w:val="009F7EF4"/>
    <w:rsid w:val="00A0000C"/>
    <w:rsid w:val="00A001E7"/>
    <w:rsid w:val="00A002E5"/>
    <w:rsid w:val="00A004C4"/>
    <w:rsid w:val="00A00531"/>
    <w:rsid w:val="00A00591"/>
    <w:rsid w:val="00A0070E"/>
    <w:rsid w:val="00A0089A"/>
    <w:rsid w:val="00A008BF"/>
    <w:rsid w:val="00A00ACC"/>
    <w:rsid w:val="00A00BC0"/>
    <w:rsid w:val="00A00C4E"/>
    <w:rsid w:val="00A00ED5"/>
    <w:rsid w:val="00A00EE8"/>
    <w:rsid w:val="00A01066"/>
    <w:rsid w:val="00A011EE"/>
    <w:rsid w:val="00A01288"/>
    <w:rsid w:val="00A01349"/>
    <w:rsid w:val="00A01357"/>
    <w:rsid w:val="00A0137A"/>
    <w:rsid w:val="00A014BA"/>
    <w:rsid w:val="00A014C2"/>
    <w:rsid w:val="00A01545"/>
    <w:rsid w:val="00A01553"/>
    <w:rsid w:val="00A01575"/>
    <w:rsid w:val="00A01620"/>
    <w:rsid w:val="00A016E7"/>
    <w:rsid w:val="00A017A2"/>
    <w:rsid w:val="00A017D7"/>
    <w:rsid w:val="00A01838"/>
    <w:rsid w:val="00A01A12"/>
    <w:rsid w:val="00A01A74"/>
    <w:rsid w:val="00A01B04"/>
    <w:rsid w:val="00A01B83"/>
    <w:rsid w:val="00A01C95"/>
    <w:rsid w:val="00A01F09"/>
    <w:rsid w:val="00A022D0"/>
    <w:rsid w:val="00A023A1"/>
    <w:rsid w:val="00A023C0"/>
    <w:rsid w:val="00A023C9"/>
    <w:rsid w:val="00A023D1"/>
    <w:rsid w:val="00A023FE"/>
    <w:rsid w:val="00A0249C"/>
    <w:rsid w:val="00A024A6"/>
    <w:rsid w:val="00A02550"/>
    <w:rsid w:val="00A026E9"/>
    <w:rsid w:val="00A02729"/>
    <w:rsid w:val="00A0278E"/>
    <w:rsid w:val="00A02849"/>
    <w:rsid w:val="00A02890"/>
    <w:rsid w:val="00A028B4"/>
    <w:rsid w:val="00A028D0"/>
    <w:rsid w:val="00A02926"/>
    <w:rsid w:val="00A02AE5"/>
    <w:rsid w:val="00A02AE8"/>
    <w:rsid w:val="00A02B3E"/>
    <w:rsid w:val="00A02BA6"/>
    <w:rsid w:val="00A02D63"/>
    <w:rsid w:val="00A02DDC"/>
    <w:rsid w:val="00A02E1B"/>
    <w:rsid w:val="00A02E3F"/>
    <w:rsid w:val="00A02E84"/>
    <w:rsid w:val="00A02EA8"/>
    <w:rsid w:val="00A02FD7"/>
    <w:rsid w:val="00A03004"/>
    <w:rsid w:val="00A03093"/>
    <w:rsid w:val="00A0309A"/>
    <w:rsid w:val="00A03105"/>
    <w:rsid w:val="00A03221"/>
    <w:rsid w:val="00A03435"/>
    <w:rsid w:val="00A035A9"/>
    <w:rsid w:val="00A03828"/>
    <w:rsid w:val="00A038E2"/>
    <w:rsid w:val="00A039FD"/>
    <w:rsid w:val="00A03BB4"/>
    <w:rsid w:val="00A03C86"/>
    <w:rsid w:val="00A03F6D"/>
    <w:rsid w:val="00A041D2"/>
    <w:rsid w:val="00A041FA"/>
    <w:rsid w:val="00A044DC"/>
    <w:rsid w:val="00A0461F"/>
    <w:rsid w:val="00A046C7"/>
    <w:rsid w:val="00A046E6"/>
    <w:rsid w:val="00A0477E"/>
    <w:rsid w:val="00A047DD"/>
    <w:rsid w:val="00A04EA9"/>
    <w:rsid w:val="00A05250"/>
    <w:rsid w:val="00A05301"/>
    <w:rsid w:val="00A053BD"/>
    <w:rsid w:val="00A05421"/>
    <w:rsid w:val="00A0555A"/>
    <w:rsid w:val="00A056C5"/>
    <w:rsid w:val="00A05715"/>
    <w:rsid w:val="00A0577B"/>
    <w:rsid w:val="00A05788"/>
    <w:rsid w:val="00A0596A"/>
    <w:rsid w:val="00A0598F"/>
    <w:rsid w:val="00A05A91"/>
    <w:rsid w:val="00A05AFB"/>
    <w:rsid w:val="00A05B29"/>
    <w:rsid w:val="00A05D32"/>
    <w:rsid w:val="00A05E57"/>
    <w:rsid w:val="00A05E85"/>
    <w:rsid w:val="00A05F49"/>
    <w:rsid w:val="00A05F4E"/>
    <w:rsid w:val="00A06189"/>
    <w:rsid w:val="00A06344"/>
    <w:rsid w:val="00A063AC"/>
    <w:rsid w:val="00A067B7"/>
    <w:rsid w:val="00A068E7"/>
    <w:rsid w:val="00A06933"/>
    <w:rsid w:val="00A06A83"/>
    <w:rsid w:val="00A06BF1"/>
    <w:rsid w:val="00A06C58"/>
    <w:rsid w:val="00A070B6"/>
    <w:rsid w:val="00A07197"/>
    <w:rsid w:val="00A07246"/>
    <w:rsid w:val="00A072D4"/>
    <w:rsid w:val="00A072DA"/>
    <w:rsid w:val="00A0741B"/>
    <w:rsid w:val="00A0743B"/>
    <w:rsid w:val="00A0747A"/>
    <w:rsid w:val="00A0748A"/>
    <w:rsid w:val="00A0751C"/>
    <w:rsid w:val="00A07995"/>
    <w:rsid w:val="00A07C86"/>
    <w:rsid w:val="00A07CFA"/>
    <w:rsid w:val="00A07E9A"/>
    <w:rsid w:val="00A07EB1"/>
    <w:rsid w:val="00A07F40"/>
    <w:rsid w:val="00A0811D"/>
    <w:rsid w:val="00A10011"/>
    <w:rsid w:val="00A100E2"/>
    <w:rsid w:val="00A10107"/>
    <w:rsid w:val="00A101DC"/>
    <w:rsid w:val="00A10278"/>
    <w:rsid w:val="00A102FD"/>
    <w:rsid w:val="00A104DA"/>
    <w:rsid w:val="00A10582"/>
    <w:rsid w:val="00A106E0"/>
    <w:rsid w:val="00A10749"/>
    <w:rsid w:val="00A10992"/>
    <w:rsid w:val="00A10BBE"/>
    <w:rsid w:val="00A10D1B"/>
    <w:rsid w:val="00A10F25"/>
    <w:rsid w:val="00A11066"/>
    <w:rsid w:val="00A110FD"/>
    <w:rsid w:val="00A11167"/>
    <w:rsid w:val="00A1123D"/>
    <w:rsid w:val="00A11334"/>
    <w:rsid w:val="00A1139B"/>
    <w:rsid w:val="00A113E3"/>
    <w:rsid w:val="00A114AB"/>
    <w:rsid w:val="00A114B9"/>
    <w:rsid w:val="00A115C5"/>
    <w:rsid w:val="00A11944"/>
    <w:rsid w:val="00A1196F"/>
    <w:rsid w:val="00A11A55"/>
    <w:rsid w:val="00A11A58"/>
    <w:rsid w:val="00A11A76"/>
    <w:rsid w:val="00A11AC6"/>
    <w:rsid w:val="00A11BC2"/>
    <w:rsid w:val="00A11C92"/>
    <w:rsid w:val="00A11E41"/>
    <w:rsid w:val="00A11E48"/>
    <w:rsid w:val="00A11E68"/>
    <w:rsid w:val="00A11E9C"/>
    <w:rsid w:val="00A12124"/>
    <w:rsid w:val="00A121F5"/>
    <w:rsid w:val="00A1223D"/>
    <w:rsid w:val="00A1232C"/>
    <w:rsid w:val="00A123F4"/>
    <w:rsid w:val="00A12634"/>
    <w:rsid w:val="00A1265E"/>
    <w:rsid w:val="00A127AE"/>
    <w:rsid w:val="00A127D7"/>
    <w:rsid w:val="00A12848"/>
    <w:rsid w:val="00A128EF"/>
    <w:rsid w:val="00A12C18"/>
    <w:rsid w:val="00A12C1E"/>
    <w:rsid w:val="00A12E5D"/>
    <w:rsid w:val="00A12F51"/>
    <w:rsid w:val="00A12F8A"/>
    <w:rsid w:val="00A130D8"/>
    <w:rsid w:val="00A131B9"/>
    <w:rsid w:val="00A13464"/>
    <w:rsid w:val="00A134D1"/>
    <w:rsid w:val="00A134E5"/>
    <w:rsid w:val="00A1355E"/>
    <w:rsid w:val="00A13566"/>
    <w:rsid w:val="00A137B2"/>
    <w:rsid w:val="00A137B4"/>
    <w:rsid w:val="00A13A43"/>
    <w:rsid w:val="00A13B12"/>
    <w:rsid w:val="00A13BAF"/>
    <w:rsid w:val="00A13DDE"/>
    <w:rsid w:val="00A13EAE"/>
    <w:rsid w:val="00A13FB0"/>
    <w:rsid w:val="00A14135"/>
    <w:rsid w:val="00A14280"/>
    <w:rsid w:val="00A14309"/>
    <w:rsid w:val="00A143FE"/>
    <w:rsid w:val="00A14571"/>
    <w:rsid w:val="00A14627"/>
    <w:rsid w:val="00A147C3"/>
    <w:rsid w:val="00A14815"/>
    <w:rsid w:val="00A1481D"/>
    <w:rsid w:val="00A14869"/>
    <w:rsid w:val="00A14985"/>
    <w:rsid w:val="00A14B65"/>
    <w:rsid w:val="00A14B8A"/>
    <w:rsid w:val="00A14BD9"/>
    <w:rsid w:val="00A14BFE"/>
    <w:rsid w:val="00A14DD0"/>
    <w:rsid w:val="00A14F3B"/>
    <w:rsid w:val="00A150C8"/>
    <w:rsid w:val="00A150D6"/>
    <w:rsid w:val="00A1511C"/>
    <w:rsid w:val="00A1517B"/>
    <w:rsid w:val="00A152E8"/>
    <w:rsid w:val="00A15480"/>
    <w:rsid w:val="00A1551C"/>
    <w:rsid w:val="00A1553B"/>
    <w:rsid w:val="00A155EC"/>
    <w:rsid w:val="00A15995"/>
    <w:rsid w:val="00A15B62"/>
    <w:rsid w:val="00A15B64"/>
    <w:rsid w:val="00A15BFD"/>
    <w:rsid w:val="00A15CAC"/>
    <w:rsid w:val="00A15CB1"/>
    <w:rsid w:val="00A15CEE"/>
    <w:rsid w:val="00A15E5D"/>
    <w:rsid w:val="00A15ED4"/>
    <w:rsid w:val="00A15F21"/>
    <w:rsid w:val="00A15F48"/>
    <w:rsid w:val="00A15FC8"/>
    <w:rsid w:val="00A16028"/>
    <w:rsid w:val="00A160FB"/>
    <w:rsid w:val="00A16263"/>
    <w:rsid w:val="00A16275"/>
    <w:rsid w:val="00A162C6"/>
    <w:rsid w:val="00A16415"/>
    <w:rsid w:val="00A16562"/>
    <w:rsid w:val="00A1668C"/>
    <w:rsid w:val="00A166CA"/>
    <w:rsid w:val="00A168E0"/>
    <w:rsid w:val="00A16921"/>
    <w:rsid w:val="00A1695C"/>
    <w:rsid w:val="00A16AAE"/>
    <w:rsid w:val="00A16B81"/>
    <w:rsid w:val="00A16D7E"/>
    <w:rsid w:val="00A16E7E"/>
    <w:rsid w:val="00A16ED2"/>
    <w:rsid w:val="00A16F88"/>
    <w:rsid w:val="00A1709E"/>
    <w:rsid w:val="00A17293"/>
    <w:rsid w:val="00A17440"/>
    <w:rsid w:val="00A17597"/>
    <w:rsid w:val="00A17695"/>
    <w:rsid w:val="00A1779E"/>
    <w:rsid w:val="00A17805"/>
    <w:rsid w:val="00A178F3"/>
    <w:rsid w:val="00A17AC2"/>
    <w:rsid w:val="00A17B86"/>
    <w:rsid w:val="00A17B8A"/>
    <w:rsid w:val="00A17BCF"/>
    <w:rsid w:val="00A17C4E"/>
    <w:rsid w:val="00A17D99"/>
    <w:rsid w:val="00A17DEA"/>
    <w:rsid w:val="00A17FB0"/>
    <w:rsid w:val="00A17FCE"/>
    <w:rsid w:val="00A20176"/>
    <w:rsid w:val="00A201E1"/>
    <w:rsid w:val="00A202F4"/>
    <w:rsid w:val="00A2037E"/>
    <w:rsid w:val="00A205EB"/>
    <w:rsid w:val="00A207D1"/>
    <w:rsid w:val="00A2082D"/>
    <w:rsid w:val="00A20885"/>
    <w:rsid w:val="00A2098B"/>
    <w:rsid w:val="00A20CC3"/>
    <w:rsid w:val="00A20D0A"/>
    <w:rsid w:val="00A20D62"/>
    <w:rsid w:val="00A20DD9"/>
    <w:rsid w:val="00A20DF0"/>
    <w:rsid w:val="00A20DF1"/>
    <w:rsid w:val="00A20E47"/>
    <w:rsid w:val="00A20F9A"/>
    <w:rsid w:val="00A20FCF"/>
    <w:rsid w:val="00A21149"/>
    <w:rsid w:val="00A2122B"/>
    <w:rsid w:val="00A212DF"/>
    <w:rsid w:val="00A213B7"/>
    <w:rsid w:val="00A213BE"/>
    <w:rsid w:val="00A216F3"/>
    <w:rsid w:val="00A218CA"/>
    <w:rsid w:val="00A21AE7"/>
    <w:rsid w:val="00A21B44"/>
    <w:rsid w:val="00A21C14"/>
    <w:rsid w:val="00A21C62"/>
    <w:rsid w:val="00A21CB6"/>
    <w:rsid w:val="00A21D3F"/>
    <w:rsid w:val="00A21DCC"/>
    <w:rsid w:val="00A21DCD"/>
    <w:rsid w:val="00A21FD2"/>
    <w:rsid w:val="00A22019"/>
    <w:rsid w:val="00A2207B"/>
    <w:rsid w:val="00A22154"/>
    <w:rsid w:val="00A2237D"/>
    <w:rsid w:val="00A2258E"/>
    <w:rsid w:val="00A225BE"/>
    <w:rsid w:val="00A22642"/>
    <w:rsid w:val="00A22685"/>
    <w:rsid w:val="00A2277C"/>
    <w:rsid w:val="00A22853"/>
    <w:rsid w:val="00A22D02"/>
    <w:rsid w:val="00A22D86"/>
    <w:rsid w:val="00A22E3F"/>
    <w:rsid w:val="00A22F1F"/>
    <w:rsid w:val="00A2329E"/>
    <w:rsid w:val="00A23569"/>
    <w:rsid w:val="00A2378C"/>
    <w:rsid w:val="00A238C1"/>
    <w:rsid w:val="00A239EB"/>
    <w:rsid w:val="00A23AD1"/>
    <w:rsid w:val="00A23B45"/>
    <w:rsid w:val="00A23BD9"/>
    <w:rsid w:val="00A23CDB"/>
    <w:rsid w:val="00A23CF8"/>
    <w:rsid w:val="00A23D96"/>
    <w:rsid w:val="00A23DA5"/>
    <w:rsid w:val="00A23F56"/>
    <w:rsid w:val="00A23F8A"/>
    <w:rsid w:val="00A2408B"/>
    <w:rsid w:val="00A240DA"/>
    <w:rsid w:val="00A2412F"/>
    <w:rsid w:val="00A24243"/>
    <w:rsid w:val="00A2453D"/>
    <w:rsid w:val="00A245AE"/>
    <w:rsid w:val="00A24630"/>
    <w:rsid w:val="00A24652"/>
    <w:rsid w:val="00A24685"/>
    <w:rsid w:val="00A246D4"/>
    <w:rsid w:val="00A24A60"/>
    <w:rsid w:val="00A24B2B"/>
    <w:rsid w:val="00A24D16"/>
    <w:rsid w:val="00A24D7B"/>
    <w:rsid w:val="00A24E01"/>
    <w:rsid w:val="00A24E2D"/>
    <w:rsid w:val="00A24E5F"/>
    <w:rsid w:val="00A24F20"/>
    <w:rsid w:val="00A24F49"/>
    <w:rsid w:val="00A25074"/>
    <w:rsid w:val="00A251A6"/>
    <w:rsid w:val="00A251FF"/>
    <w:rsid w:val="00A252B8"/>
    <w:rsid w:val="00A25408"/>
    <w:rsid w:val="00A254DE"/>
    <w:rsid w:val="00A256FA"/>
    <w:rsid w:val="00A25751"/>
    <w:rsid w:val="00A259C3"/>
    <w:rsid w:val="00A25B22"/>
    <w:rsid w:val="00A25B7C"/>
    <w:rsid w:val="00A25CA3"/>
    <w:rsid w:val="00A25CF9"/>
    <w:rsid w:val="00A25D1B"/>
    <w:rsid w:val="00A25F4B"/>
    <w:rsid w:val="00A25FBF"/>
    <w:rsid w:val="00A25FE4"/>
    <w:rsid w:val="00A26059"/>
    <w:rsid w:val="00A260D8"/>
    <w:rsid w:val="00A26130"/>
    <w:rsid w:val="00A261A9"/>
    <w:rsid w:val="00A26218"/>
    <w:rsid w:val="00A26236"/>
    <w:rsid w:val="00A2638A"/>
    <w:rsid w:val="00A264CF"/>
    <w:rsid w:val="00A26572"/>
    <w:rsid w:val="00A2659F"/>
    <w:rsid w:val="00A26669"/>
    <w:rsid w:val="00A267AF"/>
    <w:rsid w:val="00A267F0"/>
    <w:rsid w:val="00A268C7"/>
    <w:rsid w:val="00A268F0"/>
    <w:rsid w:val="00A269AF"/>
    <w:rsid w:val="00A269BB"/>
    <w:rsid w:val="00A26A0C"/>
    <w:rsid w:val="00A26B9D"/>
    <w:rsid w:val="00A26D4F"/>
    <w:rsid w:val="00A26D79"/>
    <w:rsid w:val="00A26D92"/>
    <w:rsid w:val="00A26D95"/>
    <w:rsid w:val="00A26E40"/>
    <w:rsid w:val="00A26E4B"/>
    <w:rsid w:val="00A26F06"/>
    <w:rsid w:val="00A26FFC"/>
    <w:rsid w:val="00A270BC"/>
    <w:rsid w:val="00A27152"/>
    <w:rsid w:val="00A2724A"/>
    <w:rsid w:val="00A2732A"/>
    <w:rsid w:val="00A2741C"/>
    <w:rsid w:val="00A274DE"/>
    <w:rsid w:val="00A27583"/>
    <w:rsid w:val="00A27728"/>
    <w:rsid w:val="00A278B1"/>
    <w:rsid w:val="00A279F2"/>
    <w:rsid w:val="00A27B09"/>
    <w:rsid w:val="00A27B4D"/>
    <w:rsid w:val="00A27B6D"/>
    <w:rsid w:val="00A27B8F"/>
    <w:rsid w:val="00A27BC6"/>
    <w:rsid w:val="00A27D4B"/>
    <w:rsid w:val="00A27D86"/>
    <w:rsid w:val="00A27DB0"/>
    <w:rsid w:val="00A27F00"/>
    <w:rsid w:val="00A27FFA"/>
    <w:rsid w:val="00A301C8"/>
    <w:rsid w:val="00A30255"/>
    <w:rsid w:val="00A30282"/>
    <w:rsid w:val="00A305B3"/>
    <w:rsid w:val="00A30608"/>
    <w:rsid w:val="00A30618"/>
    <w:rsid w:val="00A3076D"/>
    <w:rsid w:val="00A308E0"/>
    <w:rsid w:val="00A3094E"/>
    <w:rsid w:val="00A30A1B"/>
    <w:rsid w:val="00A30C14"/>
    <w:rsid w:val="00A30C61"/>
    <w:rsid w:val="00A30C86"/>
    <w:rsid w:val="00A30CBD"/>
    <w:rsid w:val="00A31096"/>
    <w:rsid w:val="00A31246"/>
    <w:rsid w:val="00A312B8"/>
    <w:rsid w:val="00A31587"/>
    <w:rsid w:val="00A315E7"/>
    <w:rsid w:val="00A31677"/>
    <w:rsid w:val="00A31690"/>
    <w:rsid w:val="00A316D4"/>
    <w:rsid w:val="00A31819"/>
    <w:rsid w:val="00A31896"/>
    <w:rsid w:val="00A3189A"/>
    <w:rsid w:val="00A318C7"/>
    <w:rsid w:val="00A3196D"/>
    <w:rsid w:val="00A31986"/>
    <w:rsid w:val="00A319BA"/>
    <w:rsid w:val="00A319EE"/>
    <w:rsid w:val="00A31A99"/>
    <w:rsid w:val="00A31AC3"/>
    <w:rsid w:val="00A31AFD"/>
    <w:rsid w:val="00A31BAF"/>
    <w:rsid w:val="00A31BD2"/>
    <w:rsid w:val="00A31CBB"/>
    <w:rsid w:val="00A31CE3"/>
    <w:rsid w:val="00A31E09"/>
    <w:rsid w:val="00A31E49"/>
    <w:rsid w:val="00A31EED"/>
    <w:rsid w:val="00A31F2C"/>
    <w:rsid w:val="00A32274"/>
    <w:rsid w:val="00A32290"/>
    <w:rsid w:val="00A32321"/>
    <w:rsid w:val="00A324E5"/>
    <w:rsid w:val="00A3252D"/>
    <w:rsid w:val="00A326C0"/>
    <w:rsid w:val="00A327C9"/>
    <w:rsid w:val="00A327FF"/>
    <w:rsid w:val="00A328C8"/>
    <w:rsid w:val="00A32955"/>
    <w:rsid w:val="00A32956"/>
    <w:rsid w:val="00A32AD4"/>
    <w:rsid w:val="00A32AED"/>
    <w:rsid w:val="00A32C7E"/>
    <w:rsid w:val="00A32DF3"/>
    <w:rsid w:val="00A32F84"/>
    <w:rsid w:val="00A32FD6"/>
    <w:rsid w:val="00A3318D"/>
    <w:rsid w:val="00A332D7"/>
    <w:rsid w:val="00A332ED"/>
    <w:rsid w:val="00A334E3"/>
    <w:rsid w:val="00A33523"/>
    <w:rsid w:val="00A33525"/>
    <w:rsid w:val="00A33580"/>
    <w:rsid w:val="00A335A8"/>
    <w:rsid w:val="00A33629"/>
    <w:rsid w:val="00A336FB"/>
    <w:rsid w:val="00A3375F"/>
    <w:rsid w:val="00A338C4"/>
    <w:rsid w:val="00A33970"/>
    <w:rsid w:val="00A339A2"/>
    <w:rsid w:val="00A33A4E"/>
    <w:rsid w:val="00A33BC1"/>
    <w:rsid w:val="00A33D7F"/>
    <w:rsid w:val="00A33D8F"/>
    <w:rsid w:val="00A33F4A"/>
    <w:rsid w:val="00A34021"/>
    <w:rsid w:val="00A34189"/>
    <w:rsid w:val="00A341BD"/>
    <w:rsid w:val="00A34273"/>
    <w:rsid w:val="00A342F8"/>
    <w:rsid w:val="00A3436F"/>
    <w:rsid w:val="00A3438B"/>
    <w:rsid w:val="00A3452C"/>
    <w:rsid w:val="00A345AA"/>
    <w:rsid w:val="00A34613"/>
    <w:rsid w:val="00A346F3"/>
    <w:rsid w:val="00A347C3"/>
    <w:rsid w:val="00A3483F"/>
    <w:rsid w:val="00A348BD"/>
    <w:rsid w:val="00A349BC"/>
    <w:rsid w:val="00A34B03"/>
    <w:rsid w:val="00A34B37"/>
    <w:rsid w:val="00A34C13"/>
    <w:rsid w:val="00A34C4E"/>
    <w:rsid w:val="00A34CB1"/>
    <w:rsid w:val="00A34CF5"/>
    <w:rsid w:val="00A34E63"/>
    <w:rsid w:val="00A35026"/>
    <w:rsid w:val="00A35065"/>
    <w:rsid w:val="00A35178"/>
    <w:rsid w:val="00A35231"/>
    <w:rsid w:val="00A35232"/>
    <w:rsid w:val="00A35270"/>
    <w:rsid w:val="00A352B3"/>
    <w:rsid w:val="00A35306"/>
    <w:rsid w:val="00A35466"/>
    <w:rsid w:val="00A3549A"/>
    <w:rsid w:val="00A354C9"/>
    <w:rsid w:val="00A35512"/>
    <w:rsid w:val="00A35548"/>
    <w:rsid w:val="00A35664"/>
    <w:rsid w:val="00A35768"/>
    <w:rsid w:val="00A35845"/>
    <w:rsid w:val="00A35920"/>
    <w:rsid w:val="00A35940"/>
    <w:rsid w:val="00A35A2F"/>
    <w:rsid w:val="00A35BE8"/>
    <w:rsid w:val="00A35D4F"/>
    <w:rsid w:val="00A35DAC"/>
    <w:rsid w:val="00A35DF4"/>
    <w:rsid w:val="00A35FC3"/>
    <w:rsid w:val="00A360FE"/>
    <w:rsid w:val="00A36151"/>
    <w:rsid w:val="00A361C0"/>
    <w:rsid w:val="00A362CC"/>
    <w:rsid w:val="00A36325"/>
    <w:rsid w:val="00A36389"/>
    <w:rsid w:val="00A363F1"/>
    <w:rsid w:val="00A3649F"/>
    <w:rsid w:val="00A3651C"/>
    <w:rsid w:val="00A3674F"/>
    <w:rsid w:val="00A3685B"/>
    <w:rsid w:val="00A3692E"/>
    <w:rsid w:val="00A36931"/>
    <w:rsid w:val="00A36941"/>
    <w:rsid w:val="00A36A58"/>
    <w:rsid w:val="00A36A7F"/>
    <w:rsid w:val="00A36EAA"/>
    <w:rsid w:val="00A36F72"/>
    <w:rsid w:val="00A36FC3"/>
    <w:rsid w:val="00A3714E"/>
    <w:rsid w:val="00A37234"/>
    <w:rsid w:val="00A3723C"/>
    <w:rsid w:val="00A37257"/>
    <w:rsid w:val="00A37271"/>
    <w:rsid w:val="00A3729A"/>
    <w:rsid w:val="00A37439"/>
    <w:rsid w:val="00A378C6"/>
    <w:rsid w:val="00A379C9"/>
    <w:rsid w:val="00A379EA"/>
    <w:rsid w:val="00A37A90"/>
    <w:rsid w:val="00A37BA8"/>
    <w:rsid w:val="00A37C98"/>
    <w:rsid w:val="00A37CA2"/>
    <w:rsid w:val="00A37CAF"/>
    <w:rsid w:val="00A37D14"/>
    <w:rsid w:val="00A37DA8"/>
    <w:rsid w:val="00A37E3C"/>
    <w:rsid w:val="00A37FD2"/>
    <w:rsid w:val="00A401C3"/>
    <w:rsid w:val="00A40206"/>
    <w:rsid w:val="00A4027E"/>
    <w:rsid w:val="00A40316"/>
    <w:rsid w:val="00A40348"/>
    <w:rsid w:val="00A40668"/>
    <w:rsid w:val="00A406AD"/>
    <w:rsid w:val="00A40754"/>
    <w:rsid w:val="00A407AF"/>
    <w:rsid w:val="00A407DD"/>
    <w:rsid w:val="00A40845"/>
    <w:rsid w:val="00A408AB"/>
    <w:rsid w:val="00A408C2"/>
    <w:rsid w:val="00A408F9"/>
    <w:rsid w:val="00A4099C"/>
    <w:rsid w:val="00A40A76"/>
    <w:rsid w:val="00A40AA5"/>
    <w:rsid w:val="00A40BA5"/>
    <w:rsid w:val="00A40CEB"/>
    <w:rsid w:val="00A40E4E"/>
    <w:rsid w:val="00A40E86"/>
    <w:rsid w:val="00A40F8B"/>
    <w:rsid w:val="00A4124E"/>
    <w:rsid w:val="00A41327"/>
    <w:rsid w:val="00A4139C"/>
    <w:rsid w:val="00A414CA"/>
    <w:rsid w:val="00A41525"/>
    <w:rsid w:val="00A415C1"/>
    <w:rsid w:val="00A4164A"/>
    <w:rsid w:val="00A4192C"/>
    <w:rsid w:val="00A419F0"/>
    <w:rsid w:val="00A41A66"/>
    <w:rsid w:val="00A41ACA"/>
    <w:rsid w:val="00A41AE2"/>
    <w:rsid w:val="00A41B5E"/>
    <w:rsid w:val="00A41C26"/>
    <w:rsid w:val="00A41DFD"/>
    <w:rsid w:val="00A41E25"/>
    <w:rsid w:val="00A41E57"/>
    <w:rsid w:val="00A41EEF"/>
    <w:rsid w:val="00A42048"/>
    <w:rsid w:val="00A4206A"/>
    <w:rsid w:val="00A42209"/>
    <w:rsid w:val="00A42221"/>
    <w:rsid w:val="00A42252"/>
    <w:rsid w:val="00A423D9"/>
    <w:rsid w:val="00A42405"/>
    <w:rsid w:val="00A42517"/>
    <w:rsid w:val="00A427AD"/>
    <w:rsid w:val="00A429A3"/>
    <w:rsid w:val="00A42B2E"/>
    <w:rsid w:val="00A42B63"/>
    <w:rsid w:val="00A42D83"/>
    <w:rsid w:val="00A42EC5"/>
    <w:rsid w:val="00A430BA"/>
    <w:rsid w:val="00A4314A"/>
    <w:rsid w:val="00A43220"/>
    <w:rsid w:val="00A432C5"/>
    <w:rsid w:val="00A43300"/>
    <w:rsid w:val="00A43413"/>
    <w:rsid w:val="00A43421"/>
    <w:rsid w:val="00A434A1"/>
    <w:rsid w:val="00A434CC"/>
    <w:rsid w:val="00A43525"/>
    <w:rsid w:val="00A43589"/>
    <w:rsid w:val="00A437A8"/>
    <w:rsid w:val="00A4389E"/>
    <w:rsid w:val="00A439EE"/>
    <w:rsid w:val="00A439F4"/>
    <w:rsid w:val="00A43A0F"/>
    <w:rsid w:val="00A43CAE"/>
    <w:rsid w:val="00A43CFB"/>
    <w:rsid w:val="00A43DCE"/>
    <w:rsid w:val="00A44105"/>
    <w:rsid w:val="00A44113"/>
    <w:rsid w:val="00A4437C"/>
    <w:rsid w:val="00A444A8"/>
    <w:rsid w:val="00A445DF"/>
    <w:rsid w:val="00A4469A"/>
    <w:rsid w:val="00A4479A"/>
    <w:rsid w:val="00A44824"/>
    <w:rsid w:val="00A448E6"/>
    <w:rsid w:val="00A44954"/>
    <w:rsid w:val="00A44A08"/>
    <w:rsid w:val="00A44A2F"/>
    <w:rsid w:val="00A44F72"/>
    <w:rsid w:val="00A44FF8"/>
    <w:rsid w:val="00A450AA"/>
    <w:rsid w:val="00A45147"/>
    <w:rsid w:val="00A4520C"/>
    <w:rsid w:val="00A4541A"/>
    <w:rsid w:val="00A4561D"/>
    <w:rsid w:val="00A457C3"/>
    <w:rsid w:val="00A45814"/>
    <w:rsid w:val="00A4586C"/>
    <w:rsid w:val="00A458D0"/>
    <w:rsid w:val="00A458EC"/>
    <w:rsid w:val="00A45A4A"/>
    <w:rsid w:val="00A45AEB"/>
    <w:rsid w:val="00A45B4A"/>
    <w:rsid w:val="00A45B4F"/>
    <w:rsid w:val="00A45E25"/>
    <w:rsid w:val="00A45F43"/>
    <w:rsid w:val="00A460B3"/>
    <w:rsid w:val="00A46280"/>
    <w:rsid w:val="00A46438"/>
    <w:rsid w:val="00A464BA"/>
    <w:rsid w:val="00A46504"/>
    <w:rsid w:val="00A46709"/>
    <w:rsid w:val="00A467FC"/>
    <w:rsid w:val="00A46860"/>
    <w:rsid w:val="00A469A5"/>
    <w:rsid w:val="00A46AEA"/>
    <w:rsid w:val="00A46B00"/>
    <w:rsid w:val="00A46B9A"/>
    <w:rsid w:val="00A46BEF"/>
    <w:rsid w:val="00A46CCE"/>
    <w:rsid w:val="00A46D6E"/>
    <w:rsid w:val="00A46ED0"/>
    <w:rsid w:val="00A46FAB"/>
    <w:rsid w:val="00A46FAC"/>
    <w:rsid w:val="00A470D1"/>
    <w:rsid w:val="00A470DF"/>
    <w:rsid w:val="00A47127"/>
    <w:rsid w:val="00A474BE"/>
    <w:rsid w:val="00A474F6"/>
    <w:rsid w:val="00A47657"/>
    <w:rsid w:val="00A47719"/>
    <w:rsid w:val="00A478EC"/>
    <w:rsid w:val="00A479C7"/>
    <w:rsid w:val="00A47A04"/>
    <w:rsid w:val="00A47B98"/>
    <w:rsid w:val="00A47C7E"/>
    <w:rsid w:val="00A47D86"/>
    <w:rsid w:val="00A47DE7"/>
    <w:rsid w:val="00A47EFB"/>
    <w:rsid w:val="00A5007C"/>
    <w:rsid w:val="00A500B9"/>
    <w:rsid w:val="00A50337"/>
    <w:rsid w:val="00A5053A"/>
    <w:rsid w:val="00A505BA"/>
    <w:rsid w:val="00A5077C"/>
    <w:rsid w:val="00A507A4"/>
    <w:rsid w:val="00A507EA"/>
    <w:rsid w:val="00A50832"/>
    <w:rsid w:val="00A50927"/>
    <w:rsid w:val="00A5095E"/>
    <w:rsid w:val="00A50985"/>
    <w:rsid w:val="00A509AB"/>
    <w:rsid w:val="00A509BD"/>
    <w:rsid w:val="00A509F2"/>
    <w:rsid w:val="00A50B07"/>
    <w:rsid w:val="00A50BEA"/>
    <w:rsid w:val="00A50C6D"/>
    <w:rsid w:val="00A50C9F"/>
    <w:rsid w:val="00A50CC7"/>
    <w:rsid w:val="00A50D7A"/>
    <w:rsid w:val="00A50F07"/>
    <w:rsid w:val="00A50F7F"/>
    <w:rsid w:val="00A51035"/>
    <w:rsid w:val="00A510BD"/>
    <w:rsid w:val="00A51136"/>
    <w:rsid w:val="00A51194"/>
    <w:rsid w:val="00A51410"/>
    <w:rsid w:val="00A515CB"/>
    <w:rsid w:val="00A5162F"/>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21C8"/>
    <w:rsid w:val="00A52259"/>
    <w:rsid w:val="00A52336"/>
    <w:rsid w:val="00A523E9"/>
    <w:rsid w:val="00A5243B"/>
    <w:rsid w:val="00A52549"/>
    <w:rsid w:val="00A52570"/>
    <w:rsid w:val="00A5257D"/>
    <w:rsid w:val="00A525BD"/>
    <w:rsid w:val="00A5266C"/>
    <w:rsid w:val="00A52779"/>
    <w:rsid w:val="00A52815"/>
    <w:rsid w:val="00A5293A"/>
    <w:rsid w:val="00A529E2"/>
    <w:rsid w:val="00A52A1C"/>
    <w:rsid w:val="00A52C06"/>
    <w:rsid w:val="00A52D37"/>
    <w:rsid w:val="00A52DCF"/>
    <w:rsid w:val="00A53049"/>
    <w:rsid w:val="00A5315E"/>
    <w:rsid w:val="00A531DF"/>
    <w:rsid w:val="00A5324D"/>
    <w:rsid w:val="00A53332"/>
    <w:rsid w:val="00A5337E"/>
    <w:rsid w:val="00A53425"/>
    <w:rsid w:val="00A5349C"/>
    <w:rsid w:val="00A53532"/>
    <w:rsid w:val="00A53794"/>
    <w:rsid w:val="00A537A4"/>
    <w:rsid w:val="00A537FB"/>
    <w:rsid w:val="00A5390D"/>
    <w:rsid w:val="00A539D7"/>
    <w:rsid w:val="00A53AB0"/>
    <w:rsid w:val="00A53ABE"/>
    <w:rsid w:val="00A53C3E"/>
    <w:rsid w:val="00A53E65"/>
    <w:rsid w:val="00A53E91"/>
    <w:rsid w:val="00A53F23"/>
    <w:rsid w:val="00A54253"/>
    <w:rsid w:val="00A54256"/>
    <w:rsid w:val="00A54277"/>
    <w:rsid w:val="00A5434E"/>
    <w:rsid w:val="00A54352"/>
    <w:rsid w:val="00A54459"/>
    <w:rsid w:val="00A54576"/>
    <w:rsid w:val="00A546B5"/>
    <w:rsid w:val="00A54705"/>
    <w:rsid w:val="00A54866"/>
    <w:rsid w:val="00A54A27"/>
    <w:rsid w:val="00A54A6D"/>
    <w:rsid w:val="00A54AA9"/>
    <w:rsid w:val="00A54BE0"/>
    <w:rsid w:val="00A54C68"/>
    <w:rsid w:val="00A54C86"/>
    <w:rsid w:val="00A54EBE"/>
    <w:rsid w:val="00A55012"/>
    <w:rsid w:val="00A55080"/>
    <w:rsid w:val="00A55167"/>
    <w:rsid w:val="00A55239"/>
    <w:rsid w:val="00A55286"/>
    <w:rsid w:val="00A55381"/>
    <w:rsid w:val="00A554FA"/>
    <w:rsid w:val="00A55513"/>
    <w:rsid w:val="00A555BE"/>
    <w:rsid w:val="00A55626"/>
    <w:rsid w:val="00A55647"/>
    <w:rsid w:val="00A5574C"/>
    <w:rsid w:val="00A5592E"/>
    <w:rsid w:val="00A5593D"/>
    <w:rsid w:val="00A55946"/>
    <w:rsid w:val="00A55A44"/>
    <w:rsid w:val="00A55B12"/>
    <w:rsid w:val="00A55CB3"/>
    <w:rsid w:val="00A55E50"/>
    <w:rsid w:val="00A55F03"/>
    <w:rsid w:val="00A55F43"/>
    <w:rsid w:val="00A55FB9"/>
    <w:rsid w:val="00A560B4"/>
    <w:rsid w:val="00A56118"/>
    <w:rsid w:val="00A56214"/>
    <w:rsid w:val="00A5621D"/>
    <w:rsid w:val="00A56258"/>
    <w:rsid w:val="00A56462"/>
    <w:rsid w:val="00A5647B"/>
    <w:rsid w:val="00A5649F"/>
    <w:rsid w:val="00A564F0"/>
    <w:rsid w:val="00A5653D"/>
    <w:rsid w:val="00A5663D"/>
    <w:rsid w:val="00A56655"/>
    <w:rsid w:val="00A56673"/>
    <w:rsid w:val="00A567E3"/>
    <w:rsid w:val="00A56812"/>
    <w:rsid w:val="00A56887"/>
    <w:rsid w:val="00A56A71"/>
    <w:rsid w:val="00A56C91"/>
    <w:rsid w:val="00A56DAE"/>
    <w:rsid w:val="00A56F84"/>
    <w:rsid w:val="00A5706E"/>
    <w:rsid w:val="00A570E5"/>
    <w:rsid w:val="00A5729C"/>
    <w:rsid w:val="00A572E6"/>
    <w:rsid w:val="00A573BE"/>
    <w:rsid w:val="00A573E0"/>
    <w:rsid w:val="00A5748D"/>
    <w:rsid w:val="00A5763C"/>
    <w:rsid w:val="00A57698"/>
    <w:rsid w:val="00A576B2"/>
    <w:rsid w:val="00A578BE"/>
    <w:rsid w:val="00A57A81"/>
    <w:rsid w:val="00A57A82"/>
    <w:rsid w:val="00A57AF2"/>
    <w:rsid w:val="00A57BF4"/>
    <w:rsid w:val="00A57C08"/>
    <w:rsid w:val="00A57C60"/>
    <w:rsid w:val="00A57C8E"/>
    <w:rsid w:val="00A57D9D"/>
    <w:rsid w:val="00A57FA3"/>
    <w:rsid w:val="00A60072"/>
    <w:rsid w:val="00A6009B"/>
    <w:rsid w:val="00A60136"/>
    <w:rsid w:val="00A602B6"/>
    <w:rsid w:val="00A602BE"/>
    <w:rsid w:val="00A60343"/>
    <w:rsid w:val="00A6035E"/>
    <w:rsid w:val="00A6062B"/>
    <w:rsid w:val="00A6069E"/>
    <w:rsid w:val="00A606BC"/>
    <w:rsid w:val="00A608B7"/>
    <w:rsid w:val="00A608DC"/>
    <w:rsid w:val="00A6091F"/>
    <w:rsid w:val="00A60931"/>
    <w:rsid w:val="00A60BD2"/>
    <w:rsid w:val="00A60D45"/>
    <w:rsid w:val="00A60E72"/>
    <w:rsid w:val="00A60EB4"/>
    <w:rsid w:val="00A60F94"/>
    <w:rsid w:val="00A61230"/>
    <w:rsid w:val="00A6131E"/>
    <w:rsid w:val="00A6141B"/>
    <w:rsid w:val="00A61467"/>
    <w:rsid w:val="00A6152E"/>
    <w:rsid w:val="00A61681"/>
    <w:rsid w:val="00A6169A"/>
    <w:rsid w:val="00A619F3"/>
    <w:rsid w:val="00A61BA6"/>
    <w:rsid w:val="00A61C76"/>
    <w:rsid w:val="00A61D1E"/>
    <w:rsid w:val="00A61F43"/>
    <w:rsid w:val="00A61F71"/>
    <w:rsid w:val="00A61F75"/>
    <w:rsid w:val="00A61F83"/>
    <w:rsid w:val="00A61FD9"/>
    <w:rsid w:val="00A61FE7"/>
    <w:rsid w:val="00A62045"/>
    <w:rsid w:val="00A620A9"/>
    <w:rsid w:val="00A620B2"/>
    <w:rsid w:val="00A62301"/>
    <w:rsid w:val="00A623A9"/>
    <w:rsid w:val="00A62542"/>
    <w:rsid w:val="00A6256E"/>
    <w:rsid w:val="00A625E3"/>
    <w:rsid w:val="00A62605"/>
    <w:rsid w:val="00A62653"/>
    <w:rsid w:val="00A6299B"/>
    <w:rsid w:val="00A62BDB"/>
    <w:rsid w:val="00A62CA1"/>
    <w:rsid w:val="00A62E47"/>
    <w:rsid w:val="00A630D8"/>
    <w:rsid w:val="00A6317A"/>
    <w:rsid w:val="00A6334F"/>
    <w:rsid w:val="00A635D5"/>
    <w:rsid w:val="00A636EF"/>
    <w:rsid w:val="00A63701"/>
    <w:rsid w:val="00A63736"/>
    <w:rsid w:val="00A63759"/>
    <w:rsid w:val="00A63797"/>
    <w:rsid w:val="00A6382D"/>
    <w:rsid w:val="00A638EC"/>
    <w:rsid w:val="00A63A4F"/>
    <w:rsid w:val="00A63AB7"/>
    <w:rsid w:val="00A63AC9"/>
    <w:rsid w:val="00A63B5F"/>
    <w:rsid w:val="00A63B80"/>
    <w:rsid w:val="00A63C2E"/>
    <w:rsid w:val="00A63C64"/>
    <w:rsid w:val="00A63EBF"/>
    <w:rsid w:val="00A63EC3"/>
    <w:rsid w:val="00A63FD3"/>
    <w:rsid w:val="00A63FE3"/>
    <w:rsid w:val="00A6418A"/>
    <w:rsid w:val="00A641B7"/>
    <w:rsid w:val="00A64233"/>
    <w:rsid w:val="00A64246"/>
    <w:rsid w:val="00A64250"/>
    <w:rsid w:val="00A64334"/>
    <w:rsid w:val="00A6433B"/>
    <w:rsid w:val="00A643D0"/>
    <w:rsid w:val="00A645BA"/>
    <w:rsid w:val="00A645D0"/>
    <w:rsid w:val="00A64659"/>
    <w:rsid w:val="00A646CF"/>
    <w:rsid w:val="00A6471D"/>
    <w:rsid w:val="00A64812"/>
    <w:rsid w:val="00A64905"/>
    <w:rsid w:val="00A6497A"/>
    <w:rsid w:val="00A649CB"/>
    <w:rsid w:val="00A64A0E"/>
    <w:rsid w:val="00A64C4C"/>
    <w:rsid w:val="00A64C5E"/>
    <w:rsid w:val="00A64D08"/>
    <w:rsid w:val="00A64F4B"/>
    <w:rsid w:val="00A6502F"/>
    <w:rsid w:val="00A650BF"/>
    <w:rsid w:val="00A65125"/>
    <w:rsid w:val="00A65195"/>
    <w:rsid w:val="00A65199"/>
    <w:rsid w:val="00A652B4"/>
    <w:rsid w:val="00A65314"/>
    <w:rsid w:val="00A65374"/>
    <w:rsid w:val="00A65426"/>
    <w:rsid w:val="00A6559D"/>
    <w:rsid w:val="00A655B5"/>
    <w:rsid w:val="00A65667"/>
    <w:rsid w:val="00A65684"/>
    <w:rsid w:val="00A6583F"/>
    <w:rsid w:val="00A65987"/>
    <w:rsid w:val="00A659E8"/>
    <w:rsid w:val="00A65C09"/>
    <w:rsid w:val="00A65D23"/>
    <w:rsid w:val="00A65F2A"/>
    <w:rsid w:val="00A66049"/>
    <w:rsid w:val="00A66166"/>
    <w:rsid w:val="00A661A0"/>
    <w:rsid w:val="00A662C8"/>
    <w:rsid w:val="00A66383"/>
    <w:rsid w:val="00A6656A"/>
    <w:rsid w:val="00A665FC"/>
    <w:rsid w:val="00A66636"/>
    <w:rsid w:val="00A66873"/>
    <w:rsid w:val="00A6696F"/>
    <w:rsid w:val="00A66992"/>
    <w:rsid w:val="00A669AB"/>
    <w:rsid w:val="00A66B13"/>
    <w:rsid w:val="00A66BE5"/>
    <w:rsid w:val="00A66D3D"/>
    <w:rsid w:val="00A66D97"/>
    <w:rsid w:val="00A66E5D"/>
    <w:rsid w:val="00A66F11"/>
    <w:rsid w:val="00A66FD6"/>
    <w:rsid w:val="00A67067"/>
    <w:rsid w:val="00A670CA"/>
    <w:rsid w:val="00A670E4"/>
    <w:rsid w:val="00A672E8"/>
    <w:rsid w:val="00A67573"/>
    <w:rsid w:val="00A67629"/>
    <w:rsid w:val="00A677D4"/>
    <w:rsid w:val="00A677E2"/>
    <w:rsid w:val="00A67804"/>
    <w:rsid w:val="00A6784E"/>
    <w:rsid w:val="00A678AD"/>
    <w:rsid w:val="00A678E8"/>
    <w:rsid w:val="00A678ED"/>
    <w:rsid w:val="00A678FF"/>
    <w:rsid w:val="00A679DC"/>
    <w:rsid w:val="00A67A93"/>
    <w:rsid w:val="00A67B4F"/>
    <w:rsid w:val="00A67C81"/>
    <w:rsid w:val="00A67C8D"/>
    <w:rsid w:val="00A67D32"/>
    <w:rsid w:val="00A67E11"/>
    <w:rsid w:val="00A70190"/>
    <w:rsid w:val="00A706EF"/>
    <w:rsid w:val="00A70967"/>
    <w:rsid w:val="00A7098C"/>
    <w:rsid w:val="00A709BC"/>
    <w:rsid w:val="00A70A39"/>
    <w:rsid w:val="00A70B8D"/>
    <w:rsid w:val="00A70BD5"/>
    <w:rsid w:val="00A70CC9"/>
    <w:rsid w:val="00A70CFC"/>
    <w:rsid w:val="00A70D11"/>
    <w:rsid w:val="00A70D86"/>
    <w:rsid w:val="00A70ECF"/>
    <w:rsid w:val="00A70F41"/>
    <w:rsid w:val="00A70F8F"/>
    <w:rsid w:val="00A712BD"/>
    <w:rsid w:val="00A7154A"/>
    <w:rsid w:val="00A716DA"/>
    <w:rsid w:val="00A7187D"/>
    <w:rsid w:val="00A719B8"/>
    <w:rsid w:val="00A71B4A"/>
    <w:rsid w:val="00A71C64"/>
    <w:rsid w:val="00A71D1A"/>
    <w:rsid w:val="00A71D64"/>
    <w:rsid w:val="00A71D9B"/>
    <w:rsid w:val="00A71EC3"/>
    <w:rsid w:val="00A71EC6"/>
    <w:rsid w:val="00A7204E"/>
    <w:rsid w:val="00A72269"/>
    <w:rsid w:val="00A7252A"/>
    <w:rsid w:val="00A7253D"/>
    <w:rsid w:val="00A7256A"/>
    <w:rsid w:val="00A72588"/>
    <w:rsid w:val="00A72667"/>
    <w:rsid w:val="00A726C6"/>
    <w:rsid w:val="00A727C2"/>
    <w:rsid w:val="00A728A4"/>
    <w:rsid w:val="00A728D3"/>
    <w:rsid w:val="00A7291F"/>
    <w:rsid w:val="00A72AE0"/>
    <w:rsid w:val="00A72D29"/>
    <w:rsid w:val="00A72DD8"/>
    <w:rsid w:val="00A72E47"/>
    <w:rsid w:val="00A72EA8"/>
    <w:rsid w:val="00A72F51"/>
    <w:rsid w:val="00A72F70"/>
    <w:rsid w:val="00A731A1"/>
    <w:rsid w:val="00A73555"/>
    <w:rsid w:val="00A73684"/>
    <w:rsid w:val="00A736D7"/>
    <w:rsid w:val="00A73788"/>
    <w:rsid w:val="00A7399D"/>
    <w:rsid w:val="00A73A96"/>
    <w:rsid w:val="00A73BFA"/>
    <w:rsid w:val="00A73DC4"/>
    <w:rsid w:val="00A73F20"/>
    <w:rsid w:val="00A74472"/>
    <w:rsid w:val="00A745FF"/>
    <w:rsid w:val="00A747D3"/>
    <w:rsid w:val="00A748FC"/>
    <w:rsid w:val="00A74A09"/>
    <w:rsid w:val="00A74A8E"/>
    <w:rsid w:val="00A74C59"/>
    <w:rsid w:val="00A74DD1"/>
    <w:rsid w:val="00A74EA7"/>
    <w:rsid w:val="00A74F66"/>
    <w:rsid w:val="00A74FA1"/>
    <w:rsid w:val="00A74FBE"/>
    <w:rsid w:val="00A75014"/>
    <w:rsid w:val="00A75286"/>
    <w:rsid w:val="00A7536C"/>
    <w:rsid w:val="00A75425"/>
    <w:rsid w:val="00A754A7"/>
    <w:rsid w:val="00A7557D"/>
    <w:rsid w:val="00A75689"/>
    <w:rsid w:val="00A758B5"/>
    <w:rsid w:val="00A75917"/>
    <w:rsid w:val="00A759D9"/>
    <w:rsid w:val="00A75A0D"/>
    <w:rsid w:val="00A75A89"/>
    <w:rsid w:val="00A75B17"/>
    <w:rsid w:val="00A75BA7"/>
    <w:rsid w:val="00A75CAC"/>
    <w:rsid w:val="00A75D30"/>
    <w:rsid w:val="00A75ED9"/>
    <w:rsid w:val="00A75F08"/>
    <w:rsid w:val="00A76044"/>
    <w:rsid w:val="00A760CB"/>
    <w:rsid w:val="00A7615B"/>
    <w:rsid w:val="00A76176"/>
    <w:rsid w:val="00A76330"/>
    <w:rsid w:val="00A763A5"/>
    <w:rsid w:val="00A769A2"/>
    <w:rsid w:val="00A76A60"/>
    <w:rsid w:val="00A76AA0"/>
    <w:rsid w:val="00A76AF2"/>
    <w:rsid w:val="00A76B50"/>
    <w:rsid w:val="00A76BE8"/>
    <w:rsid w:val="00A76BFD"/>
    <w:rsid w:val="00A76D30"/>
    <w:rsid w:val="00A76E1F"/>
    <w:rsid w:val="00A76E82"/>
    <w:rsid w:val="00A76F6E"/>
    <w:rsid w:val="00A770B5"/>
    <w:rsid w:val="00A7710B"/>
    <w:rsid w:val="00A771BC"/>
    <w:rsid w:val="00A771CE"/>
    <w:rsid w:val="00A77234"/>
    <w:rsid w:val="00A774C0"/>
    <w:rsid w:val="00A77672"/>
    <w:rsid w:val="00A776F9"/>
    <w:rsid w:val="00A77A54"/>
    <w:rsid w:val="00A77A6B"/>
    <w:rsid w:val="00A77C8C"/>
    <w:rsid w:val="00A77CB2"/>
    <w:rsid w:val="00A80000"/>
    <w:rsid w:val="00A8009D"/>
    <w:rsid w:val="00A800B8"/>
    <w:rsid w:val="00A80176"/>
    <w:rsid w:val="00A8026C"/>
    <w:rsid w:val="00A8030F"/>
    <w:rsid w:val="00A80312"/>
    <w:rsid w:val="00A8044E"/>
    <w:rsid w:val="00A80523"/>
    <w:rsid w:val="00A80557"/>
    <w:rsid w:val="00A8062E"/>
    <w:rsid w:val="00A80913"/>
    <w:rsid w:val="00A80A57"/>
    <w:rsid w:val="00A80ABC"/>
    <w:rsid w:val="00A80C6F"/>
    <w:rsid w:val="00A80D4D"/>
    <w:rsid w:val="00A81014"/>
    <w:rsid w:val="00A8112C"/>
    <w:rsid w:val="00A811FA"/>
    <w:rsid w:val="00A812B3"/>
    <w:rsid w:val="00A814B5"/>
    <w:rsid w:val="00A814F1"/>
    <w:rsid w:val="00A815ED"/>
    <w:rsid w:val="00A81744"/>
    <w:rsid w:val="00A817D5"/>
    <w:rsid w:val="00A818E0"/>
    <w:rsid w:val="00A81A1C"/>
    <w:rsid w:val="00A81B80"/>
    <w:rsid w:val="00A81C42"/>
    <w:rsid w:val="00A81D4C"/>
    <w:rsid w:val="00A81D5E"/>
    <w:rsid w:val="00A8204E"/>
    <w:rsid w:val="00A82066"/>
    <w:rsid w:val="00A8221D"/>
    <w:rsid w:val="00A8232E"/>
    <w:rsid w:val="00A823EC"/>
    <w:rsid w:val="00A825DD"/>
    <w:rsid w:val="00A827D5"/>
    <w:rsid w:val="00A828FD"/>
    <w:rsid w:val="00A82AAD"/>
    <w:rsid w:val="00A82D87"/>
    <w:rsid w:val="00A82DEE"/>
    <w:rsid w:val="00A830FF"/>
    <w:rsid w:val="00A83158"/>
    <w:rsid w:val="00A83289"/>
    <w:rsid w:val="00A833FB"/>
    <w:rsid w:val="00A8342A"/>
    <w:rsid w:val="00A83603"/>
    <w:rsid w:val="00A8377F"/>
    <w:rsid w:val="00A837F2"/>
    <w:rsid w:val="00A83857"/>
    <w:rsid w:val="00A83AA1"/>
    <w:rsid w:val="00A83B01"/>
    <w:rsid w:val="00A83CA4"/>
    <w:rsid w:val="00A83CC3"/>
    <w:rsid w:val="00A83CE9"/>
    <w:rsid w:val="00A83E51"/>
    <w:rsid w:val="00A83F0B"/>
    <w:rsid w:val="00A841A8"/>
    <w:rsid w:val="00A84239"/>
    <w:rsid w:val="00A84315"/>
    <w:rsid w:val="00A84392"/>
    <w:rsid w:val="00A84461"/>
    <w:rsid w:val="00A845BE"/>
    <w:rsid w:val="00A84600"/>
    <w:rsid w:val="00A84650"/>
    <w:rsid w:val="00A847A6"/>
    <w:rsid w:val="00A84A87"/>
    <w:rsid w:val="00A84B72"/>
    <w:rsid w:val="00A84BDF"/>
    <w:rsid w:val="00A84D4B"/>
    <w:rsid w:val="00A84DF1"/>
    <w:rsid w:val="00A84EEC"/>
    <w:rsid w:val="00A84F2E"/>
    <w:rsid w:val="00A84F55"/>
    <w:rsid w:val="00A850F7"/>
    <w:rsid w:val="00A852E7"/>
    <w:rsid w:val="00A85452"/>
    <w:rsid w:val="00A854C9"/>
    <w:rsid w:val="00A855FC"/>
    <w:rsid w:val="00A8571B"/>
    <w:rsid w:val="00A857CF"/>
    <w:rsid w:val="00A857EE"/>
    <w:rsid w:val="00A85905"/>
    <w:rsid w:val="00A85A0C"/>
    <w:rsid w:val="00A85A20"/>
    <w:rsid w:val="00A85BB3"/>
    <w:rsid w:val="00A85C41"/>
    <w:rsid w:val="00A85CA2"/>
    <w:rsid w:val="00A85DF8"/>
    <w:rsid w:val="00A85EED"/>
    <w:rsid w:val="00A85F6B"/>
    <w:rsid w:val="00A85FBD"/>
    <w:rsid w:val="00A860BB"/>
    <w:rsid w:val="00A863D8"/>
    <w:rsid w:val="00A86620"/>
    <w:rsid w:val="00A86647"/>
    <w:rsid w:val="00A8673F"/>
    <w:rsid w:val="00A86826"/>
    <w:rsid w:val="00A8687D"/>
    <w:rsid w:val="00A8689A"/>
    <w:rsid w:val="00A8691B"/>
    <w:rsid w:val="00A86996"/>
    <w:rsid w:val="00A86C3D"/>
    <w:rsid w:val="00A86C76"/>
    <w:rsid w:val="00A86E46"/>
    <w:rsid w:val="00A86EB8"/>
    <w:rsid w:val="00A8716C"/>
    <w:rsid w:val="00A8718E"/>
    <w:rsid w:val="00A871A6"/>
    <w:rsid w:val="00A8727B"/>
    <w:rsid w:val="00A8727F"/>
    <w:rsid w:val="00A87285"/>
    <w:rsid w:val="00A872F5"/>
    <w:rsid w:val="00A873DD"/>
    <w:rsid w:val="00A8740C"/>
    <w:rsid w:val="00A874F7"/>
    <w:rsid w:val="00A87564"/>
    <w:rsid w:val="00A875CB"/>
    <w:rsid w:val="00A8777D"/>
    <w:rsid w:val="00A87B31"/>
    <w:rsid w:val="00A87C40"/>
    <w:rsid w:val="00A87D7B"/>
    <w:rsid w:val="00A87DD9"/>
    <w:rsid w:val="00A87DE1"/>
    <w:rsid w:val="00A87ED0"/>
    <w:rsid w:val="00A87EED"/>
    <w:rsid w:val="00A9007A"/>
    <w:rsid w:val="00A900CF"/>
    <w:rsid w:val="00A9017D"/>
    <w:rsid w:val="00A901D5"/>
    <w:rsid w:val="00A90265"/>
    <w:rsid w:val="00A90338"/>
    <w:rsid w:val="00A90356"/>
    <w:rsid w:val="00A90413"/>
    <w:rsid w:val="00A90642"/>
    <w:rsid w:val="00A90675"/>
    <w:rsid w:val="00A90683"/>
    <w:rsid w:val="00A90693"/>
    <w:rsid w:val="00A90720"/>
    <w:rsid w:val="00A907DA"/>
    <w:rsid w:val="00A908B9"/>
    <w:rsid w:val="00A908C8"/>
    <w:rsid w:val="00A90909"/>
    <w:rsid w:val="00A90959"/>
    <w:rsid w:val="00A909E8"/>
    <w:rsid w:val="00A90A08"/>
    <w:rsid w:val="00A90A76"/>
    <w:rsid w:val="00A90AA3"/>
    <w:rsid w:val="00A90AC6"/>
    <w:rsid w:val="00A90AEE"/>
    <w:rsid w:val="00A90B3D"/>
    <w:rsid w:val="00A90BBB"/>
    <w:rsid w:val="00A90D94"/>
    <w:rsid w:val="00A90DCE"/>
    <w:rsid w:val="00A90E1E"/>
    <w:rsid w:val="00A91029"/>
    <w:rsid w:val="00A91183"/>
    <w:rsid w:val="00A912D0"/>
    <w:rsid w:val="00A914AE"/>
    <w:rsid w:val="00A9150E"/>
    <w:rsid w:val="00A915AD"/>
    <w:rsid w:val="00A915C8"/>
    <w:rsid w:val="00A91645"/>
    <w:rsid w:val="00A91C28"/>
    <w:rsid w:val="00A91C93"/>
    <w:rsid w:val="00A91CB3"/>
    <w:rsid w:val="00A91D42"/>
    <w:rsid w:val="00A91DE2"/>
    <w:rsid w:val="00A91F82"/>
    <w:rsid w:val="00A920DF"/>
    <w:rsid w:val="00A92121"/>
    <w:rsid w:val="00A92179"/>
    <w:rsid w:val="00A923C6"/>
    <w:rsid w:val="00A92409"/>
    <w:rsid w:val="00A92548"/>
    <w:rsid w:val="00A925C6"/>
    <w:rsid w:val="00A925FD"/>
    <w:rsid w:val="00A927B0"/>
    <w:rsid w:val="00A929DA"/>
    <w:rsid w:val="00A92ABD"/>
    <w:rsid w:val="00A92B00"/>
    <w:rsid w:val="00A92DB6"/>
    <w:rsid w:val="00A92DED"/>
    <w:rsid w:val="00A92EFF"/>
    <w:rsid w:val="00A92F04"/>
    <w:rsid w:val="00A92F74"/>
    <w:rsid w:val="00A93021"/>
    <w:rsid w:val="00A93096"/>
    <w:rsid w:val="00A930DF"/>
    <w:rsid w:val="00A930E6"/>
    <w:rsid w:val="00A93303"/>
    <w:rsid w:val="00A933E2"/>
    <w:rsid w:val="00A934DF"/>
    <w:rsid w:val="00A935C9"/>
    <w:rsid w:val="00A9371D"/>
    <w:rsid w:val="00A93913"/>
    <w:rsid w:val="00A93AE0"/>
    <w:rsid w:val="00A93AF8"/>
    <w:rsid w:val="00A93B64"/>
    <w:rsid w:val="00A93B88"/>
    <w:rsid w:val="00A93C27"/>
    <w:rsid w:val="00A93CC9"/>
    <w:rsid w:val="00A93D7A"/>
    <w:rsid w:val="00A93E8E"/>
    <w:rsid w:val="00A9401C"/>
    <w:rsid w:val="00A94028"/>
    <w:rsid w:val="00A94143"/>
    <w:rsid w:val="00A9414F"/>
    <w:rsid w:val="00A94169"/>
    <w:rsid w:val="00A941A8"/>
    <w:rsid w:val="00A942C5"/>
    <w:rsid w:val="00A942E4"/>
    <w:rsid w:val="00A94441"/>
    <w:rsid w:val="00A945D9"/>
    <w:rsid w:val="00A94616"/>
    <w:rsid w:val="00A9466E"/>
    <w:rsid w:val="00A94870"/>
    <w:rsid w:val="00A948BA"/>
    <w:rsid w:val="00A948F9"/>
    <w:rsid w:val="00A94B3A"/>
    <w:rsid w:val="00A94CA8"/>
    <w:rsid w:val="00A95088"/>
    <w:rsid w:val="00A95135"/>
    <w:rsid w:val="00A9516D"/>
    <w:rsid w:val="00A95531"/>
    <w:rsid w:val="00A9565C"/>
    <w:rsid w:val="00A956B0"/>
    <w:rsid w:val="00A95719"/>
    <w:rsid w:val="00A957D8"/>
    <w:rsid w:val="00A95867"/>
    <w:rsid w:val="00A95869"/>
    <w:rsid w:val="00A95879"/>
    <w:rsid w:val="00A959AD"/>
    <w:rsid w:val="00A95ABA"/>
    <w:rsid w:val="00A95AD2"/>
    <w:rsid w:val="00A95C31"/>
    <w:rsid w:val="00A95DF9"/>
    <w:rsid w:val="00A95F39"/>
    <w:rsid w:val="00A96007"/>
    <w:rsid w:val="00A96097"/>
    <w:rsid w:val="00A9633B"/>
    <w:rsid w:val="00A96344"/>
    <w:rsid w:val="00A9644F"/>
    <w:rsid w:val="00A96491"/>
    <w:rsid w:val="00A964AA"/>
    <w:rsid w:val="00A966C6"/>
    <w:rsid w:val="00A96779"/>
    <w:rsid w:val="00A967C8"/>
    <w:rsid w:val="00A96802"/>
    <w:rsid w:val="00A968D0"/>
    <w:rsid w:val="00A96A3F"/>
    <w:rsid w:val="00A96A77"/>
    <w:rsid w:val="00A96AF1"/>
    <w:rsid w:val="00A96B30"/>
    <w:rsid w:val="00A96B90"/>
    <w:rsid w:val="00A96BFA"/>
    <w:rsid w:val="00A96CD1"/>
    <w:rsid w:val="00A96D92"/>
    <w:rsid w:val="00A96E46"/>
    <w:rsid w:val="00A96F54"/>
    <w:rsid w:val="00A96FD6"/>
    <w:rsid w:val="00A97064"/>
    <w:rsid w:val="00A971D9"/>
    <w:rsid w:val="00A97251"/>
    <w:rsid w:val="00A972D9"/>
    <w:rsid w:val="00A974FD"/>
    <w:rsid w:val="00A9764E"/>
    <w:rsid w:val="00A9770E"/>
    <w:rsid w:val="00A97877"/>
    <w:rsid w:val="00A978F7"/>
    <w:rsid w:val="00A97B13"/>
    <w:rsid w:val="00A97C1F"/>
    <w:rsid w:val="00A97DE9"/>
    <w:rsid w:val="00A97FC7"/>
    <w:rsid w:val="00A97FD0"/>
    <w:rsid w:val="00A97FD7"/>
    <w:rsid w:val="00AA007F"/>
    <w:rsid w:val="00AA009E"/>
    <w:rsid w:val="00AA00C7"/>
    <w:rsid w:val="00AA00CC"/>
    <w:rsid w:val="00AA00FA"/>
    <w:rsid w:val="00AA01A4"/>
    <w:rsid w:val="00AA01CA"/>
    <w:rsid w:val="00AA033A"/>
    <w:rsid w:val="00AA0515"/>
    <w:rsid w:val="00AA079D"/>
    <w:rsid w:val="00AA084B"/>
    <w:rsid w:val="00AA0A11"/>
    <w:rsid w:val="00AA0ADC"/>
    <w:rsid w:val="00AA0B31"/>
    <w:rsid w:val="00AA0C13"/>
    <w:rsid w:val="00AA0CE9"/>
    <w:rsid w:val="00AA0D32"/>
    <w:rsid w:val="00AA0F29"/>
    <w:rsid w:val="00AA1001"/>
    <w:rsid w:val="00AA10BB"/>
    <w:rsid w:val="00AA1263"/>
    <w:rsid w:val="00AA1311"/>
    <w:rsid w:val="00AA1398"/>
    <w:rsid w:val="00AA145D"/>
    <w:rsid w:val="00AA1499"/>
    <w:rsid w:val="00AA14F1"/>
    <w:rsid w:val="00AA1610"/>
    <w:rsid w:val="00AA1679"/>
    <w:rsid w:val="00AA1902"/>
    <w:rsid w:val="00AA1945"/>
    <w:rsid w:val="00AA194D"/>
    <w:rsid w:val="00AA1C1A"/>
    <w:rsid w:val="00AA1C5A"/>
    <w:rsid w:val="00AA1CC5"/>
    <w:rsid w:val="00AA1ED6"/>
    <w:rsid w:val="00AA1EE8"/>
    <w:rsid w:val="00AA213B"/>
    <w:rsid w:val="00AA2148"/>
    <w:rsid w:val="00AA226E"/>
    <w:rsid w:val="00AA23DE"/>
    <w:rsid w:val="00AA2441"/>
    <w:rsid w:val="00AA244C"/>
    <w:rsid w:val="00AA24BE"/>
    <w:rsid w:val="00AA24EB"/>
    <w:rsid w:val="00AA257C"/>
    <w:rsid w:val="00AA25BC"/>
    <w:rsid w:val="00AA25D6"/>
    <w:rsid w:val="00AA26DD"/>
    <w:rsid w:val="00AA271D"/>
    <w:rsid w:val="00AA27F6"/>
    <w:rsid w:val="00AA29B4"/>
    <w:rsid w:val="00AA2A00"/>
    <w:rsid w:val="00AA2BCB"/>
    <w:rsid w:val="00AA2C0A"/>
    <w:rsid w:val="00AA2C79"/>
    <w:rsid w:val="00AA2EB3"/>
    <w:rsid w:val="00AA2F18"/>
    <w:rsid w:val="00AA303E"/>
    <w:rsid w:val="00AA30D6"/>
    <w:rsid w:val="00AA315E"/>
    <w:rsid w:val="00AA31DB"/>
    <w:rsid w:val="00AA322D"/>
    <w:rsid w:val="00AA335D"/>
    <w:rsid w:val="00AA33AE"/>
    <w:rsid w:val="00AA364D"/>
    <w:rsid w:val="00AA36F3"/>
    <w:rsid w:val="00AA38E0"/>
    <w:rsid w:val="00AA39FF"/>
    <w:rsid w:val="00AA3A06"/>
    <w:rsid w:val="00AA3A57"/>
    <w:rsid w:val="00AA3AD8"/>
    <w:rsid w:val="00AA3C75"/>
    <w:rsid w:val="00AA3DD7"/>
    <w:rsid w:val="00AA3F6D"/>
    <w:rsid w:val="00AA4023"/>
    <w:rsid w:val="00AA403A"/>
    <w:rsid w:val="00AA40A6"/>
    <w:rsid w:val="00AA425E"/>
    <w:rsid w:val="00AA4512"/>
    <w:rsid w:val="00AA454E"/>
    <w:rsid w:val="00AA4603"/>
    <w:rsid w:val="00AA461F"/>
    <w:rsid w:val="00AA467B"/>
    <w:rsid w:val="00AA46AE"/>
    <w:rsid w:val="00AA4764"/>
    <w:rsid w:val="00AA477B"/>
    <w:rsid w:val="00AA487B"/>
    <w:rsid w:val="00AA48F9"/>
    <w:rsid w:val="00AA48FA"/>
    <w:rsid w:val="00AA498A"/>
    <w:rsid w:val="00AA4A20"/>
    <w:rsid w:val="00AA4C87"/>
    <w:rsid w:val="00AA4C9B"/>
    <w:rsid w:val="00AA4CEE"/>
    <w:rsid w:val="00AA4DE5"/>
    <w:rsid w:val="00AA4DEA"/>
    <w:rsid w:val="00AA4E46"/>
    <w:rsid w:val="00AA5005"/>
    <w:rsid w:val="00AA53ED"/>
    <w:rsid w:val="00AA5445"/>
    <w:rsid w:val="00AA5483"/>
    <w:rsid w:val="00AA54FA"/>
    <w:rsid w:val="00AA55B6"/>
    <w:rsid w:val="00AA55B7"/>
    <w:rsid w:val="00AA5662"/>
    <w:rsid w:val="00AA56FB"/>
    <w:rsid w:val="00AA5825"/>
    <w:rsid w:val="00AA5937"/>
    <w:rsid w:val="00AA5AB9"/>
    <w:rsid w:val="00AA5ABC"/>
    <w:rsid w:val="00AA5AD9"/>
    <w:rsid w:val="00AA5B45"/>
    <w:rsid w:val="00AA5BDD"/>
    <w:rsid w:val="00AA5C1B"/>
    <w:rsid w:val="00AA5CD9"/>
    <w:rsid w:val="00AA5F29"/>
    <w:rsid w:val="00AA5FFF"/>
    <w:rsid w:val="00AA6239"/>
    <w:rsid w:val="00AA636C"/>
    <w:rsid w:val="00AA6475"/>
    <w:rsid w:val="00AA64A2"/>
    <w:rsid w:val="00AA64A7"/>
    <w:rsid w:val="00AA656D"/>
    <w:rsid w:val="00AA6785"/>
    <w:rsid w:val="00AA67CE"/>
    <w:rsid w:val="00AA6806"/>
    <w:rsid w:val="00AA696C"/>
    <w:rsid w:val="00AA6974"/>
    <w:rsid w:val="00AA6C60"/>
    <w:rsid w:val="00AA6D51"/>
    <w:rsid w:val="00AA6DB3"/>
    <w:rsid w:val="00AA6F30"/>
    <w:rsid w:val="00AA6F7A"/>
    <w:rsid w:val="00AA6FA9"/>
    <w:rsid w:val="00AA6FAE"/>
    <w:rsid w:val="00AA6FD8"/>
    <w:rsid w:val="00AA7110"/>
    <w:rsid w:val="00AA72B3"/>
    <w:rsid w:val="00AA7502"/>
    <w:rsid w:val="00AA751A"/>
    <w:rsid w:val="00AA755B"/>
    <w:rsid w:val="00AA760F"/>
    <w:rsid w:val="00AA7644"/>
    <w:rsid w:val="00AA7670"/>
    <w:rsid w:val="00AA797B"/>
    <w:rsid w:val="00AA79D8"/>
    <w:rsid w:val="00AA79FF"/>
    <w:rsid w:val="00AA7A99"/>
    <w:rsid w:val="00AA7AAE"/>
    <w:rsid w:val="00AA7BB2"/>
    <w:rsid w:val="00AA7E2F"/>
    <w:rsid w:val="00AA7F1E"/>
    <w:rsid w:val="00AA7F99"/>
    <w:rsid w:val="00AB00CC"/>
    <w:rsid w:val="00AB00CE"/>
    <w:rsid w:val="00AB0146"/>
    <w:rsid w:val="00AB0527"/>
    <w:rsid w:val="00AB0555"/>
    <w:rsid w:val="00AB0731"/>
    <w:rsid w:val="00AB0778"/>
    <w:rsid w:val="00AB0A4D"/>
    <w:rsid w:val="00AB0BB1"/>
    <w:rsid w:val="00AB0FBF"/>
    <w:rsid w:val="00AB0FD2"/>
    <w:rsid w:val="00AB1319"/>
    <w:rsid w:val="00AB1469"/>
    <w:rsid w:val="00AB14F6"/>
    <w:rsid w:val="00AB151F"/>
    <w:rsid w:val="00AB1525"/>
    <w:rsid w:val="00AB156D"/>
    <w:rsid w:val="00AB15FA"/>
    <w:rsid w:val="00AB1935"/>
    <w:rsid w:val="00AB19C7"/>
    <w:rsid w:val="00AB1AB2"/>
    <w:rsid w:val="00AB1B48"/>
    <w:rsid w:val="00AB1BF8"/>
    <w:rsid w:val="00AB1C4A"/>
    <w:rsid w:val="00AB1C86"/>
    <w:rsid w:val="00AB1CFA"/>
    <w:rsid w:val="00AB1D59"/>
    <w:rsid w:val="00AB1E08"/>
    <w:rsid w:val="00AB205D"/>
    <w:rsid w:val="00AB2199"/>
    <w:rsid w:val="00AB21AD"/>
    <w:rsid w:val="00AB21C7"/>
    <w:rsid w:val="00AB2223"/>
    <w:rsid w:val="00AB2232"/>
    <w:rsid w:val="00AB2253"/>
    <w:rsid w:val="00AB226C"/>
    <w:rsid w:val="00AB23CA"/>
    <w:rsid w:val="00AB23CF"/>
    <w:rsid w:val="00AB2406"/>
    <w:rsid w:val="00AB257E"/>
    <w:rsid w:val="00AB2597"/>
    <w:rsid w:val="00AB2689"/>
    <w:rsid w:val="00AB290B"/>
    <w:rsid w:val="00AB2B1E"/>
    <w:rsid w:val="00AB2D24"/>
    <w:rsid w:val="00AB2F75"/>
    <w:rsid w:val="00AB3119"/>
    <w:rsid w:val="00AB321F"/>
    <w:rsid w:val="00AB33B9"/>
    <w:rsid w:val="00AB35F7"/>
    <w:rsid w:val="00AB3A17"/>
    <w:rsid w:val="00AB3A8B"/>
    <w:rsid w:val="00AB3A9D"/>
    <w:rsid w:val="00AB3B8D"/>
    <w:rsid w:val="00AB3BF3"/>
    <w:rsid w:val="00AB3F24"/>
    <w:rsid w:val="00AB4099"/>
    <w:rsid w:val="00AB411D"/>
    <w:rsid w:val="00AB4145"/>
    <w:rsid w:val="00AB44E6"/>
    <w:rsid w:val="00AB4517"/>
    <w:rsid w:val="00AB4547"/>
    <w:rsid w:val="00AB472B"/>
    <w:rsid w:val="00AB476B"/>
    <w:rsid w:val="00AB478E"/>
    <w:rsid w:val="00AB47BE"/>
    <w:rsid w:val="00AB4890"/>
    <w:rsid w:val="00AB490B"/>
    <w:rsid w:val="00AB4991"/>
    <w:rsid w:val="00AB499F"/>
    <w:rsid w:val="00AB4B2A"/>
    <w:rsid w:val="00AB4D11"/>
    <w:rsid w:val="00AB4DCC"/>
    <w:rsid w:val="00AB4E14"/>
    <w:rsid w:val="00AB4E84"/>
    <w:rsid w:val="00AB4EB5"/>
    <w:rsid w:val="00AB4EF6"/>
    <w:rsid w:val="00AB5069"/>
    <w:rsid w:val="00AB51C2"/>
    <w:rsid w:val="00AB51C4"/>
    <w:rsid w:val="00AB52E3"/>
    <w:rsid w:val="00AB542B"/>
    <w:rsid w:val="00AB582F"/>
    <w:rsid w:val="00AB59B5"/>
    <w:rsid w:val="00AB59E0"/>
    <w:rsid w:val="00AB5C11"/>
    <w:rsid w:val="00AB5C56"/>
    <w:rsid w:val="00AB5CF6"/>
    <w:rsid w:val="00AB5F09"/>
    <w:rsid w:val="00AB638F"/>
    <w:rsid w:val="00AB6548"/>
    <w:rsid w:val="00AB6601"/>
    <w:rsid w:val="00AB66B9"/>
    <w:rsid w:val="00AB6832"/>
    <w:rsid w:val="00AB686F"/>
    <w:rsid w:val="00AB687E"/>
    <w:rsid w:val="00AB6968"/>
    <w:rsid w:val="00AB69A6"/>
    <w:rsid w:val="00AB69B5"/>
    <w:rsid w:val="00AB6A41"/>
    <w:rsid w:val="00AB6A59"/>
    <w:rsid w:val="00AB6ADE"/>
    <w:rsid w:val="00AB6B90"/>
    <w:rsid w:val="00AB6C05"/>
    <w:rsid w:val="00AB6C66"/>
    <w:rsid w:val="00AB6CAD"/>
    <w:rsid w:val="00AB6D37"/>
    <w:rsid w:val="00AB6D44"/>
    <w:rsid w:val="00AB6E41"/>
    <w:rsid w:val="00AB6EE0"/>
    <w:rsid w:val="00AB6F8E"/>
    <w:rsid w:val="00AB7055"/>
    <w:rsid w:val="00AB7104"/>
    <w:rsid w:val="00AB710B"/>
    <w:rsid w:val="00AB7573"/>
    <w:rsid w:val="00AB76D5"/>
    <w:rsid w:val="00AB7777"/>
    <w:rsid w:val="00AB778D"/>
    <w:rsid w:val="00AB77D6"/>
    <w:rsid w:val="00AB7843"/>
    <w:rsid w:val="00AB7851"/>
    <w:rsid w:val="00AB788C"/>
    <w:rsid w:val="00AB79F2"/>
    <w:rsid w:val="00AB7A0D"/>
    <w:rsid w:val="00AB7A94"/>
    <w:rsid w:val="00AB7B2C"/>
    <w:rsid w:val="00AB7B96"/>
    <w:rsid w:val="00AB7D1C"/>
    <w:rsid w:val="00AB7DDF"/>
    <w:rsid w:val="00AB7ECE"/>
    <w:rsid w:val="00AB7EF8"/>
    <w:rsid w:val="00AB7EFD"/>
    <w:rsid w:val="00AB7FDA"/>
    <w:rsid w:val="00AC0209"/>
    <w:rsid w:val="00AC0280"/>
    <w:rsid w:val="00AC0340"/>
    <w:rsid w:val="00AC0404"/>
    <w:rsid w:val="00AC043E"/>
    <w:rsid w:val="00AC04B2"/>
    <w:rsid w:val="00AC0709"/>
    <w:rsid w:val="00AC0775"/>
    <w:rsid w:val="00AC07E8"/>
    <w:rsid w:val="00AC07ED"/>
    <w:rsid w:val="00AC0947"/>
    <w:rsid w:val="00AC0A6E"/>
    <w:rsid w:val="00AC0AD3"/>
    <w:rsid w:val="00AC0C25"/>
    <w:rsid w:val="00AC0C28"/>
    <w:rsid w:val="00AC0C7C"/>
    <w:rsid w:val="00AC0D13"/>
    <w:rsid w:val="00AC0D72"/>
    <w:rsid w:val="00AC0DF4"/>
    <w:rsid w:val="00AC0E02"/>
    <w:rsid w:val="00AC0E54"/>
    <w:rsid w:val="00AC0EB9"/>
    <w:rsid w:val="00AC0F3E"/>
    <w:rsid w:val="00AC1353"/>
    <w:rsid w:val="00AC1499"/>
    <w:rsid w:val="00AC19BE"/>
    <w:rsid w:val="00AC1C49"/>
    <w:rsid w:val="00AC1D5E"/>
    <w:rsid w:val="00AC1FF8"/>
    <w:rsid w:val="00AC2156"/>
    <w:rsid w:val="00AC224D"/>
    <w:rsid w:val="00AC22E6"/>
    <w:rsid w:val="00AC25A0"/>
    <w:rsid w:val="00AC264A"/>
    <w:rsid w:val="00AC264B"/>
    <w:rsid w:val="00AC2733"/>
    <w:rsid w:val="00AC278A"/>
    <w:rsid w:val="00AC27A0"/>
    <w:rsid w:val="00AC2878"/>
    <w:rsid w:val="00AC290A"/>
    <w:rsid w:val="00AC2A67"/>
    <w:rsid w:val="00AC2B5E"/>
    <w:rsid w:val="00AC2C15"/>
    <w:rsid w:val="00AC2CF9"/>
    <w:rsid w:val="00AC2E89"/>
    <w:rsid w:val="00AC2FEE"/>
    <w:rsid w:val="00AC3136"/>
    <w:rsid w:val="00AC3158"/>
    <w:rsid w:val="00AC3371"/>
    <w:rsid w:val="00AC3492"/>
    <w:rsid w:val="00AC3507"/>
    <w:rsid w:val="00AC3674"/>
    <w:rsid w:val="00AC374A"/>
    <w:rsid w:val="00AC374C"/>
    <w:rsid w:val="00AC3798"/>
    <w:rsid w:val="00AC3894"/>
    <w:rsid w:val="00AC3ABD"/>
    <w:rsid w:val="00AC3AE7"/>
    <w:rsid w:val="00AC3B1E"/>
    <w:rsid w:val="00AC3D0D"/>
    <w:rsid w:val="00AC3ECC"/>
    <w:rsid w:val="00AC3F2A"/>
    <w:rsid w:val="00AC4025"/>
    <w:rsid w:val="00AC4052"/>
    <w:rsid w:val="00AC41C8"/>
    <w:rsid w:val="00AC43F1"/>
    <w:rsid w:val="00AC4455"/>
    <w:rsid w:val="00AC44BC"/>
    <w:rsid w:val="00AC45D9"/>
    <w:rsid w:val="00AC4705"/>
    <w:rsid w:val="00AC4830"/>
    <w:rsid w:val="00AC49C4"/>
    <w:rsid w:val="00AC4A26"/>
    <w:rsid w:val="00AC4A60"/>
    <w:rsid w:val="00AC4A81"/>
    <w:rsid w:val="00AC4B97"/>
    <w:rsid w:val="00AC4C55"/>
    <w:rsid w:val="00AC4CBC"/>
    <w:rsid w:val="00AC4D04"/>
    <w:rsid w:val="00AC4D5F"/>
    <w:rsid w:val="00AC4DCF"/>
    <w:rsid w:val="00AC4E52"/>
    <w:rsid w:val="00AC4FE7"/>
    <w:rsid w:val="00AC4FF5"/>
    <w:rsid w:val="00AC5385"/>
    <w:rsid w:val="00AC5397"/>
    <w:rsid w:val="00AC54A0"/>
    <w:rsid w:val="00AC5607"/>
    <w:rsid w:val="00AC565D"/>
    <w:rsid w:val="00AC569A"/>
    <w:rsid w:val="00AC56AF"/>
    <w:rsid w:val="00AC57CE"/>
    <w:rsid w:val="00AC57F9"/>
    <w:rsid w:val="00AC59B1"/>
    <w:rsid w:val="00AC5A34"/>
    <w:rsid w:val="00AC5A9A"/>
    <w:rsid w:val="00AC5BD8"/>
    <w:rsid w:val="00AC5C93"/>
    <w:rsid w:val="00AC5CFA"/>
    <w:rsid w:val="00AC5E4F"/>
    <w:rsid w:val="00AC5ED2"/>
    <w:rsid w:val="00AC607C"/>
    <w:rsid w:val="00AC6082"/>
    <w:rsid w:val="00AC6187"/>
    <w:rsid w:val="00AC64BB"/>
    <w:rsid w:val="00AC64E9"/>
    <w:rsid w:val="00AC6501"/>
    <w:rsid w:val="00AC652D"/>
    <w:rsid w:val="00AC675B"/>
    <w:rsid w:val="00AC67BF"/>
    <w:rsid w:val="00AC6854"/>
    <w:rsid w:val="00AC6A73"/>
    <w:rsid w:val="00AC6B48"/>
    <w:rsid w:val="00AC6B5A"/>
    <w:rsid w:val="00AC6C76"/>
    <w:rsid w:val="00AC6D6B"/>
    <w:rsid w:val="00AC6DFC"/>
    <w:rsid w:val="00AC6EAF"/>
    <w:rsid w:val="00AC6F54"/>
    <w:rsid w:val="00AC6F9E"/>
    <w:rsid w:val="00AC710D"/>
    <w:rsid w:val="00AC7169"/>
    <w:rsid w:val="00AC717A"/>
    <w:rsid w:val="00AC736C"/>
    <w:rsid w:val="00AC7696"/>
    <w:rsid w:val="00AC79C5"/>
    <w:rsid w:val="00AC7A50"/>
    <w:rsid w:val="00AC7B59"/>
    <w:rsid w:val="00AC7BB7"/>
    <w:rsid w:val="00AC7BC5"/>
    <w:rsid w:val="00AC7D08"/>
    <w:rsid w:val="00AC7D3B"/>
    <w:rsid w:val="00AC7DE4"/>
    <w:rsid w:val="00AC7E77"/>
    <w:rsid w:val="00AC7F46"/>
    <w:rsid w:val="00AC7FAB"/>
    <w:rsid w:val="00AC7FEA"/>
    <w:rsid w:val="00AD0084"/>
    <w:rsid w:val="00AD0188"/>
    <w:rsid w:val="00AD020A"/>
    <w:rsid w:val="00AD026F"/>
    <w:rsid w:val="00AD02CE"/>
    <w:rsid w:val="00AD0425"/>
    <w:rsid w:val="00AD0541"/>
    <w:rsid w:val="00AD054F"/>
    <w:rsid w:val="00AD0560"/>
    <w:rsid w:val="00AD0596"/>
    <w:rsid w:val="00AD078F"/>
    <w:rsid w:val="00AD0A08"/>
    <w:rsid w:val="00AD0AA8"/>
    <w:rsid w:val="00AD0C3B"/>
    <w:rsid w:val="00AD0C6A"/>
    <w:rsid w:val="00AD0CDE"/>
    <w:rsid w:val="00AD0D7D"/>
    <w:rsid w:val="00AD0DBD"/>
    <w:rsid w:val="00AD0DF1"/>
    <w:rsid w:val="00AD0EED"/>
    <w:rsid w:val="00AD0F8A"/>
    <w:rsid w:val="00AD0FDC"/>
    <w:rsid w:val="00AD11B3"/>
    <w:rsid w:val="00AD1224"/>
    <w:rsid w:val="00AD12C6"/>
    <w:rsid w:val="00AD1300"/>
    <w:rsid w:val="00AD13B3"/>
    <w:rsid w:val="00AD1412"/>
    <w:rsid w:val="00AD1464"/>
    <w:rsid w:val="00AD14A7"/>
    <w:rsid w:val="00AD1517"/>
    <w:rsid w:val="00AD156F"/>
    <w:rsid w:val="00AD1595"/>
    <w:rsid w:val="00AD16F1"/>
    <w:rsid w:val="00AD17F8"/>
    <w:rsid w:val="00AD19A1"/>
    <w:rsid w:val="00AD1AB8"/>
    <w:rsid w:val="00AD1CED"/>
    <w:rsid w:val="00AD1DCD"/>
    <w:rsid w:val="00AD1E6C"/>
    <w:rsid w:val="00AD1F32"/>
    <w:rsid w:val="00AD202F"/>
    <w:rsid w:val="00AD22D6"/>
    <w:rsid w:val="00AD2323"/>
    <w:rsid w:val="00AD241F"/>
    <w:rsid w:val="00AD2551"/>
    <w:rsid w:val="00AD25D5"/>
    <w:rsid w:val="00AD25E3"/>
    <w:rsid w:val="00AD2605"/>
    <w:rsid w:val="00AD260E"/>
    <w:rsid w:val="00AD27CF"/>
    <w:rsid w:val="00AD2B48"/>
    <w:rsid w:val="00AD2C76"/>
    <w:rsid w:val="00AD2CAE"/>
    <w:rsid w:val="00AD2CE1"/>
    <w:rsid w:val="00AD2F80"/>
    <w:rsid w:val="00AD3000"/>
    <w:rsid w:val="00AD301B"/>
    <w:rsid w:val="00AD30A6"/>
    <w:rsid w:val="00AD30F0"/>
    <w:rsid w:val="00AD31B5"/>
    <w:rsid w:val="00AD31C1"/>
    <w:rsid w:val="00AD3248"/>
    <w:rsid w:val="00AD3264"/>
    <w:rsid w:val="00AD32D6"/>
    <w:rsid w:val="00AD3539"/>
    <w:rsid w:val="00AD3742"/>
    <w:rsid w:val="00AD3762"/>
    <w:rsid w:val="00AD37A6"/>
    <w:rsid w:val="00AD38D5"/>
    <w:rsid w:val="00AD3988"/>
    <w:rsid w:val="00AD39E9"/>
    <w:rsid w:val="00AD3B95"/>
    <w:rsid w:val="00AD3C03"/>
    <w:rsid w:val="00AD3C25"/>
    <w:rsid w:val="00AD3D38"/>
    <w:rsid w:val="00AD3D50"/>
    <w:rsid w:val="00AD3E6B"/>
    <w:rsid w:val="00AD3F2A"/>
    <w:rsid w:val="00AD3F68"/>
    <w:rsid w:val="00AD401A"/>
    <w:rsid w:val="00AD4082"/>
    <w:rsid w:val="00AD4141"/>
    <w:rsid w:val="00AD4180"/>
    <w:rsid w:val="00AD41BD"/>
    <w:rsid w:val="00AD41CA"/>
    <w:rsid w:val="00AD4329"/>
    <w:rsid w:val="00AD4345"/>
    <w:rsid w:val="00AD4485"/>
    <w:rsid w:val="00AD45E0"/>
    <w:rsid w:val="00AD4629"/>
    <w:rsid w:val="00AD468A"/>
    <w:rsid w:val="00AD475F"/>
    <w:rsid w:val="00AD4832"/>
    <w:rsid w:val="00AD48ED"/>
    <w:rsid w:val="00AD4916"/>
    <w:rsid w:val="00AD4951"/>
    <w:rsid w:val="00AD4982"/>
    <w:rsid w:val="00AD49E9"/>
    <w:rsid w:val="00AD4A82"/>
    <w:rsid w:val="00AD4B78"/>
    <w:rsid w:val="00AD4C15"/>
    <w:rsid w:val="00AD4E68"/>
    <w:rsid w:val="00AD5046"/>
    <w:rsid w:val="00AD5065"/>
    <w:rsid w:val="00AD5180"/>
    <w:rsid w:val="00AD52AF"/>
    <w:rsid w:val="00AD52D4"/>
    <w:rsid w:val="00AD52F9"/>
    <w:rsid w:val="00AD5317"/>
    <w:rsid w:val="00AD5320"/>
    <w:rsid w:val="00AD550A"/>
    <w:rsid w:val="00AD55C2"/>
    <w:rsid w:val="00AD576F"/>
    <w:rsid w:val="00AD5816"/>
    <w:rsid w:val="00AD59B2"/>
    <w:rsid w:val="00AD5BE0"/>
    <w:rsid w:val="00AD5C4B"/>
    <w:rsid w:val="00AD5C88"/>
    <w:rsid w:val="00AD5DA1"/>
    <w:rsid w:val="00AD5F2B"/>
    <w:rsid w:val="00AD6083"/>
    <w:rsid w:val="00AD614B"/>
    <w:rsid w:val="00AD6500"/>
    <w:rsid w:val="00AD65D7"/>
    <w:rsid w:val="00AD65F8"/>
    <w:rsid w:val="00AD6BA6"/>
    <w:rsid w:val="00AD6C73"/>
    <w:rsid w:val="00AD6CAF"/>
    <w:rsid w:val="00AD6E7A"/>
    <w:rsid w:val="00AD6FD6"/>
    <w:rsid w:val="00AD712E"/>
    <w:rsid w:val="00AD7281"/>
    <w:rsid w:val="00AD7313"/>
    <w:rsid w:val="00AD73B0"/>
    <w:rsid w:val="00AD7492"/>
    <w:rsid w:val="00AD758F"/>
    <w:rsid w:val="00AD7642"/>
    <w:rsid w:val="00AD76DC"/>
    <w:rsid w:val="00AD782F"/>
    <w:rsid w:val="00AD7A1A"/>
    <w:rsid w:val="00AD7B04"/>
    <w:rsid w:val="00AD7CD5"/>
    <w:rsid w:val="00AD7D8E"/>
    <w:rsid w:val="00AD7E44"/>
    <w:rsid w:val="00AD7F66"/>
    <w:rsid w:val="00AE000E"/>
    <w:rsid w:val="00AE00FF"/>
    <w:rsid w:val="00AE01FC"/>
    <w:rsid w:val="00AE0216"/>
    <w:rsid w:val="00AE0375"/>
    <w:rsid w:val="00AE037A"/>
    <w:rsid w:val="00AE03CA"/>
    <w:rsid w:val="00AE0428"/>
    <w:rsid w:val="00AE0451"/>
    <w:rsid w:val="00AE0550"/>
    <w:rsid w:val="00AE05F5"/>
    <w:rsid w:val="00AE0625"/>
    <w:rsid w:val="00AE092F"/>
    <w:rsid w:val="00AE0A3C"/>
    <w:rsid w:val="00AE0B6F"/>
    <w:rsid w:val="00AE0CD5"/>
    <w:rsid w:val="00AE0DCD"/>
    <w:rsid w:val="00AE0DE6"/>
    <w:rsid w:val="00AE0E73"/>
    <w:rsid w:val="00AE0E78"/>
    <w:rsid w:val="00AE0E81"/>
    <w:rsid w:val="00AE0F50"/>
    <w:rsid w:val="00AE0F8F"/>
    <w:rsid w:val="00AE0FE9"/>
    <w:rsid w:val="00AE10AB"/>
    <w:rsid w:val="00AE11E9"/>
    <w:rsid w:val="00AE14A8"/>
    <w:rsid w:val="00AE1525"/>
    <w:rsid w:val="00AE1556"/>
    <w:rsid w:val="00AE157F"/>
    <w:rsid w:val="00AE16C5"/>
    <w:rsid w:val="00AE1770"/>
    <w:rsid w:val="00AE18B0"/>
    <w:rsid w:val="00AE1A89"/>
    <w:rsid w:val="00AE1D04"/>
    <w:rsid w:val="00AE1D43"/>
    <w:rsid w:val="00AE1DBB"/>
    <w:rsid w:val="00AE1F01"/>
    <w:rsid w:val="00AE204F"/>
    <w:rsid w:val="00AE2093"/>
    <w:rsid w:val="00AE20CF"/>
    <w:rsid w:val="00AE21E2"/>
    <w:rsid w:val="00AE2208"/>
    <w:rsid w:val="00AE221A"/>
    <w:rsid w:val="00AE2308"/>
    <w:rsid w:val="00AE26B8"/>
    <w:rsid w:val="00AE2725"/>
    <w:rsid w:val="00AE289A"/>
    <w:rsid w:val="00AE291A"/>
    <w:rsid w:val="00AE2ADF"/>
    <w:rsid w:val="00AE2BAD"/>
    <w:rsid w:val="00AE2C22"/>
    <w:rsid w:val="00AE2C6B"/>
    <w:rsid w:val="00AE2C92"/>
    <w:rsid w:val="00AE2CDA"/>
    <w:rsid w:val="00AE2EF2"/>
    <w:rsid w:val="00AE2FBA"/>
    <w:rsid w:val="00AE301D"/>
    <w:rsid w:val="00AE3060"/>
    <w:rsid w:val="00AE30E1"/>
    <w:rsid w:val="00AE3284"/>
    <w:rsid w:val="00AE3361"/>
    <w:rsid w:val="00AE349C"/>
    <w:rsid w:val="00AE34EA"/>
    <w:rsid w:val="00AE35B6"/>
    <w:rsid w:val="00AE3719"/>
    <w:rsid w:val="00AE371E"/>
    <w:rsid w:val="00AE374C"/>
    <w:rsid w:val="00AE37BA"/>
    <w:rsid w:val="00AE397C"/>
    <w:rsid w:val="00AE399F"/>
    <w:rsid w:val="00AE3B83"/>
    <w:rsid w:val="00AE3CC1"/>
    <w:rsid w:val="00AE3D15"/>
    <w:rsid w:val="00AE3DE6"/>
    <w:rsid w:val="00AE3F63"/>
    <w:rsid w:val="00AE41E1"/>
    <w:rsid w:val="00AE4576"/>
    <w:rsid w:val="00AE45FB"/>
    <w:rsid w:val="00AE4608"/>
    <w:rsid w:val="00AE4635"/>
    <w:rsid w:val="00AE4640"/>
    <w:rsid w:val="00AE47AA"/>
    <w:rsid w:val="00AE47D8"/>
    <w:rsid w:val="00AE47F1"/>
    <w:rsid w:val="00AE4820"/>
    <w:rsid w:val="00AE484F"/>
    <w:rsid w:val="00AE4C3A"/>
    <w:rsid w:val="00AE4C73"/>
    <w:rsid w:val="00AE4F5D"/>
    <w:rsid w:val="00AE5047"/>
    <w:rsid w:val="00AE51D3"/>
    <w:rsid w:val="00AE5312"/>
    <w:rsid w:val="00AE539F"/>
    <w:rsid w:val="00AE55D8"/>
    <w:rsid w:val="00AE5643"/>
    <w:rsid w:val="00AE56AF"/>
    <w:rsid w:val="00AE5A0F"/>
    <w:rsid w:val="00AE5A5C"/>
    <w:rsid w:val="00AE5AA6"/>
    <w:rsid w:val="00AE5AAB"/>
    <w:rsid w:val="00AE5ABD"/>
    <w:rsid w:val="00AE5C67"/>
    <w:rsid w:val="00AE5C7E"/>
    <w:rsid w:val="00AE5D2D"/>
    <w:rsid w:val="00AE5D73"/>
    <w:rsid w:val="00AE5DFA"/>
    <w:rsid w:val="00AE5E07"/>
    <w:rsid w:val="00AE5E25"/>
    <w:rsid w:val="00AE5ED5"/>
    <w:rsid w:val="00AE5F42"/>
    <w:rsid w:val="00AE5FAB"/>
    <w:rsid w:val="00AE635F"/>
    <w:rsid w:val="00AE63AC"/>
    <w:rsid w:val="00AE63B5"/>
    <w:rsid w:val="00AE63F4"/>
    <w:rsid w:val="00AE64BE"/>
    <w:rsid w:val="00AE65E3"/>
    <w:rsid w:val="00AE661F"/>
    <w:rsid w:val="00AE67AB"/>
    <w:rsid w:val="00AE6949"/>
    <w:rsid w:val="00AE694C"/>
    <w:rsid w:val="00AE6987"/>
    <w:rsid w:val="00AE6A94"/>
    <w:rsid w:val="00AE6B2E"/>
    <w:rsid w:val="00AE6C15"/>
    <w:rsid w:val="00AE6C2A"/>
    <w:rsid w:val="00AE6C59"/>
    <w:rsid w:val="00AE6C77"/>
    <w:rsid w:val="00AE6FD1"/>
    <w:rsid w:val="00AE7115"/>
    <w:rsid w:val="00AE718E"/>
    <w:rsid w:val="00AE7241"/>
    <w:rsid w:val="00AE7296"/>
    <w:rsid w:val="00AE730F"/>
    <w:rsid w:val="00AE737B"/>
    <w:rsid w:val="00AE74BA"/>
    <w:rsid w:val="00AE74F6"/>
    <w:rsid w:val="00AE7535"/>
    <w:rsid w:val="00AE7698"/>
    <w:rsid w:val="00AE798F"/>
    <w:rsid w:val="00AE7B90"/>
    <w:rsid w:val="00AE7C04"/>
    <w:rsid w:val="00AE7C8E"/>
    <w:rsid w:val="00AE7DDE"/>
    <w:rsid w:val="00AF00CE"/>
    <w:rsid w:val="00AF017C"/>
    <w:rsid w:val="00AF025A"/>
    <w:rsid w:val="00AF02F5"/>
    <w:rsid w:val="00AF03AB"/>
    <w:rsid w:val="00AF0480"/>
    <w:rsid w:val="00AF050B"/>
    <w:rsid w:val="00AF07BE"/>
    <w:rsid w:val="00AF08E8"/>
    <w:rsid w:val="00AF0A85"/>
    <w:rsid w:val="00AF0AE5"/>
    <w:rsid w:val="00AF0AF2"/>
    <w:rsid w:val="00AF0C9A"/>
    <w:rsid w:val="00AF0FF5"/>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C14"/>
    <w:rsid w:val="00AF1CCF"/>
    <w:rsid w:val="00AF1D3E"/>
    <w:rsid w:val="00AF1E23"/>
    <w:rsid w:val="00AF1EA5"/>
    <w:rsid w:val="00AF1FF4"/>
    <w:rsid w:val="00AF20C5"/>
    <w:rsid w:val="00AF20F6"/>
    <w:rsid w:val="00AF21A7"/>
    <w:rsid w:val="00AF22C2"/>
    <w:rsid w:val="00AF2322"/>
    <w:rsid w:val="00AF2406"/>
    <w:rsid w:val="00AF26B5"/>
    <w:rsid w:val="00AF2754"/>
    <w:rsid w:val="00AF284F"/>
    <w:rsid w:val="00AF2857"/>
    <w:rsid w:val="00AF2D88"/>
    <w:rsid w:val="00AF2D96"/>
    <w:rsid w:val="00AF2E0E"/>
    <w:rsid w:val="00AF2E60"/>
    <w:rsid w:val="00AF2E8A"/>
    <w:rsid w:val="00AF3100"/>
    <w:rsid w:val="00AF316A"/>
    <w:rsid w:val="00AF31DA"/>
    <w:rsid w:val="00AF31E1"/>
    <w:rsid w:val="00AF3260"/>
    <w:rsid w:val="00AF32AB"/>
    <w:rsid w:val="00AF3334"/>
    <w:rsid w:val="00AF3394"/>
    <w:rsid w:val="00AF363B"/>
    <w:rsid w:val="00AF3652"/>
    <w:rsid w:val="00AF36A1"/>
    <w:rsid w:val="00AF36DB"/>
    <w:rsid w:val="00AF375D"/>
    <w:rsid w:val="00AF37D2"/>
    <w:rsid w:val="00AF3896"/>
    <w:rsid w:val="00AF390F"/>
    <w:rsid w:val="00AF3A4C"/>
    <w:rsid w:val="00AF3D9D"/>
    <w:rsid w:val="00AF3E3A"/>
    <w:rsid w:val="00AF410F"/>
    <w:rsid w:val="00AF412A"/>
    <w:rsid w:val="00AF4165"/>
    <w:rsid w:val="00AF419B"/>
    <w:rsid w:val="00AF43CF"/>
    <w:rsid w:val="00AF443C"/>
    <w:rsid w:val="00AF45C9"/>
    <w:rsid w:val="00AF4802"/>
    <w:rsid w:val="00AF480A"/>
    <w:rsid w:val="00AF488E"/>
    <w:rsid w:val="00AF4989"/>
    <w:rsid w:val="00AF4A6A"/>
    <w:rsid w:val="00AF4B21"/>
    <w:rsid w:val="00AF4CE3"/>
    <w:rsid w:val="00AF4E23"/>
    <w:rsid w:val="00AF4F00"/>
    <w:rsid w:val="00AF4FB4"/>
    <w:rsid w:val="00AF503D"/>
    <w:rsid w:val="00AF5108"/>
    <w:rsid w:val="00AF515D"/>
    <w:rsid w:val="00AF52F5"/>
    <w:rsid w:val="00AF543A"/>
    <w:rsid w:val="00AF5455"/>
    <w:rsid w:val="00AF5635"/>
    <w:rsid w:val="00AF57EE"/>
    <w:rsid w:val="00AF59B6"/>
    <w:rsid w:val="00AF59DF"/>
    <w:rsid w:val="00AF5B70"/>
    <w:rsid w:val="00AF5CC6"/>
    <w:rsid w:val="00AF5F06"/>
    <w:rsid w:val="00AF602D"/>
    <w:rsid w:val="00AF602F"/>
    <w:rsid w:val="00AF60D6"/>
    <w:rsid w:val="00AF62A3"/>
    <w:rsid w:val="00AF6436"/>
    <w:rsid w:val="00AF64B3"/>
    <w:rsid w:val="00AF6521"/>
    <w:rsid w:val="00AF6714"/>
    <w:rsid w:val="00AF67FE"/>
    <w:rsid w:val="00AF695D"/>
    <w:rsid w:val="00AF6B0A"/>
    <w:rsid w:val="00AF6C37"/>
    <w:rsid w:val="00AF6CCA"/>
    <w:rsid w:val="00AF6D0F"/>
    <w:rsid w:val="00AF6D30"/>
    <w:rsid w:val="00AF708D"/>
    <w:rsid w:val="00AF718F"/>
    <w:rsid w:val="00AF71D6"/>
    <w:rsid w:val="00AF733D"/>
    <w:rsid w:val="00AF744D"/>
    <w:rsid w:val="00AF74FF"/>
    <w:rsid w:val="00AF757A"/>
    <w:rsid w:val="00AF75A3"/>
    <w:rsid w:val="00AF762B"/>
    <w:rsid w:val="00AF7695"/>
    <w:rsid w:val="00AF78FA"/>
    <w:rsid w:val="00AF78FE"/>
    <w:rsid w:val="00AF7A70"/>
    <w:rsid w:val="00AF7AEF"/>
    <w:rsid w:val="00AF7BCA"/>
    <w:rsid w:val="00B0004B"/>
    <w:rsid w:val="00B00151"/>
    <w:rsid w:val="00B004EA"/>
    <w:rsid w:val="00B0050D"/>
    <w:rsid w:val="00B00642"/>
    <w:rsid w:val="00B00870"/>
    <w:rsid w:val="00B008A3"/>
    <w:rsid w:val="00B008E7"/>
    <w:rsid w:val="00B00D86"/>
    <w:rsid w:val="00B00DB5"/>
    <w:rsid w:val="00B00DDE"/>
    <w:rsid w:val="00B00E99"/>
    <w:rsid w:val="00B00FD4"/>
    <w:rsid w:val="00B01215"/>
    <w:rsid w:val="00B0129F"/>
    <w:rsid w:val="00B0130D"/>
    <w:rsid w:val="00B0147B"/>
    <w:rsid w:val="00B0152B"/>
    <w:rsid w:val="00B0160B"/>
    <w:rsid w:val="00B01671"/>
    <w:rsid w:val="00B016FC"/>
    <w:rsid w:val="00B017FF"/>
    <w:rsid w:val="00B01925"/>
    <w:rsid w:val="00B019DE"/>
    <w:rsid w:val="00B01AB2"/>
    <w:rsid w:val="00B01BE4"/>
    <w:rsid w:val="00B01C83"/>
    <w:rsid w:val="00B01CBA"/>
    <w:rsid w:val="00B01E51"/>
    <w:rsid w:val="00B01FE2"/>
    <w:rsid w:val="00B02180"/>
    <w:rsid w:val="00B022BD"/>
    <w:rsid w:val="00B022E0"/>
    <w:rsid w:val="00B02523"/>
    <w:rsid w:val="00B02546"/>
    <w:rsid w:val="00B026E3"/>
    <w:rsid w:val="00B027C2"/>
    <w:rsid w:val="00B02816"/>
    <w:rsid w:val="00B028C6"/>
    <w:rsid w:val="00B02A16"/>
    <w:rsid w:val="00B02A36"/>
    <w:rsid w:val="00B02A73"/>
    <w:rsid w:val="00B02C32"/>
    <w:rsid w:val="00B02C75"/>
    <w:rsid w:val="00B02F09"/>
    <w:rsid w:val="00B03014"/>
    <w:rsid w:val="00B03134"/>
    <w:rsid w:val="00B03164"/>
    <w:rsid w:val="00B033B3"/>
    <w:rsid w:val="00B035C4"/>
    <w:rsid w:val="00B036AF"/>
    <w:rsid w:val="00B036CE"/>
    <w:rsid w:val="00B03893"/>
    <w:rsid w:val="00B03935"/>
    <w:rsid w:val="00B03B70"/>
    <w:rsid w:val="00B03C0D"/>
    <w:rsid w:val="00B03FB2"/>
    <w:rsid w:val="00B03FB6"/>
    <w:rsid w:val="00B040B7"/>
    <w:rsid w:val="00B04140"/>
    <w:rsid w:val="00B0425A"/>
    <w:rsid w:val="00B04490"/>
    <w:rsid w:val="00B04559"/>
    <w:rsid w:val="00B0469E"/>
    <w:rsid w:val="00B0470E"/>
    <w:rsid w:val="00B04777"/>
    <w:rsid w:val="00B04817"/>
    <w:rsid w:val="00B049BD"/>
    <w:rsid w:val="00B049D0"/>
    <w:rsid w:val="00B049FA"/>
    <w:rsid w:val="00B04A14"/>
    <w:rsid w:val="00B04DBE"/>
    <w:rsid w:val="00B04DD1"/>
    <w:rsid w:val="00B0501C"/>
    <w:rsid w:val="00B050D2"/>
    <w:rsid w:val="00B0512B"/>
    <w:rsid w:val="00B0515D"/>
    <w:rsid w:val="00B051A6"/>
    <w:rsid w:val="00B05663"/>
    <w:rsid w:val="00B056B9"/>
    <w:rsid w:val="00B0572C"/>
    <w:rsid w:val="00B057E4"/>
    <w:rsid w:val="00B058D4"/>
    <w:rsid w:val="00B0597B"/>
    <w:rsid w:val="00B059B0"/>
    <w:rsid w:val="00B059E7"/>
    <w:rsid w:val="00B059F8"/>
    <w:rsid w:val="00B05A5F"/>
    <w:rsid w:val="00B05B31"/>
    <w:rsid w:val="00B05BAC"/>
    <w:rsid w:val="00B05D00"/>
    <w:rsid w:val="00B06053"/>
    <w:rsid w:val="00B060D3"/>
    <w:rsid w:val="00B06165"/>
    <w:rsid w:val="00B062E3"/>
    <w:rsid w:val="00B0635F"/>
    <w:rsid w:val="00B063B5"/>
    <w:rsid w:val="00B065BD"/>
    <w:rsid w:val="00B06620"/>
    <w:rsid w:val="00B067C8"/>
    <w:rsid w:val="00B068DF"/>
    <w:rsid w:val="00B06BB1"/>
    <w:rsid w:val="00B06D3C"/>
    <w:rsid w:val="00B06E79"/>
    <w:rsid w:val="00B06FBB"/>
    <w:rsid w:val="00B06FCA"/>
    <w:rsid w:val="00B06FE7"/>
    <w:rsid w:val="00B07070"/>
    <w:rsid w:val="00B07221"/>
    <w:rsid w:val="00B07289"/>
    <w:rsid w:val="00B07295"/>
    <w:rsid w:val="00B072FB"/>
    <w:rsid w:val="00B073A6"/>
    <w:rsid w:val="00B073FC"/>
    <w:rsid w:val="00B0753B"/>
    <w:rsid w:val="00B0769E"/>
    <w:rsid w:val="00B07721"/>
    <w:rsid w:val="00B07748"/>
    <w:rsid w:val="00B077C5"/>
    <w:rsid w:val="00B07887"/>
    <w:rsid w:val="00B07B7F"/>
    <w:rsid w:val="00B07C12"/>
    <w:rsid w:val="00B07F4F"/>
    <w:rsid w:val="00B10062"/>
    <w:rsid w:val="00B10216"/>
    <w:rsid w:val="00B1033B"/>
    <w:rsid w:val="00B103AD"/>
    <w:rsid w:val="00B1050B"/>
    <w:rsid w:val="00B1053C"/>
    <w:rsid w:val="00B105F9"/>
    <w:rsid w:val="00B10660"/>
    <w:rsid w:val="00B106AB"/>
    <w:rsid w:val="00B106FD"/>
    <w:rsid w:val="00B107AE"/>
    <w:rsid w:val="00B1090C"/>
    <w:rsid w:val="00B10B55"/>
    <w:rsid w:val="00B10DA8"/>
    <w:rsid w:val="00B10DDE"/>
    <w:rsid w:val="00B10FEA"/>
    <w:rsid w:val="00B1116D"/>
    <w:rsid w:val="00B11190"/>
    <w:rsid w:val="00B111BA"/>
    <w:rsid w:val="00B112AB"/>
    <w:rsid w:val="00B112BB"/>
    <w:rsid w:val="00B1131E"/>
    <w:rsid w:val="00B113CE"/>
    <w:rsid w:val="00B113F4"/>
    <w:rsid w:val="00B11540"/>
    <w:rsid w:val="00B1178F"/>
    <w:rsid w:val="00B117A6"/>
    <w:rsid w:val="00B11995"/>
    <w:rsid w:val="00B11A02"/>
    <w:rsid w:val="00B11ADE"/>
    <w:rsid w:val="00B11CA2"/>
    <w:rsid w:val="00B11DB1"/>
    <w:rsid w:val="00B11ED0"/>
    <w:rsid w:val="00B11FA5"/>
    <w:rsid w:val="00B11FC0"/>
    <w:rsid w:val="00B11FCD"/>
    <w:rsid w:val="00B11FEA"/>
    <w:rsid w:val="00B1209C"/>
    <w:rsid w:val="00B1212F"/>
    <w:rsid w:val="00B12210"/>
    <w:rsid w:val="00B12298"/>
    <w:rsid w:val="00B12377"/>
    <w:rsid w:val="00B12400"/>
    <w:rsid w:val="00B124C7"/>
    <w:rsid w:val="00B125A3"/>
    <w:rsid w:val="00B1274A"/>
    <w:rsid w:val="00B128DB"/>
    <w:rsid w:val="00B12979"/>
    <w:rsid w:val="00B12CB0"/>
    <w:rsid w:val="00B12D56"/>
    <w:rsid w:val="00B12D94"/>
    <w:rsid w:val="00B12E2F"/>
    <w:rsid w:val="00B12E56"/>
    <w:rsid w:val="00B12F5C"/>
    <w:rsid w:val="00B1312F"/>
    <w:rsid w:val="00B1323C"/>
    <w:rsid w:val="00B13304"/>
    <w:rsid w:val="00B133CA"/>
    <w:rsid w:val="00B13564"/>
    <w:rsid w:val="00B1364A"/>
    <w:rsid w:val="00B136A2"/>
    <w:rsid w:val="00B1384B"/>
    <w:rsid w:val="00B13890"/>
    <w:rsid w:val="00B13DB5"/>
    <w:rsid w:val="00B13F73"/>
    <w:rsid w:val="00B13F9C"/>
    <w:rsid w:val="00B140D2"/>
    <w:rsid w:val="00B140EF"/>
    <w:rsid w:val="00B14170"/>
    <w:rsid w:val="00B141C4"/>
    <w:rsid w:val="00B141C8"/>
    <w:rsid w:val="00B141F2"/>
    <w:rsid w:val="00B1428B"/>
    <w:rsid w:val="00B14298"/>
    <w:rsid w:val="00B1443C"/>
    <w:rsid w:val="00B1447F"/>
    <w:rsid w:val="00B144FA"/>
    <w:rsid w:val="00B1455F"/>
    <w:rsid w:val="00B14794"/>
    <w:rsid w:val="00B14824"/>
    <w:rsid w:val="00B14858"/>
    <w:rsid w:val="00B1498D"/>
    <w:rsid w:val="00B149CB"/>
    <w:rsid w:val="00B14A95"/>
    <w:rsid w:val="00B14B2B"/>
    <w:rsid w:val="00B14B70"/>
    <w:rsid w:val="00B14F89"/>
    <w:rsid w:val="00B15213"/>
    <w:rsid w:val="00B152AC"/>
    <w:rsid w:val="00B15502"/>
    <w:rsid w:val="00B15618"/>
    <w:rsid w:val="00B1568A"/>
    <w:rsid w:val="00B156D6"/>
    <w:rsid w:val="00B1576A"/>
    <w:rsid w:val="00B157F6"/>
    <w:rsid w:val="00B15885"/>
    <w:rsid w:val="00B158E5"/>
    <w:rsid w:val="00B15A81"/>
    <w:rsid w:val="00B15A8B"/>
    <w:rsid w:val="00B15B63"/>
    <w:rsid w:val="00B15C9F"/>
    <w:rsid w:val="00B15F93"/>
    <w:rsid w:val="00B1634B"/>
    <w:rsid w:val="00B1639C"/>
    <w:rsid w:val="00B163FE"/>
    <w:rsid w:val="00B16450"/>
    <w:rsid w:val="00B1675E"/>
    <w:rsid w:val="00B16780"/>
    <w:rsid w:val="00B167FD"/>
    <w:rsid w:val="00B168C7"/>
    <w:rsid w:val="00B168CE"/>
    <w:rsid w:val="00B1693C"/>
    <w:rsid w:val="00B169E2"/>
    <w:rsid w:val="00B16CA6"/>
    <w:rsid w:val="00B16FB4"/>
    <w:rsid w:val="00B1701C"/>
    <w:rsid w:val="00B170F8"/>
    <w:rsid w:val="00B1721B"/>
    <w:rsid w:val="00B172EC"/>
    <w:rsid w:val="00B1738A"/>
    <w:rsid w:val="00B173B2"/>
    <w:rsid w:val="00B173E1"/>
    <w:rsid w:val="00B174BF"/>
    <w:rsid w:val="00B174C0"/>
    <w:rsid w:val="00B1760B"/>
    <w:rsid w:val="00B176A0"/>
    <w:rsid w:val="00B1795C"/>
    <w:rsid w:val="00B179E6"/>
    <w:rsid w:val="00B17C97"/>
    <w:rsid w:val="00B17C99"/>
    <w:rsid w:val="00B17C9C"/>
    <w:rsid w:val="00B17CBC"/>
    <w:rsid w:val="00B17CDB"/>
    <w:rsid w:val="00B17D44"/>
    <w:rsid w:val="00B17E03"/>
    <w:rsid w:val="00B17E6E"/>
    <w:rsid w:val="00B17FC7"/>
    <w:rsid w:val="00B200FF"/>
    <w:rsid w:val="00B20311"/>
    <w:rsid w:val="00B2039E"/>
    <w:rsid w:val="00B2049A"/>
    <w:rsid w:val="00B205E9"/>
    <w:rsid w:val="00B20896"/>
    <w:rsid w:val="00B20AC0"/>
    <w:rsid w:val="00B20B11"/>
    <w:rsid w:val="00B20B50"/>
    <w:rsid w:val="00B20D1D"/>
    <w:rsid w:val="00B20D29"/>
    <w:rsid w:val="00B20F9F"/>
    <w:rsid w:val="00B2108E"/>
    <w:rsid w:val="00B21091"/>
    <w:rsid w:val="00B210BC"/>
    <w:rsid w:val="00B212D8"/>
    <w:rsid w:val="00B2137C"/>
    <w:rsid w:val="00B214C5"/>
    <w:rsid w:val="00B21567"/>
    <w:rsid w:val="00B215F1"/>
    <w:rsid w:val="00B216B1"/>
    <w:rsid w:val="00B21766"/>
    <w:rsid w:val="00B21787"/>
    <w:rsid w:val="00B21793"/>
    <w:rsid w:val="00B21827"/>
    <w:rsid w:val="00B2183D"/>
    <w:rsid w:val="00B219C9"/>
    <w:rsid w:val="00B21A84"/>
    <w:rsid w:val="00B21AD3"/>
    <w:rsid w:val="00B21C34"/>
    <w:rsid w:val="00B21C40"/>
    <w:rsid w:val="00B21D78"/>
    <w:rsid w:val="00B21F10"/>
    <w:rsid w:val="00B21F5E"/>
    <w:rsid w:val="00B21FB6"/>
    <w:rsid w:val="00B220BF"/>
    <w:rsid w:val="00B22105"/>
    <w:rsid w:val="00B22136"/>
    <w:rsid w:val="00B22287"/>
    <w:rsid w:val="00B22622"/>
    <w:rsid w:val="00B2287C"/>
    <w:rsid w:val="00B228EE"/>
    <w:rsid w:val="00B22913"/>
    <w:rsid w:val="00B22982"/>
    <w:rsid w:val="00B2298A"/>
    <w:rsid w:val="00B2299C"/>
    <w:rsid w:val="00B22B08"/>
    <w:rsid w:val="00B22B49"/>
    <w:rsid w:val="00B22BC1"/>
    <w:rsid w:val="00B22D45"/>
    <w:rsid w:val="00B22D4D"/>
    <w:rsid w:val="00B22DE3"/>
    <w:rsid w:val="00B22F49"/>
    <w:rsid w:val="00B23007"/>
    <w:rsid w:val="00B23420"/>
    <w:rsid w:val="00B23497"/>
    <w:rsid w:val="00B23500"/>
    <w:rsid w:val="00B23822"/>
    <w:rsid w:val="00B23BDA"/>
    <w:rsid w:val="00B23BED"/>
    <w:rsid w:val="00B23C02"/>
    <w:rsid w:val="00B23D1C"/>
    <w:rsid w:val="00B23D46"/>
    <w:rsid w:val="00B23F3D"/>
    <w:rsid w:val="00B23F6E"/>
    <w:rsid w:val="00B23F8B"/>
    <w:rsid w:val="00B241A9"/>
    <w:rsid w:val="00B241F7"/>
    <w:rsid w:val="00B24242"/>
    <w:rsid w:val="00B243A3"/>
    <w:rsid w:val="00B243C2"/>
    <w:rsid w:val="00B24543"/>
    <w:rsid w:val="00B2457F"/>
    <w:rsid w:val="00B245C2"/>
    <w:rsid w:val="00B24612"/>
    <w:rsid w:val="00B24766"/>
    <w:rsid w:val="00B247A4"/>
    <w:rsid w:val="00B24812"/>
    <w:rsid w:val="00B2487E"/>
    <w:rsid w:val="00B2491E"/>
    <w:rsid w:val="00B24B1E"/>
    <w:rsid w:val="00B24B5C"/>
    <w:rsid w:val="00B24B71"/>
    <w:rsid w:val="00B24BC7"/>
    <w:rsid w:val="00B24BD2"/>
    <w:rsid w:val="00B24DF1"/>
    <w:rsid w:val="00B24EA7"/>
    <w:rsid w:val="00B24F15"/>
    <w:rsid w:val="00B24F2F"/>
    <w:rsid w:val="00B24F43"/>
    <w:rsid w:val="00B24F4B"/>
    <w:rsid w:val="00B24FB3"/>
    <w:rsid w:val="00B25055"/>
    <w:rsid w:val="00B25262"/>
    <w:rsid w:val="00B25269"/>
    <w:rsid w:val="00B253B8"/>
    <w:rsid w:val="00B253CD"/>
    <w:rsid w:val="00B2557F"/>
    <w:rsid w:val="00B2559B"/>
    <w:rsid w:val="00B25880"/>
    <w:rsid w:val="00B258A8"/>
    <w:rsid w:val="00B25945"/>
    <w:rsid w:val="00B25A21"/>
    <w:rsid w:val="00B25A4B"/>
    <w:rsid w:val="00B25A8B"/>
    <w:rsid w:val="00B25BEF"/>
    <w:rsid w:val="00B25BF4"/>
    <w:rsid w:val="00B25C3F"/>
    <w:rsid w:val="00B25D95"/>
    <w:rsid w:val="00B25F1C"/>
    <w:rsid w:val="00B25F60"/>
    <w:rsid w:val="00B260B3"/>
    <w:rsid w:val="00B2619B"/>
    <w:rsid w:val="00B26236"/>
    <w:rsid w:val="00B26518"/>
    <w:rsid w:val="00B268F6"/>
    <w:rsid w:val="00B269AB"/>
    <w:rsid w:val="00B26BBB"/>
    <w:rsid w:val="00B26DA6"/>
    <w:rsid w:val="00B26E93"/>
    <w:rsid w:val="00B26F27"/>
    <w:rsid w:val="00B26FC3"/>
    <w:rsid w:val="00B27030"/>
    <w:rsid w:val="00B270E2"/>
    <w:rsid w:val="00B27164"/>
    <w:rsid w:val="00B2720E"/>
    <w:rsid w:val="00B27215"/>
    <w:rsid w:val="00B272DE"/>
    <w:rsid w:val="00B27301"/>
    <w:rsid w:val="00B27313"/>
    <w:rsid w:val="00B27368"/>
    <w:rsid w:val="00B273EF"/>
    <w:rsid w:val="00B2754E"/>
    <w:rsid w:val="00B278D0"/>
    <w:rsid w:val="00B279D7"/>
    <w:rsid w:val="00B27B19"/>
    <w:rsid w:val="00B27C14"/>
    <w:rsid w:val="00B27E00"/>
    <w:rsid w:val="00B301A2"/>
    <w:rsid w:val="00B301E5"/>
    <w:rsid w:val="00B3023F"/>
    <w:rsid w:val="00B304D0"/>
    <w:rsid w:val="00B304D3"/>
    <w:rsid w:val="00B3055C"/>
    <w:rsid w:val="00B3059B"/>
    <w:rsid w:val="00B305C3"/>
    <w:rsid w:val="00B305C7"/>
    <w:rsid w:val="00B30863"/>
    <w:rsid w:val="00B30953"/>
    <w:rsid w:val="00B3096D"/>
    <w:rsid w:val="00B30C0D"/>
    <w:rsid w:val="00B30DF3"/>
    <w:rsid w:val="00B30F2D"/>
    <w:rsid w:val="00B30F2F"/>
    <w:rsid w:val="00B30FA7"/>
    <w:rsid w:val="00B31025"/>
    <w:rsid w:val="00B31035"/>
    <w:rsid w:val="00B3105F"/>
    <w:rsid w:val="00B31115"/>
    <w:rsid w:val="00B31491"/>
    <w:rsid w:val="00B31595"/>
    <w:rsid w:val="00B315C8"/>
    <w:rsid w:val="00B317E7"/>
    <w:rsid w:val="00B31F24"/>
    <w:rsid w:val="00B322F2"/>
    <w:rsid w:val="00B32355"/>
    <w:rsid w:val="00B3241E"/>
    <w:rsid w:val="00B324C3"/>
    <w:rsid w:val="00B32537"/>
    <w:rsid w:val="00B32652"/>
    <w:rsid w:val="00B32778"/>
    <w:rsid w:val="00B327BC"/>
    <w:rsid w:val="00B327E6"/>
    <w:rsid w:val="00B3280B"/>
    <w:rsid w:val="00B32913"/>
    <w:rsid w:val="00B32938"/>
    <w:rsid w:val="00B32945"/>
    <w:rsid w:val="00B32A96"/>
    <w:rsid w:val="00B32DDF"/>
    <w:rsid w:val="00B32DE4"/>
    <w:rsid w:val="00B32E75"/>
    <w:rsid w:val="00B32FC1"/>
    <w:rsid w:val="00B33069"/>
    <w:rsid w:val="00B330A1"/>
    <w:rsid w:val="00B330CE"/>
    <w:rsid w:val="00B33148"/>
    <w:rsid w:val="00B33302"/>
    <w:rsid w:val="00B33332"/>
    <w:rsid w:val="00B33450"/>
    <w:rsid w:val="00B3355B"/>
    <w:rsid w:val="00B335F5"/>
    <w:rsid w:val="00B3372B"/>
    <w:rsid w:val="00B33797"/>
    <w:rsid w:val="00B3379A"/>
    <w:rsid w:val="00B3383E"/>
    <w:rsid w:val="00B3387D"/>
    <w:rsid w:val="00B3388C"/>
    <w:rsid w:val="00B339AA"/>
    <w:rsid w:val="00B339FC"/>
    <w:rsid w:val="00B33BEC"/>
    <w:rsid w:val="00B33CB8"/>
    <w:rsid w:val="00B33CF6"/>
    <w:rsid w:val="00B33DC3"/>
    <w:rsid w:val="00B33F31"/>
    <w:rsid w:val="00B3407F"/>
    <w:rsid w:val="00B3429B"/>
    <w:rsid w:val="00B342C6"/>
    <w:rsid w:val="00B3437E"/>
    <w:rsid w:val="00B343BA"/>
    <w:rsid w:val="00B3444B"/>
    <w:rsid w:val="00B34471"/>
    <w:rsid w:val="00B345B3"/>
    <w:rsid w:val="00B3463B"/>
    <w:rsid w:val="00B346E9"/>
    <w:rsid w:val="00B3471F"/>
    <w:rsid w:val="00B3473C"/>
    <w:rsid w:val="00B347FA"/>
    <w:rsid w:val="00B3488F"/>
    <w:rsid w:val="00B3489C"/>
    <w:rsid w:val="00B34A49"/>
    <w:rsid w:val="00B34B70"/>
    <w:rsid w:val="00B34BD0"/>
    <w:rsid w:val="00B34C72"/>
    <w:rsid w:val="00B34D4B"/>
    <w:rsid w:val="00B34E2A"/>
    <w:rsid w:val="00B34F24"/>
    <w:rsid w:val="00B350A8"/>
    <w:rsid w:val="00B35160"/>
    <w:rsid w:val="00B351C4"/>
    <w:rsid w:val="00B35377"/>
    <w:rsid w:val="00B3542D"/>
    <w:rsid w:val="00B3564E"/>
    <w:rsid w:val="00B3579B"/>
    <w:rsid w:val="00B358F0"/>
    <w:rsid w:val="00B35931"/>
    <w:rsid w:val="00B35B18"/>
    <w:rsid w:val="00B35B79"/>
    <w:rsid w:val="00B35CC3"/>
    <w:rsid w:val="00B35EC2"/>
    <w:rsid w:val="00B36061"/>
    <w:rsid w:val="00B361AF"/>
    <w:rsid w:val="00B36388"/>
    <w:rsid w:val="00B36447"/>
    <w:rsid w:val="00B36475"/>
    <w:rsid w:val="00B36482"/>
    <w:rsid w:val="00B3659A"/>
    <w:rsid w:val="00B365D4"/>
    <w:rsid w:val="00B366E4"/>
    <w:rsid w:val="00B367AD"/>
    <w:rsid w:val="00B367F9"/>
    <w:rsid w:val="00B369AC"/>
    <w:rsid w:val="00B369D9"/>
    <w:rsid w:val="00B36A61"/>
    <w:rsid w:val="00B36AA8"/>
    <w:rsid w:val="00B36B06"/>
    <w:rsid w:val="00B36C8C"/>
    <w:rsid w:val="00B36D5F"/>
    <w:rsid w:val="00B36E23"/>
    <w:rsid w:val="00B36F0E"/>
    <w:rsid w:val="00B36F21"/>
    <w:rsid w:val="00B3702C"/>
    <w:rsid w:val="00B370CF"/>
    <w:rsid w:val="00B37108"/>
    <w:rsid w:val="00B37152"/>
    <w:rsid w:val="00B373C5"/>
    <w:rsid w:val="00B373FB"/>
    <w:rsid w:val="00B37423"/>
    <w:rsid w:val="00B37478"/>
    <w:rsid w:val="00B37597"/>
    <w:rsid w:val="00B377C1"/>
    <w:rsid w:val="00B37A87"/>
    <w:rsid w:val="00B37AA6"/>
    <w:rsid w:val="00B37CE6"/>
    <w:rsid w:val="00B37DA6"/>
    <w:rsid w:val="00B37DDE"/>
    <w:rsid w:val="00B37DEC"/>
    <w:rsid w:val="00B37E52"/>
    <w:rsid w:val="00B37F42"/>
    <w:rsid w:val="00B37F4D"/>
    <w:rsid w:val="00B37F72"/>
    <w:rsid w:val="00B4004E"/>
    <w:rsid w:val="00B40077"/>
    <w:rsid w:val="00B400E4"/>
    <w:rsid w:val="00B40112"/>
    <w:rsid w:val="00B40127"/>
    <w:rsid w:val="00B403BC"/>
    <w:rsid w:val="00B40410"/>
    <w:rsid w:val="00B40478"/>
    <w:rsid w:val="00B40678"/>
    <w:rsid w:val="00B40731"/>
    <w:rsid w:val="00B40784"/>
    <w:rsid w:val="00B407A0"/>
    <w:rsid w:val="00B407C2"/>
    <w:rsid w:val="00B4088B"/>
    <w:rsid w:val="00B4095D"/>
    <w:rsid w:val="00B40981"/>
    <w:rsid w:val="00B409D9"/>
    <w:rsid w:val="00B409F4"/>
    <w:rsid w:val="00B40A11"/>
    <w:rsid w:val="00B40A1E"/>
    <w:rsid w:val="00B40B4B"/>
    <w:rsid w:val="00B40B5D"/>
    <w:rsid w:val="00B40D8E"/>
    <w:rsid w:val="00B40E03"/>
    <w:rsid w:val="00B4103C"/>
    <w:rsid w:val="00B410F0"/>
    <w:rsid w:val="00B413B0"/>
    <w:rsid w:val="00B413B7"/>
    <w:rsid w:val="00B41440"/>
    <w:rsid w:val="00B4168F"/>
    <w:rsid w:val="00B417E1"/>
    <w:rsid w:val="00B4180C"/>
    <w:rsid w:val="00B418BE"/>
    <w:rsid w:val="00B41991"/>
    <w:rsid w:val="00B41A58"/>
    <w:rsid w:val="00B41AD6"/>
    <w:rsid w:val="00B41C8F"/>
    <w:rsid w:val="00B41D03"/>
    <w:rsid w:val="00B41D34"/>
    <w:rsid w:val="00B41EB2"/>
    <w:rsid w:val="00B41ECA"/>
    <w:rsid w:val="00B42165"/>
    <w:rsid w:val="00B42282"/>
    <w:rsid w:val="00B42318"/>
    <w:rsid w:val="00B42436"/>
    <w:rsid w:val="00B4252F"/>
    <w:rsid w:val="00B426D4"/>
    <w:rsid w:val="00B42884"/>
    <w:rsid w:val="00B428E0"/>
    <w:rsid w:val="00B429E7"/>
    <w:rsid w:val="00B42A01"/>
    <w:rsid w:val="00B42AF4"/>
    <w:rsid w:val="00B42C2B"/>
    <w:rsid w:val="00B42C2C"/>
    <w:rsid w:val="00B42D30"/>
    <w:rsid w:val="00B42DE9"/>
    <w:rsid w:val="00B42E44"/>
    <w:rsid w:val="00B42FD8"/>
    <w:rsid w:val="00B42FDA"/>
    <w:rsid w:val="00B4315D"/>
    <w:rsid w:val="00B431D5"/>
    <w:rsid w:val="00B431DB"/>
    <w:rsid w:val="00B431EC"/>
    <w:rsid w:val="00B432D0"/>
    <w:rsid w:val="00B4338B"/>
    <w:rsid w:val="00B434CB"/>
    <w:rsid w:val="00B434D6"/>
    <w:rsid w:val="00B43707"/>
    <w:rsid w:val="00B43914"/>
    <w:rsid w:val="00B4397D"/>
    <w:rsid w:val="00B43B43"/>
    <w:rsid w:val="00B43C16"/>
    <w:rsid w:val="00B43CF3"/>
    <w:rsid w:val="00B43CFC"/>
    <w:rsid w:val="00B43DAE"/>
    <w:rsid w:val="00B43DD0"/>
    <w:rsid w:val="00B43E1C"/>
    <w:rsid w:val="00B43E46"/>
    <w:rsid w:val="00B43FA7"/>
    <w:rsid w:val="00B4403E"/>
    <w:rsid w:val="00B44244"/>
    <w:rsid w:val="00B442B0"/>
    <w:rsid w:val="00B445A2"/>
    <w:rsid w:val="00B445ED"/>
    <w:rsid w:val="00B447A8"/>
    <w:rsid w:val="00B44A20"/>
    <w:rsid w:val="00B44A36"/>
    <w:rsid w:val="00B44A6D"/>
    <w:rsid w:val="00B44AEE"/>
    <w:rsid w:val="00B44AF9"/>
    <w:rsid w:val="00B44BA7"/>
    <w:rsid w:val="00B44CAD"/>
    <w:rsid w:val="00B44CC8"/>
    <w:rsid w:val="00B44CD3"/>
    <w:rsid w:val="00B44D05"/>
    <w:rsid w:val="00B44EE4"/>
    <w:rsid w:val="00B44F24"/>
    <w:rsid w:val="00B44F30"/>
    <w:rsid w:val="00B4503D"/>
    <w:rsid w:val="00B4508F"/>
    <w:rsid w:val="00B45348"/>
    <w:rsid w:val="00B45450"/>
    <w:rsid w:val="00B4562B"/>
    <w:rsid w:val="00B456BC"/>
    <w:rsid w:val="00B458B5"/>
    <w:rsid w:val="00B458B6"/>
    <w:rsid w:val="00B459D6"/>
    <w:rsid w:val="00B45A5A"/>
    <w:rsid w:val="00B45C77"/>
    <w:rsid w:val="00B45CE4"/>
    <w:rsid w:val="00B45CF4"/>
    <w:rsid w:val="00B45D26"/>
    <w:rsid w:val="00B45DDE"/>
    <w:rsid w:val="00B45E84"/>
    <w:rsid w:val="00B45F74"/>
    <w:rsid w:val="00B4605E"/>
    <w:rsid w:val="00B4609E"/>
    <w:rsid w:val="00B46170"/>
    <w:rsid w:val="00B464BF"/>
    <w:rsid w:val="00B46796"/>
    <w:rsid w:val="00B467C2"/>
    <w:rsid w:val="00B46952"/>
    <w:rsid w:val="00B46972"/>
    <w:rsid w:val="00B46979"/>
    <w:rsid w:val="00B46981"/>
    <w:rsid w:val="00B469F5"/>
    <w:rsid w:val="00B46A03"/>
    <w:rsid w:val="00B46AAB"/>
    <w:rsid w:val="00B46B48"/>
    <w:rsid w:val="00B46C83"/>
    <w:rsid w:val="00B46CDC"/>
    <w:rsid w:val="00B46F8D"/>
    <w:rsid w:val="00B46F96"/>
    <w:rsid w:val="00B47150"/>
    <w:rsid w:val="00B47178"/>
    <w:rsid w:val="00B47196"/>
    <w:rsid w:val="00B4747C"/>
    <w:rsid w:val="00B476A1"/>
    <w:rsid w:val="00B47745"/>
    <w:rsid w:val="00B47785"/>
    <w:rsid w:val="00B47995"/>
    <w:rsid w:val="00B47A85"/>
    <w:rsid w:val="00B47CB6"/>
    <w:rsid w:val="00B47DEB"/>
    <w:rsid w:val="00B47E65"/>
    <w:rsid w:val="00B47F21"/>
    <w:rsid w:val="00B47F6D"/>
    <w:rsid w:val="00B5032B"/>
    <w:rsid w:val="00B50408"/>
    <w:rsid w:val="00B505C4"/>
    <w:rsid w:val="00B507C7"/>
    <w:rsid w:val="00B507CC"/>
    <w:rsid w:val="00B50930"/>
    <w:rsid w:val="00B50A34"/>
    <w:rsid w:val="00B50B85"/>
    <w:rsid w:val="00B50BA9"/>
    <w:rsid w:val="00B50C05"/>
    <w:rsid w:val="00B50CDE"/>
    <w:rsid w:val="00B50E33"/>
    <w:rsid w:val="00B51030"/>
    <w:rsid w:val="00B510CA"/>
    <w:rsid w:val="00B511D9"/>
    <w:rsid w:val="00B5138F"/>
    <w:rsid w:val="00B514DA"/>
    <w:rsid w:val="00B5155D"/>
    <w:rsid w:val="00B516E0"/>
    <w:rsid w:val="00B5180E"/>
    <w:rsid w:val="00B519F8"/>
    <w:rsid w:val="00B51AFF"/>
    <w:rsid w:val="00B51B9D"/>
    <w:rsid w:val="00B51C95"/>
    <w:rsid w:val="00B51D2C"/>
    <w:rsid w:val="00B51DBF"/>
    <w:rsid w:val="00B51E1C"/>
    <w:rsid w:val="00B51F65"/>
    <w:rsid w:val="00B52028"/>
    <w:rsid w:val="00B5202D"/>
    <w:rsid w:val="00B52067"/>
    <w:rsid w:val="00B522CF"/>
    <w:rsid w:val="00B522D6"/>
    <w:rsid w:val="00B52376"/>
    <w:rsid w:val="00B523CA"/>
    <w:rsid w:val="00B523F0"/>
    <w:rsid w:val="00B52482"/>
    <w:rsid w:val="00B52686"/>
    <w:rsid w:val="00B5276F"/>
    <w:rsid w:val="00B527F0"/>
    <w:rsid w:val="00B52845"/>
    <w:rsid w:val="00B52925"/>
    <w:rsid w:val="00B52966"/>
    <w:rsid w:val="00B529A9"/>
    <w:rsid w:val="00B529C5"/>
    <w:rsid w:val="00B52A13"/>
    <w:rsid w:val="00B52B64"/>
    <w:rsid w:val="00B52BBE"/>
    <w:rsid w:val="00B52BF3"/>
    <w:rsid w:val="00B52D53"/>
    <w:rsid w:val="00B52D64"/>
    <w:rsid w:val="00B52D68"/>
    <w:rsid w:val="00B52E6B"/>
    <w:rsid w:val="00B52F6E"/>
    <w:rsid w:val="00B5301B"/>
    <w:rsid w:val="00B530F8"/>
    <w:rsid w:val="00B53172"/>
    <w:rsid w:val="00B531C7"/>
    <w:rsid w:val="00B53450"/>
    <w:rsid w:val="00B53544"/>
    <w:rsid w:val="00B53A58"/>
    <w:rsid w:val="00B53ACE"/>
    <w:rsid w:val="00B53AFF"/>
    <w:rsid w:val="00B53C26"/>
    <w:rsid w:val="00B53D1B"/>
    <w:rsid w:val="00B53D52"/>
    <w:rsid w:val="00B53D9E"/>
    <w:rsid w:val="00B53DC5"/>
    <w:rsid w:val="00B5421E"/>
    <w:rsid w:val="00B5424F"/>
    <w:rsid w:val="00B542C9"/>
    <w:rsid w:val="00B5438D"/>
    <w:rsid w:val="00B54496"/>
    <w:rsid w:val="00B544E7"/>
    <w:rsid w:val="00B54513"/>
    <w:rsid w:val="00B546BA"/>
    <w:rsid w:val="00B546E5"/>
    <w:rsid w:val="00B5479F"/>
    <w:rsid w:val="00B5482E"/>
    <w:rsid w:val="00B549E5"/>
    <w:rsid w:val="00B54A24"/>
    <w:rsid w:val="00B54A4F"/>
    <w:rsid w:val="00B54A80"/>
    <w:rsid w:val="00B54B57"/>
    <w:rsid w:val="00B54B9F"/>
    <w:rsid w:val="00B54BC2"/>
    <w:rsid w:val="00B54BD8"/>
    <w:rsid w:val="00B54CD6"/>
    <w:rsid w:val="00B54F1E"/>
    <w:rsid w:val="00B54F2C"/>
    <w:rsid w:val="00B55071"/>
    <w:rsid w:val="00B5519A"/>
    <w:rsid w:val="00B5521A"/>
    <w:rsid w:val="00B55452"/>
    <w:rsid w:val="00B555D2"/>
    <w:rsid w:val="00B55640"/>
    <w:rsid w:val="00B55893"/>
    <w:rsid w:val="00B55895"/>
    <w:rsid w:val="00B558EF"/>
    <w:rsid w:val="00B55938"/>
    <w:rsid w:val="00B55A6A"/>
    <w:rsid w:val="00B55B57"/>
    <w:rsid w:val="00B55E5C"/>
    <w:rsid w:val="00B55E6C"/>
    <w:rsid w:val="00B56018"/>
    <w:rsid w:val="00B560F8"/>
    <w:rsid w:val="00B56245"/>
    <w:rsid w:val="00B5632A"/>
    <w:rsid w:val="00B567A7"/>
    <w:rsid w:val="00B5694E"/>
    <w:rsid w:val="00B569F6"/>
    <w:rsid w:val="00B56C3E"/>
    <w:rsid w:val="00B56C8C"/>
    <w:rsid w:val="00B56CE5"/>
    <w:rsid w:val="00B56D34"/>
    <w:rsid w:val="00B56D5C"/>
    <w:rsid w:val="00B56D8B"/>
    <w:rsid w:val="00B56DDF"/>
    <w:rsid w:val="00B56F74"/>
    <w:rsid w:val="00B5711E"/>
    <w:rsid w:val="00B57314"/>
    <w:rsid w:val="00B57328"/>
    <w:rsid w:val="00B57433"/>
    <w:rsid w:val="00B575B7"/>
    <w:rsid w:val="00B576DE"/>
    <w:rsid w:val="00B5772F"/>
    <w:rsid w:val="00B5783C"/>
    <w:rsid w:val="00B57841"/>
    <w:rsid w:val="00B57865"/>
    <w:rsid w:val="00B57884"/>
    <w:rsid w:val="00B578B9"/>
    <w:rsid w:val="00B57AAB"/>
    <w:rsid w:val="00B57E5E"/>
    <w:rsid w:val="00B57F87"/>
    <w:rsid w:val="00B57FD4"/>
    <w:rsid w:val="00B60077"/>
    <w:rsid w:val="00B60146"/>
    <w:rsid w:val="00B60262"/>
    <w:rsid w:val="00B603AC"/>
    <w:rsid w:val="00B60523"/>
    <w:rsid w:val="00B6086D"/>
    <w:rsid w:val="00B608AF"/>
    <w:rsid w:val="00B609A1"/>
    <w:rsid w:val="00B60A0D"/>
    <w:rsid w:val="00B60A14"/>
    <w:rsid w:val="00B60A8F"/>
    <w:rsid w:val="00B60D58"/>
    <w:rsid w:val="00B60E10"/>
    <w:rsid w:val="00B60F62"/>
    <w:rsid w:val="00B61086"/>
    <w:rsid w:val="00B610D1"/>
    <w:rsid w:val="00B611F4"/>
    <w:rsid w:val="00B6147F"/>
    <w:rsid w:val="00B6163E"/>
    <w:rsid w:val="00B61708"/>
    <w:rsid w:val="00B618FB"/>
    <w:rsid w:val="00B6191B"/>
    <w:rsid w:val="00B61948"/>
    <w:rsid w:val="00B619F9"/>
    <w:rsid w:val="00B61A56"/>
    <w:rsid w:val="00B61AC8"/>
    <w:rsid w:val="00B61DFA"/>
    <w:rsid w:val="00B61FB2"/>
    <w:rsid w:val="00B62030"/>
    <w:rsid w:val="00B6205A"/>
    <w:rsid w:val="00B62153"/>
    <w:rsid w:val="00B62337"/>
    <w:rsid w:val="00B62493"/>
    <w:rsid w:val="00B625F7"/>
    <w:rsid w:val="00B626EC"/>
    <w:rsid w:val="00B627A9"/>
    <w:rsid w:val="00B628B0"/>
    <w:rsid w:val="00B62A29"/>
    <w:rsid w:val="00B62A44"/>
    <w:rsid w:val="00B62B16"/>
    <w:rsid w:val="00B62D32"/>
    <w:rsid w:val="00B62F54"/>
    <w:rsid w:val="00B6307D"/>
    <w:rsid w:val="00B6316C"/>
    <w:rsid w:val="00B632E5"/>
    <w:rsid w:val="00B633C6"/>
    <w:rsid w:val="00B63759"/>
    <w:rsid w:val="00B63874"/>
    <w:rsid w:val="00B638D1"/>
    <w:rsid w:val="00B63912"/>
    <w:rsid w:val="00B6393F"/>
    <w:rsid w:val="00B63995"/>
    <w:rsid w:val="00B63B14"/>
    <w:rsid w:val="00B63B48"/>
    <w:rsid w:val="00B63B73"/>
    <w:rsid w:val="00B63F97"/>
    <w:rsid w:val="00B64174"/>
    <w:rsid w:val="00B64184"/>
    <w:rsid w:val="00B64296"/>
    <w:rsid w:val="00B642C4"/>
    <w:rsid w:val="00B6438B"/>
    <w:rsid w:val="00B64415"/>
    <w:rsid w:val="00B6464F"/>
    <w:rsid w:val="00B64974"/>
    <w:rsid w:val="00B64A2C"/>
    <w:rsid w:val="00B64A42"/>
    <w:rsid w:val="00B64AD7"/>
    <w:rsid w:val="00B64AE3"/>
    <w:rsid w:val="00B64B6D"/>
    <w:rsid w:val="00B64B8A"/>
    <w:rsid w:val="00B64CBF"/>
    <w:rsid w:val="00B64DBD"/>
    <w:rsid w:val="00B64DE9"/>
    <w:rsid w:val="00B64E26"/>
    <w:rsid w:val="00B650ED"/>
    <w:rsid w:val="00B6512E"/>
    <w:rsid w:val="00B65258"/>
    <w:rsid w:val="00B652D3"/>
    <w:rsid w:val="00B65492"/>
    <w:rsid w:val="00B65599"/>
    <w:rsid w:val="00B656B7"/>
    <w:rsid w:val="00B65941"/>
    <w:rsid w:val="00B659CE"/>
    <w:rsid w:val="00B65A2C"/>
    <w:rsid w:val="00B65A56"/>
    <w:rsid w:val="00B65ADD"/>
    <w:rsid w:val="00B65B13"/>
    <w:rsid w:val="00B65B1F"/>
    <w:rsid w:val="00B65BAF"/>
    <w:rsid w:val="00B65DD0"/>
    <w:rsid w:val="00B65DEE"/>
    <w:rsid w:val="00B65DF7"/>
    <w:rsid w:val="00B65F3E"/>
    <w:rsid w:val="00B65FBD"/>
    <w:rsid w:val="00B6605D"/>
    <w:rsid w:val="00B66080"/>
    <w:rsid w:val="00B66117"/>
    <w:rsid w:val="00B662CC"/>
    <w:rsid w:val="00B6651A"/>
    <w:rsid w:val="00B6676A"/>
    <w:rsid w:val="00B66A12"/>
    <w:rsid w:val="00B66B4A"/>
    <w:rsid w:val="00B66BBC"/>
    <w:rsid w:val="00B66C89"/>
    <w:rsid w:val="00B66E46"/>
    <w:rsid w:val="00B66EE9"/>
    <w:rsid w:val="00B670DD"/>
    <w:rsid w:val="00B6717B"/>
    <w:rsid w:val="00B671FD"/>
    <w:rsid w:val="00B672C1"/>
    <w:rsid w:val="00B674AF"/>
    <w:rsid w:val="00B67561"/>
    <w:rsid w:val="00B67586"/>
    <w:rsid w:val="00B67748"/>
    <w:rsid w:val="00B67BDC"/>
    <w:rsid w:val="00B67CAE"/>
    <w:rsid w:val="00B67D42"/>
    <w:rsid w:val="00B67E8A"/>
    <w:rsid w:val="00B67EC3"/>
    <w:rsid w:val="00B67EEF"/>
    <w:rsid w:val="00B67FD2"/>
    <w:rsid w:val="00B67FE9"/>
    <w:rsid w:val="00B70034"/>
    <w:rsid w:val="00B7009B"/>
    <w:rsid w:val="00B700E7"/>
    <w:rsid w:val="00B70134"/>
    <w:rsid w:val="00B702B9"/>
    <w:rsid w:val="00B702DB"/>
    <w:rsid w:val="00B70343"/>
    <w:rsid w:val="00B7038A"/>
    <w:rsid w:val="00B7042D"/>
    <w:rsid w:val="00B7049A"/>
    <w:rsid w:val="00B704EF"/>
    <w:rsid w:val="00B7058F"/>
    <w:rsid w:val="00B705EE"/>
    <w:rsid w:val="00B70888"/>
    <w:rsid w:val="00B709B6"/>
    <w:rsid w:val="00B70A33"/>
    <w:rsid w:val="00B70C5F"/>
    <w:rsid w:val="00B70C85"/>
    <w:rsid w:val="00B70D46"/>
    <w:rsid w:val="00B70D86"/>
    <w:rsid w:val="00B710F5"/>
    <w:rsid w:val="00B7114B"/>
    <w:rsid w:val="00B71202"/>
    <w:rsid w:val="00B7150B"/>
    <w:rsid w:val="00B716B0"/>
    <w:rsid w:val="00B716C8"/>
    <w:rsid w:val="00B716E4"/>
    <w:rsid w:val="00B716F7"/>
    <w:rsid w:val="00B7195F"/>
    <w:rsid w:val="00B71971"/>
    <w:rsid w:val="00B719B2"/>
    <w:rsid w:val="00B71A33"/>
    <w:rsid w:val="00B71ACA"/>
    <w:rsid w:val="00B71B96"/>
    <w:rsid w:val="00B71B9E"/>
    <w:rsid w:val="00B71BC0"/>
    <w:rsid w:val="00B71DDF"/>
    <w:rsid w:val="00B720EA"/>
    <w:rsid w:val="00B72266"/>
    <w:rsid w:val="00B72415"/>
    <w:rsid w:val="00B724BF"/>
    <w:rsid w:val="00B724D9"/>
    <w:rsid w:val="00B72574"/>
    <w:rsid w:val="00B726F4"/>
    <w:rsid w:val="00B727A9"/>
    <w:rsid w:val="00B727BD"/>
    <w:rsid w:val="00B728BF"/>
    <w:rsid w:val="00B7294A"/>
    <w:rsid w:val="00B72976"/>
    <w:rsid w:val="00B72A27"/>
    <w:rsid w:val="00B72C0D"/>
    <w:rsid w:val="00B72C42"/>
    <w:rsid w:val="00B72C81"/>
    <w:rsid w:val="00B72CA5"/>
    <w:rsid w:val="00B72D49"/>
    <w:rsid w:val="00B72E7E"/>
    <w:rsid w:val="00B72EA9"/>
    <w:rsid w:val="00B72F1D"/>
    <w:rsid w:val="00B72F23"/>
    <w:rsid w:val="00B72F3E"/>
    <w:rsid w:val="00B72FE3"/>
    <w:rsid w:val="00B73047"/>
    <w:rsid w:val="00B73267"/>
    <w:rsid w:val="00B7351B"/>
    <w:rsid w:val="00B7354C"/>
    <w:rsid w:val="00B73648"/>
    <w:rsid w:val="00B73761"/>
    <w:rsid w:val="00B737CB"/>
    <w:rsid w:val="00B738A1"/>
    <w:rsid w:val="00B73938"/>
    <w:rsid w:val="00B73A1E"/>
    <w:rsid w:val="00B73A6B"/>
    <w:rsid w:val="00B73BC0"/>
    <w:rsid w:val="00B73C70"/>
    <w:rsid w:val="00B73CDC"/>
    <w:rsid w:val="00B73DFF"/>
    <w:rsid w:val="00B73E59"/>
    <w:rsid w:val="00B73E93"/>
    <w:rsid w:val="00B73F14"/>
    <w:rsid w:val="00B7403E"/>
    <w:rsid w:val="00B74194"/>
    <w:rsid w:val="00B741C2"/>
    <w:rsid w:val="00B74304"/>
    <w:rsid w:val="00B74387"/>
    <w:rsid w:val="00B747DA"/>
    <w:rsid w:val="00B747F0"/>
    <w:rsid w:val="00B74A1E"/>
    <w:rsid w:val="00B74B02"/>
    <w:rsid w:val="00B74B24"/>
    <w:rsid w:val="00B74BE3"/>
    <w:rsid w:val="00B74C40"/>
    <w:rsid w:val="00B74D51"/>
    <w:rsid w:val="00B74D71"/>
    <w:rsid w:val="00B74DC0"/>
    <w:rsid w:val="00B74EA4"/>
    <w:rsid w:val="00B74EE7"/>
    <w:rsid w:val="00B74F06"/>
    <w:rsid w:val="00B74FFB"/>
    <w:rsid w:val="00B7500B"/>
    <w:rsid w:val="00B750A9"/>
    <w:rsid w:val="00B75119"/>
    <w:rsid w:val="00B7516D"/>
    <w:rsid w:val="00B752B4"/>
    <w:rsid w:val="00B7532F"/>
    <w:rsid w:val="00B75417"/>
    <w:rsid w:val="00B75422"/>
    <w:rsid w:val="00B755A1"/>
    <w:rsid w:val="00B75659"/>
    <w:rsid w:val="00B75708"/>
    <w:rsid w:val="00B7580B"/>
    <w:rsid w:val="00B758AE"/>
    <w:rsid w:val="00B75937"/>
    <w:rsid w:val="00B75A76"/>
    <w:rsid w:val="00B75BB6"/>
    <w:rsid w:val="00B75BBA"/>
    <w:rsid w:val="00B75DE4"/>
    <w:rsid w:val="00B75E3E"/>
    <w:rsid w:val="00B762F8"/>
    <w:rsid w:val="00B763E2"/>
    <w:rsid w:val="00B76457"/>
    <w:rsid w:val="00B7650D"/>
    <w:rsid w:val="00B765FC"/>
    <w:rsid w:val="00B767B7"/>
    <w:rsid w:val="00B767BE"/>
    <w:rsid w:val="00B769BA"/>
    <w:rsid w:val="00B76B5E"/>
    <w:rsid w:val="00B76B67"/>
    <w:rsid w:val="00B76B96"/>
    <w:rsid w:val="00B76DDA"/>
    <w:rsid w:val="00B76EB7"/>
    <w:rsid w:val="00B76EF9"/>
    <w:rsid w:val="00B7702F"/>
    <w:rsid w:val="00B7704D"/>
    <w:rsid w:val="00B771AE"/>
    <w:rsid w:val="00B7732F"/>
    <w:rsid w:val="00B7744E"/>
    <w:rsid w:val="00B77673"/>
    <w:rsid w:val="00B77808"/>
    <w:rsid w:val="00B77BC8"/>
    <w:rsid w:val="00B77DAF"/>
    <w:rsid w:val="00B77DC5"/>
    <w:rsid w:val="00B77EBF"/>
    <w:rsid w:val="00B8022E"/>
    <w:rsid w:val="00B8047B"/>
    <w:rsid w:val="00B804C9"/>
    <w:rsid w:val="00B8063E"/>
    <w:rsid w:val="00B80868"/>
    <w:rsid w:val="00B808AB"/>
    <w:rsid w:val="00B80961"/>
    <w:rsid w:val="00B80F51"/>
    <w:rsid w:val="00B80FC2"/>
    <w:rsid w:val="00B81031"/>
    <w:rsid w:val="00B81047"/>
    <w:rsid w:val="00B81099"/>
    <w:rsid w:val="00B811EA"/>
    <w:rsid w:val="00B8133C"/>
    <w:rsid w:val="00B813B8"/>
    <w:rsid w:val="00B813E8"/>
    <w:rsid w:val="00B8142E"/>
    <w:rsid w:val="00B81598"/>
    <w:rsid w:val="00B81603"/>
    <w:rsid w:val="00B81851"/>
    <w:rsid w:val="00B818AB"/>
    <w:rsid w:val="00B81B23"/>
    <w:rsid w:val="00B81B48"/>
    <w:rsid w:val="00B81B5B"/>
    <w:rsid w:val="00B81B71"/>
    <w:rsid w:val="00B81C82"/>
    <w:rsid w:val="00B81E03"/>
    <w:rsid w:val="00B81F54"/>
    <w:rsid w:val="00B81F72"/>
    <w:rsid w:val="00B8217C"/>
    <w:rsid w:val="00B8259C"/>
    <w:rsid w:val="00B826E7"/>
    <w:rsid w:val="00B8273A"/>
    <w:rsid w:val="00B8278D"/>
    <w:rsid w:val="00B82835"/>
    <w:rsid w:val="00B82AC3"/>
    <w:rsid w:val="00B82C1E"/>
    <w:rsid w:val="00B82DAA"/>
    <w:rsid w:val="00B82DED"/>
    <w:rsid w:val="00B82EC8"/>
    <w:rsid w:val="00B82F31"/>
    <w:rsid w:val="00B83120"/>
    <w:rsid w:val="00B8322D"/>
    <w:rsid w:val="00B83296"/>
    <w:rsid w:val="00B832C8"/>
    <w:rsid w:val="00B83350"/>
    <w:rsid w:val="00B83378"/>
    <w:rsid w:val="00B833A7"/>
    <w:rsid w:val="00B833DF"/>
    <w:rsid w:val="00B833F6"/>
    <w:rsid w:val="00B834CA"/>
    <w:rsid w:val="00B834FC"/>
    <w:rsid w:val="00B835CF"/>
    <w:rsid w:val="00B835D6"/>
    <w:rsid w:val="00B83690"/>
    <w:rsid w:val="00B836B4"/>
    <w:rsid w:val="00B83843"/>
    <w:rsid w:val="00B83858"/>
    <w:rsid w:val="00B8394B"/>
    <w:rsid w:val="00B839CB"/>
    <w:rsid w:val="00B83A6E"/>
    <w:rsid w:val="00B83A80"/>
    <w:rsid w:val="00B83AB0"/>
    <w:rsid w:val="00B83AC9"/>
    <w:rsid w:val="00B83B14"/>
    <w:rsid w:val="00B83B27"/>
    <w:rsid w:val="00B83D78"/>
    <w:rsid w:val="00B83D85"/>
    <w:rsid w:val="00B83F4E"/>
    <w:rsid w:val="00B83FA1"/>
    <w:rsid w:val="00B83FB0"/>
    <w:rsid w:val="00B840A6"/>
    <w:rsid w:val="00B84200"/>
    <w:rsid w:val="00B8429F"/>
    <w:rsid w:val="00B8436C"/>
    <w:rsid w:val="00B843FE"/>
    <w:rsid w:val="00B84431"/>
    <w:rsid w:val="00B8447C"/>
    <w:rsid w:val="00B84488"/>
    <w:rsid w:val="00B84574"/>
    <w:rsid w:val="00B84694"/>
    <w:rsid w:val="00B8476A"/>
    <w:rsid w:val="00B847D9"/>
    <w:rsid w:val="00B84DF0"/>
    <w:rsid w:val="00B84EB9"/>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8BF"/>
    <w:rsid w:val="00B858CC"/>
    <w:rsid w:val="00B858CF"/>
    <w:rsid w:val="00B858D4"/>
    <w:rsid w:val="00B85A07"/>
    <w:rsid w:val="00B85B09"/>
    <w:rsid w:val="00B85C82"/>
    <w:rsid w:val="00B85F71"/>
    <w:rsid w:val="00B85F9F"/>
    <w:rsid w:val="00B85FEA"/>
    <w:rsid w:val="00B86063"/>
    <w:rsid w:val="00B8611A"/>
    <w:rsid w:val="00B86195"/>
    <w:rsid w:val="00B86229"/>
    <w:rsid w:val="00B86277"/>
    <w:rsid w:val="00B86432"/>
    <w:rsid w:val="00B86525"/>
    <w:rsid w:val="00B86539"/>
    <w:rsid w:val="00B86668"/>
    <w:rsid w:val="00B8666C"/>
    <w:rsid w:val="00B86705"/>
    <w:rsid w:val="00B8670B"/>
    <w:rsid w:val="00B8676A"/>
    <w:rsid w:val="00B867C8"/>
    <w:rsid w:val="00B867DA"/>
    <w:rsid w:val="00B86859"/>
    <w:rsid w:val="00B868F1"/>
    <w:rsid w:val="00B86911"/>
    <w:rsid w:val="00B86A32"/>
    <w:rsid w:val="00B86A58"/>
    <w:rsid w:val="00B86A90"/>
    <w:rsid w:val="00B86A96"/>
    <w:rsid w:val="00B86D26"/>
    <w:rsid w:val="00B86D7F"/>
    <w:rsid w:val="00B86DA9"/>
    <w:rsid w:val="00B86EC6"/>
    <w:rsid w:val="00B86F80"/>
    <w:rsid w:val="00B870C5"/>
    <w:rsid w:val="00B87124"/>
    <w:rsid w:val="00B87206"/>
    <w:rsid w:val="00B87300"/>
    <w:rsid w:val="00B873AF"/>
    <w:rsid w:val="00B87423"/>
    <w:rsid w:val="00B875ED"/>
    <w:rsid w:val="00B876CF"/>
    <w:rsid w:val="00B8775F"/>
    <w:rsid w:val="00B878B0"/>
    <w:rsid w:val="00B87A3A"/>
    <w:rsid w:val="00B87B1F"/>
    <w:rsid w:val="00B87F67"/>
    <w:rsid w:val="00B90061"/>
    <w:rsid w:val="00B902D1"/>
    <w:rsid w:val="00B90786"/>
    <w:rsid w:val="00B90941"/>
    <w:rsid w:val="00B909FB"/>
    <w:rsid w:val="00B90B1B"/>
    <w:rsid w:val="00B90B33"/>
    <w:rsid w:val="00B90B88"/>
    <w:rsid w:val="00B90C03"/>
    <w:rsid w:val="00B90C87"/>
    <w:rsid w:val="00B90E12"/>
    <w:rsid w:val="00B90FF9"/>
    <w:rsid w:val="00B91000"/>
    <w:rsid w:val="00B910EB"/>
    <w:rsid w:val="00B9124F"/>
    <w:rsid w:val="00B912B8"/>
    <w:rsid w:val="00B9142A"/>
    <w:rsid w:val="00B91463"/>
    <w:rsid w:val="00B914C6"/>
    <w:rsid w:val="00B9152C"/>
    <w:rsid w:val="00B916A6"/>
    <w:rsid w:val="00B917A3"/>
    <w:rsid w:val="00B91803"/>
    <w:rsid w:val="00B91988"/>
    <w:rsid w:val="00B91A1F"/>
    <w:rsid w:val="00B91A2A"/>
    <w:rsid w:val="00B91C06"/>
    <w:rsid w:val="00B91E07"/>
    <w:rsid w:val="00B91EF9"/>
    <w:rsid w:val="00B91F9D"/>
    <w:rsid w:val="00B91FD1"/>
    <w:rsid w:val="00B91FF5"/>
    <w:rsid w:val="00B9205C"/>
    <w:rsid w:val="00B92145"/>
    <w:rsid w:val="00B921A5"/>
    <w:rsid w:val="00B922DD"/>
    <w:rsid w:val="00B92410"/>
    <w:rsid w:val="00B9267A"/>
    <w:rsid w:val="00B9272D"/>
    <w:rsid w:val="00B92761"/>
    <w:rsid w:val="00B9276E"/>
    <w:rsid w:val="00B92783"/>
    <w:rsid w:val="00B927C3"/>
    <w:rsid w:val="00B927E7"/>
    <w:rsid w:val="00B92874"/>
    <w:rsid w:val="00B929CF"/>
    <w:rsid w:val="00B92A8A"/>
    <w:rsid w:val="00B92BBC"/>
    <w:rsid w:val="00B92CBA"/>
    <w:rsid w:val="00B92D43"/>
    <w:rsid w:val="00B92DBF"/>
    <w:rsid w:val="00B9302F"/>
    <w:rsid w:val="00B9313E"/>
    <w:rsid w:val="00B9315C"/>
    <w:rsid w:val="00B9328C"/>
    <w:rsid w:val="00B932C0"/>
    <w:rsid w:val="00B9332E"/>
    <w:rsid w:val="00B933A4"/>
    <w:rsid w:val="00B93590"/>
    <w:rsid w:val="00B93703"/>
    <w:rsid w:val="00B939BA"/>
    <w:rsid w:val="00B93B67"/>
    <w:rsid w:val="00B93D0C"/>
    <w:rsid w:val="00B93E88"/>
    <w:rsid w:val="00B93FDD"/>
    <w:rsid w:val="00B94032"/>
    <w:rsid w:val="00B94081"/>
    <w:rsid w:val="00B9414A"/>
    <w:rsid w:val="00B94268"/>
    <w:rsid w:val="00B942BF"/>
    <w:rsid w:val="00B94374"/>
    <w:rsid w:val="00B94627"/>
    <w:rsid w:val="00B94766"/>
    <w:rsid w:val="00B947B7"/>
    <w:rsid w:val="00B948A4"/>
    <w:rsid w:val="00B94A4A"/>
    <w:rsid w:val="00B94AFC"/>
    <w:rsid w:val="00B94F82"/>
    <w:rsid w:val="00B9516C"/>
    <w:rsid w:val="00B951ED"/>
    <w:rsid w:val="00B9532B"/>
    <w:rsid w:val="00B95557"/>
    <w:rsid w:val="00B955CA"/>
    <w:rsid w:val="00B957EC"/>
    <w:rsid w:val="00B95AB1"/>
    <w:rsid w:val="00B95B59"/>
    <w:rsid w:val="00B95C8F"/>
    <w:rsid w:val="00B95D1D"/>
    <w:rsid w:val="00B95D64"/>
    <w:rsid w:val="00B95EA4"/>
    <w:rsid w:val="00B95F24"/>
    <w:rsid w:val="00B95F4C"/>
    <w:rsid w:val="00B96123"/>
    <w:rsid w:val="00B9619F"/>
    <w:rsid w:val="00B961A1"/>
    <w:rsid w:val="00B96297"/>
    <w:rsid w:val="00B96308"/>
    <w:rsid w:val="00B96375"/>
    <w:rsid w:val="00B9645A"/>
    <w:rsid w:val="00B96465"/>
    <w:rsid w:val="00B96502"/>
    <w:rsid w:val="00B966DD"/>
    <w:rsid w:val="00B967CA"/>
    <w:rsid w:val="00B967ED"/>
    <w:rsid w:val="00B96998"/>
    <w:rsid w:val="00B96A89"/>
    <w:rsid w:val="00B96BCF"/>
    <w:rsid w:val="00B96DE6"/>
    <w:rsid w:val="00B96DEF"/>
    <w:rsid w:val="00B96FFD"/>
    <w:rsid w:val="00B970D4"/>
    <w:rsid w:val="00B9711D"/>
    <w:rsid w:val="00B97253"/>
    <w:rsid w:val="00B9763E"/>
    <w:rsid w:val="00B9771E"/>
    <w:rsid w:val="00B97964"/>
    <w:rsid w:val="00B979C9"/>
    <w:rsid w:val="00B97A74"/>
    <w:rsid w:val="00B97B9B"/>
    <w:rsid w:val="00B97D07"/>
    <w:rsid w:val="00B97E2C"/>
    <w:rsid w:val="00B97E45"/>
    <w:rsid w:val="00B97F23"/>
    <w:rsid w:val="00B97F38"/>
    <w:rsid w:val="00BA00BA"/>
    <w:rsid w:val="00BA0167"/>
    <w:rsid w:val="00BA01C0"/>
    <w:rsid w:val="00BA02DA"/>
    <w:rsid w:val="00BA0381"/>
    <w:rsid w:val="00BA0585"/>
    <w:rsid w:val="00BA05E5"/>
    <w:rsid w:val="00BA0618"/>
    <w:rsid w:val="00BA0782"/>
    <w:rsid w:val="00BA0953"/>
    <w:rsid w:val="00BA09E9"/>
    <w:rsid w:val="00BA0A34"/>
    <w:rsid w:val="00BA0A91"/>
    <w:rsid w:val="00BA0AAF"/>
    <w:rsid w:val="00BA0B38"/>
    <w:rsid w:val="00BA0BAB"/>
    <w:rsid w:val="00BA0CE2"/>
    <w:rsid w:val="00BA0CEB"/>
    <w:rsid w:val="00BA0D09"/>
    <w:rsid w:val="00BA0D78"/>
    <w:rsid w:val="00BA0E64"/>
    <w:rsid w:val="00BA0F13"/>
    <w:rsid w:val="00BA1042"/>
    <w:rsid w:val="00BA11CA"/>
    <w:rsid w:val="00BA129D"/>
    <w:rsid w:val="00BA12F6"/>
    <w:rsid w:val="00BA134C"/>
    <w:rsid w:val="00BA134D"/>
    <w:rsid w:val="00BA13A0"/>
    <w:rsid w:val="00BA13C5"/>
    <w:rsid w:val="00BA1438"/>
    <w:rsid w:val="00BA14AF"/>
    <w:rsid w:val="00BA14C6"/>
    <w:rsid w:val="00BA164A"/>
    <w:rsid w:val="00BA171C"/>
    <w:rsid w:val="00BA174D"/>
    <w:rsid w:val="00BA17E8"/>
    <w:rsid w:val="00BA1866"/>
    <w:rsid w:val="00BA194E"/>
    <w:rsid w:val="00BA1988"/>
    <w:rsid w:val="00BA1AB5"/>
    <w:rsid w:val="00BA1AED"/>
    <w:rsid w:val="00BA1B88"/>
    <w:rsid w:val="00BA1BE1"/>
    <w:rsid w:val="00BA1BE9"/>
    <w:rsid w:val="00BA1C25"/>
    <w:rsid w:val="00BA1CEC"/>
    <w:rsid w:val="00BA1D59"/>
    <w:rsid w:val="00BA1DB1"/>
    <w:rsid w:val="00BA1F18"/>
    <w:rsid w:val="00BA1F57"/>
    <w:rsid w:val="00BA1F74"/>
    <w:rsid w:val="00BA2090"/>
    <w:rsid w:val="00BA220B"/>
    <w:rsid w:val="00BA22D3"/>
    <w:rsid w:val="00BA2477"/>
    <w:rsid w:val="00BA26D2"/>
    <w:rsid w:val="00BA272F"/>
    <w:rsid w:val="00BA27DD"/>
    <w:rsid w:val="00BA2BB1"/>
    <w:rsid w:val="00BA2BE1"/>
    <w:rsid w:val="00BA2D02"/>
    <w:rsid w:val="00BA2DA9"/>
    <w:rsid w:val="00BA2DAE"/>
    <w:rsid w:val="00BA2E2C"/>
    <w:rsid w:val="00BA2E39"/>
    <w:rsid w:val="00BA2E44"/>
    <w:rsid w:val="00BA2F8F"/>
    <w:rsid w:val="00BA3080"/>
    <w:rsid w:val="00BA3102"/>
    <w:rsid w:val="00BA34DD"/>
    <w:rsid w:val="00BA3649"/>
    <w:rsid w:val="00BA36E9"/>
    <w:rsid w:val="00BA3809"/>
    <w:rsid w:val="00BA386C"/>
    <w:rsid w:val="00BA3874"/>
    <w:rsid w:val="00BA3BB9"/>
    <w:rsid w:val="00BA3C2A"/>
    <w:rsid w:val="00BA3C4F"/>
    <w:rsid w:val="00BA3D23"/>
    <w:rsid w:val="00BA3D43"/>
    <w:rsid w:val="00BA412C"/>
    <w:rsid w:val="00BA4141"/>
    <w:rsid w:val="00BA41DE"/>
    <w:rsid w:val="00BA41F2"/>
    <w:rsid w:val="00BA4391"/>
    <w:rsid w:val="00BA4423"/>
    <w:rsid w:val="00BA4596"/>
    <w:rsid w:val="00BA466A"/>
    <w:rsid w:val="00BA4672"/>
    <w:rsid w:val="00BA46B2"/>
    <w:rsid w:val="00BA46E8"/>
    <w:rsid w:val="00BA4769"/>
    <w:rsid w:val="00BA47F1"/>
    <w:rsid w:val="00BA47FD"/>
    <w:rsid w:val="00BA49AB"/>
    <w:rsid w:val="00BA4C29"/>
    <w:rsid w:val="00BA4C65"/>
    <w:rsid w:val="00BA4C96"/>
    <w:rsid w:val="00BA4E9A"/>
    <w:rsid w:val="00BA4ED7"/>
    <w:rsid w:val="00BA4F61"/>
    <w:rsid w:val="00BA5106"/>
    <w:rsid w:val="00BA51B8"/>
    <w:rsid w:val="00BA5595"/>
    <w:rsid w:val="00BA55F7"/>
    <w:rsid w:val="00BA5627"/>
    <w:rsid w:val="00BA5643"/>
    <w:rsid w:val="00BA568B"/>
    <w:rsid w:val="00BA591A"/>
    <w:rsid w:val="00BA5BB0"/>
    <w:rsid w:val="00BA5C64"/>
    <w:rsid w:val="00BA5CE1"/>
    <w:rsid w:val="00BA5D14"/>
    <w:rsid w:val="00BA5D16"/>
    <w:rsid w:val="00BA5D43"/>
    <w:rsid w:val="00BA5DB0"/>
    <w:rsid w:val="00BA5ECE"/>
    <w:rsid w:val="00BA611A"/>
    <w:rsid w:val="00BA6150"/>
    <w:rsid w:val="00BA6170"/>
    <w:rsid w:val="00BA628D"/>
    <w:rsid w:val="00BA6456"/>
    <w:rsid w:val="00BA6475"/>
    <w:rsid w:val="00BA65CE"/>
    <w:rsid w:val="00BA66A7"/>
    <w:rsid w:val="00BA67B4"/>
    <w:rsid w:val="00BA683A"/>
    <w:rsid w:val="00BA68CE"/>
    <w:rsid w:val="00BA6A2D"/>
    <w:rsid w:val="00BA6A61"/>
    <w:rsid w:val="00BA6A74"/>
    <w:rsid w:val="00BA6A9A"/>
    <w:rsid w:val="00BA6B0C"/>
    <w:rsid w:val="00BA6B4E"/>
    <w:rsid w:val="00BA6C52"/>
    <w:rsid w:val="00BA6CA4"/>
    <w:rsid w:val="00BA6CD3"/>
    <w:rsid w:val="00BA6E3A"/>
    <w:rsid w:val="00BA6E63"/>
    <w:rsid w:val="00BA6F52"/>
    <w:rsid w:val="00BA6F85"/>
    <w:rsid w:val="00BA7001"/>
    <w:rsid w:val="00BA7029"/>
    <w:rsid w:val="00BA70BE"/>
    <w:rsid w:val="00BA7267"/>
    <w:rsid w:val="00BA72B7"/>
    <w:rsid w:val="00BA739D"/>
    <w:rsid w:val="00BA73C6"/>
    <w:rsid w:val="00BA74F2"/>
    <w:rsid w:val="00BA7842"/>
    <w:rsid w:val="00BA7844"/>
    <w:rsid w:val="00BA7950"/>
    <w:rsid w:val="00BA7961"/>
    <w:rsid w:val="00BA7AFD"/>
    <w:rsid w:val="00BA7CF7"/>
    <w:rsid w:val="00BA7E62"/>
    <w:rsid w:val="00BB0137"/>
    <w:rsid w:val="00BB0293"/>
    <w:rsid w:val="00BB03D3"/>
    <w:rsid w:val="00BB0424"/>
    <w:rsid w:val="00BB04F4"/>
    <w:rsid w:val="00BB051D"/>
    <w:rsid w:val="00BB05AD"/>
    <w:rsid w:val="00BB065A"/>
    <w:rsid w:val="00BB0884"/>
    <w:rsid w:val="00BB093C"/>
    <w:rsid w:val="00BB0968"/>
    <w:rsid w:val="00BB0984"/>
    <w:rsid w:val="00BB0B29"/>
    <w:rsid w:val="00BB0B89"/>
    <w:rsid w:val="00BB0C50"/>
    <w:rsid w:val="00BB0C51"/>
    <w:rsid w:val="00BB0D20"/>
    <w:rsid w:val="00BB0DDD"/>
    <w:rsid w:val="00BB1021"/>
    <w:rsid w:val="00BB11DD"/>
    <w:rsid w:val="00BB135C"/>
    <w:rsid w:val="00BB145D"/>
    <w:rsid w:val="00BB147F"/>
    <w:rsid w:val="00BB15ED"/>
    <w:rsid w:val="00BB168F"/>
    <w:rsid w:val="00BB16DE"/>
    <w:rsid w:val="00BB17D5"/>
    <w:rsid w:val="00BB187A"/>
    <w:rsid w:val="00BB1C96"/>
    <w:rsid w:val="00BB1CB4"/>
    <w:rsid w:val="00BB1DC4"/>
    <w:rsid w:val="00BB1F14"/>
    <w:rsid w:val="00BB1FF8"/>
    <w:rsid w:val="00BB2003"/>
    <w:rsid w:val="00BB210E"/>
    <w:rsid w:val="00BB21FB"/>
    <w:rsid w:val="00BB2256"/>
    <w:rsid w:val="00BB22FF"/>
    <w:rsid w:val="00BB2411"/>
    <w:rsid w:val="00BB251A"/>
    <w:rsid w:val="00BB2601"/>
    <w:rsid w:val="00BB2632"/>
    <w:rsid w:val="00BB26A3"/>
    <w:rsid w:val="00BB27A5"/>
    <w:rsid w:val="00BB2812"/>
    <w:rsid w:val="00BB2998"/>
    <w:rsid w:val="00BB2A38"/>
    <w:rsid w:val="00BB2A97"/>
    <w:rsid w:val="00BB2D98"/>
    <w:rsid w:val="00BB2E4D"/>
    <w:rsid w:val="00BB3020"/>
    <w:rsid w:val="00BB302F"/>
    <w:rsid w:val="00BB3088"/>
    <w:rsid w:val="00BB3093"/>
    <w:rsid w:val="00BB30AF"/>
    <w:rsid w:val="00BB30B9"/>
    <w:rsid w:val="00BB30C0"/>
    <w:rsid w:val="00BB31AC"/>
    <w:rsid w:val="00BB31AD"/>
    <w:rsid w:val="00BB32A4"/>
    <w:rsid w:val="00BB3402"/>
    <w:rsid w:val="00BB3418"/>
    <w:rsid w:val="00BB34B8"/>
    <w:rsid w:val="00BB371B"/>
    <w:rsid w:val="00BB378C"/>
    <w:rsid w:val="00BB37B5"/>
    <w:rsid w:val="00BB3A3B"/>
    <w:rsid w:val="00BB3B7D"/>
    <w:rsid w:val="00BB3BEC"/>
    <w:rsid w:val="00BB3C55"/>
    <w:rsid w:val="00BB3CA1"/>
    <w:rsid w:val="00BB3E7A"/>
    <w:rsid w:val="00BB3F6C"/>
    <w:rsid w:val="00BB4073"/>
    <w:rsid w:val="00BB407F"/>
    <w:rsid w:val="00BB4123"/>
    <w:rsid w:val="00BB4221"/>
    <w:rsid w:val="00BB42E8"/>
    <w:rsid w:val="00BB435F"/>
    <w:rsid w:val="00BB454B"/>
    <w:rsid w:val="00BB46D2"/>
    <w:rsid w:val="00BB4857"/>
    <w:rsid w:val="00BB4868"/>
    <w:rsid w:val="00BB48DD"/>
    <w:rsid w:val="00BB49DC"/>
    <w:rsid w:val="00BB4A13"/>
    <w:rsid w:val="00BB4A4B"/>
    <w:rsid w:val="00BB4ABA"/>
    <w:rsid w:val="00BB4AF2"/>
    <w:rsid w:val="00BB4E47"/>
    <w:rsid w:val="00BB4F1C"/>
    <w:rsid w:val="00BB4FB4"/>
    <w:rsid w:val="00BB500A"/>
    <w:rsid w:val="00BB5154"/>
    <w:rsid w:val="00BB51BE"/>
    <w:rsid w:val="00BB524A"/>
    <w:rsid w:val="00BB5256"/>
    <w:rsid w:val="00BB5331"/>
    <w:rsid w:val="00BB5398"/>
    <w:rsid w:val="00BB54F7"/>
    <w:rsid w:val="00BB557F"/>
    <w:rsid w:val="00BB5593"/>
    <w:rsid w:val="00BB559D"/>
    <w:rsid w:val="00BB59F8"/>
    <w:rsid w:val="00BB5A0E"/>
    <w:rsid w:val="00BB5CAC"/>
    <w:rsid w:val="00BB5CAE"/>
    <w:rsid w:val="00BB5CB5"/>
    <w:rsid w:val="00BB5D20"/>
    <w:rsid w:val="00BB5E2E"/>
    <w:rsid w:val="00BB5F35"/>
    <w:rsid w:val="00BB5FD1"/>
    <w:rsid w:val="00BB614C"/>
    <w:rsid w:val="00BB619D"/>
    <w:rsid w:val="00BB639D"/>
    <w:rsid w:val="00BB63A0"/>
    <w:rsid w:val="00BB642E"/>
    <w:rsid w:val="00BB6599"/>
    <w:rsid w:val="00BB66EB"/>
    <w:rsid w:val="00BB69DB"/>
    <w:rsid w:val="00BB6ABE"/>
    <w:rsid w:val="00BB6B56"/>
    <w:rsid w:val="00BB6C3E"/>
    <w:rsid w:val="00BB6C54"/>
    <w:rsid w:val="00BB6C57"/>
    <w:rsid w:val="00BB6DD0"/>
    <w:rsid w:val="00BB6FA7"/>
    <w:rsid w:val="00BB6FDD"/>
    <w:rsid w:val="00BB7083"/>
    <w:rsid w:val="00BB727C"/>
    <w:rsid w:val="00BB7791"/>
    <w:rsid w:val="00BB7824"/>
    <w:rsid w:val="00BB7917"/>
    <w:rsid w:val="00BB7A47"/>
    <w:rsid w:val="00BB7B2D"/>
    <w:rsid w:val="00BB7B4E"/>
    <w:rsid w:val="00BB7D21"/>
    <w:rsid w:val="00BB7D74"/>
    <w:rsid w:val="00BB7DC7"/>
    <w:rsid w:val="00BB7E96"/>
    <w:rsid w:val="00BB7F14"/>
    <w:rsid w:val="00BC008A"/>
    <w:rsid w:val="00BC0275"/>
    <w:rsid w:val="00BC03D1"/>
    <w:rsid w:val="00BC0549"/>
    <w:rsid w:val="00BC058D"/>
    <w:rsid w:val="00BC06F6"/>
    <w:rsid w:val="00BC0773"/>
    <w:rsid w:val="00BC08D3"/>
    <w:rsid w:val="00BC09C6"/>
    <w:rsid w:val="00BC0A31"/>
    <w:rsid w:val="00BC0C6A"/>
    <w:rsid w:val="00BC0CA8"/>
    <w:rsid w:val="00BC0CAC"/>
    <w:rsid w:val="00BC0DF2"/>
    <w:rsid w:val="00BC0E8E"/>
    <w:rsid w:val="00BC0F87"/>
    <w:rsid w:val="00BC10A0"/>
    <w:rsid w:val="00BC10BE"/>
    <w:rsid w:val="00BC11AD"/>
    <w:rsid w:val="00BC1228"/>
    <w:rsid w:val="00BC1298"/>
    <w:rsid w:val="00BC12B1"/>
    <w:rsid w:val="00BC12C5"/>
    <w:rsid w:val="00BC147F"/>
    <w:rsid w:val="00BC15FC"/>
    <w:rsid w:val="00BC16F9"/>
    <w:rsid w:val="00BC18DA"/>
    <w:rsid w:val="00BC1906"/>
    <w:rsid w:val="00BC1986"/>
    <w:rsid w:val="00BC1B82"/>
    <w:rsid w:val="00BC1BEE"/>
    <w:rsid w:val="00BC1C2E"/>
    <w:rsid w:val="00BC1D3F"/>
    <w:rsid w:val="00BC1D42"/>
    <w:rsid w:val="00BC1DD6"/>
    <w:rsid w:val="00BC1E2A"/>
    <w:rsid w:val="00BC217B"/>
    <w:rsid w:val="00BC2244"/>
    <w:rsid w:val="00BC225E"/>
    <w:rsid w:val="00BC22C1"/>
    <w:rsid w:val="00BC24E8"/>
    <w:rsid w:val="00BC2528"/>
    <w:rsid w:val="00BC2728"/>
    <w:rsid w:val="00BC2791"/>
    <w:rsid w:val="00BC27AC"/>
    <w:rsid w:val="00BC2801"/>
    <w:rsid w:val="00BC28C3"/>
    <w:rsid w:val="00BC28E0"/>
    <w:rsid w:val="00BC29BE"/>
    <w:rsid w:val="00BC2C5A"/>
    <w:rsid w:val="00BC2D4E"/>
    <w:rsid w:val="00BC2DA9"/>
    <w:rsid w:val="00BC2E2C"/>
    <w:rsid w:val="00BC2FC3"/>
    <w:rsid w:val="00BC32DF"/>
    <w:rsid w:val="00BC33D1"/>
    <w:rsid w:val="00BC33EE"/>
    <w:rsid w:val="00BC352B"/>
    <w:rsid w:val="00BC3566"/>
    <w:rsid w:val="00BC37E2"/>
    <w:rsid w:val="00BC3843"/>
    <w:rsid w:val="00BC39F8"/>
    <w:rsid w:val="00BC3A0D"/>
    <w:rsid w:val="00BC3A3A"/>
    <w:rsid w:val="00BC3B92"/>
    <w:rsid w:val="00BC3E16"/>
    <w:rsid w:val="00BC3E59"/>
    <w:rsid w:val="00BC3EC7"/>
    <w:rsid w:val="00BC4088"/>
    <w:rsid w:val="00BC440F"/>
    <w:rsid w:val="00BC46C0"/>
    <w:rsid w:val="00BC46C1"/>
    <w:rsid w:val="00BC4956"/>
    <w:rsid w:val="00BC4A10"/>
    <w:rsid w:val="00BC4A3D"/>
    <w:rsid w:val="00BC4A42"/>
    <w:rsid w:val="00BC4AD8"/>
    <w:rsid w:val="00BC4C2A"/>
    <w:rsid w:val="00BC4C46"/>
    <w:rsid w:val="00BC4D7D"/>
    <w:rsid w:val="00BC4DEC"/>
    <w:rsid w:val="00BC4E1F"/>
    <w:rsid w:val="00BC4EC4"/>
    <w:rsid w:val="00BC4ECE"/>
    <w:rsid w:val="00BC4ED2"/>
    <w:rsid w:val="00BC51E2"/>
    <w:rsid w:val="00BC5247"/>
    <w:rsid w:val="00BC52B6"/>
    <w:rsid w:val="00BC54FD"/>
    <w:rsid w:val="00BC55C3"/>
    <w:rsid w:val="00BC569A"/>
    <w:rsid w:val="00BC5841"/>
    <w:rsid w:val="00BC585A"/>
    <w:rsid w:val="00BC5861"/>
    <w:rsid w:val="00BC59BD"/>
    <w:rsid w:val="00BC5EA0"/>
    <w:rsid w:val="00BC6053"/>
    <w:rsid w:val="00BC6119"/>
    <w:rsid w:val="00BC611A"/>
    <w:rsid w:val="00BC6686"/>
    <w:rsid w:val="00BC69A2"/>
    <w:rsid w:val="00BC6A6A"/>
    <w:rsid w:val="00BC6AAC"/>
    <w:rsid w:val="00BC6BD2"/>
    <w:rsid w:val="00BC6D1A"/>
    <w:rsid w:val="00BC6EBB"/>
    <w:rsid w:val="00BC71BA"/>
    <w:rsid w:val="00BC71E4"/>
    <w:rsid w:val="00BC72C8"/>
    <w:rsid w:val="00BC73A4"/>
    <w:rsid w:val="00BC73B8"/>
    <w:rsid w:val="00BC74EA"/>
    <w:rsid w:val="00BC75C8"/>
    <w:rsid w:val="00BC75EC"/>
    <w:rsid w:val="00BC7718"/>
    <w:rsid w:val="00BC7BE1"/>
    <w:rsid w:val="00BC7CF9"/>
    <w:rsid w:val="00BC7D4B"/>
    <w:rsid w:val="00BC7E8B"/>
    <w:rsid w:val="00BC7EAE"/>
    <w:rsid w:val="00BC7ECD"/>
    <w:rsid w:val="00BC7FDB"/>
    <w:rsid w:val="00BD00DD"/>
    <w:rsid w:val="00BD0192"/>
    <w:rsid w:val="00BD01A6"/>
    <w:rsid w:val="00BD022E"/>
    <w:rsid w:val="00BD0490"/>
    <w:rsid w:val="00BD04BD"/>
    <w:rsid w:val="00BD04C2"/>
    <w:rsid w:val="00BD0572"/>
    <w:rsid w:val="00BD06E9"/>
    <w:rsid w:val="00BD0751"/>
    <w:rsid w:val="00BD07C2"/>
    <w:rsid w:val="00BD07F4"/>
    <w:rsid w:val="00BD08E4"/>
    <w:rsid w:val="00BD0917"/>
    <w:rsid w:val="00BD09A8"/>
    <w:rsid w:val="00BD0BF6"/>
    <w:rsid w:val="00BD0BFE"/>
    <w:rsid w:val="00BD0E33"/>
    <w:rsid w:val="00BD0E3B"/>
    <w:rsid w:val="00BD0EDD"/>
    <w:rsid w:val="00BD1050"/>
    <w:rsid w:val="00BD1062"/>
    <w:rsid w:val="00BD10EB"/>
    <w:rsid w:val="00BD118E"/>
    <w:rsid w:val="00BD11D1"/>
    <w:rsid w:val="00BD1252"/>
    <w:rsid w:val="00BD12FA"/>
    <w:rsid w:val="00BD133E"/>
    <w:rsid w:val="00BD13AB"/>
    <w:rsid w:val="00BD146A"/>
    <w:rsid w:val="00BD146B"/>
    <w:rsid w:val="00BD14B3"/>
    <w:rsid w:val="00BD15FB"/>
    <w:rsid w:val="00BD1851"/>
    <w:rsid w:val="00BD1887"/>
    <w:rsid w:val="00BD18DC"/>
    <w:rsid w:val="00BD1914"/>
    <w:rsid w:val="00BD19C8"/>
    <w:rsid w:val="00BD1CF3"/>
    <w:rsid w:val="00BD1D40"/>
    <w:rsid w:val="00BD1F84"/>
    <w:rsid w:val="00BD20DD"/>
    <w:rsid w:val="00BD2619"/>
    <w:rsid w:val="00BD2627"/>
    <w:rsid w:val="00BD2648"/>
    <w:rsid w:val="00BD265A"/>
    <w:rsid w:val="00BD27E3"/>
    <w:rsid w:val="00BD28E8"/>
    <w:rsid w:val="00BD29D7"/>
    <w:rsid w:val="00BD2A0A"/>
    <w:rsid w:val="00BD2A8F"/>
    <w:rsid w:val="00BD2D0A"/>
    <w:rsid w:val="00BD2DBB"/>
    <w:rsid w:val="00BD2FB9"/>
    <w:rsid w:val="00BD3073"/>
    <w:rsid w:val="00BD3088"/>
    <w:rsid w:val="00BD30F7"/>
    <w:rsid w:val="00BD31CA"/>
    <w:rsid w:val="00BD33C2"/>
    <w:rsid w:val="00BD3531"/>
    <w:rsid w:val="00BD356C"/>
    <w:rsid w:val="00BD381C"/>
    <w:rsid w:val="00BD3B02"/>
    <w:rsid w:val="00BD3DF8"/>
    <w:rsid w:val="00BD3F50"/>
    <w:rsid w:val="00BD3F8C"/>
    <w:rsid w:val="00BD4134"/>
    <w:rsid w:val="00BD448D"/>
    <w:rsid w:val="00BD4530"/>
    <w:rsid w:val="00BD4566"/>
    <w:rsid w:val="00BD45C8"/>
    <w:rsid w:val="00BD4685"/>
    <w:rsid w:val="00BD47FF"/>
    <w:rsid w:val="00BD48C2"/>
    <w:rsid w:val="00BD4967"/>
    <w:rsid w:val="00BD4B68"/>
    <w:rsid w:val="00BD4C2F"/>
    <w:rsid w:val="00BD4DEA"/>
    <w:rsid w:val="00BD4E35"/>
    <w:rsid w:val="00BD4E71"/>
    <w:rsid w:val="00BD4F3B"/>
    <w:rsid w:val="00BD4F52"/>
    <w:rsid w:val="00BD4F56"/>
    <w:rsid w:val="00BD5015"/>
    <w:rsid w:val="00BD508E"/>
    <w:rsid w:val="00BD5125"/>
    <w:rsid w:val="00BD5343"/>
    <w:rsid w:val="00BD54F8"/>
    <w:rsid w:val="00BD5509"/>
    <w:rsid w:val="00BD55C8"/>
    <w:rsid w:val="00BD55F7"/>
    <w:rsid w:val="00BD5734"/>
    <w:rsid w:val="00BD57BF"/>
    <w:rsid w:val="00BD57EC"/>
    <w:rsid w:val="00BD58AE"/>
    <w:rsid w:val="00BD58C9"/>
    <w:rsid w:val="00BD59F4"/>
    <w:rsid w:val="00BD5B25"/>
    <w:rsid w:val="00BD5B28"/>
    <w:rsid w:val="00BD5B29"/>
    <w:rsid w:val="00BD5E2D"/>
    <w:rsid w:val="00BD5F8A"/>
    <w:rsid w:val="00BD5FA4"/>
    <w:rsid w:val="00BD60BE"/>
    <w:rsid w:val="00BD60DA"/>
    <w:rsid w:val="00BD60E5"/>
    <w:rsid w:val="00BD611E"/>
    <w:rsid w:val="00BD61AB"/>
    <w:rsid w:val="00BD62CC"/>
    <w:rsid w:val="00BD63A2"/>
    <w:rsid w:val="00BD6483"/>
    <w:rsid w:val="00BD6649"/>
    <w:rsid w:val="00BD6773"/>
    <w:rsid w:val="00BD67D8"/>
    <w:rsid w:val="00BD6979"/>
    <w:rsid w:val="00BD6AE7"/>
    <w:rsid w:val="00BD6CCD"/>
    <w:rsid w:val="00BD6CED"/>
    <w:rsid w:val="00BD6DFE"/>
    <w:rsid w:val="00BD6E1D"/>
    <w:rsid w:val="00BD704E"/>
    <w:rsid w:val="00BD709E"/>
    <w:rsid w:val="00BD7122"/>
    <w:rsid w:val="00BD71F5"/>
    <w:rsid w:val="00BD7227"/>
    <w:rsid w:val="00BD7241"/>
    <w:rsid w:val="00BD72D8"/>
    <w:rsid w:val="00BD73BC"/>
    <w:rsid w:val="00BD745B"/>
    <w:rsid w:val="00BD7569"/>
    <w:rsid w:val="00BD76D0"/>
    <w:rsid w:val="00BD76D2"/>
    <w:rsid w:val="00BD7724"/>
    <w:rsid w:val="00BD7785"/>
    <w:rsid w:val="00BD77ED"/>
    <w:rsid w:val="00BD7842"/>
    <w:rsid w:val="00BD795E"/>
    <w:rsid w:val="00BD7970"/>
    <w:rsid w:val="00BD79BF"/>
    <w:rsid w:val="00BD7A10"/>
    <w:rsid w:val="00BD7B49"/>
    <w:rsid w:val="00BD7C76"/>
    <w:rsid w:val="00BD7D8F"/>
    <w:rsid w:val="00BD7DE3"/>
    <w:rsid w:val="00BD7ED6"/>
    <w:rsid w:val="00BD7F45"/>
    <w:rsid w:val="00BE0002"/>
    <w:rsid w:val="00BE0155"/>
    <w:rsid w:val="00BE0172"/>
    <w:rsid w:val="00BE01D9"/>
    <w:rsid w:val="00BE01DD"/>
    <w:rsid w:val="00BE0390"/>
    <w:rsid w:val="00BE0392"/>
    <w:rsid w:val="00BE05FD"/>
    <w:rsid w:val="00BE07A8"/>
    <w:rsid w:val="00BE07AE"/>
    <w:rsid w:val="00BE0834"/>
    <w:rsid w:val="00BE0851"/>
    <w:rsid w:val="00BE0885"/>
    <w:rsid w:val="00BE08E0"/>
    <w:rsid w:val="00BE08E1"/>
    <w:rsid w:val="00BE0904"/>
    <w:rsid w:val="00BE0C09"/>
    <w:rsid w:val="00BE0D26"/>
    <w:rsid w:val="00BE0D69"/>
    <w:rsid w:val="00BE0D80"/>
    <w:rsid w:val="00BE0E07"/>
    <w:rsid w:val="00BE0F5A"/>
    <w:rsid w:val="00BE0F7D"/>
    <w:rsid w:val="00BE0F98"/>
    <w:rsid w:val="00BE0FEF"/>
    <w:rsid w:val="00BE106D"/>
    <w:rsid w:val="00BE10D9"/>
    <w:rsid w:val="00BE10FD"/>
    <w:rsid w:val="00BE1114"/>
    <w:rsid w:val="00BE1183"/>
    <w:rsid w:val="00BE11D6"/>
    <w:rsid w:val="00BE1215"/>
    <w:rsid w:val="00BE126F"/>
    <w:rsid w:val="00BE1297"/>
    <w:rsid w:val="00BE13A4"/>
    <w:rsid w:val="00BE13BD"/>
    <w:rsid w:val="00BE1511"/>
    <w:rsid w:val="00BE155B"/>
    <w:rsid w:val="00BE15BE"/>
    <w:rsid w:val="00BE1705"/>
    <w:rsid w:val="00BE173A"/>
    <w:rsid w:val="00BE1779"/>
    <w:rsid w:val="00BE17D9"/>
    <w:rsid w:val="00BE18F7"/>
    <w:rsid w:val="00BE197A"/>
    <w:rsid w:val="00BE19BE"/>
    <w:rsid w:val="00BE1ADB"/>
    <w:rsid w:val="00BE1BCD"/>
    <w:rsid w:val="00BE1C1B"/>
    <w:rsid w:val="00BE1C57"/>
    <w:rsid w:val="00BE1CC4"/>
    <w:rsid w:val="00BE1D2B"/>
    <w:rsid w:val="00BE1D64"/>
    <w:rsid w:val="00BE1EF0"/>
    <w:rsid w:val="00BE1F3F"/>
    <w:rsid w:val="00BE23CB"/>
    <w:rsid w:val="00BE268C"/>
    <w:rsid w:val="00BE26FF"/>
    <w:rsid w:val="00BE2942"/>
    <w:rsid w:val="00BE2B71"/>
    <w:rsid w:val="00BE2BD4"/>
    <w:rsid w:val="00BE2C83"/>
    <w:rsid w:val="00BE2CA4"/>
    <w:rsid w:val="00BE2E14"/>
    <w:rsid w:val="00BE2FA5"/>
    <w:rsid w:val="00BE30DA"/>
    <w:rsid w:val="00BE30E1"/>
    <w:rsid w:val="00BE30E7"/>
    <w:rsid w:val="00BE30FE"/>
    <w:rsid w:val="00BE3173"/>
    <w:rsid w:val="00BE31C2"/>
    <w:rsid w:val="00BE33C0"/>
    <w:rsid w:val="00BE3767"/>
    <w:rsid w:val="00BE3840"/>
    <w:rsid w:val="00BE393F"/>
    <w:rsid w:val="00BE3963"/>
    <w:rsid w:val="00BE3988"/>
    <w:rsid w:val="00BE3A23"/>
    <w:rsid w:val="00BE3ABD"/>
    <w:rsid w:val="00BE3BAE"/>
    <w:rsid w:val="00BE3C04"/>
    <w:rsid w:val="00BE3CC4"/>
    <w:rsid w:val="00BE3CE3"/>
    <w:rsid w:val="00BE3CE9"/>
    <w:rsid w:val="00BE3E24"/>
    <w:rsid w:val="00BE3E76"/>
    <w:rsid w:val="00BE3EC5"/>
    <w:rsid w:val="00BE3FF8"/>
    <w:rsid w:val="00BE41CE"/>
    <w:rsid w:val="00BE4350"/>
    <w:rsid w:val="00BE45BD"/>
    <w:rsid w:val="00BE4762"/>
    <w:rsid w:val="00BE4830"/>
    <w:rsid w:val="00BE4999"/>
    <w:rsid w:val="00BE49C9"/>
    <w:rsid w:val="00BE4A67"/>
    <w:rsid w:val="00BE4CB5"/>
    <w:rsid w:val="00BE4D75"/>
    <w:rsid w:val="00BE4D81"/>
    <w:rsid w:val="00BE4F1B"/>
    <w:rsid w:val="00BE4F88"/>
    <w:rsid w:val="00BE504E"/>
    <w:rsid w:val="00BE511A"/>
    <w:rsid w:val="00BE5145"/>
    <w:rsid w:val="00BE53E2"/>
    <w:rsid w:val="00BE5562"/>
    <w:rsid w:val="00BE55A5"/>
    <w:rsid w:val="00BE5611"/>
    <w:rsid w:val="00BE596C"/>
    <w:rsid w:val="00BE5BA4"/>
    <w:rsid w:val="00BE5BBB"/>
    <w:rsid w:val="00BE5C4E"/>
    <w:rsid w:val="00BE5CE8"/>
    <w:rsid w:val="00BE5F70"/>
    <w:rsid w:val="00BE6084"/>
    <w:rsid w:val="00BE6147"/>
    <w:rsid w:val="00BE6182"/>
    <w:rsid w:val="00BE630C"/>
    <w:rsid w:val="00BE637C"/>
    <w:rsid w:val="00BE63C4"/>
    <w:rsid w:val="00BE63FA"/>
    <w:rsid w:val="00BE6419"/>
    <w:rsid w:val="00BE6721"/>
    <w:rsid w:val="00BE674A"/>
    <w:rsid w:val="00BE6991"/>
    <w:rsid w:val="00BE69A4"/>
    <w:rsid w:val="00BE69D6"/>
    <w:rsid w:val="00BE69D8"/>
    <w:rsid w:val="00BE69F2"/>
    <w:rsid w:val="00BE6A3A"/>
    <w:rsid w:val="00BE6ABF"/>
    <w:rsid w:val="00BE6DBA"/>
    <w:rsid w:val="00BE6DD0"/>
    <w:rsid w:val="00BE6E7D"/>
    <w:rsid w:val="00BE6E93"/>
    <w:rsid w:val="00BE6F43"/>
    <w:rsid w:val="00BE7055"/>
    <w:rsid w:val="00BE7364"/>
    <w:rsid w:val="00BE7483"/>
    <w:rsid w:val="00BE75A5"/>
    <w:rsid w:val="00BE7709"/>
    <w:rsid w:val="00BE778B"/>
    <w:rsid w:val="00BE787F"/>
    <w:rsid w:val="00BE78D3"/>
    <w:rsid w:val="00BE797D"/>
    <w:rsid w:val="00BE7B09"/>
    <w:rsid w:val="00BE7BF7"/>
    <w:rsid w:val="00BE7ED2"/>
    <w:rsid w:val="00BF001C"/>
    <w:rsid w:val="00BF0178"/>
    <w:rsid w:val="00BF03FE"/>
    <w:rsid w:val="00BF0648"/>
    <w:rsid w:val="00BF0665"/>
    <w:rsid w:val="00BF073D"/>
    <w:rsid w:val="00BF0749"/>
    <w:rsid w:val="00BF075E"/>
    <w:rsid w:val="00BF0785"/>
    <w:rsid w:val="00BF0855"/>
    <w:rsid w:val="00BF0C33"/>
    <w:rsid w:val="00BF0DAB"/>
    <w:rsid w:val="00BF0E00"/>
    <w:rsid w:val="00BF0E03"/>
    <w:rsid w:val="00BF0E5B"/>
    <w:rsid w:val="00BF0E9E"/>
    <w:rsid w:val="00BF0EE5"/>
    <w:rsid w:val="00BF11C1"/>
    <w:rsid w:val="00BF1291"/>
    <w:rsid w:val="00BF137A"/>
    <w:rsid w:val="00BF143A"/>
    <w:rsid w:val="00BF16A7"/>
    <w:rsid w:val="00BF1744"/>
    <w:rsid w:val="00BF178B"/>
    <w:rsid w:val="00BF19B3"/>
    <w:rsid w:val="00BF19B8"/>
    <w:rsid w:val="00BF1AD0"/>
    <w:rsid w:val="00BF1AF0"/>
    <w:rsid w:val="00BF1B45"/>
    <w:rsid w:val="00BF1C08"/>
    <w:rsid w:val="00BF1E33"/>
    <w:rsid w:val="00BF1F40"/>
    <w:rsid w:val="00BF1F76"/>
    <w:rsid w:val="00BF2049"/>
    <w:rsid w:val="00BF2137"/>
    <w:rsid w:val="00BF215F"/>
    <w:rsid w:val="00BF231F"/>
    <w:rsid w:val="00BF2483"/>
    <w:rsid w:val="00BF2554"/>
    <w:rsid w:val="00BF25E3"/>
    <w:rsid w:val="00BF28A5"/>
    <w:rsid w:val="00BF29B9"/>
    <w:rsid w:val="00BF2C73"/>
    <w:rsid w:val="00BF2C8B"/>
    <w:rsid w:val="00BF2E98"/>
    <w:rsid w:val="00BF2F2B"/>
    <w:rsid w:val="00BF2F72"/>
    <w:rsid w:val="00BF2FC4"/>
    <w:rsid w:val="00BF3052"/>
    <w:rsid w:val="00BF311A"/>
    <w:rsid w:val="00BF35B7"/>
    <w:rsid w:val="00BF35F7"/>
    <w:rsid w:val="00BF36E7"/>
    <w:rsid w:val="00BF3700"/>
    <w:rsid w:val="00BF370C"/>
    <w:rsid w:val="00BF380E"/>
    <w:rsid w:val="00BF38E8"/>
    <w:rsid w:val="00BF3936"/>
    <w:rsid w:val="00BF396A"/>
    <w:rsid w:val="00BF3994"/>
    <w:rsid w:val="00BF3B0D"/>
    <w:rsid w:val="00BF3C82"/>
    <w:rsid w:val="00BF3E0D"/>
    <w:rsid w:val="00BF3E25"/>
    <w:rsid w:val="00BF3E5A"/>
    <w:rsid w:val="00BF3F9C"/>
    <w:rsid w:val="00BF3FE4"/>
    <w:rsid w:val="00BF4024"/>
    <w:rsid w:val="00BF4115"/>
    <w:rsid w:val="00BF4264"/>
    <w:rsid w:val="00BF43AE"/>
    <w:rsid w:val="00BF44FD"/>
    <w:rsid w:val="00BF4521"/>
    <w:rsid w:val="00BF4C5E"/>
    <w:rsid w:val="00BF4E68"/>
    <w:rsid w:val="00BF504F"/>
    <w:rsid w:val="00BF5061"/>
    <w:rsid w:val="00BF50A3"/>
    <w:rsid w:val="00BF516A"/>
    <w:rsid w:val="00BF516E"/>
    <w:rsid w:val="00BF518A"/>
    <w:rsid w:val="00BF52B1"/>
    <w:rsid w:val="00BF53D5"/>
    <w:rsid w:val="00BF560D"/>
    <w:rsid w:val="00BF5904"/>
    <w:rsid w:val="00BF5AE9"/>
    <w:rsid w:val="00BF5AF9"/>
    <w:rsid w:val="00BF5BDC"/>
    <w:rsid w:val="00BF5C69"/>
    <w:rsid w:val="00BF5CCC"/>
    <w:rsid w:val="00BF5DA1"/>
    <w:rsid w:val="00BF5E90"/>
    <w:rsid w:val="00BF5F59"/>
    <w:rsid w:val="00BF605B"/>
    <w:rsid w:val="00BF6101"/>
    <w:rsid w:val="00BF6137"/>
    <w:rsid w:val="00BF6395"/>
    <w:rsid w:val="00BF658B"/>
    <w:rsid w:val="00BF698A"/>
    <w:rsid w:val="00BF6AD2"/>
    <w:rsid w:val="00BF6CCD"/>
    <w:rsid w:val="00BF6D09"/>
    <w:rsid w:val="00BF6D52"/>
    <w:rsid w:val="00BF6E68"/>
    <w:rsid w:val="00BF6E8B"/>
    <w:rsid w:val="00BF6EA7"/>
    <w:rsid w:val="00BF723B"/>
    <w:rsid w:val="00BF7449"/>
    <w:rsid w:val="00BF757D"/>
    <w:rsid w:val="00BF75CB"/>
    <w:rsid w:val="00BF783B"/>
    <w:rsid w:val="00BF78A4"/>
    <w:rsid w:val="00BF79BE"/>
    <w:rsid w:val="00BF7A6C"/>
    <w:rsid w:val="00BF7B8B"/>
    <w:rsid w:val="00BF7CEC"/>
    <w:rsid w:val="00BF7D81"/>
    <w:rsid w:val="00BF7EB4"/>
    <w:rsid w:val="00BF7F3D"/>
    <w:rsid w:val="00C000FD"/>
    <w:rsid w:val="00C003A3"/>
    <w:rsid w:val="00C003EE"/>
    <w:rsid w:val="00C004B6"/>
    <w:rsid w:val="00C00708"/>
    <w:rsid w:val="00C00763"/>
    <w:rsid w:val="00C0084E"/>
    <w:rsid w:val="00C00C1D"/>
    <w:rsid w:val="00C00D6C"/>
    <w:rsid w:val="00C00D76"/>
    <w:rsid w:val="00C00D85"/>
    <w:rsid w:val="00C00ECF"/>
    <w:rsid w:val="00C01065"/>
    <w:rsid w:val="00C013C0"/>
    <w:rsid w:val="00C014BE"/>
    <w:rsid w:val="00C0155F"/>
    <w:rsid w:val="00C01563"/>
    <w:rsid w:val="00C0156D"/>
    <w:rsid w:val="00C0161A"/>
    <w:rsid w:val="00C0162F"/>
    <w:rsid w:val="00C01692"/>
    <w:rsid w:val="00C01791"/>
    <w:rsid w:val="00C01A29"/>
    <w:rsid w:val="00C01BD5"/>
    <w:rsid w:val="00C01C26"/>
    <w:rsid w:val="00C01CA2"/>
    <w:rsid w:val="00C01D41"/>
    <w:rsid w:val="00C01DB5"/>
    <w:rsid w:val="00C01DD8"/>
    <w:rsid w:val="00C01E91"/>
    <w:rsid w:val="00C01F71"/>
    <w:rsid w:val="00C01F8B"/>
    <w:rsid w:val="00C01FBA"/>
    <w:rsid w:val="00C020F7"/>
    <w:rsid w:val="00C0216E"/>
    <w:rsid w:val="00C02186"/>
    <w:rsid w:val="00C021EA"/>
    <w:rsid w:val="00C02338"/>
    <w:rsid w:val="00C02455"/>
    <w:rsid w:val="00C024C4"/>
    <w:rsid w:val="00C02500"/>
    <w:rsid w:val="00C0274F"/>
    <w:rsid w:val="00C0283A"/>
    <w:rsid w:val="00C02858"/>
    <w:rsid w:val="00C0285B"/>
    <w:rsid w:val="00C0294E"/>
    <w:rsid w:val="00C02A77"/>
    <w:rsid w:val="00C02B56"/>
    <w:rsid w:val="00C02D09"/>
    <w:rsid w:val="00C02E7A"/>
    <w:rsid w:val="00C02FA9"/>
    <w:rsid w:val="00C030A4"/>
    <w:rsid w:val="00C0312A"/>
    <w:rsid w:val="00C031A0"/>
    <w:rsid w:val="00C031FD"/>
    <w:rsid w:val="00C033BF"/>
    <w:rsid w:val="00C0359C"/>
    <w:rsid w:val="00C035CF"/>
    <w:rsid w:val="00C036AC"/>
    <w:rsid w:val="00C03765"/>
    <w:rsid w:val="00C0386D"/>
    <w:rsid w:val="00C03880"/>
    <w:rsid w:val="00C038F8"/>
    <w:rsid w:val="00C0391B"/>
    <w:rsid w:val="00C03998"/>
    <w:rsid w:val="00C03C6E"/>
    <w:rsid w:val="00C03E5E"/>
    <w:rsid w:val="00C03ED6"/>
    <w:rsid w:val="00C04281"/>
    <w:rsid w:val="00C043CE"/>
    <w:rsid w:val="00C04467"/>
    <w:rsid w:val="00C0448F"/>
    <w:rsid w:val="00C04714"/>
    <w:rsid w:val="00C0477F"/>
    <w:rsid w:val="00C04837"/>
    <w:rsid w:val="00C04844"/>
    <w:rsid w:val="00C048AA"/>
    <w:rsid w:val="00C048B3"/>
    <w:rsid w:val="00C04922"/>
    <w:rsid w:val="00C04A5F"/>
    <w:rsid w:val="00C04C05"/>
    <w:rsid w:val="00C04C39"/>
    <w:rsid w:val="00C04DFD"/>
    <w:rsid w:val="00C04EA3"/>
    <w:rsid w:val="00C04EF6"/>
    <w:rsid w:val="00C05100"/>
    <w:rsid w:val="00C0598F"/>
    <w:rsid w:val="00C05A74"/>
    <w:rsid w:val="00C05A93"/>
    <w:rsid w:val="00C05AB0"/>
    <w:rsid w:val="00C05B7D"/>
    <w:rsid w:val="00C05C0E"/>
    <w:rsid w:val="00C05C73"/>
    <w:rsid w:val="00C05D24"/>
    <w:rsid w:val="00C05DAD"/>
    <w:rsid w:val="00C05DB7"/>
    <w:rsid w:val="00C05E02"/>
    <w:rsid w:val="00C05ED6"/>
    <w:rsid w:val="00C05FE9"/>
    <w:rsid w:val="00C0605C"/>
    <w:rsid w:val="00C061FD"/>
    <w:rsid w:val="00C0626D"/>
    <w:rsid w:val="00C063C8"/>
    <w:rsid w:val="00C0650C"/>
    <w:rsid w:val="00C065AB"/>
    <w:rsid w:val="00C065D0"/>
    <w:rsid w:val="00C065D1"/>
    <w:rsid w:val="00C0667F"/>
    <w:rsid w:val="00C0692E"/>
    <w:rsid w:val="00C06977"/>
    <w:rsid w:val="00C0697C"/>
    <w:rsid w:val="00C06A82"/>
    <w:rsid w:val="00C06BEA"/>
    <w:rsid w:val="00C06BFC"/>
    <w:rsid w:val="00C06C60"/>
    <w:rsid w:val="00C06E23"/>
    <w:rsid w:val="00C06EA0"/>
    <w:rsid w:val="00C07004"/>
    <w:rsid w:val="00C070F4"/>
    <w:rsid w:val="00C071A4"/>
    <w:rsid w:val="00C072E9"/>
    <w:rsid w:val="00C07375"/>
    <w:rsid w:val="00C0744F"/>
    <w:rsid w:val="00C074D7"/>
    <w:rsid w:val="00C0751C"/>
    <w:rsid w:val="00C0758B"/>
    <w:rsid w:val="00C07601"/>
    <w:rsid w:val="00C0777E"/>
    <w:rsid w:val="00C07A00"/>
    <w:rsid w:val="00C07A79"/>
    <w:rsid w:val="00C07B83"/>
    <w:rsid w:val="00C07BD1"/>
    <w:rsid w:val="00C07BE7"/>
    <w:rsid w:val="00C07C65"/>
    <w:rsid w:val="00C07D70"/>
    <w:rsid w:val="00C07E07"/>
    <w:rsid w:val="00C07E50"/>
    <w:rsid w:val="00C07EA6"/>
    <w:rsid w:val="00C07F9C"/>
    <w:rsid w:val="00C10030"/>
    <w:rsid w:val="00C10149"/>
    <w:rsid w:val="00C101F3"/>
    <w:rsid w:val="00C10384"/>
    <w:rsid w:val="00C10706"/>
    <w:rsid w:val="00C10823"/>
    <w:rsid w:val="00C10CBF"/>
    <w:rsid w:val="00C10D40"/>
    <w:rsid w:val="00C10DD3"/>
    <w:rsid w:val="00C10F7E"/>
    <w:rsid w:val="00C10FFF"/>
    <w:rsid w:val="00C1107D"/>
    <w:rsid w:val="00C1118D"/>
    <w:rsid w:val="00C11216"/>
    <w:rsid w:val="00C112C3"/>
    <w:rsid w:val="00C1148B"/>
    <w:rsid w:val="00C114DB"/>
    <w:rsid w:val="00C115AF"/>
    <w:rsid w:val="00C115CB"/>
    <w:rsid w:val="00C1165E"/>
    <w:rsid w:val="00C11726"/>
    <w:rsid w:val="00C11778"/>
    <w:rsid w:val="00C11789"/>
    <w:rsid w:val="00C1187A"/>
    <w:rsid w:val="00C119C0"/>
    <w:rsid w:val="00C11A2D"/>
    <w:rsid w:val="00C11B44"/>
    <w:rsid w:val="00C11B75"/>
    <w:rsid w:val="00C11B85"/>
    <w:rsid w:val="00C11B95"/>
    <w:rsid w:val="00C11D6E"/>
    <w:rsid w:val="00C11DA7"/>
    <w:rsid w:val="00C11E92"/>
    <w:rsid w:val="00C11ECB"/>
    <w:rsid w:val="00C1204C"/>
    <w:rsid w:val="00C1204E"/>
    <w:rsid w:val="00C120F0"/>
    <w:rsid w:val="00C12170"/>
    <w:rsid w:val="00C1220F"/>
    <w:rsid w:val="00C122E4"/>
    <w:rsid w:val="00C123A6"/>
    <w:rsid w:val="00C124B2"/>
    <w:rsid w:val="00C12559"/>
    <w:rsid w:val="00C12567"/>
    <w:rsid w:val="00C125B8"/>
    <w:rsid w:val="00C1284C"/>
    <w:rsid w:val="00C12874"/>
    <w:rsid w:val="00C128B5"/>
    <w:rsid w:val="00C12968"/>
    <w:rsid w:val="00C12979"/>
    <w:rsid w:val="00C12AEE"/>
    <w:rsid w:val="00C12B37"/>
    <w:rsid w:val="00C12B97"/>
    <w:rsid w:val="00C12C9A"/>
    <w:rsid w:val="00C12D23"/>
    <w:rsid w:val="00C12D43"/>
    <w:rsid w:val="00C12EB9"/>
    <w:rsid w:val="00C12EC7"/>
    <w:rsid w:val="00C12F01"/>
    <w:rsid w:val="00C12F50"/>
    <w:rsid w:val="00C12F60"/>
    <w:rsid w:val="00C12FCF"/>
    <w:rsid w:val="00C13092"/>
    <w:rsid w:val="00C13128"/>
    <w:rsid w:val="00C13486"/>
    <w:rsid w:val="00C13635"/>
    <w:rsid w:val="00C13757"/>
    <w:rsid w:val="00C137CB"/>
    <w:rsid w:val="00C13A43"/>
    <w:rsid w:val="00C13A9A"/>
    <w:rsid w:val="00C13BC5"/>
    <w:rsid w:val="00C13C03"/>
    <w:rsid w:val="00C13C94"/>
    <w:rsid w:val="00C13CCC"/>
    <w:rsid w:val="00C13E54"/>
    <w:rsid w:val="00C142B2"/>
    <w:rsid w:val="00C14391"/>
    <w:rsid w:val="00C143E3"/>
    <w:rsid w:val="00C1440D"/>
    <w:rsid w:val="00C14442"/>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0D8"/>
    <w:rsid w:val="00C15177"/>
    <w:rsid w:val="00C1517F"/>
    <w:rsid w:val="00C1526C"/>
    <w:rsid w:val="00C152F5"/>
    <w:rsid w:val="00C152FC"/>
    <w:rsid w:val="00C15309"/>
    <w:rsid w:val="00C15471"/>
    <w:rsid w:val="00C1548C"/>
    <w:rsid w:val="00C154AE"/>
    <w:rsid w:val="00C154E0"/>
    <w:rsid w:val="00C1556D"/>
    <w:rsid w:val="00C15664"/>
    <w:rsid w:val="00C156A5"/>
    <w:rsid w:val="00C15744"/>
    <w:rsid w:val="00C158BB"/>
    <w:rsid w:val="00C15A7F"/>
    <w:rsid w:val="00C15A90"/>
    <w:rsid w:val="00C15BB7"/>
    <w:rsid w:val="00C15CE3"/>
    <w:rsid w:val="00C15E27"/>
    <w:rsid w:val="00C15F6C"/>
    <w:rsid w:val="00C15F94"/>
    <w:rsid w:val="00C15FDA"/>
    <w:rsid w:val="00C15FE2"/>
    <w:rsid w:val="00C161C8"/>
    <w:rsid w:val="00C16202"/>
    <w:rsid w:val="00C16268"/>
    <w:rsid w:val="00C163B3"/>
    <w:rsid w:val="00C164C4"/>
    <w:rsid w:val="00C1660E"/>
    <w:rsid w:val="00C16852"/>
    <w:rsid w:val="00C16863"/>
    <w:rsid w:val="00C16A84"/>
    <w:rsid w:val="00C16B07"/>
    <w:rsid w:val="00C16C22"/>
    <w:rsid w:val="00C16DAF"/>
    <w:rsid w:val="00C16DE2"/>
    <w:rsid w:val="00C16EDC"/>
    <w:rsid w:val="00C17089"/>
    <w:rsid w:val="00C1708F"/>
    <w:rsid w:val="00C173AA"/>
    <w:rsid w:val="00C1746C"/>
    <w:rsid w:val="00C1747E"/>
    <w:rsid w:val="00C1752A"/>
    <w:rsid w:val="00C17666"/>
    <w:rsid w:val="00C17714"/>
    <w:rsid w:val="00C1776A"/>
    <w:rsid w:val="00C1777E"/>
    <w:rsid w:val="00C177DF"/>
    <w:rsid w:val="00C17800"/>
    <w:rsid w:val="00C1785D"/>
    <w:rsid w:val="00C179CC"/>
    <w:rsid w:val="00C17A44"/>
    <w:rsid w:val="00C17AEB"/>
    <w:rsid w:val="00C17C9D"/>
    <w:rsid w:val="00C17D9A"/>
    <w:rsid w:val="00C20076"/>
    <w:rsid w:val="00C2013D"/>
    <w:rsid w:val="00C20201"/>
    <w:rsid w:val="00C20290"/>
    <w:rsid w:val="00C20334"/>
    <w:rsid w:val="00C203A2"/>
    <w:rsid w:val="00C203CC"/>
    <w:rsid w:val="00C20497"/>
    <w:rsid w:val="00C20582"/>
    <w:rsid w:val="00C205FE"/>
    <w:rsid w:val="00C20734"/>
    <w:rsid w:val="00C209FE"/>
    <w:rsid w:val="00C20A00"/>
    <w:rsid w:val="00C20CF9"/>
    <w:rsid w:val="00C20D3E"/>
    <w:rsid w:val="00C20DDB"/>
    <w:rsid w:val="00C20F7B"/>
    <w:rsid w:val="00C210C5"/>
    <w:rsid w:val="00C211BC"/>
    <w:rsid w:val="00C212ED"/>
    <w:rsid w:val="00C213C7"/>
    <w:rsid w:val="00C21537"/>
    <w:rsid w:val="00C21542"/>
    <w:rsid w:val="00C215B6"/>
    <w:rsid w:val="00C21607"/>
    <w:rsid w:val="00C21633"/>
    <w:rsid w:val="00C2176C"/>
    <w:rsid w:val="00C2189B"/>
    <w:rsid w:val="00C219CF"/>
    <w:rsid w:val="00C21A0B"/>
    <w:rsid w:val="00C21B8B"/>
    <w:rsid w:val="00C21D3C"/>
    <w:rsid w:val="00C21E41"/>
    <w:rsid w:val="00C221A3"/>
    <w:rsid w:val="00C222CF"/>
    <w:rsid w:val="00C224E2"/>
    <w:rsid w:val="00C224F1"/>
    <w:rsid w:val="00C22549"/>
    <w:rsid w:val="00C2272A"/>
    <w:rsid w:val="00C227DE"/>
    <w:rsid w:val="00C22921"/>
    <w:rsid w:val="00C2293B"/>
    <w:rsid w:val="00C22997"/>
    <w:rsid w:val="00C22AB0"/>
    <w:rsid w:val="00C22AFA"/>
    <w:rsid w:val="00C22B1C"/>
    <w:rsid w:val="00C22B87"/>
    <w:rsid w:val="00C22C4C"/>
    <w:rsid w:val="00C2308E"/>
    <w:rsid w:val="00C230B6"/>
    <w:rsid w:val="00C230CE"/>
    <w:rsid w:val="00C230F4"/>
    <w:rsid w:val="00C23282"/>
    <w:rsid w:val="00C232C2"/>
    <w:rsid w:val="00C23342"/>
    <w:rsid w:val="00C23382"/>
    <w:rsid w:val="00C23529"/>
    <w:rsid w:val="00C23547"/>
    <w:rsid w:val="00C235C1"/>
    <w:rsid w:val="00C236CE"/>
    <w:rsid w:val="00C23849"/>
    <w:rsid w:val="00C23984"/>
    <w:rsid w:val="00C239CD"/>
    <w:rsid w:val="00C23ACD"/>
    <w:rsid w:val="00C23B49"/>
    <w:rsid w:val="00C23BB2"/>
    <w:rsid w:val="00C23CCD"/>
    <w:rsid w:val="00C23D24"/>
    <w:rsid w:val="00C23DDF"/>
    <w:rsid w:val="00C23EBF"/>
    <w:rsid w:val="00C23FEB"/>
    <w:rsid w:val="00C24103"/>
    <w:rsid w:val="00C24509"/>
    <w:rsid w:val="00C245A0"/>
    <w:rsid w:val="00C245A2"/>
    <w:rsid w:val="00C2468C"/>
    <w:rsid w:val="00C246CF"/>
    <w:rsid w:val="00C248A2"/>
    <w:rsid w:val="00C248D7"/>
    <w:rsid w:val="00C24A1E"/>
    <w:rsid w:val="00C24B91"/>
    <w:rsid w:val="00C24C50"/>
    <w:rsid w:val="00C24D8E"/>
    <w:rsid w:val="00C25015"/>
    <w:rsid w:val="00C25033"/>
    <w:rsid w:val="00C2534E"/>
    <w:rsid w:val="00C25367"/>
    <w:rsid w:val="00C25369"/>
    <w:rsid w:val="00C255C9"/>
    <w:rsid w:val="00C25670"/>
    <w:rsid w:val="00C25777"/>
    <w:rsid w:val="00C257A1"/>
    <w:rsid w:val="00C25840"/>
    <w:rsid w:val="00C25894"/>
    <w:rsid w:val="00C25915"/>
    <w:rsid w:val="00C25AD6"/>
    <w:rsid w:val="00C25B25"/>
    <w:rsid w:val="00C25B39"/>
    <w:rsid w:val="00C25E19"/>
    <w:rsid w:val="00C25F45"/>
    <w:rsid w:val="00C260BC"/>
    <w:rsid w:val="00C261F5"/>
    <w:rsid w:val="00C262AD"/>
    <w:rsid w:val="00C2650F"/>
    <w:rsid w:val="00C265AB"/>
    <w:rsid w:val="00C2665B"/>
    <w:rsid w:val="00C26687"/>
    <w:rsid w:val="00C26699"/>
    <w:rsid w:val="00C266B0"/>
    <w:rsid w:val="00C266F2"/>
    <w:rsid w:val="00C2680F"/>
    <w:rsid w:val="00C26AB8"/>
    <w:rsid w:val="00C26B2B"/>
    <w:rsid w:val="00C26BDF"/>
    <w:rsid w:val="00C26C5C"/>
    <w:rsid w:val="00C26E30"/>
    <w:rsid w:val="00C26E3F"/>
    <w:rsid w:val="00C26E41"/>
    <w:rsid w:val="00C26E51"/>
    <w:rsid w:val="00C2702F"/>
    <w:rsid w:val="00C27033"/>
    <w:rsid w:val="00C2727F"/>
    <w:rsid w:val="00C27322"/>
    <w:rsid w:val="00C2737C"/>
    <w:rsid w:val="00C273D7"/>
    <w:rsid w:val="00C2740F"/>
    <w:rsid w:val="00C27490"/>
    <w:rsid w:val="00C2756E"/>
    <w:rsid w:val="00C275EB"/>
    <w:rsid w:val="00C276C6"/>
    <w:rsid w:val="00C2782A"/>
    <w:rsid w:val="00C278E2"/>
    <w:rsid w:val="00C27A41"/>
    <w:rsid w:val="00C27AD3"/>
    <w:rsid w:val="00C27CDC"/>
    <w:rsid w:val="00C27F82"/>
    <w:rsid w:val="00C3011B"/>
    <w:rsid w:val="00C3021F"/>
    <w:rsid w:val="00C30339"/>
    <w:rsid w:val="00C30344"/>
    <w:rsid w:val="00C30381"/>
    <w:rsid w:val="00C304D7"/>
    <w:rsid w:val="00C304DF"/>
    <w:rsid w:val="00C304ED"/>
    <w:rsid w:val="00C30512"/>
    <w:rsid w:val="00C30648"/>
    <w:rsid w:val="00C30660"/>
    <w:rsid w:val="00C30684"/>
    <w:rsid w:val="00C30716"/>
    <w:rsid w:val="00C3075F"/>
    <w:rsid w:val="00C308CB"/>
    <w:rsid w:val="00C30912"/>
    <w:rsid w:val="00C30963"/>
    <w:rsid w:val="00C30986"/>
    <w:rsid w:val="00C30A52"/>
    <w:rsid w:val="00C30B21"/>
    <w:rsid w:val="00C30C34"/>
    <w:rsid w:val="00C30CBD"/>
    <w:rsid w:val="00C30CC7"/>
    <w:rsid w:val="00C30E4C"/>
    <w:rsid w:val="00C30EB4"/>
    <w:rsid w:val="00C30EF2"/>
    <w:rsid w:val="00C31004"/>
    <w:rsid w:val="00C310D8"/>
    <w:rsid w:val="00C31152"/>
    <w:rsid w:val="00C311C3"/>
    <w:rsid w:val="00C31223"/>
    <w:rsid w:val="00C31267"/>
    <w:rsid w:val="00C31665"/>
    <w:rsid w:val="00C31690"/>
    <w:rsid w:val="00C31738"/>
    <w:rsid w:val="00C3187B"/>
    <w:rsid w:val="00C3190B"/>
    <w:rsid w:val="00C31981"/>
    <w:rsid w:val="00C31A9F"/>
    <w:rsid w:val="00C31AEF"/>
    <w:rsid w:val="00C31B18"/>
    <w:rsid w:val="00C31C6F"/>
    <w:rsid w:val="00C31CD9"/>
    <w:rsid w:val="00C31ECA"/>
    <w:rsid w:val="00C3204F"/>
    <w:rsid w:val="00C32200"/>
    <w:rsid w:val="00C3226C"/>
    <w:rsid w:val="00C322DF"/>
    <w:rsid w:val="00C3255F"/>
    <w:rsid w:val="00C326CD"/>
    <w:rsid w:val="00C32785"/>
    <w:rsid w:val="00C32810"/>
    <w:rsid w:val="00C328C7"/>
    <w:rsid w:val="00C32981"/>
    <w:rsid w:val="00C329A3"/>
    <w:rsid w:val="00C329C4"/>
    <w:rsid w:val="00C329F3"/>
    <w:rsid w:val="00C32A32"/>
    <w:rsid w:val="00C32AFD"/>
    <w:rsid w:val="00C32BCA"/>
    <w:rsid w:val="00C32BDB"/>
    <w:rsid w:val="00C32CD5"/>
    <w:rsid w:val="00C32DCB"/>
    <w:rsid w:val="00C32E05"/>
    <w:rsid w:val="00C330A9"/>
    <w:rsid w:val="00C3321B"/>
    <w:rsid w:val="00C3349A"/>
    <w:rsid w:val="00C335FE"/>
    <w:rsid w:val="00C3360F"/>
    <w:rsid w:val="00C33760"/>
    <w:rsid w:val="00C33850"/>
    <w:rsid w:val="00C3387B"/>
    <w:rsid w:val="00C338C2"/>
    <w:rsid w:val="00C339B8"/>
    <w:rsid w:val="00C33C32"/>
    <w:rsid w:val="00C33C8F"/>
    <w:rsid w:val="00C33C96"/>
    <w:rsid w:val="00C33E1E"/>
    <w:rsid w:val="00C33EE6"/>
    <w:rsid w:val="00C33F2C"/>
    <w:rsid w:val="00C34037"/>
    <w:rsid w:val="00C34046"/>
    <w:rsid w:val="00C34055"/>
    <w:rsid w:val="00C341D3"/>
    <w:rsid w:val="00C3424B"/>
    <w:rsid w:val="00C34278"/>
    <w:rsid w:val="00C34279"/>
    <w:rsid w:val="00C3446D"/>
    <w:rsid w:val="00C344AE"/>
    <w:rsid w:val="00C345FB"/>
    <w:rsid w:val="00C34946"/>
    <w:rsid w:val="00C349F4"/>
    <w:rsid w:val="00C34C31"/>
    <w:rsid w:val="00C34D6E"/>
    <w:rsid w:val="00C34F71"/>
    <w:rsid w:val="00C35127"/>
    <w:rsid w:val="00C3518C"/>
    <w:rsid w:val="00C351AE"/>
    <w:rsid w:val="00C35200"/>
    <w:rsid w:val="00C354B7"/>
    <w:rsid w:val="00C354D7"/>
    <w:rsid w:val="00C35536"/>
    <w:rsid w:val="00C35557"/>
    <w:rsid w:val="00C3560F"/>
    <w:rsid w:val="00C356BC"/>
    <w:rsid w:val="00C3586C"/>
    <w:rsid w:val="00C359A4"/>
    <w:rsid w:val="00C35AEE"/>
    <w:rsid w:val="00C35BC0"/>
    <w:rsid w:val="00C35CA0"/>
    <w:rsid w:val="00C35D7E"/>
    <w:rsid w:val="00C3601F"/>
    <w:rsid w:val="00C36087"/>
    <w:rsid w:val="00C36158"/>
    <w:rsid w:val="00C361C3"/>
    <w:rsid w:val="00C362F6"/>
    <w:rsid w:val="00C36384"/>
    <w:rsid w:val="00C363A7"/>
    <w:rsid w:val="00C3678E"/>
    <w:rsid w:val="00C36887"/>
    <w:rsid w:val="00C369AE"/>
    <w:rsid w:val="00C369D9"/>
    <w:rsid w:val="00C36A4C"/>
    <w:rsid w:val="00C36BB3"/>
    <w:rsid w:val="00C37027"/>
    <w:rsid w:val="00C3704D"/>
    <w:rsid w:val="00C37055"/>
    <w:rsid w:val="00C37094"/>
    <w:rsid w:val="00C37129"/>
    <w:rsid w:val="00C375BB"/>
    <w:rsid w:val="00C3765C"/>
    <w:rsid w:val="00C37728"/>
    <w:rsid w:val="00C3780C"/>
    <w:rsid w:val="00C37820"/>
    <w:rsid w:val="00C37A2E"/>
    <w:rsid w:val="00C37A5C"/>
    <w:rsid w:val="00C37D83"/>
    <w:rsid w:val="00C37EB9"/>
    <w:rsid w:val="00C37FA3"/>
    <w:rsid w:val="00C400DA"/>
    <w:rsid w:val="00C40186"/>
    <w:rsid w:val="00C40213"/>
    <w:rsid w:val="00C4036E"/>
    <w:rsid w:val="00C403F9"/>
    <w:rsid w:val="00C4048D"/>
    <w:rsid w:val="00C405D8"/>
    <w:rsid w:val="00C40717"/>
    <w:rsid w:val="00C40795"/>
    <w:rsid w:val="00C407E2"/>
    <w:rsid w:val="00C409DF"/>
    <w:rsid w:val="00C40B0C"/>
    <w:rsid w:val="00C40E5C"/>
    <w:rsid w:val="00C40F01"/>
    <w:rsid w:val="00C40F24"/>
    <w:rsid w:val="00C40FAF"/>
    <w:rsid w:val="00C40FF9"/>
    <w:rsid w:val="00C41033"/>
    <w:rsid w:val="00C4105E"/>
    <w:rsid w:val="00C410C4"/>
    <w:rsid w:val="00C411E5"/>
    <w:rsid w:val="00C412A8"/>
    <w:rsid w:val="00C412D8"/>
    <w:rsid w:val="00C413AB"/>
    <w:rsid w:val="00C41554"/>
    <w:rsid w:val="00C41640"/>
    <w:rsid w:val="00C4166C"/>
    <w:rsid w:val="00C41820"/>
    <w:rsid w:val="00C418D0"/>
    <w:rsid w:val="00C4190F"/>
    <w:rsid w:val="00C419ED"/>
    <w:rsid w:val="00C41A6D"/>
    <w:rsid w:val="00C41A78"/>
    <w:rsid w:val="00C41AA4"/>
    <w:rsid w:val="00C41B2B"/>
    <w:rsid w:val="00C41C54"/>
    <w:rsid w:val="00C41E7C"/>
    <w:rsid w:val="00C41F4F"/>
    <w:rsid w:val="00C422B2"/>
    <w:rsid w:val="00C422FA"/>
    <w:rsid w:val="00C424C8"/>
    <w:rsid w:val="00C425EB"/>
    <w:rsid w:val="00C42602"/>
    <w:rsid w:val="00C427DE"/>
    <w:rsid w:val="00C427FB"/>
    <w:rsid w:val="00C4295D"/>
    <w:rsid w:val="00C42A59"/>
    <w:rsid w:val="00C42C00"/>
    <w:rsid w:val="00C42C8E"/>
    <w:rsid w:val="00C42D76"/>
    <w:rsid w:val="00C42E1F"/>
    <w:rsid w:val="00C42EA4"/>
    <w:rsid w:val="00C42F82"/>
    <w:rsid w:val="00C43017"/>
    <w:rsid w:val="00C43182"/>
    <w:rsid w:val="00C431AE"/>
    <w:rsid w:val="00C4333C"/>
    <w:rsid w:val="00C433FF"/>
    <w:rsid w:val="00C437D9"/>
    <w:rsid w:val="00C43B04"/>
    <w:rsid w:val="00C43C57"/>
    <w:rsid w:val="00C43C8A"/>
    <w:rsid w:val="00C43D3A"/>
    <w:rsid w:val="00C43EA2"/>
    <w:rsid w:val="00C43EC1"/>
    <w:rsid w:val="00C43FE9"/>
    <w:rsid w:val="00C44093"/>
    <w:rsid w:val="00C441A3"/>
    <w:rsid w:val="00C441E1"/>
    <w:rsid w:val="00C4423A"/>
    <w:rsid w:val="00C4456D"/>
    <w:rsid w:val="00C445D1"/>
    <w:rsid w:val="00C44799"/>
    <w:rsid w:val="00C447EF"/>
    <w:rsid w:val="00C44A16"/>
    <w:rsid w:val="00C44B03"/>
    <w:rsid w:val="00C44C3E"/>
    <w:rsid w:val="00C44C57"/>
    <w:rsid w:val="00C44C98"/>
    <w:rsid w:val="00C44D12"/>
    <w:rsid w:val="00C44D63"/>
    <w:rsid w:val="00C44D66"/>
    <w:rsid w:val="00C44DA3"/>
    <w:rsid w:val="00C44DBF"/>
    <w:rsid w:val="00C44E47"/>
    <w:rsid w:val="00C45038"/>
    <w:rsid w:val="00C450A8"/>
    <w:rsid w:val="00C45221"/>
    <w:rsid w:val="00C45225"/>
    <w:rsid w:val="00C45339"/>
    <w:rsid w:val="00C453B0"/>
    <w:rsid w:val="00C453E1"/>
    <w:rsid w:val="00C45405"/>
    <w:rsid w:val="00C454C7"/>
    <w:rsid w:val="00C4554C"/>
    <w:rsid w:val="00C455AB"/>
    <w:rsid w:val="00C455C8"/>
    <w:rsid w:val="00C456FE"/>
    <w:rsid w:val="00C4571C"/>
    <w:rsid w:val="00C45753"/>
    <w:rsid w:val="00C457F1"/>
    <w:rsid w:val="00C4586E"/>
    <w:rsid w:val="00C45947"/>
    <w:rsid w:val="00C459CC"/>
    <w:rsid w:val="00C45A43"/>
    <w:rsid w:val="00C45CEA"/>
    <w:rsid w:val="00C46160"/>
    <w:rsid w:val="00C46244"/>
    <w:rsid w:val="00C46274"/>
    <w:rsid w:val="00C46288"/>
    <w:rsid w:val="00C4629E"/>
    <w:rsid w:val="00C46559"/>
    <w:rsid w:val="00C465E4"/>
    <w:rsid w:val="00C46651"/>
    <w:rsid w:val="00C469EE"/>
    <w:rsid w:val="00C46A11"/>
    <w:rsid w:val="00C46B17"/>
    <w:rsid w:val="00C46EBC"/>
    <w:rsid w:val="00C47008"/>
    <w:rsid w:val="00C470A9"/>
    <w:rsid w:val="00C471D7"/>
    <w:rsid w:val="00C471EF"/>
    <w:rsid w:val="00C472BE"/>
    <w:rsid w:val="00C474BD"/>
    <w:rsid w:val="00C4759F"/>
    <w:rsid w:val="00C47755"/>
    <w:rsid w:val="00C4776E"/>
    <w:rsid w:val="00C47828"/>
    <w:rsid w:val="00C47869"/>
    <w:rsid w:val="00C47915"/>
    <w:rsid w:val="00C47AB3"/>
    <w:rsid w:val="00C47BC1"/>
    <w:rsid w:val="00C47C48"/>
    <w:rsid w:val="00C47C66"/>
    <w:rsid w:val="00C47E8C"/>
    <w:rsid w:val="00C5000D"/>
    <w:rsid w:val="00C5015D"/>
    <w:rsid w:val="00C502AD"/>
    <w:rsid w:val="00C50316"/>
    <w:rsid w:val="00C50507"/>
    <w:rsid w:val="00C50557"/>
    <w:rsid w:val="00C50723"/>
    <w:rsid w:val="00C50883"/>
    <w:rsid w:val="00C5095F"/>
    <w:rsid w:val="00C50A4F"/>
    <w:rsid w:val="00C50AC5"/>
    <w:rsid w:val="00C50B58"/>
    <w:rsid w:val="00C50BE3"/>
    <w:rsid w:val="00C50C44"/>
    <w:rsid w:val="00C50D5B"/>
    <w:rsid w:val="00C50D7C"/>
    <w:rsid w:val="00C50EE5"/>
    <w:rsid w:val="00C50F59"/>
    <w:rsid w:val="00C51044"/>
    <w:rsid w:val="00C51256"/>
    <w:rsid w:val="00C512D8"/>
    <w:rsid w:val="00C51438"/>
    <w:rsid w:val="00C51472"/>
    <w:rsid w:val="00C514B3"/>
    <w:rsid w:val="00C515D1"/>
    <w:rsid w:val="00C51658"/>
    <w:rsid w:val="00C516E4"/>
    <w:rsid w:val="00C518C9"/>
    <w:rsid w:val="00C5195B"/>
    <w:rsid w:val="00C51B50"/>
    <w:rsid w:val="00C51C66"/>
    <w:rsid w:val="00C51D3A"/>
    <w:rsid w:val="00C51D6D"/>
    <w:rsid w:val="00C51D73"/>
    <w:rsid w:val="00C51DDD"/>
    <w:rsid w:val="00C51E2D"/>
    <w:rsid w:val="00C5212D"/>
    <w:rsid w:val="00C523E1"/>
    <w:rsid w:val="00C523F4"/>
    <w:rsid w:val="00C524FC"/>
    <w:rsid w:val="00C5271C"/>
    <w:rsid w:val="00C52795"/>
    <w:rsid w:val="00C52821"/>
    <w:rsid w:val="00C528D8"/>
    <w:rsid w:val="00C529F1"/>
    <w:rsid w:val="00C52C90"/>
    <w:rsid w:val="00C52DF4"/>
    <w:rsid w:val="00C52E10"/>
    <w:rsid w:val="00C53099"/>
    <w:rsid w:val="00C532F6"/>
    <w:rsid w:val="00C532FC"/>
    <w:rsid w:val="00C5334F"/>
    <w:rsid w:val="00C53468"/>
    <w:rsid w:val="00C5353E"/>
    <w:rsid w:val="00C53580"/>
    <w:rsid w:val="00C53735"/>
    <w:rsid w:val="00C537BF"/>
    <w:rsid w:val="00C537D0"/>
    <w:rsid w:val="00C5392E"/>
    <w:rsid w:val="00C53A1B"/>
    <w:rsid w:val="00C53AFB"/>
    <w:rsid w:val="00C53B10"/>
    <w:rsid w:val="00C53D0A"/>
    <w:rsid w:val="00C53D43"/>
    <w:rsid w:val="00C53D95"/>
    <w:rsid w:val="00C53DEE"/>
    <w:rsid w:val="00C53E35"/>
    <w:rsid w:val="00C53E5C"/>
    <w:rsid w:val="00C53ECD"/>
    <w:rsid w:val="00C54043"/>
    <w:rsid w:val="00C54290"/>
    <w:rsid w:val="00C5433C"/>
    <w:rsid w:val="00C543FB"/>
    <w:rsid w:val="00C54424"/>
    <w:rsid w:val="00C54498"/>
    <w:rsid w:val="00C54547"/>
    <w:rsid w:val="00C5457C"/>
    <w:rsid w:val="00C54679"/>
    <w:rsid w:val="00C546AA"/>
    <w:rsid w:val="00C5478A"/>
    <w:rsid w:val="00C5486A"/>
    <w:rsid w:val="00C54911"/>
    <w:rsid w:val="00C549D8"/>
    <w:rsid w:val="00C54A8C"/>
    <w:rsid w:val="00C54B47"/>
    <w:rsid w:val="00C54BB9"/>
    <w:rsid w:val="00C54DA1"/>
    <w:rsid w:val="00C54DCA"/>
    <w:rsid w:val="00C54F70"/>
    <w:rsid w:val="00C54F89"/>
    <w:rsid w:val="00C54FA3"/>
    <w:rsid w:val="00C550B1"/>
    <w:rsid w:val="00C55479"/>
    <w:rsid w:val="00C556A2"/>
    <w:rsid w:val="00C55A29"/>
    <w:rsid w:val="00C55B99"/>
    <w:rsid w:val="00C55C6D"/>
    <w:rsid w:val="00C55CA5"/>
    <w:rsid w:val="00C55E47"/>
    <w:rsid w:val="00C55F14"/>
    <w:rsid w:val="00C55FAF"/>
    <w:rsid w:val="00C5605B"/>
    <w:rsid w:val="00C56156"/>
    <w:rsid w:val="00C563D2"/>
    <w:rsid w:val="00C563D3"/>
    <w:rsid w:val="00C565E2"/>
    <w:rsid w:val="00C56649"/>
    <w:rsid w:val="00C5677C"/>
    <w:rsid w:val="00C567BA"/>
    <w:rsid w:val="00C56B74"/>
    <w:rsid w:val="00C56C56"/>
    <w:rsid w:val="00C56E4E"/>
    <w:rsid w:val="00C56EBE"/>
    <w:rsid w:val="00C56EEB"/>
    <w:rsid w:val="00C56F92"/>
    <w:rsid w:val="00C57001"/>
    <w:rsid w:val="00C57082"/>
    <w:rsid w:val="00C5709C"/>
    <w:rsid w:val="00C57105"/>
    <w:rsid w:val="00C571CB"/>
    <w:rsid w:val="00C57351"/>
    <w:rsid w:val="00C5736E"/>
    <w:rsid w:val="00C5739F"/>
    <w:rsid w:val="00C574AC"/>
    <w:rsid w:val="00C574BF"/>
    <w:rsid w:val="00C574D2"/>
    <w:rsid w:val="00C57573"/>
    <w:rsid w:val="00C576E3"/>
    <w:rsid w:val="00C57709"/>
    <w:rsid w:val="00C57AC6"/>
    <w:rsid w:val="00C57BE0"/>
    <w:rsid w:val="00C57CB4"/>
    <w:rsid w:val="00C57D12"/>
    <w:rsid w:val="00C57DE1"/>
    <w:rsid w:val="00C57E4F"/>
    <w:rsid w:val="00C57FCE"/>
    <w:rsid w:val="00C6027D"/>
    <w:rsid w:val="00C60449"/>
    <w:rsid w:val="00C60662"/>
    <w:rsid w:val="00C60667"/>
    <w:rsid w:val="00C6067B"/>
    <w:rsid w:val="00C606FA"/>
    <w:rsid w:val="00C60A99"/>
    <w:rsid w:val="00C60AD8"/>
    <w:rsid w:val="00C60C54"/>
    <w:rsid w:val="00C60D6D"/>
    <w:rsid w:val="00C60DD7"/>
    <w:rsid w:val="00C60E74"/>
    <w:rsid w:val="00C60EEF"/>
    <w:rsid w:val="00C60FAB"/>
    <w:rsid w:val="00C610B3"/>
    <w:rsid w:val="00C61117"/>
    <w:rsid w:val="00C611E9"/>
    <w:rsid w:val="00C611FC"/>
    <w:rsid w:val="00C6121F"/>
    <w:rsid w:val="00C613C2"/>
    <w:rsid w:val="00C61568"/>
    <w:rsid w:val="00C61687"/>
    <w:rsid w:val="00C616E2"/>
    <w:rsid w:val="00C616F0"/>
    <w:rsid w:val="00C617DB"/>
    <w:rsid w:val="00C61841"/>
    <w:rsid w:val="00C618C9"/>
    <w:rsid w:val="00C6199A"/>
    <w:rsid w:val="00C61AA8"/>
    <w:rsid w:val="00C61B24"/>
    <w:rsid w:val="00C61B76"/>
    <w:rsid w:val="00C61D7F"/>
    <w:rsid w:val="00C62048"/>
    <w:rsid w:val="00C620EE"/>
    <w:rsid w:val="00C6214E"/>
    <w:rsid w:val="00C62174"/>
    <w:rsid w:val="00C6227D"/>
    <w:rsid w:val="00C62296"/>
    <w:rsid w:val="00C62301"/>
    <w:rsid w:val="00C6232F"/>
    <w:rsid w:val="00C62499"/>
    <w:rsid w:val="00C62588"/>
    <w:rsid w:val="00C627B1"/>
    <w:rsid w:val="00C6294C"/>
    <w:rsid w:val="00C62951"/>
    <w:rsid w:val="00C629D1"/>
    <w:rsid w:val="00C62A25"/>
    <w:rsid w:val="00C62DEC"/>
    <w:rsid w:val="00C62F92"/>
    <w:rsid w:val="00C63218"/>
    <w:rsid w:val="00C63379"/>
    <w:rsid w:val="00C633D3"/>
    <w:rsid w:val="00C63478"/>
    <w:rsid w:val="00C634C1"/>
    <w:rsid w:val="00C63567"/>
    <w:rsid w:val="00C6364A"/>
    <w:rsid w:val="00C63687"/>
    <w:rsid w:val="00C636DD"/>
    <w:rsid w:val="00C63765"/>
    <w:rsid w:val="00C637A5"/>
    <w:rsid w:val="00C63834"/>
    <w:rsid w:val="00C6387E"/>
    <w:rsid w:val="00C63980"/>
    <w:rsid w:val="00C63983"/>
    <w:rsid w:val="00C639F0"/>
    <w:rsid w:val="00C63AD5"/>
    <w:rsid w:val="00C63ADD"/>
    <w:rsid w:val="00C63B50"/>
    <w:rsid w:val="00C63BFE"/>
    <w:rsid w:val="00C63CB8"/>
    <w:rsid w:val="00C63D37"/>
    <w:rsid w:val="00C63EC4"/>
    <w:rsid w:val="00C640DE"/>
    <w:rsid w:val="00C64227"/>
    <w:rsid w:val="00C6427C"/>
    <w:rsid w:val="00C64290"/>
    <w:rsid w:val="00C642EB"/>
    <w:rsid w:val="00C64365"/>
    <w:rsid w:val="00C643C1"/>
    <w:rsid w:val="00C6442E"/>
    <w:rsid w:val="00C64470"/>
    <w:rsid w:val="00C64506"/>
    <w:rsid w:val="00C6455D"/>
    <w:rsid w:val="00C64608"/>
    <w:rsid w:val="00C64656"/>
    <w:rsid w:val="00C64703"/>
    <w:rsid w:val="00C6471A"/>
    <w:rsid w:val="00C647EB"/>
    <w:rsid w:val="00C64926"/>
    <w:rsid w:val="00C64986"/>
    <w:rsid w:val="00C64B23"/>
    <w:rsid w:val="00C64C06"/>
    <w:rsid w:val="00C64E8A"/>
    <w:rsid w:val="00C64EB1"/>
    <w:rsid w:val="00C64EF9"/>
    <w:rsid w:val="00C64F40"/>
    <w:rsid w:val="00C64F46"/>
    <w:rsid w:val="00C64F91"/>
    <w:rsid w:val="00C64FF8"/>
    <w:rsid w:val="00C65019"/>
    <w:rsid w:val="00C65181"/>
    <w:rsid w:val="00C652A6"/>
    <w:rsid w:val="00C652D3"/>
    <w:rsid w:val="00C652FF"/>
    <w:rsid w:val="00C6531E"/>
    <w:rsid w:val="00C6535B"/>
    <w:rsid w:val="00C65370"/>
    <w:rsid w:val="00C65426"/>
    <w:rsid w:val="00C65450"/>
    <w:rsid w:val="00C6553C"/>
    <w:rsid w:val="00C655F6"/>
    <w:rsid w:val="00C6564B"/>
    <w:rsid w:val="00C657B4"/>
    <w:rsid w:val="00C657CF"/>
    <w:rsid w:val="00C65837"/>
    <w:rsid w:val="00C65855"/>
    <w:rsid w:val="00C6599D"/>
    <w:rsid w:val="00C659EE"/>
    <w:rsid w:val="00C65A10"/>
    <w:rsid w:val="00C65C79"/>
    <w:rsid w:val="00C65C91"/>
    <w:rsid w:val="00C65CDF"/>
    <w:rsid w:val="00C65DC6"/>
    <w:rsid w:val="00C65FA9"/>
    <w:rsid w:val="00C660AA"/>
    <w:rsid w:val="00C66253"/>
    <w:rsid w:val="00C66343"/>
    <w:rsid w:val="00C6636A"/>
    <w:rsid w:val="00C663F0"/>
    <w:rsid w:val="00C66419"/>
    <w:rsid w:val="00C6641C"/>
    <w:rsid w:val="00C6642E"/>
    <w:rsid w:val="00C66572"/>
    <w:rsid w:val="00C665F8"/>
    <w:rsid w:val="00C66600"/>
    <w:rsid w:val="00C6663C"/>
    <w:rsid w:val="00C66716"/>
    <w:rsid w:val="00C667CB"/>
    <w:rsid w:val="00C66866"/>
    <w:rsid w:val="00C66A37"/>
    <w:rsid w:val="00C66C7E"/>
    <w:rsid w:val="00C66CC7"/>
    <w:rsid w:val="00C66DA4"/>
    <w:rsid w:val="00C67004"/>
    <w:rsid w:val="00C670B3"/>
    <w:rsid w:val="00C67102"/>
    <w:rsid w:val="00C67343"/>
    <w:rsid w:val="00C6745F"/>
    <w:rsid w:val="00C674A3"/>
    <w:rsid w:val="00C674FA"/>
    <w:rsid w:val="00C674FE"/>
    <w:rsid w:val="00C6756A"/>
    <w:rsid w:val="00C675B0"/>
    <w:rsid w:val="00C675C2"/>
    <w:rsid w:val="00C676A7"/>
    <w:rsid w:val="00C67987"/>
    <w:rsid w:val="00C679EE"/>
    <w:rsid w:val="00C67AC5"/>
    <w:rsid w:val="00C67C14"/>
    <w:rsid w:val="00C67CAD"/>
    <w:rsid w:val="00C67D79"/>
    <w:rsid w:val="00C67DE4"/>
    <w:rsid w:val="00C67F15"/>
    <w:rsid w:val="00C7006A"/>
    <w:rsid w:val="00C7011F"/>
    <w:rsid w:val="00C701C5"/>
    <w:rsid w:val="00C702C3"/>
    <w:rsid w:val="00C702EB"/>
    <w:rsid w:val="00C70348"/>
    <w:rsid w:val="00C703D5"/>
    <w:rsid w:val="00C70594"/>
    <w:rsid w:val="00C707EA"/>
    <w:rsid w:val="00C70AEA"/>
    <w:rsid w:val="00C70B48"/>
    <w:rsid w:val="00C70B60"/>
    <w:rsid w:val="00C70C94"/>
    <w:rsid w:val="00C70CDA"/>
    <w:rsid w:val="00C70D9B"/>
    <w:rsid w:val="00C70E2A"/>
    <w:rsid w:val="00C70FCF"/>
    <w:rsid w:val="00C7103D"/>
    <w:rsid w:val="00C71040"/>
    <w:rsid w:val="00C7113F"/>
    <w:rsid w:val="00C711B3"/>
    <w:rsid w:val="00C71235"/>
    <w:rsid w:val="00C715D9"/>
    <w:rsid w:val="00C715EC"/>
    <w:rsid w:val="00C71613"/>
    <w:rsid w:val="00C71679"/>
    <w:rsid w:val="00C717E7"/>
    <w:rsid w:val="00C71823"/>
    <w:rsid w:val="00C71842"/>
    <w:rsid w:val="00C718A4"/>
    <w:rsid w:val="00C718D2"/>
    <w:rsid w:val="00C71A6C"/>
    <w:rsid w:val="00C71AD6"/>
    <w:rsid w:val="00C71CCB"/>
    <w:rsid w:val="00C71D18"/>
    <w:rsid w:val="00C71DA0"/>
    <w:rsid w:val="00C71DAF"/>
    <w:rsid w:val="00C71E9F"/>
    <w:rsid w:val="00C720F5"/>
    <w:rsid w:val="00C72205"/>
    <w:rsid w:val="00C722AB"/>
    <w:rsid w:val="00C7238C"/>
    <w:rsid w:val="00C72391"/>
    <w:rsid w:val="00C724C4"/>
    <w:rsid w:val="00C7265E"/>
    <w:rsid w:val="00C7278C"/>
    <w:rsid w:val="00C7295D"/>
    <w:rsid w:val="00C72A07"/>
    <w:rsid w:val="00C72A73"/>
    <w:rsid w:val="00C72C00"/>
    <w:rsid w:val="00C72D7A"/>
    <w:rsid w:val="00C72E88"/>
    <w:rsid w:val="00C72ED7"/>
    <w:rsid w:val="00C72F95"/>
    <w:rsid w:val="00C72FA2"/>
    <w:rsid w:val="00C72FF6"/>
    <w:rsid w:val="00C730BD"/>
    <w:rsid w:val="00C730FA"/>
    <w:rsid w:val="00C73237"/>
    <w:rsid w:val="00C73386"/>
    <w:rsid w:val="00C734C4"/>
    <w:rsid w:val="00C73516"/>
    <w:rsid w:val="00C736CC"/>
    <w:rsid w:val="00C736CF"/>
    <w:rsid w:val="00C7388F"/>
    <w:rsid w:val="00C73B8D"/>
    <w:rsid w:val="00C73C81"/>
    <w:rsid w:val="00C741CB"/>
    <w:rsid w:val="00C74276"/>
    <w:rsid w:val="00C74291"/>
    <w:rsid w:val="00C742FE"/>
    <w:rsid w:val="00C74583"/>
    <w:rsid w:val="00C7485C"/>
    <w:rsid w:val="00C749EF"/>
    <w:rsid w:val="00C74A8F"/>
    <w:rsid w:val="00C74AED"/>
    <w:rsid w:val="00C74B33"/>
    <w:rsid w:val="00C74B8C"/>
    <w:rsid w:val="00C74C00"/>
    <w:rsid w:val="00C74DF8"/>
    <w:rsid w:val="00C74E15"/>
    <w:rsid w:val="00C7518C"/>
    <w:rsid w:val="00C7518F"/>
    <w:rsid w:val="00C75215"/>
    <w:rsid w:val="00C752A4"/>
    <w:rsid w:val="00C7533C"/>
    <w:rsid w:val="00C753B8"/>
    <w:rsid w:val="00C75567"/>
    <w:rsid w:val="00C75660"/>
    <w:rsid w:val="00C756EC"/>
    <w:rsid w:val="00C7572E"/>
    <w:rsid w:val="00C75839"/>
    <w:rsid w:val="00C75C61"/>
    <w:rsid w:val="00C75D17"/>
    <w:rsid w:val="00C75D5C"/>
    <w:rsid w:val="00C75D8E"/>
    <w:rsid w:val="00C75DF9"/>
    <w:rsid w:val="00C75E89"/>
    <w:rsid w:val="00C7609D"/>
    <w:rsid w:val="00C761CE"/>
    <w:rsid w:val="00C761EE"/>
    <w:rsid w:val="00C76311"/>
    <w:rsid w:val="00C764A3"/>
    <w:rsid w:val="00C766CD"/>
    <w:rsid w:val="00C7676A"/>
    <w:rsid w:val="00C76859"/>
    <w:rsid w:val="00C768D9"/>
    <w:rsid w:val="00C76A0E"/>
    <w:rsid w:val="00C76ABA"/>
    <w:rsid w:val="00C76B7E"/>
    <w:rsid w:val="00C76B9C"/>
    <w:rsid w:val="00C76D50"/>
    <w:rsid w:val="00C76E72"/>
    <w:rsid w:val="00C76EA5"/>
    <w:rsid w:val="00C76F98"/>
    <w:rsid w:val="00C77228"/>
    <w:rsid w:val="00C77257"/>
    <w:rsid w:val="00C772BD"/>
    <w:rsid w:val="00C77403"/>
    <w:rsid w:val="00C7746D"/>
    <w:rsid w:val="00C774CA"/>
    <w:rsid w:val="00C775B2"/>
    <w:rsid w:val="00C77603"/>
    <w:rsid w:val="00C7775B"/>
    <w:rsid w:val="00C777A6"/>
    <w:rsid w:val="00C778B4"/>
    <w:rsid w:val="00C778E7"/>
    <w:rsid w:val="00C779A5"/>
    <w:rsid w:val="00C779D9"/>
    <w:rsid w:val="00C77A97"/>
    <w:rsid w:val="00C77BAE"/>
    <w:rsid w:val="00C77C00"/>
    <w:rsid w:val="00C77C89"/>
    <w:rsid w:val="00C77D74"/>
    <w:rsid w:val="00C77E6E"/>
    <w:rsid w:val="00C77E95"/>
    <w:rsid w:val="00C77EE4"/>
    <w:rsid w:val="00C77F2E"/>
    <w:rsid w:val="00C80070"/>
    <w:rsid w:val="00C80109"/>
    <w:rsid w:val="00C8021C"/>
    <w:rsid w:val="00C802A5"/>
    <w:rsid w:val="00C802F3"/>
    <w:rsid w:val="00C80644"/>
    <w:rsid w:val="00C80942"/>
    <w:rsid w:val="00C8096F"/>
    <w:rsid w:val="00C809E4"/>
    <w:rsid w:val="00C80ABA"/>
    <w:rsid w:val="00C80B1C"/>
    <w:rsid w:val="00C80C05"/>
    <w:rsid w:val="00C80DDE"/>
    <w:rsid w:val="00C80F08"/>
    <w:rsid w:val="00C80F35"/>
    <w:rsid w:val="00C81039"/>
    <w:rsid w:val="00C81047"/>
    <w:rsid w:val="00C8105A"/>
    <w:rsid w:val="00C81087"/>
    <w:rsid w:val="00C810DF"/>
    <w:rsid w:val="00C8127D"/>
    <w:rsid w:val="00C8129F"/>
    <w:rsid w:val="00C813E7"/>
    <w:rsid w:val="00C815DE"/>
    <w:rsid w:val="00C81735"/>
    <w:rsid w:val="00C81767"/>
    <w:rsid w:val="00C817B3"/>
    <w:rsid w:val="00C817D0"/>
    <w:rsid w:val="00C817DB"/>
    <w:rsid w:val="00C81907"/>
    <w:rsid w:val="00C81908"/>
    <w:rsid w:val="00C8193A"/>
    <w:rsid w:val="00C81A02"/>
    <w:rsid w:val="00C81A63"/>
    <w:rsid w:val="00C81B89"/>
    <w:rsid w:val="00C81C72"/>
    <w:rsid w:val="00C81CAA"/>
    <w:rsid w:val="00C82068"/>
    <w:rsid w:val="00C821C9"/>
    <w:rsid w:val="00C822E4"/>
    <w:rsid w:val="00C8235A"/>
    <w:rsid w:val="00C823A4"/>
    <w:rsid w:val="00C8252D"/>
    <w:rsid w:val="00C82533"/>
    <w:rsid w:val="00C82562"/>
    <w:rsid w:val="00C825F9"/>
    <w:rsid w:val="00C826B1"/>
    <w:rsid w:val="00C827FB"/>
    <w:rsid w:val="00C82899"/>
    <w:rsid w:val="00C82AD8"/>
    <w:rsid w:val="00C82C1A"/>
    <w:rsid w:val="00C82C96"/>
    <w:rsid w:val="00C82CCC"/>
    <w:rsid w:val="00C82E40"/>
    <w:rsid w:val="00C82E86"/>
    <w:rsid w:val="00C82EF6"/>
    <w:rsid w:val="00C83155"/>
    <w:rsid w:val="00C8319D"/>
    <w:rsid w:val="00C8325F"/>
    <w:rsid w:val="00C8347D"/>
    <w:rsid w:val="00C834D0"/>
    <w:rsid w:val="00C834D8"/>
    <w:rsid w:val="00C83555"/>
    <w:rsid w:val="00C83629"/>
    <w:rsid w:val="00C8376A"/>
    <w:rsid w:val="00C83825"/>
    <w:rsid w:val="00C83AC7"/>
    <w:rsid w:val="00C83B3C"/>
    <w:rsid w:val="00C83CD4"/>
    <w:rsid w:val="00C83DEB"/>
    <w:rsid w:val="00C83DF8"/>
    <w:rsid w:val="00C83F27"/>
    <w:rsid w:val="00C84000"/>
    <w:rsid w:val="00C8402F"/>
    <w:rsid w:val="00C8417F"/>
    <w:rsid w:val="00C84296"/>
    <w:rsid w:val="00C842D0"/>
    <w:rsid w:val="00C842FF"/>
    <w:rsid w:val="00C84329"/>
    <w:rsid w:val="00C844B6"/>
    <w:rsid w:val="00C84562"/>
    <w:rsid w:val="00C845C3"/>
    <w:rsid w:val="00C8471C"/>
    <w:rsid w:val="00C84792"/>
    <w:rsid w:val="00C847E1"/>
    <w:rsid w:val="00C849BF"/>
    <w:rsid w:val="00C84A1A"/>
    <w:rsid w:val="00C85145"/>
    <w:rsid w:val="00C85206"/>
    <w:rsid w:val="00C85248"/>
    <w:rsid w:val="00C85287"/>
    <w:rsid w:val="00C8554D"/>
    <w:rsid w:val="00C85725"/>
    <w:rsid w:val="00C857D9"/>
    <w:rsid w:val="00C85952"/>
    <w:rsid w:val="00C85961"/>
    <w:rsid w:val="00C85982"/>
    <w:rsid w:val="00C859D4"/>
    <w:rsid w:val="00C85A3A"/>
    <w:rsid w:val="00C85B7A"/>
    <w:rsid w:val="00C85C38"/>
    <w:rsid w:val="00C85D4D"/>
    <w:rsid w:val="00C85DBA"/>
    <w:rsid w:val="00C85FA6"/>
    <w:rsid w:val="00C8612E"/>
    <w:rsid w:val="00C86144"/>
    <w:rsid w:val="00C861B0"/>
    <w:rsid w:val="00C861ED"/>
    <w:rsid w:val="00C862FC"/>
    <w:rsid w:val="00C86394"/>
    <w:rsid w:val="00C8672E"/>
    <w:rsid w:val="00C86852"/>
    <w:rsid w:val="00C86975"/>
    <w:rsid w:val="00C86982"/>
    <w:rsid w:val="00C86A78"/>
    <w:rsid w:val="00C86BE5"/>
    <w:rsid w:val="00C86C6A"/>
    <w:rsid w:val="00C86CD6"/>
    <w:rsid w:val="00C86E01"/>
    <w:rsid w:val="00C86FC1"/>
    <w:rsid w:val="00C870A0"/>
    <w:rsid w:val="00C87142"/>
    <w:rsid w:val="00C871D9"/>
    <w:rsid w:val="00C87350"/>
    <w:rsid w:val="00C873A9"/>
    <w:rsid w:val="00C874C6"/>
    <w:rsid w:val="00C876B4"/>
    <w:rsid w:val="00C876C1"/>
    <w:rsid w:val="00C87809"/>
    <w:rsid w:val="00C879A7"/>
    <w:rsid w:val="00C87A7F"/>
    <w:rsid w:val="00C87B1A"/>
    <w:rsid w:val="00C87BEF"/>
    <w:rsid w:val="00C87CAE"/>
    <w:rsid w:val="00C87E88"/>
    <w:rsid w:val="00C87ED9"/>
    <w:rsid w:val="00C87F30"/>
    <w:rsid w:val="00C90030"/>
    <w:rsid w:val="00C900A9"/>
    <w:rsid w:val="00C901CA"/>
    <w:rsid w:val="00C90293"/>
    <w:rsid w:val="00C902A6"/>
    <w:rsid w:val="00C90352"/>
    <w:rsid w:val="00C9040F"/>
    <w:rsid w:val="00C90489"/>
    <w:rsid w:val="00C90582"/>
    <w:rsid w:val="00C90889"/>
    <w:rsid w:val="00C90BD7"/>
    <w:rsid w:val="00C90C1A"/>
    <w:rsid w:val="00C90C81"/>
    <w:rsid w:val="00C90DB3"/>
    <w:rsid w:val="00C90E5B"/>
    <w:rsid w:val="00C90EA8"/>
    <w:rsid w:val="00C9108C"/>
    <w:rsid w:val="00C91095"/>
    <w:rsid w:val="00C9111C"/>
    <w:rsid w:val="00C91132"/>
    <w:rsid w:val="00C913D5"/>
    <w:rsid w:val="00C9141B"/>
    <w:rsid w:val="00C91476"/>
    <w:rsid w:val="00C914D0"/>
    <w:rsid w:val="00C914DD"/>
    <w:rsid w:val="00C9163B"/>
    <w:rsid w:val="00C91769"/>
    <w:rsid w:val="00C917B4"/>
    <w:rsid w:val="00C917BE"/>
    <w:rsid w:val="00C917ED"/>
    <w:rsid w:val="00C918F7"/>
    <w:rsid w:val="00C91942"/>
    <w:rsid w:val="00C91954"/>
    <w:rsid w:val="00C91A2F"/>
    <w:rsid w:val="00C91B10"/>
    <w:rsid w:val="00C91BF5"/>
    <w:rsid w:val="00C91C03"/>
    <w:rsid w:val="00C91C04"/>
    <w:rsid w:val="00C91CFA"/>
    <w:rsid w:val="00C91D19"/>
    <w:rsid w:val="00C91D79"/>
    <w:rsid w:val="00C91DC6"/>
    <w:rsid w:val="00C91E35"/>
    <w:rsid w:val="00C920B0"/>
    <w:rsid w:val="00C92101"/>
    <w:rsid w:val="00C922D6"/>
    <w:rsid w:val="00C92594"/>
    <w:rsid w:val="00C92659"/>
    <w:rsid w:val="00C926D4"/>
    <w:rsid w:val="00C92717"/>
    <w:rsid w:val="00C92733"/>
    <w:rsid w:val="00C928F7"/>
    <w:rsid w:val="00C92A09"/>
    <w:rsid w:val="00C92B9C"/>
    <w:rsid w:val="00C92BA2"/>
    <w:rsid w:val="00C92BB2"/>
    <w:rsid w:val="00C92BDD"/>
    <w:rsid w:val="00C92C84"/>
    <w:rsid w:val="00C92D93"/>
    <w:rsid w:val="00C92E2A"/>
    <w:rsid w:val="00C930F2"/>
    <w:rsid w:val="00C932FA"/>
    <w:rsid w:val="00C93375"/>
    <w:rsid w:val="00C93427"/>
    <w:rsid w:val="00C935D9"/>
    <w:rsid w:val="00C9362A"/>
    <w:rsid w:val="00C937F6"/>
    <w:rsid w:val="00C938E2"/>
    <w:rsid w:val="00C93915"/>
    <w:rsid w:val="00C93D2C"/>
    <w:rsid w:val="00C93D2D"/>
    <w:rsid w:val="00C93D53"/>
    <w:rsid w:val="00C93F78"/>
    <w:rsid w:val="00C9404F"/>
    <w:rsid w:val="00C94174"/>
    <w:rsid w:val="00C9419E"/>
    <w:rsid w:val="00C94208"/>
    <w:rsid w:val="00C94273"/>
    <w:rsid w:val="00C94298"/>
    <w:rsid w:val="00C94326"/>
    <w:rsid w:val="00C94435"/>
    <w:rsid w:val="00C94496"/>
    <w:rsid w:val="00C9449A"/>
    <w:rsid w:val="00C944CB"/>
    <w:rsid w:val="00C945BD"/>
    <w:rsid w:val="00C945FC"/>
    <w:rsid w:val="00C94607"/>
    <w:rsid w:val="00C94669"/>
    <w:rsid w:val="00C9471C"/>
    <w:rsid w:val="00C9474A"/>
    <w:rsid w:val="00C94798"/>
    <w:rsid w:val="00C947D5"/>
    <w:rsid w:val="00C947D8"/>
    <w:rsid w:val="00C947E6"/>
    <w:rsid w:val="00C94983"/>
    <w:rsid w:val="00C949AD"/>
    <w:rsid w:val="00C94B66"/>
    <w:rsid w:val="00C94C9F"/>
    <w:rsid w:val="00C94DF5"/>
    <w:rsid w:val="00C94F29"/>
    <w:rsid w:val="00C94FA9"/>
    <w:rsid w:val="00C94FDD"/>
    <w:rsid w:val="00C95261"/>
    <w:rsid w:val="00C952F5"/>
    <w:rsid w:val="00C953E2"/>
    <w:rsid w:val="00C955F2"/>
    <w:rsid w:val="00C9563C"/>
    <w:rsid w:val="00C95857"/>
    <w:rsid w:val="00C9599A"/>
    <w:rsid w:val="00C95B06"/>
    <w:rsid w:val="00C95B70"/>
    <w:rsid w:val="00C95E14"/>
    <w:rsid w:val="00C95E3D"/>
    <w:rsid w:val="00C95F3A"/>
    <w:rsid w:val="00C95FEE"/>
    <w:rsid w:val="00C95FF3"/>
    <w:rsid w:val="00C962E4"/>
    <w:rsid w:val="00C964FF"/>
    <w:rsid w:val="00C96561"/>
    <w:rsid w:val="00C965B3"/>
    <w:rsid w:val="00C965E9"/>
    <w:rsid w:val="00C9681E"/>
    <w:rsid w:val="00C96858"/>
    <w:rsid w:val="00C968EF"/>
    <w:rsid w:val="00C968F9"/>
    <w:rsid w:val="00C96AB6"/>
    <w:rsid w:val="00C96ACF"/>
    <w:rsid w:val="00C96B1D"/>
    <w:rsid w:val="00C96C43"/>
    <w:rsid w:val="00C96E50"/>
    <w:rsid w:val="00C96EB4"/>
    <w:rsid w:val="00C97138"/>
    <w:rsid w:val="00C9722C"/>
    <w:rsid w:val="00C972D6"/>
    <w:rsid w:val="00C973F6"/>
    <w:rsid w:val="00C9766B"/>
    <w:rsid w:val="00C976C8"/>
    <w:rsid w:val="00C9776D"/>
    <w:rsid w:val="00C9792F"/>
    <w:rsid w:val="00C97A39"/>
    <w:rsid w:val="00C97B61"/>
    <w:rsid w:val="00C97C3F"/>
    <w:rsid w:val="00C97D13"/>
    <w:rsid w:val="00C97E80"/>
    <w:rsid w:val="00C97F1E"/>
    <w:rsid w:val="00C97FD1"/>
    <w:rsid w:val="00C97FD3"/>
    <w:rsid w:val="00CA0028"/>
    <w:rsid w:val="00CA01F6"/>
    <w:rsid w:val="00CA023E"/>
    <w:rsid w:val="00CA0267"/>
    <w:rsid w:val="00CA0324"/>
    <w:rsid w:val="00CA056C"/>
    <w:rsid w:val="00CA0584"/>
    <w:rsid w:val="00CA0591"/>
    <w:rsid w:val="00CA05A0"/>
    <w:rsid w:val="00CA05B8"/>
    <w:rsid w:val="00CA0620"/>
    <w:rsid w:val="00CA0634"/>
    <w:rsid w:val="00CA06AB"/>
    <w:rsid w:val="00CA0CDB"/>
    <w:rsid w:val="00CA109B"/>
    <w:rsid w:val="00CA1213"/>
    <w:rsid w:val="00CA1369"/>
    <w:rsid w:val="00CA1668"/>
    <w:rsid w:val="00CA179B"/>
    <w:rsid w:val="00CA187E"/>
    <w:rsid w:val="00CA1B0A"/>
    <w:rsid w:val="00CA1C0B"/>
    <w:rsid w:val="00CA1DC5"/>
    <w:rsid w:val="00CA1F59"/>
    <w:rsid w:val="00CA1F99"/>
    <w:rsid w:val="00CA1FA8"/>
    <w:rsid w:val="00CA1FAA"/>
    <w:rsid w:val="00CA1FF8"/>
    <w:rsid w:val="00CA2022"/>
    <w:rsid w:val="00CA20A6"/>
    <w:rsid w:val="00CA2139"/>
    <w:rsid w:val="00CA21D9"/>
    <w:rsid w:val="00CA21E8"/>
    <w:rsid w:val="00CA243B"/>
    <w:rsid w:val="00CA25E4"/>
    <w:rsid w:val="00CA25FA"/>
    <w:rsid w:val="00CA273E"/>
    <w:rsid w:val="00CA2BEF"/>
    <w:rsid w:val="00CA2C18"/>
    <w:rsid w:val="00CA2E8E"/>
    <w:rsid w:val="00CA2ED1"/>
    <w:rsid w:val="00CA2F21"/>
    <w:rsid w:val="00CA2F91"/>
    <w:rsid w:val="00CA2FA3"/>
    <w:rsid w:val="00CA2FD6"/>
    <w:rsid w:val="00CA3078"/>
    <w:rsid w:val="00CA31CE"/>
    <w:rsid w:val="00CA321A"/>
    <w:rsid w:val="00CA32A2"/>
    <w:rsid w:val="00CA32E5"/>
    <w:rsid w:val="00CA339B"/>
    <w:rsid w:val="00CA3574"/>
    <w:rsid w:val="00CA35E5"/>
    <w:rsid w:val="00CA35F5"/>
    <w:rsid w:val="00CA3651"/>
    <w:rsid w:val="00CA36FC"/>
    <w:rsid w:val="00CA383E"/>
    <w:rsid w:val="00CA3950"/>
    <w:rsid w:val="00CA3AA2"/>
    <w:rsid w:val="00CA3AC2"/>
    <w:rsid w:val="00CA3AC7"/>
    <w:rsid w:val="00CA3C24"/>
    <w:rsid w:val="00CA3CEA"/>
    <w:rsid w:val="00CA3D09"/>
    <w:rsid w:val="00CA3DCB"/>
    <w:rsid w:val="00CA3E2E"/>
    <w:rsid w:val="00CA3EA0"/>
    <w:rsid w:val="00CA3EB7"/>
    <w:rsid w:val="00CA424D"/>
    <w:rsid w:val="00CA4321"/>
    <w:rsid w:val="00CA45C6"/>
    <w:rsid w:val="00CA4816"/>
    <w:rsid w:val="00CA48B2"/>
    <w:rsid w:val="00CA48D1"/>
    <w:rsid w:val="00CA49D5"/>
    <w:rsid w:val="00CA4A49"/>
    <w:rsid w:val="00CA4B45"/>
    <w:rsid w:val="00CA4B6C"/>
    <w:rsid w:val="00CA4CC7"/>
    <w:rsid w:val="00CA4E2B"/>
    <w:rsid w:val="00CA4FC8"/>
    <w:rsid w:val="00CA507B"/>
    <w:rsid w:val="00CA513A"/>
    <w:rsid w:val="00CA5183"/>
    <w:rsid w:val="00CA51D0"/>
    <w:rsid w:val="00CA5248"/>
    <w:rsid w:val="00CA53D8"/>
    <w:rsid w:val="00CA55C1"/>
    <w:rsid w:val="00CA5644"/>
    <w:rsid w:val="00CA5727"/>
    <w:rsid w:val="00CA5964"/>
    <w:rsid w:val="00CA5A75"/>
    <w:rsid w:val="00CA5BB7"/>
    <w:rsid w:val="00CA5BD0"/>
    <w:rsid w:val="00CA5CA1"/>
    <w:rsid w:val="00CA5ED1"/>
    <w:rsid w:val="00CA5EF7"/>
    <w:rsid w:val="00CA5F08"/>
    <w:rsid w:val="00CA5F28"/>
    <w:rsid w:val="00CA5F42"/>
    <w:rsid w:val="00CA5F4B"/>
    <w:rsid w:val="00CA6009"/>
    <w:rsid w:val="00CA6036"/>
    <w:rsid w:val="00CA6041"/>
    <w:rsid w:val="00CA60C8"/>
    <w:rsid w:val="00CA62AA"/>
    <w:rsid w:val="00CA636A"/>
    <w:rsid w:val="00CA6381"/>
    <w:rsid w:val="00CA64B3"/>
    <w:rsid w:val="00CA6860"/>
    <w:rsid w:val="00CA6880"/>
    <w:rsid w:val="00CA69B8"/>
    <w:rsid w:val="00CA6A43"/>
    <w:rsid w:val="00CA6A96"/>
    <w:rsid w:val="00CA6CD1"/>
    <w:rsid w:val="00CA6CF2"/>
    <w:rsid w:val="00CA6D2E"/>
    <w:rsid w:val="00CA6DA5"/>
    <w:rsid w:val="00CA6DBE"/>
    <w:rsid w:val="00CA6DD2"/>
    <w:rsid w:val="00CA6E5A"/>
    <w:rsid w:val="00CA6F3F"/>
    <w:rsid w:val="00CA733D"/>
    <w:rsid w:val="00CA7473"/>
    <w:rsid w:val="00CA7576"/>
    <w:rsid w:val="00CA75F0"/>
    <w:rsid w:val="00CA760A"/>
    <w:rsid w:val="00CA7817"/>
    <w:rsid w:val="00CA7890"/>
    <w:rsid w:val="00CA7930"/>
    <w:rsid w:val="00CA79FF"/>
    <w:rsid w:val="00CA7A1D"/>
    <w:rsid w:val="00CA7A44"/>
    <w:rsid w:val="00CA7A63"/>
    <w:rsid w:val="00CA7A93"/>
    <w:rsid w:val="00CA7AD6"/>
    <w:rsid w:val="00CA7CFC"/>
    <w:rsid w:val="00CA7D05"/>
    <w:rsid w:val="00CA7D55"/>
    <w:rsid w:val="00CA7D98"/>
    <w:rsid w:val="00CA7DCB"/>
    <w:rsid w:val="00CA7ED7"/>
    <w:rsid w:val="00CA7F02"/>
    <w:rsid w:val="00CA7F6A"/>
    <w:rsid w:val="00CA7F75"/>
    <w:rsid w:val="00CB0011"/>
    <w:rsid w:val="00CB0062"/>
    <w:rsid w:val="00CB0161"/>
    <w:rsid w:val="00CB02F6"/>
    <w:rsid w:val="00CB0345"/>
    <w:rsid w:val="00CB03DE"/>
    <w:rsid w:val="00CB0459"/>
    <w:rsid w:val="00CB04B7"/>
    <w:rsid w:val="00CB04BD"/>
    <w:rsid w:val="00CB05EC"/>
    <w:rsid w:val="00CB074B"/>
    <w:rsid w:val="00CB077A"/>
    <w:rsid w:val="00CB0895"/>
    <w:rsid w:val="00CB08A0"/>
    <w:rsid w:val="00CB0B8F"/>
    <w:rsid w:val="00CB0CA6"/>
    <w:rsid w:val="00CB0DBB"/>
    <w:rsid w:val="00CB0E96"/>
    <w:rsid w:val="00CB0F60"/>
    <w:rsid w:val="00CB0FA7"/>
    <w:rsid w:val="00CB106F"/>
    <w:rsid w:val="00CB10FB"/>
    <w:rsid w:val="00CB121B"/>
    <w:rsid w:val="00CB12D8"/>
    <w:rsid w:val="00CB131E"/>
    <w:rsid w:val="00CB153A"/>
    <w:rsid w:val="00CB169B"/>
    <w:rsid w:val="00CB16ED"/>
    <w:rsid w:val="00CB1787"/>
    <w:rsid w:val="00CB17DB"/>
    <w:rsid w:val="00CB1E94"/>
    <w:rsid w:val="00CB1EC8"/>
    <w:rsid w:val="00CB1EDD"/>
    <w:rsid w:val="00CB1EEE"/>
    <w:rsid w:val="00CB20C4"/>
    <w:rsid w:val="00CB20FE"/>
    <w:rsid w:val="00CB218A"/>
    <w:rsid w:val="00CB22FB"/>
    <w:rsid w:val="00CB230D"/>
    <w:rsid w:val="00CB260D"/>
    <w:rsid w:val="00CB2892"/>
    <w:rsid w:val="00CB2899"/>
    <w:rsid w:val="00CB2933"/>
    <w:rsid w:val="00CB2BA4"/>
    <w:rsid w:val="00CB2E40"/>
    <w:rsid w:val="00CB3077"/>
    <w:rsid w:val="00CB31AB"/>
    <w:rsid w:val="00CB35E0"/>
    <w:rsid w:val="00CB375C"/>
    <w:rsid w:val="00CB38A9"/>
    <w:rsid w:val="00CB3936"/>
    <w:rsid w:val="00CB393C"/>
    <w:rsid w:val="00CB3942"/>
    <w:rsid w:val="00CB39A9"/>
    <w:rsid w:val="00CB3A50"/>
    <w:rsid w:val="00CB3AF9"/>
    <w:rsid w:val="00CB3CF5"/>
    <w:rsid w:val="00CB3D4A"/>
    <w:rsid w:val="00CB3D74"/>
    <w:rsid w:val="00CB3E5E"/>
    <w:rsid w:val="00CB4000"/>
    <w:rsid w:val="00CB400C"/>
    <w:rsid w:val="00CB4035"/>
    <w:rsid w:val="00CB4167"/>
    <w:rsid w:val="00CB4472"/>
    <w:rsid w:val="00CB4474"/>
    <w:rsid w:val="00CB4497"/>
    <w:rsid w:val="00CB4554"/>
    <w:rsid w:val="00CB45DD"/>
    <w:rsid w:val="00CB47CA"/>
    <w:rsid w:val="00CB48E0"/>
    <w:rsid w:val="00CB49CB"/>
    <w:rsid w:val="00CB4BA9"/>
    <w:rsid w:val="00CB4CE8"/>
    <w:rsid w:val="00CB4D3E"/>
    <w:rsid w:val="00CB4E95"/>
    <w:rsid w:val="00CB4ED9"/>
    <w:rsid w:val="00CB4EDD"/>
    <w:rsid w:val="00CB4F39"/>
    <w:rsid w:val="00CB4F5D"/>
    <w:rsid w:val="00CB5013"/>
    <w:rsid w:val="00CB5129"/>
    <w:rsid w:val="00CB5439"/>
    <w:rsid w:val="00CB55A3"/>
    <w:rsid w:val="00CB55F8"/>
    <w:rsid w:val="00CB565A"/>
    <w:rsid w:val="00CB5879"/>
    <w:rsid w:val="00CB5A34"/>
    <w:rsid w:val="00CB5A51"/>
    <w:rsid w:val="00CB5B68"/>
    <w:rsid w:val="00CB5C17"/>
    <w:rsid w:val="00CB5CE9"/>
    <w:rsid w:val="00CB5DC6"/>
    <w:rsid w:val="00CB5FD1"/>
    <w:rsid w:val="00CB6059"/>
    <w:rsid w:val="00CB6148"/>
    <w:rsid w:val="00CB6343"/>
    <w:rsid w:val="00CB639A"/>
    <w:rsid w:val="00CB6454"/>
    <w:rsid w:val="00CB653A"/>
    <w:rsid w:val="00CB6632"/>
    <w:rsid w:val="00CB6653"/>
    <w:rsid w:val="00CB66D5"/>
    <w:rsid w:val="00CB674F"/>
    <w:rsid w:val="00CB6755"/>
    <w:rsid w:val="00CB67C3"/>
    <w:rsid w:val="00CB698C"/>
    <w:rsid w:val="00CB6996"/>
    <w:rsid w:val="00CB6A06"/>
    <w:rsid w:val="00CB6C5F"/>
    <w:rsid w:val="00CB6CC5"/>
    <w:rsid w:val="00CB706A"/>
    <w:rsid w:val="00CB71BD"/>
    <w:rsid w:val="00CB736A"/>
    <w:rsid w:val="00CB73B3"/>
    <w:rsid w:val="00CB7550"/>
    <w:rsid w:val="00CB7738"/>
    <w:rsid w:val="00CB776D"/>
    <w:rsid w:val="00CB77A3"/>
    <w:rsid w:val="00CB7A1A"/>
    <w:rsid w:val="00CB7AEC"/>
    <w:rsid w:val="00CB7C39"/>
    <w:rsid w:val="00CB7F1B"/>
    <w:rsid w:val="00CB7FD0"/>
    <w:rsid w:val="00CC004B"/>
    <w:rsid w:val="00CC00C1"/>
    <w:rsid w:val="00CC029B"/>
    <w:rsid w:val="00CC037F"/>
    <w:rsid w:val="00CC0396"/>
    <w:rsid w:val="00CC03B0"/>
    <w:rsid w:val="00CC041E"/>
    <w:rsid w:val="00CC04B7"/>
    <w:rsid w:val="00CC0618"/>
    <w:rsid w:val="00CC068B"/>
    <w:rsid w:val="00CC0744"/>
    <w:rsid w:val="00CC08A7"/>
    <w:rsid w:val="00CC08C3"/>
    <w:rsid w:val="00CC08DD"/>
    <w:rsid w:val="00CC08EA"/>
    <w:rsid w:val="00CC0A23"/>
    <w:rsid w:val="00CC0A7F"/>
    <w:rsid w:val="00CC0B1F"/>
    <w:rsid w:val="00CC0C12"/>
    <w:rsid w:val="00CC0CB6"/>
    <w:rsid w:val="00CC0DC4"/>
    <w:rsid w:val="00CC0DD8"/>
    <w:rsid w:val="00CC0DF1"/>
    <w:rsid w:val="00CC0FD5"/>
    <w:rsid w:val="00CC1022"/>
    <w:rsid w:val="00CC1041"/>
    <w:rsid w:val="00CC1131"/>
    <w:rsid w:val="00CC14C6"/>
    <w:rsid w:val="00CC158A"/>
    <w:rsid w:val="00CC165D"/>
    <w:rsid w:val="00CC16A7"/>
    <w:rsid w:val="00CC18F4"/>
    <w:rsid w:val="00CC1902"/>
    <w:rsid w:val="00CC1928"/>
    <w:rsid w:val="00CC194A"/>
    <w:rsid w:val="00CC1A7E"/>
    <w:rsid w:val="00CC1BDA"/>
    <w:rsid w:val="00CC1BF5"/>
    <w:rsid w:val="00CC1C19"/>
    <w:rsid w:val="00CC1C23"/>
    <w:rsid w:val="00CC1C2C"/>
    <w:rsid w:val="00CC1CCD"/>
    <w:rsid w:val="00CC1CFB"/>
    <w:rsid w:val="00CC1E0C"/>
    <w:rsid w:val="00CC1E62"/>
    <w:rsid w:val="00CC1E84"/>
    <w:rsid w:val="00CC1EAB"/>
    <w:rsid w:val="00CC1F05"/>
    <w:rsid w:val="00CC1F76"/>
    <w:rsid w:val="00CC209E"/>
    <w:rsid w:val="00CC2171"/>
    <w:rsid w:val="00CC2264"/>
    <w:rsid w:val="00CC22F9"/>
    <w:rsid w:val="00CC2339"/>
    <w:rsid w:val="00CC234F"/>
    <w:rsid w:val="00CC2534"/>
    <w:rsid w:val="00CC2633"/>
    <w:rsid w:val="00CC27CC"/>
    <w:rsid w:val="00CC2823"/>
    <w:rsid w:val="00CC288D"/>
    <w:rsid w:val="00CC29CE"/>
    <w:rsid w:val="00CC2A7E"/>
    <w:rsid w:val="00CC2C39"/>
    <w:rsid w:val="00CC2CD8"/>
    <w:rsid w:val="00CC2F7F"/>
    <w:rsid w:val="00CC3065"/>
    <w:rsid w:val="00CC314C"/>
    <w:rsid w:val="00CC32B5"/>
    <w:rsid w:val="00CC32CD"/>
    <w:rsid w:val="00CC33C0"/>
    <w:rsid w:val="00CC3488"/>
    <w:rsid w:val="00CC37F2"/>
    <w:rsid w:val="00CC382F"/>
    <w:rsid w:val="00CC38E4"/>
    <w:rsid w:val="00CC3A6E"/>
    <w:rsid w:val="00CC3AAC"/>
    <w:rsid w:val="00CC3BDC"/>
    <w:rsid w:val="00CC3C83"/>
    <w:rsid w:val="00CC3D6D"/>
    <w:rsid w:val="00CC3DD2"/>
    <w:rsid w:val="00CC3E27"/>
    <w:rsid w:val="00CC3FFF"/>
    <w:rsid w:val="00CC4078"/>
    <w:rsid w:val="00CC418A"/>
    <w:rsid w:val="00CC41AF"/>
    <w:rsid w:val="00CC41CE"/>
    <w:rsid w:val="00CC427F"/>
    <w:rsid w:val="00CC4291"/>
    <w:rsid w:val="00CC43E7"/>
    <w:rsid w:val="00CC4425"/>
    <w:rsid w:val="00CC4475"/>
    <w:rsid w:val="00CC4488"/>
    <w:rsid w:val="00CC44A6"/>
    <w:rsid w:val="00CC44D2"/>
    <w:rsid w:val="00CC467C"/>
    <w:rsid w:val="00CC468C"/>
    <w:rsid w:val="00CC47A5"/>
    <w:rsid w:val="00CC47E5"/>
    <w:rsid w:val="00CC4837"/>
    <w:rsid w:val="00CC48FB"/>
    <w:rsid w:val="00CC4975"/>
    <w:rsid w:val="00CC4A75"/>
    <w:rsid w:val="00CC4ACC"/>
    <w:rsid w:val="00CC4E1E"/>
    <w:rsid w:val="00CC4E21"/>
    <w:rsid w:val="00CC53F4"/>
    <w:rsid w:val="00CC5591"/>
    <w:rsid w:val="00CC570E"/>
    <w:rsid w:val="00CC57BE"/>
    <w:rsid w:val="00CC5854"/>
    <w:rsid w:val="00CC586B"/>
    <w:rsid w:val="00CC5D36"/>
    <w:rsid w:val="00CC5D3A"/>
    <w:rsid w:val="00CC5D95"/>
    <w:rsid w:val="00CC63A7"/>
    <w:rsid w:val="00CC6427"/>
    <w:rsid w:val="00CC652D"/>
    <w:rsid w:val="00CC6717"/>
    <w:rsid w:val="00CC6900"/>
    <w:rsid w:val="00CC691B"/>
    <w:rsid w:val="00CC6B5B"/>
    <w:rsid w:val="00CC6B97"/>
    <w:rsid w:val="00CC6C5C"/>
    <w:rsid w:val="00CC6D3F"/>
    <w:rsid w:val="00CC6EC3"/>
    <w:rsid w:val="00CC70EB"/>
    <w:rsid w:val="00CC7185"/>
    <w:rsid w:val="00CC71ED"/>
    <w:rsid w:val="00CC7248"/>
    <w:rsid w:val="00CC7271"/>
    <w:rsid w:val="00CC738F"/>
    <w:rsid w:val="00CC73A7"/>
    <w:rsid w:val="00CC73AC"/>
    <w:rsid w:val="00CC73D3"/>
    <w:rsid w:val="00CC74A5"/>
    <w:rsid w:val="00CC7512"/>
    <w:rsid w:val="00CC757F"/>
    <w:rsid w:val="00CC767A"/>
    <w:rsid w:val="00CC76AB"/>
    <w:rsid w:val="00CC76DB"/>
    <w:rsid w:val="00CC778F"/>
    <w:rsid w:val="00CC78A2"/>
    <w:rsid w:val="00CC7A88"/>
    <w:rsid w:val="00CC7D3D"/>
    <w:rsid w:val="00CC7EC5"/>
    <w:rsid w:val="00CC7ED3"/>
    <w:rsid w:val="00CD00F7"/>
    <w:rsid w:val="00CD018A"/>
    <w:rsid w:val="00CD0197"/>
    <w:rsid w:val="00CD02E7"/>
    <w:rsid w:val="00CD033C"/>
    <w:rsid w:val="00CD043A"/>
    <w:rsid w:val="00CD0468"/>
    <w:rsid w:val="00CD046A"/>
    <w:rsid w:val="00CD04BE"/>
    <w:rsid w:val="00CD04CF"/>
    <w:rsid w:val="00CD054D"/>
    <w:rsid w:val="00CD094B"/>
    <w:rsid w:val="00CD0C25"/>
    <w:rsid w:val="00CD0D6E"/>
    <w:rsid w:val="00CD10DA"/>
    <w:rsid w:val="00CD12D3"/>
    <w:rsid w:val="00CD1538"/>
    <w:rsid w:val="00CD16E3"/>
    <w:rsid w:val="00CD1808"/>
    <w:rsid w:val="00CD1A46"/>
    <w:rsid w:val="00CD1B30"/>
    <w:rsid w:val="00CD1C00"/>
    <w:rsid w:val="00CD1C0D"/>
    <w:rsid w:val="00CD1D5E"/>
    <w:rsid w:val="00CD2037"/>
    <w:rsid w:val="00CD21D7"/>
    <w:rsid w:val="00CD2249"/>
    <w:rsid w:val="00CD232F"/>
    <w:rsid w:val="00CD23DF"/>
    <w:rsid w:val="00CD2509"/>
    <w:rsid w:val="00CD26AC"/>
    <w:rsid w:val="00CD28D8"/>
    <w:rsid w:val="00CD28FC"/>
    <w:rsid w:val="00CD29D3"/>
    <w:rsid w:val="00CD2B85"/>
    <w:rsid w:val="00CD2BF6"/>
    <w:rsid w:val="00CD2D1E"/>
    <w:rsid w:val="00CD2D2A"/>
    <w:rsid w:val="00CD2E08"/>
    <w:rsid w:val="00CD2FAB"/>
    <w:rsid w:val="00CD301C"/>
    <w:rsid w:val="00CD30ED"/>
    <w:rsid w:val="00CD31AF"/>
    <w:rsid w:val="00CD3312"/>
    <w:rsid w:val="00CD3462"/>
    <w:rsid w:val="00CD3491"/>
    <w:rsid w:val="00CD365A"/>
    <w:rsid w:val="00CD3763"/>
    <w:rsid w:val="00CD37EA"/>
    <w:rsid w:val="00CD3893"/>
    <w:rsid w:val="00CD39AE"/>
    <w:rsid w:val="00CD39C5"/>
    <w:rsid w:val="00CD3A82"/>
    <w:rsid w:val="00CD3D28"/>
    <w:rsid w:val="00CD3DFD"/>
    <w:rsid w:val="00CD3E99"/>
    <w:rsid w:val="00CD3F5D"/>
    <w:rsid w:val="00CD41A6"/>
    <w:rsid w:val="00CD41D3"/>
    <w:rsid w:val="00CD4287"/>
    <w:rsid w:val="00CD4360"/>
    <w:rsid w:val="00CD446B"/>
    <w:rsid w:val="00CD44A6"/>
    <w:rsid w:val="00CD4605"/>
    <w:rsid w:val="00CD485B"/>
    <w:rsid w:val="00CD492B"/>
    <w:rsid w:val="00CD4AAE"/>
    <w:rsid w:val="00CD4C26"/>
    <w:rsid w:val="00CD4C9C"/>
    <w:rsid w:val="00CD4CBA"/>
    <w:rsid w:val="00CD4DF8"/>
    <w:rsid w:val="00CD4F54"/>
    <w:rsid w:val="00CD51FB"/>
    <w:rsid w:val="00CD53F5"/>
    <w:rsid w:val="00CD54E3"/>
    <w:rsid w:val="00CD5500"/>
    <w:rsid w:val="00CD550E"/>
    <w:rsid w:val="00CD565E"/>
    <w:rsid w:val="00CD56D0"/>
    <w:rsid w:val="00CD5739"/>
    <w:rsid w:val="00CD5898"/>
    <w:rsid w:val="00CD58A3"/>
    <w:rsid w:val="00CD5932"/>
    <w:rsid w:val="00CD59F8"/>
    <w:rsid w:val="00CD5A84"/>
    <w:rsid w:val="00CD5C2F"/>
    <w:rsid w:val="00CD5C4F"/>
    <w:rsid w:val="00CD5CB7"/>
    <w:rsid w:val="00CD5E9A"/>
    <w:rsid w:val="00CD6039"/>
    <w:rsid w:val="00CD627F"/>
    <w:rsid w:val="00CD63AE"/>
    <w:rsid w:val="00CD651E"/>
    <w:rsid w:val="00CD670A"/>
    <w:rsid w:val="00CD67F8"/>
    <w:rsid w:val="00CD6B0B"/>
    <w:rsid w:val="00CD6B39"/>
    <w:rsid w:val="00CD6B46"/>
    <w:rsid w:val="00CD6DE7"/>
    <w:rsid w:val="00CD6F55"/>
    <w:rsid w:val="00CD6FA2"/>
    <w:rsid w:val="00CD6FA8"/>
    <w:rsid w:val="00CD704A"/>
    <w:rsid w:val="00CD7105"/>
    <w:rsid w:val="00CD7116"/>
    <w:rsid w:val="00CD7139"/>
    <w:rsid w:val="00CD7151"/>
    <w:rsid w:val="00CD729E"/>
    <w:rsid w:val="00CD730F"/>
    <w:rsid w:val="00CD7325"/>
    <w:rsid w:val="00CD73FA"/>
    <w:rsid w:val="00CD7408"/>
    <w:rsid w:val="00CD741B"/>
    <w:rsid w:val="00CD756B"/>
    <w:rsid w:val="00CD75DF"/>
    <w:rsid w:val="00CD75FB"/>
    <w:rsid w:val="00CD76A0"/>
    <w:rsid w:val="00CD76AC"/>
    <w:rsid w:val="00CD7758"/>
    <w:rsid w:val="00CD7815"/>
    <w:rsid w:val="00CD783F"/>
    <w:rsid w:val="00CD7848"/>
    <w:rsid w:val="00CD7975"/>
    <w:rsid w:val="00CD79B9"/>
    <w:rsid w:val="00CD79DD"/>
    <w:rsid w:val="00CD79F9"/>
    <w:rsid w:val="00CD7A03"/>
    <w:rsid w:val="00CD7A21"/>
    <w:rsid w:val="00CD7B85"/>
    <w:rsid w:val="00CD7C35"/>
    <w:rsid w:val="00CD7CB6"/>
    <w:rsid w:val="00CD7CF2"/>
    <w:rsid w:val="00CD7DD0"/>
    <w:rsid w:val="00CD7DE8"/>
    <w:rsid w:val="00CD7EB9"/>
    <w:rsid w:val="00CD7FD7"/>
    <w:rsid w:val="00CE006D"/>
    <w:rsid w:val="00CE00C0"/>
    <w:rsid w:val="00CE036B"/>
    <w:rsid w:val="00CE0734"/>
    <w:rsid w:val="00CE07BB"/>
    <w:rsid w:val="00CE08C4"/>
    <w:rsid w:val="00CE0925"/>
    <w:rsid w:val="00CE0C40"/>
    <w:rsid w:val="00CE0D2C"/>
    <w:rsid w:val="00CE12F1"/>
    <w:rsid w:val="00CE1353"/>
    <w:rsid w:val="00CE15C3"/>
    <w:rsid w:val="00CE162F"/>
    <w:rsid w:val="00CE16F5"/>
    <w:rsid w:val="00CE17A5"/>
    <w:rsid w:val="00CE17A8"/>
    <w:rsid w:val="00CE1891"/>
    <w:rsid w:val="00CE18E4"/>
    <w:rsid w:val="00CE18E5"/>
    <w:rsid w:val="00CE1AC2"/>
    <w:rsid w:val="00CE1B38"/>
    <w:rsid w:val="00CE1B49"/>
    <w:rsid w:val="00CE1BB1"/>
    <w:rsid w:val="00CE1C4C"/>
    <w:rsid w:val="00CE1CCC"/>
    <w:rsid w:val="00CE1D2A"/>
    <w:rsid w:val="00CE1E6D"/>
    <w:rsid w:val="00CE1F26"/>
    <w:rsid w:val="00CE1FCF"/>
    <w:rsid w:val="00CE201F"/>
    <w:rsid w:val="00CE225E"/>
    <w:rsid w:val="00CE22DB"/>
    <w:rsid w:val="00CE234C"/>
    <w:rsid w:val="00CE2613"/>
    <w:rsid w:val="00CE2792"/>
    <w:rsid w:val="00CE2839"/>
    <w:rsid w:val="00CE2851"/>
    <w:rsid w:val="00CE28CE"/>
    <w:rsid w:val="00CE2A5E"/>
    <w:rsid w:val="00CE2A8D"/>
    <w:rsid w:val="00CE2D3E"/>
    <w:rsid w:val="00CE2F90"/>
    <w:rsid w:val="00CE2FD7"/>
    <w:rsid w:val="00CE3205"/>
    <w:rsid w:val="00CE3597"/>
    <w:rsid w:val="00CE36EF"/>
    <w:rsid w:val="00CE3899"/>
    <w:rsid w:val="00CE38FB"/>
    <w:rsid w:val="00CE39BC"/>
    <w:rsid w:val="00CE3AE9"/>
    <w:rsid w:val="00CE3B15"/>
    <w:rsid w:val="00CE3CAF"/>
    <w:rsid w:val="00CE3DC6"/>
    <w:rsid w:val="00CE3E4D"/>
    <w:rsid w:val="00CE3E86"/>
    <w:rsid w:val="00CE3EBD"/>
    <w:rsid w:val="00CE3F1A"/>
    <w:rsid w:val="00CE3FC1"/>
    <w:rsid w:val="00CE403E"/>
    <w:rsid w:val="00CE4091"/>
    <w:rsid w:val="00CE40B0"/>
    <w:rsid w:val="00CE428A"/>
    <w:rsid w:val="00CE42DE"/>
    <w:rsid w:val="00CE4378"/>
    <w:rsid w:val="00CE44DD"/>
    <w:rsid w:val="00CE46AD"/>
    <w:rsid w:val="00CE476D"/>
    <w:rsid w:val="00CE47B1"/>
    <w:rsid w:val="00CE47C5"/>
    <w:rsid w:val="00CE486E"/>
    <w:rsid w:val="00CE4AC7"/>
    <w:rsid w:val="00CE4B97"/>
    <w:rsid w:val="00CE4BF7"/>
    <w:rsid w:val="00CE4C04"/>
    <w:rsid w:val="00CE4D0D"/>
    <w:rsid w:val="00CE4D58"/>
    <w:rsid w:val="00CE4D96"/>
    <w:rsid w:val="00CE4E06"/>
    <w:rsid w:val="00CE4F8F"/>
    <w:rsid w:val="00CE5045"/>
    <w:rsid w:val="00CE50FD"/>
    <w:rsid w:val="00CE53AE"/>
    <w:rsid w:val="00CE5690"/>
    <w:rsid w:val="00CE571F"/>
    <w:rsid w:val="00CE5A4B"/>
    <w:rsid w:val="00CE5B2B"/>
    <w:rsid w:val="00CE5C3C"/>
    <w:rsid w:val="00CE5E17"/>
    <w:rsid w:val="00CE60F8"/>
    <w:rsid w:val="00CE62B0"/>
    <w:rsid w:val="00CE62DF"/>
    <w:rsid w:val="00CE638B"/>
    <w:rsid w:val="00CE657C"/>
    <w:rsid w:val="00CE65D9"/>
    <w:rsid w:val="00CE6630"/>
    <w:rsid w:val="00CE6669"/>
    <w:rsid w:val="00CE66E5"/>
    <w:rsid w:val="00CE67D0"/>
    <w:rsid w:val="00CE6AFC"/>
    <w:rsid w:val="00CE6B40"/>
    <w:rsid w:val="00CE6C62"/>
    <w:rsid w:val="00CE6CE9"/>
    <w:rsid w:val="00CE6DBB"/>
    <w:rsid w:val="00CE6E79"/>
    <w:rsid w:val="00CE6F69"/>
    <w:rsid w:val="00CE743E"/>
    <w:rsid w:val="00CE74D0"/>
    <w:rsid w:val="00CE752F"/>
    <w:rsid w:val="00CE7589"/>
    <w:rsid w:val="00CE7678"/>
    <w:rsid w:val="00CE76A1"/>
    <w:rsid w:val="00CE778E"/>
    <w:rsid w:val="00CE77E3"/>
    <w:rsid w:val="00CE799D"/>
    <w:rsid w:val="00CE7B47"/>
    <w:rsid w:val="00CE7C0D"/>
    <w:rsid w:val="00CE7F93"/>
    <w:rsid w:val="00CF004C"/>
    <w:rsid w:val="00CF0243"/>
    <w:rsid w:val="00CF047B"/>
    <w:rsid w:val="00CF05B8"/>
    <w:rsid w:val="00CF05C8"/>
    <w:rsid w:val="00CF05EC"/>
    <w:rsid w:val="00CF0636"/>
    <w:rsid w:val="00CF069D"/>
    <w:rsid w:val="00CF0746"/>
    <w:rsid w:val="00CF08B5"/>
    <w:rsid w:val="00CF092C"/>
    <w:rsid w:val="00CF0937"/>
    <w:rsid w:val="00CF0A1F"/>
    <w:rsid w:val="00CF0B12"/>
    <w:rsid w:val="00CF0C6C"/>
    <w:rsid w:val="00CF0CD8"/>
    <w:rsid w:val="00CF0FDA"/>
    <w:rsid w:val="00CF111B"/>
    <w:rsid w:val="00CF14E0"/>
    <w:rsid w:val="00CF1544"/>
    <w:rsid w:val="00CF1743"/>
    <w:rsid w:val="00CF1753"/>
    <w:rsid w:val="00CF1805"/>
    <w:rsid w:val="00CF1A43"/>
    <w:rsid w:val="00CF1DFF"/>
    <w:rsid w:val="00CF1F06"/>
    <w:rsid w:val="00CF2240"/>
    <w:rsid w:val="00CF230F"/>
    <w:rsid w:val="00CF2384"/>
    <w:rsid w:val="00CF2470"/>
    <w:rsid w:val="00CF24E0"/>
    <w:rsid w:val="00CF2553"/>
    <w:rsid w:val="00CF2712"/>
    <w:rsid w:val="00CF282D"/>
    <w:rsid w:val="00CF28C6"/>
    <w:rsid w:val="00CF2AA5"/>
    <w:rsid w:val="00CF2DB6"/>
    <w:rsid w:val="00CF2DF1"/>
    <w:rsid w:val="00CF303C"/>
    <w:rsid w:val="00CF30FA"/>
    <w:rsid w:val="00CF3192"/>
    <w:rsid w:val="00CF31F8"/>
    <w:rsid w:val="00CF3281"/>
    <w:rsid w:val="00CF333C"/>
    <w:rsid w:val="00CF33D0"/>
    <w:rsid w:val="00CF33F7"/>
    <w:rsid w:val="00CF3428"/>
    <w:rsid w:val="00CF34D3"/>
    <w:rsid w:val="00CF34DC"/>
    <w:rsid w:val="00CF358F"/>
    <w:rsid w:val="00CF3600"/>
    <w:rsid w:val="00CF36B4"/>
    <w:rsid w:val="00CF3710"/>
    <w:rsid w:val="00CF37D6"/>
    <w:rsid w:val="00CF3CF2"/>
    <w:rsid w:val="00CF3FC4"/>
    <w:rsid w:val="00CF3FDC"/>
    <w:rsid w:val="00CF3FEF"/>
    <w:rsid w:val="00CF4062"/>
    <w:rsid w:val="00CF4338"/>
    <w:rsid w:val="00CF4341"/>
    <w:rsid w:val="00CF43DC"/>
    <w:rsid w:val="00CF44C1"/>
    <w:rsid w:val="00CF45C1"/>
    <w:rsid w:val="00CF4668"/>
    <w:rsid w:val="00CF4735"/>
    <w:rsid w:val="00CF4838"/>
    <w:rsid w:val="00CF490F"/>
    <w:rsid w:val="00CF4946"/>
    <w:rsid w:val="00CF4A89"/>
    <w:rsid w:val="00CF4BA8"/>
    <w:rsid w:val="00CF4D1C"/>
    <w:rsid w:val="00CF4FD5"/>
    <w:rsid w:val="00CF5017"/>
    <w:rsid w:val="00CF5034"/>
    <w:rsid w:val="00CF51BB"/>
    <w:rsid w:val="00CF5220"/>
    <w:rsid w:val="00CF52C9"/>
    <w:rsid w:val="00CF540E"/>
    <w:rsid w:val="00CF54E5"/>
    <w:rsid w:val="00CF5524"/>
    <w:rsid w:val="00CF572E"/>
    <w:rsid w:val="00CF5764"/>
    <w:rsid w:val="00CF594B"/>
    <w:rsid w:val="00CF5C55"/>
    <w:rsid w:val="00CF5D8F"/>
    <w:rsid w:val="00CF5DF8"/>
    <w:rsid w:val="00CF5E32"/>
    <w:rsid w:val="00CF5E6E"/>
    <w:rsid w:val="00CF5EE7"/>
    <w:rsid w:val="00CF60CB"/>
    <w:rsid w:val="00CF60E0"/>
    <w:rsid w:val="00CF61B7"/>
    <w:rsid w:val="00CF61C4"/>
    <w:rsid w:val="00CF6263"/>
    <w:rsid w:val="00CF6301"/>
    <w:rsid w:val="00CF6398"/>
    <w:rsid w:val="00CF63D5"/>
    <w:rsid w:val="00CF6421"/>
    <w:rsid w:val="00CF653E"/>
    <w:rsid w:val="00CF65AB"/>
    <w:rsid w:val="00CF6982"/>
    <w:rsid w:val="00CF6A9D"/>
    <w:rsid w:val="00CF6C0A"/>
    <w:rsid w:val="00CF6C10"/>
    <w:rsid w:val="00CF6D0D"/>
    <w:rsid w:val="00CF6D1A"/>
    <w:rsid w:val="00CF6F8E"/>
    <w:rsid w:val="00CF6FEA"/>
    <w:rsid w:val="00CF7042"/>
    <w:rsid w:val="00CF7047"/>
    <w:rsid w:val="00CF70EF"/>
    <w:rsid w:val="00CF7184"/>
    <w:rsid w:val="00CF723E"/>
    <w:rsid w:val="00CF73EB"/>
    <w:rsid w:val="00CF7594"/>
    <w:rsid w:val="00CF767B"/>
    <w:rsid w:val="00CF76EE"/>
    <w:rsid w:val="00CF7736"/>
    <w:rsid w:val="00CF77A0"/>
    <w:rsid w:val="00CF7889"/>
    <w:rsid w:val="00CF78B7"/>
    <w:rsid w:val="00CF792D"/>
    <w:rsid w:val="00CF7A04"/>
    <w:rsid w:val="00CF7CB0"/>
    <w:rsid w:val="00CF7D71"/>
    <w:rsid w:val="00CF7EF8"/>
    <w:rsid w:val="00CF7F33"/>
    <w:rsid w:val="00D00068"/>
    <w:rsid w:val="00D002A5"/>
    <w:rsid w:val="00D00368"/>
    <w:rsid w:val="00D0047E"/>
    <w:rsid w:val="00D004C2"/>
    <w:rsid w:val="00D004C4"/>
    <w:rsid w:val="00D0060A"/>
    <w:rsid w:val="00D0065C"/>
    <w:rsid w:val="00D00A4D"/>
    <w:rsid w:val="00D00A78"/>
    <w:rsid w:val="00D00AAE"/>
    <w:rsid w:val="00D00D28"/>
    <w:rsid w:val="00D00E5B"/>
    <w:rsid w:val="00D00E6F"/>
    <w:rsid w:val="00D011BB"/>
    <w:rsid w:val="00D012E8"/>
    <w:rsid w:val="00D012F4"/>
    <w:rsid w:val="00D013F2"/>
    <w:rsid w:val="00D014AB"/>
    <w:rsid w:val="00D016A2"/>
    <w:rsid w:val="00D01758"/>
    <w:rsid w:val="00D0195A"/>
    <w:rsid w:val="00D01B08"/>
    <w:rsid w:val="00D01B5E"/>
    <w:rsid w:val="00D01CD2"/>
    <w:rsid w:val="00D01D54"/>
    <w:rsid w:val="00D01EB0"/>
    <w:rsid w:val="00D01F6B"/>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70"/>
    <w:rsid w:val="00D02C55"/>
    <w:rsid w:val="00D02CA7"/>
    <w:rsid w:val="00D02CDC"/>
    <w:rsid w:val="00D02D34"/>
    <w:rsid w:val="00D02DB5"/>
    <w:rsid w:val="00D02DE6"/>
    <w:rsid w:val="00D02FB2"/>
    <w:rsid w:val="00D0314E"/>
    <w:rsid w:val="00D032BB"/>
    <w:rsid w:val="00D03346"/>
    <w:rsid w:val="00D034D7"/>
    <w:rsid w:val="00D0350E"/>
    <w:rsid w:val="00D0351F"/>
    <w:rsid w:val="00D03595"/>
    <w:rsid w:val="00D03652"/>
    <w:rsid w:val="00D03659"/>
    <w:rsid w:val="00D036BB"/>
    <w:rsid w:val="00D03726"/>
    <w:rsid w:val="00D03779"/>
    <w:rsid w:val="00D03825"/>
    <w:rsid w:val="00D039A6"/>
    <w:rsid w:val="00D03B7A"/>
    <w:rsid w:val="00D03C6E"/>
    <w:rsid w:val="00D03C86"/>
    <w:rsid w:val="00D03D23"/>
    <w:rsid w:val="00D03DCF"/>
    <w:rsid w:val="00D03FE0"/>
    <w:rsid w:val="00D03FE7"/>
    <w:rsid w:val="00D0418D"/>
    <w:rsid w:val="00D04192"/>
    <w:rsid w:val="00D042AE"/>
    <w:rsid w:val="00D04308"/>
    <w:rsid w:val="00D04350"/>
    <w:rsid w:val="00D04440"/>
    <w:rsid w:val="00D04455"/>
    <w:rsid w:val="00D045B9"/>
    <w:rsid w:val="00D045C5"/>
    <w:rsid w:val="00D046B3"/>
    <w:rsid w:val="00D046BF"/>
    <w:rsid w:val="00D04802"/>
    <w:rsid w:val="00D04938"/>
    <w:rsid w:val="00D049BE"/>
    <w:rsid w:val="00D04A0E"/>
    <w:rsid w:val="00D04AAC"/>
    <w:rsid w:val="00D04BB8"/>
    <w:rsid w:val="00D04D0D"/>
    <w:rsid w:val="00D04DAB"/>
    <w:rsid w:val="00D04E42"/>
    <w:rsid w:val="00D04E5E"/>
    <w:rsid w:val="00D04FFD"/>
    <w:rsid w:val="00D051D5"/>
    <w:rsid w:val="00D05301"/>
    <w:rsid w:val="00D05447"/>
    <w:rsid w:val="00D0551A"/>
    <w:rsid w:val="00D0579A"/>
    <w:rsid w:val="00D0579C"/>
    <w:rsid w:val="00D0584E"/>
    <w:rsid w:val="00D05897"/>
    <w:rsid w:val="00D05900"/>
    <w:rsid w:val="00D05A6D"/>
    <w:rsid w:val="00D05A90"/>
    <w:rsid w:val="00D05DF7"/>
    <w:rsid w:val="00D05E2F"/>
    <w:rsid w:val="00D05EA3"/>
    <w:rsid w:val="00D05FB9"/>
    <w:rsid w:val="00D060F4"/>
    <w:rsid w:val="00D06133"/>
    <w:rsid w:val="00D062F2"/>
    <w:rsid w:val="00D0635B"/>
    <w:rsid w:val="00D06379"/>
    <w:rsid w:val="00D063EA"/>
    <w:rsid w:val="00D06414"/>
    <w:rsid w:val="00D06427"/>
    <w:rsid w:val="00D06462"/>
    <w:rsid w:val="00D06695"/>
    <w:rsid w:val="00D0694B"/>
    <w:rsid w:val="00D06A64"/>
    <w:rsid w:val="00D06C8E"/>
    <w:rsid w:val="00D06CBF"/>
    <w:rsid w:val="00D06D0B"/>
    <w:rsid w:val="00D06E1F"/>
    <w:rsid w:val="00D06ED0"/>
    <w:rsid w:val="00D07095"/>
    <w:rsid w:val="00D070D9"/>
    <w:rsid w:val="00D0726F"/>
    <w:rsid w:val="00D073A0"/>
    <w:rsid w:val="00D073E2"/>
    <w:rsid w:val="00D073FF"/>
    <w:rsid w:val="00D074A8"/>
    <w:rsid w:val="00D07923"/>
    <w:rsid w:val="00D0794F"/>
    <w:rsid w:val="00D079CF"/>
    <w:rsid w:val="00D07A79"/>
    <w:rsid w:val="00D07B9B"/>
    <w:rsid w:val="00D07D40"/>
    <w:rsid w:val="00D07E61"/>
    <w:rsid w:val="00D07F84"/>
    <w:rsid w:val="00D07FC5"/>
    <w:rsid w:val="00D07FC6"/>
    <w:rsid w:val="00D1032B"/>
    <w:rsid w:val="00D106E4"/>
    <w:rsid w:val="00D107D4"/>
    <w:rsid w:val="00D10A8C"/>
    <w:rsid w:val="00D10C8B"/>
    <w:rsid w:val="00D10DC3"/>
    <w:rsid w:val="00D10F9B"/>
    <w:rsid w:val="00D11010"/>
    <w:rsid w:val="00D1113E"/>
    <w:rsid w:val="00D111E8"/>
    <w:rsid w:val="00D11294"/>
    <w:rsid w:val="00D1149A"/>
    <w:rsid w:val="00D1160D"/>
    <w:rsid w:val="00D1199E"/>
    <w:rsid w:val="00D11A4B"/>
    <w:rsid w:val="00D11A9F"/>
    <w:rsid w:val="00D11B9A"/>
    <w:rsid w:val="00D11BFC"/>
    <w:rsid w:val="00D11D07"/>
    <w:rsid w:val="00D11DB8"/>
    <w:rsid w:val="00D11E90"/>
    <w:rsid w:val="00D11EB9"/>
    <w:rsid w:val="00D11ED2"/>
    <w:rsid w:val="00D1201F"/>
    <w:rsid w:val="00D12086"/>
    <w:rsid w:val="00D121A2"/>
    <w:rsid w:val="00D1220D"/>
    <w:rsid w:val="00D12245"/>
    <w:rsid w:val="00D12267"/>
    <w:rsid w:val="00D12386"/>
    <w:rsid w:val="00D123D8"/>
    <w:rsid w:val="00D12466"/>
    <w:rsid w:val="00D1249C"/>
    <w:rsid w:val="00D124AC"/>
    <w:rsid w:val="00D1253A"/>
    <w:rsid w:val="00D125DA"/>
    <w:rsid w:val="00D126D5"/>
    <w:rsid w:val="00D12725"/>
    <w:rsid w:val="00D12755"/>
    <w:rsid w:val="00D127C6"/>
    <w:rsid w:val="00D128E5"/>
    <w:rsid w:val="00D12934"/>
    <w:rsid w:val="00D129BB"/>
    <w:rsid w:val="00D12A96"/>
    <w:rsid w:val="00D12AD9"/>
    <w:rsid w:val="00D12BDE"/>
    <w:rsid w:val="00D12F06"/>
    <w:rsid w:val="00D12F93"/>
    <w:rsid w:val="00D13080"/>
    <w:rsid w:val="00D132F1"/>
    <w:rsid w:val="00D13379"/>
    <w:rsid w:val="00D1339F"/>
    <w:rsid w:val="00D133C6"/>
    <w:rsid w:val="00D133E5"/>
    <w:rsid w:val="00D13478"/>
    <w:rsid w:val="00D13511"/>
    <w:rsid w:val="00D13548"/>
    <w:rsid w:val="00D135FF"/>
    <w:rsid w:val="00D136AB"/>
    <w:rsid w:val="00D13756"/>
    <w:rsid w:val="00D13822"/>
    <w:rsid w:val="00D13851"/>
    <w:rsid w:val="00D13AE0"/>
    <w:rsid w:val="00D13B95"/>
    <w:rsid w:val="00D13BF2"/>
    <w:rsid w:val="00D13C15"/>
    <w:rsid w:val="00D13C23"/>
    <w:rsid w:val="00D13DBA"/>
    <w:rsid w:val="00D13F02"/>
    <w:rsid w:val="00D13F1B"/>
    <w:rsid w:val="00D13F71"/>
    <w:rsid w:val="00D13FF8"/>
    <w:rsid w:val="00D1404A"/>
    <w:rsid w:val="00D1409D"/>
    <w:rsid w:val="00D140C8"/>
    <w:rsid w:val="00D14124"/>
    <w:rsid w:val="00D14168"/>
    <w:rsid w:val="00D141B4"/>
    <w:rsid w:val="00D143B9"/>
    <w:rsid w:val="00D143D5"/>
    <w:rsid w:val="00D143FD"/>
    <w:rsid w:val="00D1446B"/>
    <w:rsid w:val="00D14554"/>
    <w:rsid w:val="00D145BB"/>
    <w:rsid w:val="00D145FF"/>
    <w:rsid w:val="00D146A7"/>
    <w:rsid w:val="00D1482B"/>
    <w:rsid w:val="00D14845"/>
    <w:rsid w:val="00D1489F"/>
    <w:rsid w:val="00D148E3"/>
    <w:rsid w:val="00D14A07"/>
    <w:rsid w:val="00D14AE3"/>
    <w:rsid w:val="00D14B46"/>
    <w:rsid w:val="00D14CB8"/>
    <w:rsid w:val="00D14D03"/>
    <w:rsid w:val="00D14ED7"/>
    <w:rsid w:val="00D14F64"/>
    <w:rsid w:val="00D150C4"/>
    <w:rsid w:val="00D150D3"/>
    <w:rsid w:val="00D151EB"/>
    <w:rsid w:val="00D151F3"/>
    <w:rsid w:val="00D15692"/>
    <w:rsid w:val="00D156A6"/>
    <w:rsid w:val="00D15754"/>
    <w:rsid w:val="00D157B7"/>
    <w:rsid w:val="00D15945"/>
    <w:rsid w:val="00D159E7"/>
    <w:rsid w:val="00D15AE2"/>
    <w:rsid w:val="00D15F3D"/>
    <w:rsid w:val="00D1607C"/>
    <w:rsid w:val="00D16163"/>
    <w:rsid w:val="00D161DD"/>
    <w:rsid w:val="00D1621F"/>
    <w:rsid w:val="00D16265"/>
    <w:rsid w:val="00D1647A"/>
    <w:rsid w:val="00D16544"/>
    <w:rsid w:val="00D16596"/>
    <w:rsid w:val="00D16618"/>
    <w:rsid w:val="00D1673D"/>
    <w:rsid w:val="00D16811"/>
    <w:rsid w:val="00D16821"/>
    <w:rsid w:val="00D16826"/>
    <w:rsid w:val="00D168C6"/>
    <w:rsid w:val="00D16AAC"/>
    <w:rsid w:val="00D16AD2"/>
    <w:rsid w:val="00D16B98"/>
    <w:rsid w:val="00D16C50"/>
    <w:rsid w:val="00D16C96"/>
    <w:rsid w:val="00D16CEE"/>
    <w:rsid w:val="00D16D02"/>
    <w:rsid w:val="00D16DA1"/>
    <w:rsid w:val="00D16DD4"/>
    <w:rsid w:val="00D16DE3"/>
    <w:rsid w:val="00D16E8F"/>
    <w:rsid w:val="00D170B3"/>
    <w:rsid w:val="00D17172"/>
    <w:rsid w:val="00D1729B"/>
    <w:rsid w:val="00D1738C"/>
    <w:rsid w:val="00D17496"/>
    <w:rsid w:val="00D174C9"/>
    <w:rsid w:val="00D17705"/>
    <w:rsid w:val="00D17888"/>
    <w:rsid w:val="00D1790E"/>
    <w:rsid w:val="00D17A12"/>
    <w:rsid w:val="00D17C4C"/>
    <w:rsid w:val="00D17C67"/>
    <w:rsid w:val="00D17C6E"/>
    <w:rsid w:val="00D17D97"/>
    <w:rsid w:val="00D17E50"/>
    <w:rsid w:val="00D17F55"/>
    <w:rsid w:val="00D17F73"/>
    <w:rsid w:val="00D17FAD"/>
    <w:rsid w:val="00D20203"/>
    <w:rsid w:val="00D2034B"/>
    <w:rsid w:val="00D2044D"/>
    <w:rsid w:val="00D20509"/>
    <w:rsid w:val="00D20610"/>
    <w:rsid w:val="00D2073C"/>
    <w:rsid w:val="00D20812"/>
    <w:rsid w:val="00D20887"/>
    <w:rsid w:val="00D20921"/>
    <w:rsid w:val="00D209D4"/>
    <w:rsid w:val="00D20AA8"/>
    <w:rsid w:val="00D20ACF"/>
    <w:rsid w:val="00D20C1E"/>
    <w:rsid w:val="00D20C4A"/>
    <w:rsid w:val="00D20CB5"/>
    <w:rsid w:val="00D20CF7"/>
    <w:rsid w:val="00D20D09"/>
    <w:rsid w:val="00D20EFB"/>
    <w:rsid w:val="00D210A0"/>
    <w:rsid w:val="00D21105"/>
    <w:rsid w:val="00D21133"/>
    <w:rsid w:val="00D21450"/>
    <w:rsid w:val="00D21528"/>
    <w:rsid w:val="00D21548"/>
    <w:rsid w:val="00D21878"/>
    <w:rsid w:val="00D21911"/>
    <w:rsid w:val="00D21950"/>
    <w:rsid w:val="00D21955"/>
    <w:rsid w:val="00D219F0"/>
    <w:rsid w:val="00D21A26"/>
    <w:rsid w:val="00D21A56"/>
    <w:rsid w:val="00D21B51"/>
    <w:rsid w:val="00D21BBD"/>
    <w:rsid w:val="00D21C7A"/>
    <w:rsid w:val="00D21D52"/>
    <w:rsid w:val="00D21F62"/>
    <w:rsid w:val="00D22100"/>
    <w:rsid w:val="00D22387"/>
    <w:rsid w:val="00D22431"/>
    <w:rsid w:val="00D2257D"/>
    <w:rsid w:val="00D225A0"/>
    <w:rsid w:val="00D2260A"/>
    <w:rsid w:val="00D2261A"/>
    <w:rsid w:val="00D226C4"/>
    <w:rsid w:val="00D226D4"/>
    <w:rsid w:val="00D226DD"/>
    <w:rsid w:val="00D22731"/>
    <w:rsid w:val="00D227E5"/>
    <w:rsid w:val="00D228A4"/>
    <w:rsid w:val="00D22B77"/>
    <w:rsid w:val="00D22C0F"/>
    <w:rsid w:val="00D22D28"/>
    <w:rsid w:val="00D22D76"/>
    <w:rsid w:val="00D22F5A"/>
    <w:rsid w:val="00D22F84"/>
    <w:rsid w:val="00D230A2"/>
    <w:rsid w:val="00D230A7"/>
    <w:rsid w:val="00D2310F"/>
    <w:rsid w:val="00D23370"/>
    <w:rsid w:val="00D23468"/>
    <w:rsid w:val="00D23518"/>
    <w:rsid w:val="00D23706"/>
    <w:rsid w:val="00D23783"/>
    <w:rsid w:val="00D2382C"/>
    <w:rsid w:val="00D23B53"/>
    <w:rsid w:val="00D23B5F"/>
    <w:rsid w:val="00D23C5B"/>
    <w:rsid w:val="00D23D8F"/>
    <w:rsid w:val="00D23EB2"/>
    <w:rsid w:val="00D23EB8"/>
    <w:rsid w:val="00D2406A"/>
    <w:rsid w:val="00D2416D"/>
    <w:rsid w:val="00D241FE"/>
    <w:rsid w:val="00D242D7"/>
    <w:rsid w:val="00D242F5"/>
    <w:rsid w:val="00D2432D"/>
    <w:rsid w:val="00D24530"/>
    <w:rsid w:val="00D24542"/>
    <w:rsid w:val="00D2488A"/>
    <w:rsid w:val="00D24991"/>
    <w:rsid w:val="00D250B0"/>
    <w:rsid w:val="00D25123"/>
    <w:rsid w:val="00D25356"/>
    <w:rsid w:val="00D253E2"/>
    <w:rsid w:val="00D256C0"/>
    <w:rsid w:val="00D256E4"/>
    <w:rsid w:val="00D2589C"/>
    <w:rsid w:val="00D2598A"/>
    <w:rsid w:val="00D25D27"/>
    <w:rsid w:val="00D25D5A"/>
    <w:rsid w:val="00D25E47"/>
    <w:rsid w:val="00D25ED2"/>
    <w:rsid w:val="00D25EFD"/>
    <w:rsid w:val="00D25F37"/>
    <w:rsid w:val="00D25F3D"/>
    <w:rsid w:val="00D25FA6"/>
    <w:rsid w:val="00D25FD0"/>
    <w:rsid w:val="00D26137"/>
    <w:rsid w:val="00D26142"/>
    <w:rsid w:val="00D26217"/>
    <w:rsid w:val="00D26221"/>
    <w:rsid w:val="00D26398"/>
    <w:rsid w:val="00D263A1"/>
    <w:rsid w:val="00D263EB"/>
    <w:rsid w:val="00D26450"/>
    <w:rsid w:val="00D265DA"/>
    <w:rsid w:val="00D26879"/>
    <w:rsid w:val="00D2691D"/>
    <w:rsid w:val="00D26978"/>
    <w:rsid w:val="00D26AC7"/>
    <w:rsid w:val="00D26C41"/>
    <w:rsid w:val="00D26CC4"/>
    <w:rsid w:val="00D26D0F"/>
    <w:rsid w:val="00D26D2C"/>
    <w:rsid w:val="00D26E07"/>
    <w:rsid w:val="00D26F66"/>
    <w:rsid w:val="00D26F85"/>
    <w:rsid w:val="00D26F9B"/>
    <w:rsid w:val="00D27477"/>
    <w:rsid w:val="00D274F6"/>
    <w:rsid w:val="00D27659"/>
    <w:rsid w:val="00D276DC"/>
    <w:rsid w:val="00D2779C"/>
    <w:rsid w:val="00D279B6"/>
    <w:rsid w:val="00D279E8"/>
    <w:rsid w:val="00D27AFE"/>
    <w:rsid w:val="00D27B69"/>
    <w:rsid w:val="00D27B9C"/>
    <w:rsid w:val="00D27C2B"/>
    <w:rsid w:val="00D27D40"/>
    <w:rsid w:val="00D27DB0"/>
    <w:rsid w:val="00D27E1C"/>
    <w:rsid w:val="00D2AFAC"/>
    <w:rsid w:val="00D30024"/>
    <w:rsid w:val="00D3012D"/>
    <w:rsid w:val="00D30154"/>
    <w:rsid w:val="00D301EA"/>
    <w:rsid w:val="00D302BB"/>
    <w:rsid w:val="00D30356"/>
    <w:rsid w:val="00D303A9"/>
    <w:rsid w:val="00D3040A"/>
    <w:rsid w:val="00D30487"/>
    <w:rsid w:val="00D30505"/>
    <w:rsid w:val="00D305A5"/>
    <w:rsid w:val="00D30610"/>
    <w:rsid w:val="00D307E1"/>
    <w:rsid w:val="00D30823"/>
    <w:rsid w:val="00D3086B"/>
    <w:rsid w:val="00D309DB"/>
    <w:rsid w:val="00D30AA3"/>
    <w:rsid w:val="00D30B97"/>
    <w:rsid w:val="00D30E21"/>
    <w:rsid w:val="00D30EDF"/>
    <w:rsid w:val="00D30F3D"/>
    <w:rsid w:val="00D3102B"/>
    <w:rsid w:val="00D31122"/>
    <w:rsid w:val="00D31195"/>
    <w:rsid w:val="00D3126B"/>
    <w:rsid w:val="00D3128D"/>
    <w:rsid w:val="00D31545"/>
    <w:rsid w:val="00D317B9"/>
    <w:rsid w:val="00D317EE"/>
    <w:rsid w:val="00D319D0"/>
    <w:rsid w:val="00D31D59"/>
    <w:rsid w:val="00D31DDA"/>
    <w:rsid w:val="00D31EB6"/>
    <w:rsid w:val="00D31EF7"/>
    <w:rsid w:val="00D31F4B"/>
    <w:rsid w:val="00D31F59"/>
    <w:rsid w:val="00D32025"/>
    <w:rsid w:val="00D320ED"/>
    <w:rsid w:val="00D32143"/>
    <w:rsid w:val="00D32152"/>
    <w:rsid w:val="00D32195"/>
    <w:rsid w:val="00D321C8"/>
    <w:rsid w:val="00D323D3"/>
    <w:rsid w:val="00D323EA"/>
    <w:rsid w:val="00D3240F"/>
    <w:rsid w:val="00D32423"/>
    <w:rsid w:val="00D325AB"/>
    <w:rsid w:val="00D325C7"/>
    <w:rsid w:val="00D326FE"/>
    <w:rsid w:val="00D327B3"/>
    <w:rsid w:val="00D328D0"/>
    <w:rsid w:val="00D32ABD"/>
    <w:rsid w:val="00D32B08"/>
    <w:rsid w:val="00D32B5F"/>
    <w:rsid w:val="00D32C33"/>
    <w:rsid w:val="00D32D7F"/>
    <w:rsid w:val="00D32E47"/>
    <w:rsid w:val="00D32E52"/>
    <w:rsid w:val="00D33037"/>
    <w:rsid w:val="00D33044"/>
    <w:rsid w:val="00D330AE"/>
    <w:rsid w:val="00D330C8"/>
    <w:rsid w:val="00D333A4"/>
    <w:rsid w:val="00D334E3"/>
    <w:rsid w:val="00D3355A"/>
    <w:rsid w:val="00D33606"/>
    <w:rsid w:val="00D3368A"/>
    <w:rsid w:val="00D336C9"/>
    <w:rsid w:val="00D3374E"/>
    <w:rsid w:val="00D33765"/>
    <w:rsid w:val="00D33942"/>
    <w:rsid w:val="00D33C22"/>
    <w:rsid w:val="00D33D29"/>
    <w:rsid w:val="00D33DA6"/>
    <w:rsid w:val="00D33F64"/>
    <w:rsid w:val="00D33FAC"/>
    <w:rsid w:val="00D340A8"/>
    <w:rsid w:val="00D3419C"/>
    <w:rsid w:val="00D341D5"/>
    <w:rsid w:val="00D34268"/>
    <w:rsid w:val="00D34565"/>
    <w:rsid w:val="00D3476F"/>
    <w:rsid w:val="00D34773"/>
    <w:rsid w:val="00D34793"/>
    <w:rsid w:val="00D347A6"/>
    <w:rsid w:val="00D34938"/>
    <w:rsid w:val="00D34BA5"/>
    <w:rsid w:val="00D34C16"/>
    <w:rsid w:val="00D34C9A"/>
    <w:rsid w:val="00D34E86"/>
    <w:rsid w:val="00D34ECF"/>
    <w:rsid w:val="00D35090"/>
    <w:rsid w:val="00D35126"/>
    <w:rsid w:val="00D35148"/>
    <w:rsid w:val="00D35212"/>
    <w:rsid w:val="00D3531F"/>
    <w:rsid w:val="00D3535D"/>
    <w:rsid w:val="00D354CA"/>
    <w:rsid w:val="00D356CA"/>
    <w:rsid w:val="00D357E4"/>
    <w:rsid w:val="00D35862"/>
    <w:rsid w:val="00D3587F"/>
    <w:rsid w:val="00D35AC3"/>
    <w:rsid w:val="00D35B44"/>
    <w:rsid w:val="00D35C20"/>
    <w:rsid w:val="00D35F58"/>
    <w:rsid w:val="00D35FE0"/>
    <w:rsid w:val="00D36113"/>
    <w:rsid w:val="00D36188"/>
    <w:rsid w:val="00D36271"/>
    <w:rsid w:val="00D3638B"/>
    <w:rsid w:val="00D36665"/>
    <w:rsid w:val="00D36778"/>
    <w:rsid w:val="00D3678F"/>
    <w:rsid w:val="00D367C3"/>
    <w:rsid w:val="00D36805"/>
    <w:rsid w:val="00D369BE"/>
    <w:rsid w:val="00D36BBC"/>
    <w:rsid w:val="00D36C48"/>
    <w:rsid w:val="00D36CD4"/>
    <w:rsid w:val="00D36EE4"/>
    <w:rsid w:val="00D36F25"/>
    <w:rsid w:val="00D36F6D"/>
    <w:rsid w:val="00D36FE5"/>
    <w:rsid w:val="00D37025"/>
    <w:rsid w:val="00D370FD"/>
    <w:rsid w:val="00D3718C"/>
    <w:rsid w:val="00D3722D"/>
    <w:rsid w:val="00D3726D"/>
    <w:rsid w:val="00D3727E"/>
    <w:rsid w:val="00D372D4"/>
    <w:rsid w:val="00D37523"/>
    <w:rsid w:val="00D376B2"/>
    <w:rsid w:val="00D37749"/>
    <w:rsid w:val="00D3792F"/>
    <w:rsid w:val="00D3798B"/>
    <w:rsid w:val="00D379A6"/>
    <w:rsid w:val="00D379A7"/>
    <w:rsid w:val="00D379A9"/>
    <w:rsid w:val="00D37DBD"/>
    <w:rsid w:val="00D37DF8"/>
    <w:rsid w:val="00D37F2C"/>
    <w:rsid w:val="00D37FE0"/>
    <w:rsid w:val="00D4002B"/>
    <w:rsid w:val="00D40123"/>
    <w:rsid w:val="00D406C9"/>
    <w:rsid w:val="00D4083A"/>
    <w:rsid w:val="00D4091E"/>
    <w:rsid w:val="00D40BCB"/>
    <w:rsid w:val="00D40C1F"/>
    <w:rsid w:val="00D40CEF"/>
    <w:rsid w:val="00D40D67"/>
    <w:rsid w:val="00D40EA8"/>
    <w:rsid w:val="00D40F05"/>
    <w:rsid w:val="00D40F7D"/>
    <w:rsid w:val="00D40F7F"/>
    <w:rsid w:val="00D41020"/>
    <w:rsid w:val="00D410AD"/>
    <w:rsid w:val="00D410BB"/>
    <w:rsid w:val="00D41107"/>
    <w:rsid w:val="00D413BD"/>
    <w:rsid w:val="00D413D3"/>
    <w:rsid w:val="00D414C3"/>
    <w:rsid w:val="00D415A5"/>
    <w:rsid w:val="00D41604"/>
    <w:rsid w:val="00D416F7"/>
    <w:rsid w:val="00D4170F"/>
    <w:rsid w:val="00D4177F"/>
    <w:rsid w:val="00D41A03"/>
    <w:rsid w:val="00D41A22"/>
    <w:rsid w:val="00D41A68"/>
    <w:rsid w:val="00D41B8A"/>
    <w:rsid w:val="00D41BE3"/>
    <w:rsid w:val="00D41C38"/>
    <w:rsid w:val="00D41EB4"/>
    <w:rsid w:val="00D41F1A"/>
    <w:rsid w:val="00D41F1E"/>
    <w:rsid w:val="00D421DD"/>
    <w:rsid w:val="00D42259"/>
    <w:rsid w:val="00D42381"/>
    <w:rsid w:val="00D423A9"/>
    <w:rsid w:val="00D4249A"/>
    <w:rsid w:val="00D4258B"/>
    <w:rsid w:val="00D425DA"/>
    <w:rsid w:val="00D42727"/>
    <w:rsid w:val="00D427CC"/>
    <w:rsid w:val="00D427FD"/>
    <w:rsid w:val="00D4282C"/>
    <w:rsid w:val="00D429EF"/>
    <w:rsid w:val="00D42B10"/>
    <w:rsid w:val="00D42BED"/>
    <w:rsid w:val="00D42CBF"/>
    <w:rsid w:val="00D42D29"/>
    <w:rsid w:val="00D42DAD"/>
    <w:rsid w:val="00D42F6F"/>
    <w:rsid w:val="00D43030"/>
    <w:rsid w:val="00D43074"/>
    <w:rsid w:val="00D43082"/>
    <w:rsid w:val="00D4314C"/>
    <w:rsid w:val="00D432D8"/>
    <w:rsid w:val="00D43374"/>
    <w:rsid w:val="00D43456"/>
    <w:rsid w:val="00D43568"/>
    <w:rsid w:val="00D435D4"/>
    <w:rsid w:val="00D43796"/>
    <w:rsid w:val="00D43846"/>
    <w:rsid w:val="00D43932"/>
    <w:rsid w:val="00D43A28"/>
    <w:rsid w:val="00D43B8A"/>
    <w:rsid w:val="00D43C69"/>
    <w:rsid w:val="00D43D18"/>
    <w:rsid w:val="00D43D4A"/>
    <w:rsid w:val="00D43D5E"/>
    <w:rsid w:val="00D43E7D"/>
    <w:rsid w:val="00D43F90"/>
    <w:rsid w:val="00D4404E"/>
    <w:rsid w:val="00D4418E"/>
    <w:rsid w:val="00D441BA"/>
    <w:rsid w:val="00D4427C"/>
    <w:rsid w:val="00D4443D"/>
    <w:rsid w:val="00D44487"/>
    <w:rsid w:val="00D44539"/>
    <w:rsid w:val="00D44684"/>
    <w:rsid w:val="00D446FB"/>
    <w:rsid w:val="00D447CC"/>
    <w:rsid w:val="00D44833"/>
    <w:rsid w:val="00D44836"/>
    <w:rsid w:val="00D4483F"/>
    <w:rsid w:val="00D44849"/>
    <w:rsid w:val="00D448D7"/>
    <w:rsid w:val="00D449B5"/>
    <w:rsid w:val="00D44AC6"/>
    <w:rsid w:val="00D44B0E"/>
    <w:rsid w:val="00D44CA1"/>
    <w:rsid w:val="00D44DA6"/>
    <w:rsid w:val="00D44DB0"/>
    <w:rsid w:val="00D44E25"/>
    <w:rsid w:val="00D44F03"/>
    <w:rsid w:val="00D44FAA"/>
    <w:rsid w:val="00D44FCC"/>
    <w:rsid w:val="00D45065"/>
    <w:rsid w:val="00D4512B"/>
    <w:rsid w:val="00D45311"/>
    <w:rsid w:val="00D453A7"/>
    <w:rsid w:val="00D45464"/>
    <w:rsid w:val="00D45489"/>
    <w:rsid w:val="00D4548B"/>
    <w:rsid w:val="00D45521"/>
    <w:rsid w:val="00D45771"/>
    <w:rsid w:val="00D458DE"/>
    <w:rsid w:val="00D45BE7"/>
    <w:rsid w:val="00D45C17"/>
    <w:rsid w:val="00D460A0"/>
    <w:rsid w:val="00D46137"/>
    <w:rsid w:val="00D46223"/>
    <w:rsid w:val="00D46278"/>
    <w:rsid w:val="00D46333"/>
    <w:rsid w:val="00D46382"/>
    <w:rsid w:val="00D4640D"/>
    <w:rsid w:val="00D46445"/>
    <w:rsid w:val="00D4661D"/>
    <w:rsid w:val="00D46628"/>
    <w:rsid w:val="00D4668F"/>
    <w:rsid w:val="00D466FB"/>
    <w:rsid w:val="00D4682E"/>
    <w:rsid w:val="00D4698A"/>
    <w:rsid w:val="00D46ACA"/>
    <w:rsid w:val="00D46B23"/>
    <w:rsid w:val="00D46C2F"/>
    <w:rsid w:val="00D46D27"/>
    <w:rsid w:val="00D46E01"/>
    <w:rsid w:val="00D46E92"/>
    <w:rsid w:val="00D46ECB"/>
    <w:rsid w:val="00D46FEE"/>
    <w:rsid w:val="00D47170"/>
    <w:rsid w:val="00D47181"/>
    <w:rsid w:val="00D471F1"/>
    <w:rsid w:val="00D47294"/>
    <w:rsid w:val="00D47317"/>
    <w:rsid w:val="00D47544"/>
    <w:rsid w:val="00D47583"/>
    <w:rsid w:val="00D477BE"/>
    <w:rsid w:val="00D477FE"/>
    <w:rsid w:val="00D479C3"/>
    <w:rsid w:val="00D47A02"/>
    <w:rsid w:val="00D47AA0"/>
    <w:rsid w:val="00D47B86"/>
    <w:rsid w:val="00D47BEE"/>
    <w:rsid w:val="00D47DC4"/>
    <w:rsid w:val="00D5002C"/>
    <w:rsid w:val="00D50186"/>
    <w:rsid w:val="00D502F8"/>
    <w:rsid w:val="00D50344"/>
    <w:rsid w:val="00D5038B"/>
    <w:rsid w:val="00D50406"/>
    <w:rsid w:val="00D50574"/>
    <w:rsid w:val="00D50702"/>
    <w:rsid w:val="00D50705"/>
    <w:rsid w:val="00D5080E"/>
    <w:rsid w:val="00D50CDA"/>
    <w:rsid w:val="00D50DF9"/>
    <w:rsid w:val="00D50ECF"/>
    <w:rsid w:val="00D50EDE"/>
    <w:rsid w:val="00D50F04"/>
    <w:rsid w:val="00D50F49"/>
    <w:rsid w:val="00D50FE1"/>
    <w:rsid w:val="00D5108E"/>
    <w:rsid w:val="00D5116D"/>
    <w:rsid w:val="00D51202"/>
    <w:rsid w:val="00D51275"/>
    <w:rsid w:val="00D51362"/>
    <w:rsid w:val="00D51548"/>
    <w:rsid w:val="00D5161E"/>
    <w:rsid w:val="00D5174A"/>
    <w:rsid w:val="00D5181A"/>
    <w:rsid w:val="00D51832"/>
    <w:rsid w:val="00D5183B"/>
    <w:rsid w:val="00D5188C"/>
    <w:rsid w:val="00D5191D"/>
    <w:rsid w:val="00D5197B"/>
    <w:rsid w:val="00D519D2"/>
    <w:rsid w:val="00D51AD5"/>
    <w:rsid w:val="00D51B8D"/>
    <w:rsid w:val="00D51CE7"/>
    <w:rsid w:val="00D51D1E"/>
    <w:rsid w:val="00D51E03"/>
    <w:rsid w:val="00D51F27"/>
    <w:rsid w:val="00D51FFE"/>
    <w:rsid w:val="00D52380"/>
    <w:rsid w:val="00D523C3"/>
    <w:rsid w:val="00D5256C"/>
    <w:rsid w:val="00D5262B"/>
    <w:rsid w:val="00D527E4"/>
    <w:rsid w:val="00D52824"/>
    <w:rsid w:val="00D52B49"/>
    <w:rsid w:val="00D52C17"/>
    <w:rsid w:val="00D52DFA"/>
    <w:rsid w:val="00D52E51"/>
    <w:rsid w:val="00D52FD6"/>
    <w:rsid w:val="00D532EE"/>
    <w:rsid w:val="00D534E7"/>
    <w:rsid w:val="00D535AF"/>
    <w:rsid w:val="00D5365B"/>
    <w:rsid w:val="00D536F2"/>
    <w:rsid w:val="00D537C0"/>
    <w:rsid w:val="00D537D1"/>
    <w:rsid w:val="00D53838"/>
    <w:rsid w:val="00D539F1"/>
    <w:rsid w:val="00D53B7A"/>
    <w:rsid w:val="00D53B7D"/>
    <w:rsid w:val="00D53BBE"/>
    <w:rsid w:val="00D53C6E"/>
    <w:rsid w:val="00D53F27"/>
    <w:rsid w:val="00D53FBD"/>
    <w:rsid w:val="00D53FD9"/>
    <w:rsid w:val="00D54041"/>
    <w:rsid w:val="00D54050"/>
    <w:rsid w:val="00D54495"/>
    <w:rsid w:val="00D544F4"/>
    <w:rsid w:val="00D54552"/>
    <w:rsid w:val="00D54664"/>
    <w:rsid w:val="00D546EE"/>
    <w:rsid w:val="00D5471C"/>
    <w:rsid w:val="00D5477D"/>
    <w:rsid w:val="00D54858"/>
    <w:rsid w:val="00D54868"/>
    <w:rsid w:val="00D549BE"/>
    <w:rsid w:val="00D549DF"/>
    <w:rsid w:val="00D54A01"/>
    <w:rsid w:val="00D54C52"/>
    <w:rsid w:val="00D54E0E"/>
    <w:rsid w:val="00D5500A"/>
    <w:rsid w:val="00D55188"/>
    <w:rsid w:val="00D553A1"/>
    <w:rsid w:val="00D5560D"/>
    <w:rsid w:val="00D558A7"/>
    <w:rsid w:val="00D559CD"/>
    <w:rsid w:val="00D55A46"/>
    <w:rsid w:val="00D55A5A"/>
    <w:rsid w:val="00D55ABF"/>
    <w:rsid w:val="00D55B86"/>
    <w:rsid w:val="00D55E32"/>
    <w:rsid w:val="00D56063"/>
    <w:rsid w:val="00D56249"/>
    <w:rsid w:val="00D56388"/>
    <w:rsid w:val="00D56400"/>
    <w:rsid w:val="00D5661D"/>
    <w:rsid w:val="00D566E1"/>
    <w:rsid w:val="00D56A68"/>
    <w:rsid w:val="00D56B80"/>
    <w:rsid w:val="00D56B94"/>
    <w:rsid w:val="00D56C4C"/>
    <w:rsid w:val="00D56DDF"/>
    <w:rsid w:val="00D56E06"/>
    <w:rsid w:val="00D56F4E"/>
    <w:rsid w:val="00D57010"/>
    <w:rsid w:val="00D5703A"/>
    <w:rsid w:val="00D57069"/>
    <w:rsid w:val="00D570C6"/>
    <w:rsid w:val="00D57176"/>
    <w:rsid w:val="00D5721F"/>
    <w:rsid w:val="00D5723F"/>
    <w:rsid w:val="00D573CD"/>
    <w:rsid w:val="00D5744C"/>
    <w:rsid w:val="00D5747D"/>
    <w:rsid w:val="00D57515"/>
    <w:rsid w:val="00D57578"/>
    <w:rsid w:val="00D57733"/>
    <w:rsid w:val="00D577D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437"/>
    <w:rsid w:val="00D6046A"/>
    <w:rsid w:val="00D60550"/>
    <w:rsid w:val="00D60569"/>
    <w:rsid w:val="00D60572"/>
    <w:rsid w:val="00D60587"/>
    <w:rsid w:val="00D6058D"/>
    <w:rsid w:val="00D60678"/>
    <w:rsid w:val="00D606B3"/>
    <w:rsid w:val="00D607E6"/>
    <w:rsid w:val="00D60823"/>
    <w:rsid w:val="00D60896"/>
    <w:rsid w:val="00D60AF5"/>
    <w:rsid w:val="00D60B8F"/>
    <w:rsid w:val="00D60C89"/>
    <w:rsid w:val="00D60D43"/>
    <w:rsid w:val="00D60D55"/>
    <w:rsid w:val="00D60DB5"/>
    <w:rsid w:val="00D60F4A"/>
    <w:rsid w:val="00D60FB9"/>
    <w:rsid w:val="00D60FD8"/>
    <w:rsid w:val="00D612B4"/>
    <w:rsid w:val="00D61341"/>
    <w:rsid w:val="00D61373"/>
    <w:rsid w:val="00D6141A"/>
    <w:rsid w:val="00D61683"/>
    <w:rsid w:val="00D6176A"/>
    <w:rsid w:val="00D61788"/>
    <w:rsid w:val="00D61987"/>
    <w:rsid w:val="00D619AF"/>
    <w:rsid w:val="00D619E4"/>
    <w:rsid w:val="00D61A29"/>
    <w:rsid w:val="00D61A2A"/>
    <w:rsid w:val="00D61AE7"/>
    <w:rsid w:val="00D61B98"/>
    <w:rsid w:val="00D61BE0"/>
    <w:rsid w:val="00D61C32"/>
    <w:rsid w:val="00D61DDC"/>
    <w:rsid w:val="00D61DE9"/>
    <w:rsid w:val="00D61FB7"/>
    <w:rsid w:val="00D6213F"/>
    <w:rsid w:val="00D62169"/>
    <w:rsid w:val="00D6220D"/>
    <w:rsid w:val="00D622B4"/>
    <w:rsid w:val="00D623AA"/>
    <w:rsid w:val="00D6245F"/>
    <w:rsid w:val="00D625F6"/>
    <w:rsid w:val="00D625FE"/>
    <w:rsid w:val="00D6262F"/>
    <w:rsid w:val="00D62708"/>
    <w:rsid w:val="00D627DC"/>
    <w:rsid w:val="00D62ABE"/>
    <w:rsid w:val="00D62AE8"/>
    <w:rsid w:val="00D62BB5"/>
    <w:rsid w:val="00D62BF9"/>
    <w:rsid w:val="00D62DB1"/>
    <w:rsid w:val="00D62EC7"/>
    <w:rsid w:val="00D62F70"/>
    <w:rsid w:val="00D62FC1"/>
    <w:rsid w:val="00D6304B"/>
    <w:rsid w:val="00D6313F"/>
    <w:rsid w:val="00D63358"/>
    <w:rsid w:val="00D6342A"/>
    <w:rsid w:val="00D634B3"/>
    <w:rsid w:val="00D636C1"/>
    <w:rsid w:val="00D636FC"/>
    <w:rsid w:val="00D637BA"/>
    <w:rsid w:val="00D637F5"/>
    <w:rsid w:val="00D63833"/>
    <w:rsid w:val="00D6389F"/>
    <w:rsid w:val="00D63A2A"/>
    <w:rsid w:val="00D63AD8"/>
    <w:rsid w:val="00D63B01"/>
    <w:rsid w:val="00D63D2D"/>
    <w:rsid w:val="00D63E6B"/>
    <w:rsid w:val="00D63EA7"/>
    <w:rsid w:val="00D63EF1"/>
    <w:rsid w:val="00D64130"/>
    <w:rsid w:val="00D64157"/>
    <w:rsid w:val="00D64168"/>
    <w:rsid w:val="00D6418A"/>
    <w:rsid w:val="00D64217"/>
    <w:rsid w:val="00D6424A"/>
    <w:rsid w:val="00D6427E"/>
    <w:rsid w:val="00D64406"/>
    <w:rsid w:val="00D644D8"/>
    <w:rsid w:val="00D64528"/>
    <w:rsid w:val="00D64541"/>
    <w:rsid w:val="00D6471F"/>
    <w:rsid w:val="00D6480F"/>
    <w:rsid w:val="00D64842"/>
    <w:rsid w:val="00D648BC"/>
    <w:rsid w:val="00D6498E"/>
    <w:rsid w:val="00D649E1"/>
    <w:rsid w:val="00D64A51"/>
    <w:rsid w:val="00D64DE2"/>
    <w:rsid w:val="00D64F1C"/>
    <w:rsid w:val="00D64F56"/>
    <w:rsid w:val="00D6510D"/>
    <w:rsid w:val="00D65201"/>
    <w:rsid w:val="00D6520B"/>
    <w:rsid w:val="00D652DE"/>
    <w:rsid w:val="00D652FB"/>
    <w:rsid w:val="00D653A8"/>
    <w:rsid w:val="00D653FC"/>
    <w:rsid w:val="00D65406"/>
    <w:rsid w:val="00D65584"/>
    <w:rsid w:val="00D65637"/>
    <w:rsid w:val="00D659AD"/>
    <w:rsid w:val="00D65BDC"/>
    <w:rsid w:val="00D65D19"/>
    <w:rsid w:val="00D65E26"/>
    <w:rsid w:val="00D65F58"/>
    <w:rsid w:val="00D6615C"/>
    <w:rsid w:val="00D66265"/>
    <w:rsid w:val="00D66541"/>
    <w:rsid w:val="00D6656A"/>
    <w:rsid w:val="00D6662B"/>
    <w:rsid w:val="00D6675A"/>
    <w:rsid w:val="00D66A8A"/>
    <w:rsid w:val="00D66ABE"/>
    <w:rsid w:val="00D6707C"/>
    <w:rsid w:val="00D6718E"/>
    <w:rsid w:val="00D6729D"/>
    <w:rsid w:val="00D67356"/>
    <w:rsid w:val="00D67396"/>
    <w:rsid w:val="00D673DC"/>
    <w:rsid w:val="00D6755C"/>
    <w:rsid w:val="00D6786C"/>
    <w:rsid w:val="00D67A90"/>
    <w:rsid w:val="00D67AE1"/>
    <w:rsid w:val="00D67C3E"/>
    <w:rsid w:val="00D67CDE"/>
    <w:rsid w:val="00D67D3A"/>
    <w:rsid w:val="00D67D8C"/>
    <w:rsid w:val="00D67E5F"/>
    <w:rsid w:val="00D67F43"/>
    <w:rsid w:val="00D701C6"/>
    <w:rsid w:val="00D701FF"/>
    <w:rsid w:val="00D7025A"/>
    <w:rsid w:val="00D70329"/>
    <w:rsid w:val="00D70448"/>
    <w:rsid w:val="00D70479"/>
    <w:rsid w:val="00D704B7"/>
    <w:rsid w:val="00D704FB"/>
    <w:rsid w:val="00D70604"/>
    <w:rsid w:val="00D7071D"/>
    <w:rsid w:val="00D7085C"/>
    <w:rsid w:val="00D70B0E"/>
    <w:rsid w:val="00D70B98"/>
    <w:rsid w:val="00D70BBB"/>
    <w:rsid w:val="00D70EA2"/>
    <w:rsid w:val="00D70EF8"/>
    <w:rsid w:val="00D70FEC"/>
    <w:rsid w:val="00D70FF0"/>
    <w:rsid w:val="00D71000"/>
    <w:rsid w:val="00D711E7"/>
    <w:rsid w:val="00D71215"/>
    <w:rsid w:val="00D71240"/>
    <w:rsid w:val="00D71247"/>
    <w:rsid w:val="00D71278"/>
    <w:rsid w:val="00D714A1"/>
    <w:rsid w:val="00D714D0"/>
    <w:rsid w:val="00D71563"/>
    <w:rsid w:val="00D71586"/>
    <w:rsid w:val="00D715BB"/>
    <w:rsid w:val="00D717D8"/>
    <w:rsid w:val="00D71805"/>
    <w:rsid w:val="00D71821"/>
    <w:rsid w:val="00D7184D"/>
    <w:rsid w:val="00D718E0"/>
    <w:rsid w:val="00D71B0A"/>
    <w:rsid w:val="00D71B76"/>
    <w:rsid w:val="00D71B7C"/>
    <w:rsid w:val="00D71BA8"/>
    <w:rsid w:val="00D71D84"/>
    <w:rsid w:val="00D71D96"/>
    <w:rsid w:val="00D71DC8"/>
    <w:rsid w:val="00D71EC2"/>
    <w:rsid w:val="00D720C8"/>
    <w:rsid w:val="00D721E6"/>
    <w:rsid w:val="00D724E7"/>
    <w:rsid w:val="00D72507"/>
    <w:rsid w:val="00D72542"/>
    <w:rsid w:val="00D72613"/>
    <w:rsid w:val="00D7262C"/>
    <w:rsid w:val="00D72722"/>
    <w:rsid w:val="00D727C5"/>
    <w:rsid w:val="00D729B7"/>
    <w:rsid w:val="00D729B8"/>
    <w:rsid w:val="00D72B99"/>
    <w:rsid w:val="00D72C21"/>
    <w:rsid w:val="00D72C63"/>
    <w:rsid w:val="00D72E19"/>
    <w:rsid w:val="00D73004"/>
    <w:rsid w:val="00D732C4"/>
    <w:rsid w:val="00D732EA"/>
    <w:rsid w:val="00D73333"/>
    <w:rsid w:val="00D73338"/>
    <w:rsid w:val="00D733B4"/>
    <w:rsid w:val="00D7343D"/>
    <w:rsid w:val="00D73460"/>
    <w:rsid w:val="00D734C5"/>
    <w:rsid w:val="00D73561"/>
    <w:rsid w:val="00D7361A"/>
    <w:rsid w:val="00D736DC"/>
    <w:rsid w:val="00D736FC"/>
    <w:rsid w:val="00D7399A"/>
    <w:rsid w:val="00D73B8E"/>
    <w:rsid w:val="00D73B90"/>
    <w:rsid w:val="00D73BF2"/>
    <w:rsid w:val="00D73D10"/>
    <w:rsid w:val="00D73DB1"/>
    <w:rsid w:val="00D73E44"/>
    <w:rsid w:val="00D73E97"/>
    <w:rsid w:val="00D7406A"/>
    <w:rsid w:val="00D74163"/>
    <w:rsid w:val="00D7421A"/>
    <w:rsid w:val="00D7422A"/>
    <w:rsid w:val="00D7424A"/>
    <w:rsid w:val="00D74333"/>
    <w:rsid w:val="00D74373"/>
    <w:rsid w:val="00D743CF"/>
    <w:rsid w:val="00D745B0"/>
    <w:rsid w:val="00D7474F"/>
    <w:rsid w:val="00D74868"/>
    <w:rsid w:val="00D748D5"/>
    <w:rsid w:val="00D74B89"/>
    <w:rsid w:val="00D74C24"/>
    <w:rsid w:val="00D74C66"/>
    <w:rsid w:val="00D74DDC"/>
    <w:rsid w:val="00D74E18"/>
    <w:rsid w:val="00D74E29"/>
    <w:rsid w:val="00D74E5D"/>
    <w:rsid w:val="00D74E62"/>
    <w:rsid w:val="00D74FF6"/>
    <w:rsid w:val="00D75154"/>
    <w:rsid w:val="00D75250"/>
    <w:rsid w:val="00D752DD"/>
    <w:rsid w:val="00D75394"/>
    <w:rsid w:val="00D753F9"/>
    <w:rsid w:val="00D7552D"/>
    <w:rsid w:val="00D7555C"/>
    <w:rsid w:val="00D75598"/>
    <w:rsid w:val="00D75683"/>
    <w:rsid w:val="00D75692"/>
    <w:rsid w:val="00D756BE"/>
    <w:rsid w:val="00D758C5"/>
    <w:rsid w:val="00D758F4"/>
    <w:rsid w:val="00D75904"/>
    <w:rsid w:val="00D75AB7"/>
    <w:rsid w:val="00D75ADC"/>
    <w:rsid w:val="00D75B46"/>
    <w:rsid w:val="00D75D23"/>
    <w:rsid w:val="00D75DB4"/>
    <w:rsid w:val="00D75E3A"/>
    <w:rsid w:val="00D75EB9"/>
    <w:rsid w:val="00D75EF4"/>
    <w:rsid w:val="00D75F77"/>
    <w:rsid w:val="00D76131"/>
    <w:rsid w:val="00D7621A"/>
    <w:rsid w:val="00D7627C"/>
    <w:rsid w:val="00D7629C"/>
    <w:rsid w:val="00D76327"/>
    <w:rsid w:val="00D7637A"/>
    <w:rsid w:val="00D76432"/>
    <w:rsid w:val="00D76450"/>
    <w:rsid w:val="00D768F1"/>
    <w:rsid w:val="00D7693C"/>
    <w:rsid w:val="00D76AD0"/>
    <w:rsid w:val="00D76B99"/>
    <w:rsid w:val="00D76CD6"/>
    <w:rsid w:val="00D76CD9"/>
    <w:rsid w:val="00D76D44"/>
    <w:rsid w:val="00D76DD9"/>
    <w:rsid w:val="00D76F03"/>
    <w:rsid w:val="00D7714E"/>
    <w:rsid w:val="00D77155"/>
    <w:rsid w:val="00D7732B"/>
    <w:rsid w:val="00D77370"/>
    <w:rsid w:val="00D77712"/>
    <w:rsid w:val="00D7771F"/>
    <w:rsid w:val="00D7788B"/>
    <w:rsid w:val="00D7791A"/>
    <w:rsid w:val="00D77962"/>
    <w:rsid w:val="00D77A20"/>
    <w:rsid w:val="00D77A8E"/>
    <w:rsid w:val="00D77AF5"/>
    <w:rsid w:val="00D77B32"/>
    <w:rsid w:val="00D77D2C"/>
    <w:rsid w:val="00D77DF6"/>
    <w:rsid w:val="00D80157"/>
    <w:rsid w:val="00D8015A"/>
    <w:rsid w:val="00D8027D"/>
    <w:rsid w:val="00D8036C"/>
    <w:rsid w:val="00D80442"/>
    <w:rsid w:val="00D80457"/>
    <w:rsid w:val="00D80472"/>
    <w:rsid w:val="00D80498"/>
    <w:rsid w:val="00D805AC"/>
    <w:rsid w:val="00D805FB"/>
    <w:rsid w:val="00D80724"/>
    <w:rsid w:val="00D80781"/>
    <w:rsid w:val="00D807E3"/>
    <w:rsid w:val="00D809F5"/>
    <w:rsid w:val="00D80A80"/>
    <w:rsid w:val="00D80BB2"/>
    <w:rsid w:val="00D80C4D"/>
    <w:rsid w:val="00D80C57"/>
    <w:rsid w:val="00D80D5D"/>
    <w:rsid w:val="00D80DA6"/>
    <w:rsid w:val="00D80E39"/>
    <w:rsid w:val="00D80EFF"/>
    <w:rsid w:val="00D81223"/>
    <w:rsid w:val="00D81307"/>
    <w:rsid w:val="00D81312"/>
    <w:rsid w:val="00D81316"/>
    <w:rsid w:val="00D8137B"/>
    <w:rsid w:val="00D81392"/>
    <w:rsid w:val="00D81485"/>
    <w:rsid w:val="00D815B7"/>
    <w:rsid w:val="00D817DB"/>
    <w:rsid w:val="00D8195E"/>
    <w:rsid w:val="00D81A9C"/>
    <w:rsid w:val="00D81C3B"/>
    <w:rsid w:val="00D81CCE"/>
    <w:rsid w:val="00D81D02"/>
    <w:rsid w:val="00D81D69"/>
    <w:rsid w:val="00D81DD7"/>
    <w:rsid w:val="00D81E7D"/>
    <w:rsid w:val="00D82050"/>
    <w:rsid w:val="00D821CE"/>
    <w:rsid w:val="00D82229"/>
    <w:rsid w:val="00D82248"/>
    <w:rsid w:val="00D82344"/>
    <w:rsid w:val="00D8242F"/>
    <w:rsid w:val="00D8245E"/>
    <w:rsid w:val="00D8246C"/>
    <w:rsid w:val="00D824D3"/>
    <w:rsid w:val="00D824E6"/>
    <w:rsid w:val="00D8288F"/>
    <w:rsid w:val="00D82922"/>
    <w:rsid w:val="00D82B14"/>
    <w:rsid w:val="00D82B2C"/>
    <w:rsid w:val="00D82B9D"/>
    <w:rsid w:val="00D82C00"/>
    <w:rsid w:val="00D82D5C"/>
    <w:rsid w:val="00D82DEA"/>
    <w:rsid w:val="00D82F1F"/>
    <w:rsid w:val="00D83020"/>
    <w:rsid w:val="00D830A8"/>
    <w:rsid w:val="00D83144"/>
    <w:rsid w:val="00D831FE"/>
    <w:rsid w:val="00D83275"/>
    <w:rsid w:val="00D8342A"/>
    <w:rsid w:val="00D835C2"/>
    <w:rsid w:val="00D8360F"/>
    <w:rsid w:val="00D837BB"/>
    <w:rsid w:val="00D8393C"/>
    <w:rsid w:val="00D83ABD"/>
    <w:rsid w:val="00D83BE5"/>
    <w:rsid w:val="00D83C09"/>
    <w:rsid w:val="00D83CF2"/>
    <w:rsid w:val="00D83D72"/>
    <w:rsid w:val="00D83F3F"/>
    <w:rsid w:val="00D841BB"/>
    <w:rsid w:val="00D84265"/>
    <w:rsid w:val="00D842AF"/>
    <w:rsid w:val="00D8435C"/>
    <w:rsid w:val="00D843E4"/>
    <w:rsid w:val="00D84444"/>
    <w:rsid w:val="00D84520"/>
    <w:rsid w:val="00D84536"/>
    <w:rsid w:val="00D845F6"/>
    <w:rsid w:val="00D847A7"/>
    <w:rsid w:val="00D8495C"/>
    <w:rsid w:val="00D84A85"/>
    <w:rsid w:val="00D84B26"/>
    <w:rsid w:val="00D84B4D"/>
    <w:rsid w:val="00D84D4E"/>
    <w:rsid w:val="00D85024"/>
    <w:rsid w:val="00D85095"/>
    <w:rsid w:val="00D8514E"/>
    <w:rsid w:val="00D851B6"/>
    <w:rsid w:val="00D851BC"/>
    <w:rsid w:val="00D8522A"/>
    <w:rsid w:val="00D85332"/>
    <w:rsid w:val="00D8533F"/>
    <w:rsid w:val="00D853C2"/>
    <w:rsid w:val="00D853D8"/>
    <w:rsid w:val="00D85446"/>
    <w:rsid w:val="00D856E2"/>
    <w:rsid w:val="00D857E3"/>
    <w:rsid w:val="00D85861"/>
    <w:rsid w:val="00D858C5"/>
    <w:rsid w:val="00D85911"/>
    <w:rsid w:val="00D85912"/>
    <w:rsid w:val="00D859A1"/>
    <w:rsid w:val="00D85A69"/>
    <w:rsid w:val="00D85A6E"/>
    <w:rsid w:val="00D85AB9"/>
    <w:rsid w:val="00D85ACB"/>
    <w:rsid w:val="00D85AEB"/>
    <w:rsid w:val="00D85B81"/>
    <w:rsid w:val="00D85BD5"/>
    <w:rsid w:val="00D85C0D"/>
    <w:rsid w:val="00D85C51"/>
    <w:rsid w:val="00D85D44"/>
    <w:rsid w:val="00D85E46"/>
    <w:rsid w:val="00D85E55"/>
    <w:rsid w:val="00D85FCD"/>
    <w:rsid w:val="00D86144"/>
    <w:rsid w:val="00D8626A"/>
    <w:rsid w:val="00D862CF"/>
    <w:rsid w:val="00D863A8"/>
    <w:rsid w:val="00D863D3"/>
    <w:rsid w:val="00D865C3"/>
    <w:rsid w:val="00D865D2"/>
    <w:rsid w:val="00D86624"/>
    <w:rsid w:val="00D8674E"/>
    <w:rsid w:val="00D867BB"/>
    <w:rsid w:val="00D8691B"/>
    <w:rsid w:val="00D86941"/>
    <w:rsid w:val="00D86B0D"/>
    <w:rsid w:val="00D86B39"/>
    <w:rsid w:val="00D86BD0"/>
    <w:rsid w:val="00D86BFC"/>
    <w:rsid w:val="00D86C65"/>
    <w:rsid w:val="00D86CB3"/>
    <w:rsid w:val="00D86E80"/>
    <w:rsid w:val="00D86E9F"/>
    <w:rsid w:val="00D86FAA"/>
    <w:rsid w:val="00D86FB8"/>
    <w:rsid w:val="00D8701B"/>
    <w:rsid w:val="00D87037"/>
    <w:rsid w:val="00D8708D"/>
    <w:rsid w:val="00D8714D"/>
    <w:rsid w:val="00D87161"/>
    <w:rsid w:val="00D871EB"/>
    <w:rsid w:val="00D87233"/>
    <w:rsid w:val="00D8726A"/>
    <w:rsid w:val="00D87461"/>
    <w:rsid w:val="00D874E1"/>
    <w:rsid w:val="00D875A6"/>
    <w:rsid w:val="00D876DA"/>
    <w:rsid w:val="00D877AE"/>
    <w:rsid w:val="00D878E0"/>
    <w:rsid w:val="00D878EF"/>
    <w:rsid w:val="00D879E9"/>
    <w:rsid w:val="00D879EB"/>
    <w:rsid w:val="00D87A71"/>
    <w:rsid w:val="00D87B6D"/>
    <w:rsid w:val="00D87C59"/>
    <w:rsid w:val="00D87DA3"/>
    <w:rsid w:val="00D87EB9"/>
    <w:rsid w:val="00D87F2E"/>
    <w:rsid w:val="00D87F55"/>
    <w:rsid w:val="00D90043"/>
    <w:rsid w:val="00D90221"/>
    <w:rsid w:val="00D90246"/>
    <w:rsid w:val="00D90318"/>
    <w:rsid w:val="00D9053E"/>
    <w:rsid w:val="00D9065E"/>
    <w:rsid w:val="00D90986"/>
    <w:rsid w:val="00D90A5E"/>
    <w:rsid w:val="00D90BD3"/>
    <w:rsid w:val="00D90C79"/>
    <w:rsid w:val="00D90EC1"/>
    <w:rsid w:val="00D90F61"/>
    <w:rsid w:val="00D90FC0"/>
    <w:rsid w:val="00D910DF"/>
    <w:rsid w:val="00D9115A"/>
    <w:rsid w:val="00D9129E"/>
    <w:rsid w:val="00D91447"/>
    <w:rsid w:val="00D91473"/>
    <w:rsid w:val="00D91498"/>
    <w:rsid w:val="00D91510"/>
    <w:rsid w:val="00D91591"/>
    <w:rsid w:val="00D91596"/>
    <w:rsid w:val="00D915C9"/>
    <w:rsid w:val="00D915E4"/>
    <w:rsid w:val="00D9160E"/>
    <w:rsid w:val="00D91619"/>
    <w:rsid w:val="00D91768"/>
    <w:rsid w:val="00D917E4"/>
    <w:rsid w:val="00D917F2"/>
    <w:rsid w:val="00D91964"/>
    <w:rsid w:val="00D91A27"/>
    <w:rsid w:val="00D91ACA"/>
    <w:rsid w:val="00D91C91"/>
    <w:rsid w:val="00D91DF8"/>
    <w:rsid w:val="00D91EC3"/>
    <w:rsid w:val="00D91F90"/>
    <w:rsid w:val="00D91FF3"/>
    <w:rsid w:val="00D92174"/>
    <w:rsid w:val="00D921F4"/>
    <w:rsid w:val="00D92347"/>
    <w:rsid w:val="00D9247C"/>
    <w:rsid w:val="00D925A2"/>
    <w:rsid w:val="00D926D3"/>
    <w:rsid w:val="00D9298B"/>
    <w:rsid w:val="00D929A8"/>
    <w:rsid w:val="00D92AA2"/>
    <w:rsid w:val="00D92E81"/>
    <w:rsid w:val="00D93097"/>
    <w:rsid w:val="00D9311D"/>
    <w:rsid w:val="00D93280"/>
    <w:rsid w:val="00D93368"/>
    <w:rsid w:val="00D935D4"/>
    <w:rsid w:val="00D93718"/>
    <w:rsid w:val="00D9374C"/>
    <w:rsid w:val="00D93785"/>
    <w:rsid w:val="00D937FA"/>
    <w:rsid w:val="00D9381D"/>
    <w:rsid w:val="00D9383B"/>
    <w:rsid w:val="00D938E6"/>
    <w:rsid w:val="00D938F0"/>
    <w:rsid w:val="00D939FB"/>
    <w:rsid w:val="00D93AE3"/>
    <w:rsid w:val="00D93BDB"/>
    <w:rsid w:val="00D93C56"/>
    <w:rsid w:val="00D93FA4"/>
    <w:rsid w:val="00D93FEE"/>
    <w:rsid w:val="00D94049"/>
    <w:rsid w:val="00D940A2"/>
    <w:rsid w:val="00D940F2"/>
    <w:rsid w:val="00D94372"/>
    <w:rsid w:val="00D943E9"/>
    <w:rsid w:val="00D944A3"/>
    <w:rsid w:val="00D946CA"/>
    <w:rsid w:val="00D9470F"/>
    <w:rsid w:val="00D9473E"/>
    <w:rsid w:val="00D9483B"/>
    <w:rsid w:val="00D94890"/>
    <w:rsid w:val="00D948E2"/>
    <w:rsid w:val="00D94AA0"/>
    <w:rsid w:val="00D94B63"/>
    <w:rsid w:val="00D94C03"/>
    <w:rsid w:val="00D94CAB"/>
    <w:rsid w:val="00D94D7C"/>
    <w:rsid w:val="00D94DCD"/>
    <w:rsid w:val="00D94EB6"/>
    <w:rsid w:val="00D94F28"/>
    <w:rsid w:val="00D95066"/>
    <w:rsid w:val="00D951B2"/>
    <w:rsid w:val="00D951B9"/>
    <w:rsid w:val="00D951FF"/>
    <w:rsid w:val="00D95391"/>
    <w:rsid w:val="00D955D0"/>
    <w:rsid w:val="00D95604"/>
    <w:rsid w:val="00D95705"/>
    <w:rsid w:val="00D958D3"/>
    <w:rsid w:val="00D958E4"/>
    <w:rsid w:val="00D959C3"/>
    <w:rsid w:val="00D95C46"/>
    <w:rsid w:val="00D95CA4"/>
    <w:rsid w:val="00D95D09"/>
    <w:rsid w:val="00D95E6F"/>
    <w:rsid w:val="00D95E75"/>
    <w:rsid w:val="00D95FA9"/>
    <w:rsid w:val="00D95FBC"/>
    <w:rsid w:val="00D96174"/>
    <w:rsid w:val="00D96234"/>
    <w:rsid w:val="00D9662B"/>
    <w:rsid w:val="00D966EA"/>
    <w:rsid w:val="00D96951"/>
    <w:rsid w:val="00D96B22"/>
    <w:rsid w:val="00D96C53"/>
    <w:rsid w:val="00D96CAE"/>
    <w:rsid w:val="00D96CC6"/>
    <w:rsid w:val="00D96D01"/>
    <w:rsid w:val="00D96D24"/>
    <w:rsid w:val="00D96EF1"/>
    <w:rsid w:val="00D96EFF"/>
    <w:rsid w:val="00D96F1E"/>
    <w:rsid w:val="00D970D8"/>
    <w:rsid w:val="00D97248"/>
    <w:rsid w:val="00D97251"/>
    <w:rsid w:val="00D972A9"/>
    <w:rsid w:val="00D972AB"/>
    <w:rsid w:val="00D97328"/>
    <w:rsid w:val="00D97361"/>
    <w:rsid w:val="00D975F3"/>
    <w:rsid w:val="00D97631"/>
    <w:rsid w:val="00D976E2"/>
    <w:rsid w:val="00D978D8"/>
    <w:rsid w:val="00D979CE"/>
    <w:rsid w:val="00D979F0"/>
    <w:rsid w:val="00D97AD0"/>
    <w:rsid w:val="00D97B2B"/>
    <w:rsid w:val="00D97C59"/>
    <w:rsid w:val="00D97CCF"/>
    <w:rsid w:val="00D97D70"/>
    <w:rsid w:val="00D97E1C"/>
    <w:rsid w:val="00D97F40"/>
    <w:rsid w:val="00D97F96"/>
    <w:rsid w:val="00DA0276"/>
    <w:rsid w:val="00DA03AF"/>
    <w:rsid w:val="00DA0509"/>
    <w:rsid w:val="00DA0521"/>
    <w:rsid w:val="00DA0602"/>
    <w:rsid w:val="00DA060D"/>
    <w:rsid w:val="00DA0695"/>
    <w:rsid w:val="00DA079F"/>
    <w:rsid w:val="00DA0829"/>
    <w:rsid w:val="00DA0845"/>
    <w:rsid w:val="00DA0894"/>
    <w:rsid w:val="00DA08B4"/>
    <w:rsid w:val="00DA0B38"/>
    <w:rsid w:val="00DA0B73"/>
    <w:rsid w:val="00DA0C43"/>
    <w:rsid w:val="00DA0DE0"/>
    <w:rsid w:val="00DA0E5E"/>
    <w:rsid w:val="00DA0EE4"/>
    <w:rsid w:val="00DA0F1F"/>
    <w:rsid w:val="00DA0F4C"/>
    <w:rsid w:val="00DA1026"/>
    <w:rsid w:val="00DA13CB"/>
    <w:rsid w:val="00DA15F5"/>
    <w:rsid w:val="00DA1632"/>
    <w:rsid w:val="00DA1725"/>
    <w:rsid w:val="00DA181F"/>
    <w:rsid w:val="00DA1865"/>
    <w:rsid w:val="00DA19A2"/>
    <w:rsid w:val="00DA1A0B"/>
    <w:rsid w:val="00DA1A8B"/>
    <w:rsid w:val="00DA1C6E"/>
    <w:rsid w:val="00DA1E08"/>
    <w:rsid w:val="00DA1EC3"/>
    <w:rsid w:val="00DA1F0F"/>
    <w:rsid w:val="00DA2024"/>
    <w:rsid w:val="00DA2090"/>
    <w:rsid w:val="00DA2111"/>
    <w:rsid w:val="00DA2240"/>
    <w:rsid w:val="00DA23DE"/>
    <w:rsid w:val="00DA2463"/>
    <w:rsid w:val="00DA246D"/>
    <w:rsid w:val="00DA2562"/>
    <w:rsid w:val="00DA2567"/>
    <w:rsid w:val="00DA2621"/>
    <w:rsid w:val="00DA267E"/>
    <w:rsid w:val="00DA2804"/>
    <w:rsid w:val="00DA2870"/>
    <w:rsid w:val="00DA2896"/>
    <w:rsid w:val="00DA28F7"/>
    <w:rsid w:val="00DA291D"/>
    <w:rsid w:val="00DA295C"/>
    <w:rsid w:val="00DA296C"/>
    <w:rsid w:val="00DA298F"/>
    <w:rsid w:val="00DA2D9D"/>
    <w:rsid w:val="00DA2E05"/>
    <w:rsid w:val="00DA2E32"/>
    <w:rsid w:val="00DA2F6E"/>
    <w:rsid w:val="00DA30F4"/>
    <w:rsid w:val="00DA315E"/>
    <w:rsid w:val="00DA31DA"/>
    <w:rsid w:val="00DA3345"/>
    <w:rsid w:val="00DA3942"/>
    <w:rsid w:val="00DA39D3"/>
    <w:rsid w:val="00DA3BEF"/>
    <w:rsid w:val="00DA3C5E"/>
    <w:rsid w:val="00DA3CF8"/>
    <w:rsid w:val="00DA3E92"/>
    <w:rsid w:val="00DA3F7B"/>
    <w:rsid w:val="00DA40D2"/>
    <w:rsid w:val="00DA424E"/>
    <w:rsid w:val="00DA4291"/>
    <w:rsid w:val="00DA42EC"/>
    <w:rsid w:val="00DA432C"/>
    <w:rsid w:val="00DA450D"/>
    <w:rsid w:val="00DA4770"/>
    <w:rsid w:val="00DA47AA"/>
    <w:rsid w:val="00DA47B5"/>
    <w:rsid w:val="00DA47DF"/>
    <w:rsid w:val="00DA47FD"/>
    <w:rsid w:val="00DA48C9"/>
    <w:rsid w:val="00DA493E"/>
    <w:rsid w:val="00DA498D"/>
    <w:rsid w:val="00DA49CA"/>
    <w:rsid w:val="00DA4AFD"/>
    <w:rsid w:val="00DA4B0B"/>
    <w:rsid w:val="00DA4B1E"/>
    <w:rsid w:val="00DA4B99"/>
    <w:rsid w:val="00DA4E20"/>
    <w:rsid w:val="00DA4F39"/>
    <w:rsid w:val="00DA4F59"/>
    <w:rsid w:val="00DA4FD7"/>
    <w:rsid w:val="00DA5121"/>
    <w:rsid w:val="00DA5132"/>
    <w:rsid w:val="00DA53BB"/>
    <w:rsid w:val="00DA5481"/>
    <w:rsid w:val="00DA562C"/>
    <w:rsid w:val="00DA569F"/>
    <w:rsid w:val="00DA58D0"/>
    <w:rsid w:val="00DA58FC"/>
    <w:rsid w:val="00DA59D3"/>
    <w:rsid w:val="00DA5A6C"/>
    <w:rsid w:val="00DA5AD3"/>
    <w:rsid w:val="00DA5AE8"/>
    <w:rsid w:val="00DA5C19"/>
    <w:rsid w:val="00DA5CEB"/>
    <w:rsid w:val="00DA5E06"/>
    <w:rsid w:val="00DA5EA3"/>
    <w:rsid w:val="00DA5F97"/>
    <w:rsid w:val="00DA607A"/>
    <w:rsid w:val="00DA62A2"/>
    <w:rsid w:val="00DA630F"/>
    <w:rsid w:val="00DA6342"/>
    <w:rsid w:val="00DA6567"/>
    <w:rsid w:val="00DA662B"/>
    <w:rsid w:val="00DA6729"/>
    <w:rsid w:val="00DA68F7"/>
    <w:rsid w:val="00DA6A58"/>
    <w:rsid w:val="00DA6CCD"/>
    <w:rsid w:val="00DA6CF7"/>
    <w:rsid w:val="00DA6F24"/>
    <w:rsid w:val="00DA6F47"/>
    <w:rsid w:val="00DA6F7C"/>
    <w:rsid w:val="00DA7007"/>
    <w:rsid w:val="00DA70A6"/>
    <w:rsid w:val="00DA70FD"/>
    <w:rsid w:val="00DA71DC"/>
    <w:rsid w:val="00DA72F2"/>
    <w:rsid w:val="00DA736D"/>
    <w:rsid w:val="00DA74E1"/>
    <w:rsid w:val="00DA77AB"/>
    <w:rsid w:val="00DA77CC"/>
    <w:rsid w:val="00DA7823"/>
    <w:rsid w:val="00DA7895"/>
    <w:rsid w:val="00DA79FA"/>
    <w:rsid w:val="00DA7C7C"/>
    <w:rsid w:val="00DA7D68"/>
    <w:rsid w:val="00DA7E2C"/>
    <w:rsid w:val="00DA7F22"/>
    <w:rsid w:val="00DA7F3C"/>
    <w:rsid w:val="00DA7F72"/>
    <w:rsid w:val="00DA7FDE"/>
    <w:rsid w:val="00DB004B"/>
    <w:rsid w:val="00DB00D9"/>
    <w:rsid w:val="00DB01B2"/>
    <w:rsid w:val="00DB01C2"/>
    <w:rsid w:val="00DB0211"/>
    <w:rsid w:val="00DB032C"/>
    <w:rsid w:val="00DB03BB"/>
    <w:rsid w:val="00DB04AE"/>
    <w:rsid w:val="00DB065D"/>
    <w:rsid w:val="00DB06C1"/>
    <w:rsid w:val="00DB078E"/>
    <w:rsid w:val="00DB07A3"/>
    <w:rsid w:val="00DB08DD"/>
    <w:rsid w:val="00DB0A11"/>
    <w:rsid w:val="00DB0AD5"/>
    <w:rsid w:val="00DB0B39"/>
    <w:rsid w:val="00DB0BA6"/>
    <w:rsid w:val="00DB0D44"/>
    <w:rsid w:val="00DB0DE9"/>
    <w:rsid w:val="00DB0E81"/>
    <w:rsid w:val="00DB0EE1"/>
    <w:rsid w:val="00DB1060"/>
    <w:rsid w:val="00DB10A2"/>
    <w:rsid w:val="00DB1161"/>
    <w:rsid w:val="00DB11A8"/>
    <w:rsid w:val="00DB12D2"/>
    <w:rsid w:val="00DB12F0"/>
    <w:rsid w:val="00DB132B"/>
    <w:rsid w:val="00DB14CB"/>
    <w:rsid w:val="00DB1612"/>
    <w:rsid w:val="00DB1715"/>
    <w:rsid w:val="00DB1805"/>
    <w:rsid w:val="00DB18F9"/>
    <w:rsid w:val="00DB1B4F"/>
    <w:rsid w:val="00DB1B64"/>
    <w:rsid w:val="00DB1E31"/>
    <w:rsid w:val="00DB213E"/>
    <w:rsid w:val="00DB223C"/>
    <w:rsid w:val="00DB2276"/>
    <w:rsid w:val="00DB23FA"/>
    <w:rsid w:val="00DB24CB"/>
    <w:rsid w:val="00DB25C2"/>
    <w:rsid w:val="00DB2910"/>
    <w:rsid w:val="00DB2959"/>
    <w:rsid w:val="00DB29A7"/>
    <w:rsid w:val="00DB2B5F"/>
    <w:rsid w:val="00DB2C9E"/>
    <w:rsid w:val="00DB2CCE"/>
    <w:rsid w:val="00DB2D6D"/>
    <w:rsid w:val="00DB2DE3"/>
    <w:rsid w:val="00DB3040"/>
    <w:rsid w:val="00DB32AD"/>
    <w:rsid w:val="00DB331D"/>
    <w:rsid w:val="00DB3322"/>
    <w:rsid w:val="00DB335E"/>
    <w:rsid w:val="00DB33B0"/>
    <w:rsid w:val="00DB342D"/>
    <w:rsid w:val="00DB3511"/>
    <w:rsid w:val="00DB3536"/>
    <w:rsid w:val="00DB3600"/>
    <w:rsid w:val="00DB3602"/>
    <w:rsid w:val="00DB36BE"/>
    <w:rsid w:val="00DB37BB"/>
    <w:rsid w:val="00DB389E"/>
    <w:rsid w:val="00DB38C8"/>
    <w:rsid w:val="00DB38E3"/>
    <w:rsid w:val="00DB3AC7"/>
    <w:rsid w:val="00DB3C48"/>
    <w:rsid w:val="00DB3E5F"/>
    <w:rsid w:val="00DB3F2B"/>
    <w:rsid w:val="00DB4091"/>
    <w:rsid w:val="00DB42F0"/>
    <w:rsid w:val="00DB46AF"/>
    <w:rsid w:val="00DB4781"/>
    <w:rsid w:val="00DB4805"/>
    <w:rsid w:val="00DB48D0"/>
    <w:rsid w:val="00DB4A8A"/>
    <w:rsid w:val="00DB4B67"/>
    <w:rsid w:val="00DB4DAB"/>
    <w:rsid w:val="00DB4E05"/>
    <w:rsid w:val="00DB4F05"/>
    <w:rsid w:val="00DB5197"/>
    <w:rsid w:val="00DB51A0"/>
    <w:rsid w:val="00DB52B1"/>
    <w:rsid w:val="00DB52C2"/>
    <w:rsid w:val="00DB52D3"/>
    <w:rsid w:val="00DB53F6"/>
    <w:rsid w:val="00DB541B"/>
    <w:rsid w:val="00DB5433"/>
    <w:rsid w:val="00DB5544"/>
    <w:rsid w:val="00DB55B4"/>
    <w:rsid w:val="00DB57B4"/>
    <w:rsid w:val="00DB585F"/>
    <w:rsid w:val="00DB59C7"/>
    <w:rsid w:val="00DB5AB0"/>
    <w:rsid w:val="00DB5B40"/>
    <w:rsid w:val="00DB5B51"/>
    <w:rsid w:val="00DB5C49"/>
    <w:rsid w:val="00DB5E35"/>
    <w:rsid w:val="00DB5E80"/>
    <w:rsid w:val="00DB6047"/>
    <w:rsid w:val="00DB6122"/>
    <w:rsid w:val="00DB62D6"/>
    <w:rsid w:val="00DB6304"/>
    <w:rsid w:val="00DB6424"/>
    <w:rsid w:val="00DB6427"/>
    <w:rsid w:val="00DB6536"/>
    <w:rsid w:val="00DB6539"/>
    <w:rsid w:val="00DB65B9"/>
    <w:rsid w:val="00DB681D"/>
    <w:rsid w:val="00DB69B7"/>
    <w:rsid w:val="00DB69C4"/>
    <w:rsid w:val="00DB6A50"/>
    <w:rsid w:val="00DB6A9B"/>
    <w:rsid w:val="00DB6B04"/>
    <w:rsid w:val="00DB6B84"/>
    <w:rsid w:val="00DB6BBC"/>
    <w:rsid w:val="00DB6BDD"/>
    <w:rsid w:val="00DB6C6C"/>
    <w:rsid w:val="00DB6E06"/>
    <w:rsid w:val="00DB6EC7"/>
    <w:rsid w:val="00DB6EF4"/>
    <w:rsid w:val="00DB6F93"/>
    <w:rsid w:val="00DB70A5"/>
    <w:rsid w:val="00DB7121"/>
    <w:rsid w:val="00DB7342"/>
    <w:rsid w:val="00DB7403"/>
    <w:rsid w:val="00DB740C"/>
    <w:rsid w:val="00DB7443"/>
    <w:rsid w:val="00DB744F"/>
    <w:rsid w:val="00DB7A15"/>
    <w:rsid w:val="00DB7A57"/>
    <w:rsid w:val="00DB7C32"/>
    <w:rsid w:val="00DB7CB8"/>
    <w:rsid w:val="00DB7D5D"/>
    <w:rsid w:val="00DB7D94"/>
    <w:rsid w:val="00DB7D98"/>
    <w:rsid w:val="00DC0102"/>
    <w:rsid w:val="00DC043E"/>
    <w:rsid w:val="00DC0480"/>
    <w:rsid w:val="00DC04A7"/>
    <w:rsid w:val="00DC0536"/>
    <w:rsid w:val="00DC0640"/>
    <w:rsid w:val="00DC074C"/>
    <w:rsid w:val="00DC08ED"/>
    <w:rsid w:val="00DC099B"/>
    <w:rsid w:val="00DC0A4D"/>
    <w:rsid w:val="00DC0A75"/>
    <w:rsid w:val="00DC0BF8"/>
    <w:rsid w:val="00DC0C05"/>
    <w:rsid w:val="00DC0D09"/>
    <w:rsid w:val="00DC0D64"/>
    <w:rsid w:val="00DC0DC6"/>
    <w:rsid w:val="00DC0E1E"/>
    <w:rsid w:val="00DC0E3B"/>
    <w:rsid w:val="00DC0ED7"/>
    <w:rsid w:val="00DC0F1C"/>
    <w:rsid w:val="00DC0FD1"/>
    <w:rsid w:val="00DC0FF1"/>
    <w:rsid w:val="00DC1109"/>
    <w:rsid w:val="00DC118A"/>
    <w:rsid w:val="00DC11EA"/>
    <w:rsid w:val="00DC12B7"/>
    <w:rsid w:val="00DC1598"/>
    <w:rsid w:val="00DC15B4"/>
    <w:rsid w:val="00DC1895"/>
    <w:rsid w:val="00DC190F"/>
    <w:rsid w:val="00DC1A5B"/>
    <w:rsid w:val="00DC1B5F"/>
    <w:rsid w:val="00DC1DB5"/>
    <w:rsid w:val="00DC1E4A"/>
    <w:rsid w:val="00DC1EE4"/>
    <w:rsid w:val="00DC1F3E"/>
    <w:rsid w:val="00DC20B8"/>
    <w:rsid w:val="00DC20DC"/>
    <w:rsid w:val="00DC2233"/>
    <w:rsid w:val="00DC2465"/>
    <w:rsid w:val="00DC249C"/>
    <w:rsid w:val="00DC28DA"/>
    <w:rsid w:val="00DC2922"/>
    <w:rsid w:val="00DC2A77"/>
    <w:rsid w:val="00DC2A8C"/>
    <w:rsid w:val="00DC2B0E"/>
    <w:rsid w:val="00DC2B38"/>
    <w:rsid w:val="00DC2C5C"/>
    <w:rsid w:val="00DC2C97"/>
    <w:rsid w:val="00DC2D03"/>
    <w:rsid w:val="00DC2F2B"/>
    <w:rsid w:val="00DC2F9C"/>
    <w:rsid w:val="00DC3109"/>
    <w:rsid w:val="00DC3323"/>
    <w:rsid w:val="00DC333C"/>
    <w:rsid w:val="00DC34DE"/>
    <w:rsid w:val="00DC36EF"/>
    <w:rsid w:val="00DC37B1"/>
    <w:rsid w:val="00DC3856"/>
    <w:rsid w:val="00DC3AFB"/>
    <w:rsid w:val="00DC3B1E"/>
    <w:rsid w:val="00DC3D42"/>
    <w:rsid w:val="00DC3F79"/>
    <w:rsid w:val="00DC3FD4"/>
    <w:rsid w:val="00DC4117"/>
    <w:rsid w:val="00DC41F4"/>
    <w:rsid w:val="00DC4574"/>
    <w:rsid w:val="00DC46B9"/>
    <w:rsid w:val="00DC47C7"/>
    <w:rsid w:val="00DC4860"/>
    <w:rsid w:val="00DC48BA"/>
    <w:rsid w:val="00DC48CC"/>
    <w:rsid w:val="00DC48F4"/>
    <w:rsid w:val="00DC48F9"/>
    <w:rsid w:val="00DC498D"/>
    <w:rsid w:val="00DC4B82"/>
    <w:rsid w:val="00DC4C51"/>
    <w:rsid w:val="00DC4DAE"/>
    <w:rsid w:val="00DC4E01"/>
    <w:rsid w:val="00DC4E7A"/>
    <w:rsid w:val="00DC4F42"/>
    <w:rsid w:val="00DC515B"/>
    <w:rsid w:val="00DC55EB"/>
    <w:rsid w:val="00DC5615"/>
    <w:rsid w:val="00DC561B"/>
    <w:rsid w:val="00DC5852"/>
    <w:rsid w:val="00DC5943"/>
    <w:rsid w:val="00DC5953"/>
    <w:rsid w:val="00DC59FA"/>
    <w:rsid w:val="00DC5D9C"/>
    <w:rsid w:val="00DC5F2D"/>
    <w:rsid w:val="00DC5FB0"/>
    <w:rsid w:val="00DC60C3"/>
    <w:rsid w:val="00DC61B2"/>
    <w:rsid w:val="00DC620E"/>
    <w:rsid w:val="00DC621E"/>
    <w:rsid w:val="00DC64ED"/>
    <w:rsid w:val="00DC6511"/>
    <w:rsid w:val="00DC6642"/>
    <w:rsid w:val="00DC66DB"/>
    <w:rsid w:val="00DC6908"/>
    <w:rsid w:val="00DC6946"/>
    <w:rsid w:val="00DC6A02"/>
    <w:rsid w:val="00DC6C5A"/>
    <w:rsid w:val="00DC6D00"/>
    <w:rsid w:val="00DC6E07"/>
    <w:rsid w:val="00DC6EBC"/>
    <w:rsid w:val="00DC6F31"/>
    <w:rsid w:val="00DC6FA9"/>
    <w:rsid w:val="00DC7140"/>
    <w:rsid w:val="00DC71D3"/>
    <w:rsid w:val="00DC7241"/>
    <w:rsid w:val="00DC72A5"/>
    <w:rsid w:val="00DC73E8"/>
    <w:rsid w:val="00DC7452"/>
    <w:rsid w:val="00DC75C8"/>
    <w:rsid w:val="00DC76BC"/>
    <w:rsid w:val="00DC7788"/>
    <w:rsid w:val="00DC7931"/>
    <w:rsid w:val="00DC7C10"/>
    <w:rsid w:val="00DC7C40"/>
    <w:rsid w:val="00DC7D8A"/>
    <w:rsid w:val="00DC7E13"/>
    <w:rsid w:val="00DC7E82"/>
    <w:rsid w:val="00DC7E8A"/>
    <w:rsid w:val="00DC7EE1"/>
    <w:rsid w:val="00DD0141"/>
    <w:rsid w:val="00DD0146"/>
    <w:rsid w:val="00DD032E"/>
    <w:rsid w:val="00DD0365"/>
    <w:rsid w:val="00DD0731"/>
    <w:rsid w:val="00DD079D"/>
    <w:rsid w:val="00DD0AB5"/>
    <w:rsid w:val="00DD0AE2"/>
    <w:rsid w:val="00DD0AED"/>
    <w:rsid w:val="00DD0B14"/>
    <w:rsid w:val="00DD0B3F"/>
    <w:rsid w:val="00DD0B6F"/>
    <w:rsid w:val="00DD0B70"/>
    <w:rsid w:val="00DD0BB6"/>
    <w:rsid w:val="00DD0C49"/>
    <w:rsid w:val="00DD0E12"/>
    <w:rsid w:val="00DD0EA4"/>
    <w:rsid w:val="00DD0F46"/>
    <w:rsid w:val="00DD103F"/>
    <w:rsid w:val="00DD112D"/>
    <w:rsid w:val="00DD128B"/>
    <w:rsid w:val="00DD1516"/>
    <w:rsid w:val="00DD1596"/>
    <w:rsid w:val="00DD163B"/>
    <w:rsid w:val="00DD163D"/>
    <w:rsid w:val="00DD1804"/>
    <w:rsid w:val="00DD184A"/>
    <w:rsid w:val="00DD1949"/>
    <w:rsid w:val="00DD1B29"/>
    <w:rsid w:val="00DD1B40"/>
    <w:rsid w:val="00DD1CA3"/>
    <w:rsid w:val="00DD1DA2"/>
    <w:rsid w:val="00DD1DD5"/>
    <w:rsid w:val="00DD1EAB"/>
    <w:rsid w:val="00DD1F7C"/>
    <w:rsid w:val="00DD20EA"/>
    <w:rsid w:val="00DD21E2"/>
    <w:rsid w:val="00DD2238"/>
    <w:rsid w:val="00DD229D"/>
    <w:rsid w:val="00DD22CE"/>
    <w:rsid w:val="00DD241C"/>
    <w:rsid w:val="00DD2446"/>
    <w:rsid w:val="00DD264A"/>
    <w:rsid w:val="00DD264B"/>
    <w:rsid w:val="00DD2814"/>
    <w:rsid w:val="00DD2885"/>
    <w:rsid w:val="00DD296F"/>
    <w:rsid w:val="00DD2A55"/>
    <w:rsid w:val="00DD2B8B"/>
    <w:rsid w:val="00DD2D3C"/>
    <w:rsid w:val="00DD2D9C"/>
    <w:rsid w:val="00DD2DEF"/>
    <w:rsid w:val="00DD2DF1"/>
    <w:rsid w:val="00DD3058"/>
    <w:rsid w:val="00DD30B5"/>
    <w:rsid w:val="00DD3287"/>
    <w:rsid w:val="00DD328C"/>
    <w:rsid w:val="00DD32D5"/>
    <w:rsid w:val="00DD337B"/>
    <w:rsid w:val="00DD3431"/>
    <w:rsid w:val="00DD346E"/>
    <w:rsid w:val="00DD34DB"/>
    <w:rsid w:val="00DD34F8"/>
    <w:rsid w:val="00DD3537"/>
    <w:rsid w:val="00DD35AC"/>
    <w:rsid w:val="00DD362B"/>
    <w:rsid w:val="00DD363B"/>
    <w:rsid w:val="00DD3644"/>
    <w:rsid w:val="00DD370E"/>
    <w:rsid w:val="00DD3982"/>
    <w:rsid w:val="00DD39D2"/>
    <w:rsid w:val="00DD39DC"/>
    <w:rsid w:val="00DD3C8F"/>
    <w:rsid w:val="00DD3CCD"/>
    <w:rsid w:val="00DD4008"/>
    <w:rsid w:val="00DD4146"/>
    <w:rsid w:val="00DD415A"/>
    <w:rsid w:val="00DD41F4"/>
    <w:rsid w:val="00DD4241"/>
    <w:rsid w:val="00DD4248"/>
    <w:rsid w:val="00DD42F3"/>
    <w:rsid w:val="00DD43B3"/>
    <w:rsid w:val="00DD440C"/>
    <w:rsid w:val="00DD4473"/>
    <w:rsid w:val="00DD4714"/>
    <w:rsid w:val="00DD4B0E"/>
    <w:rsid w:val="00DD5215"/>
    <w:rsid w:val="00DD529A"/>
    <w:rsid w:val="00DD5667"/>
    <w:rsid w:val="00DD57AB"/>
    <w:rsid w:val="00DD58FA"/>
    <w:rsid w:val="00DD5911"/>
    <w:rsid w:val="00DD599E"/>
    <w:rsid w:val="00DD5C73"/>
    <w:rsid w:val="00DD5DC6"/>
    <w:rsid w:val="00DD5EDE"/>
    <w:rsid w:val="00DD5FF6"/>
    <w:rsid w:val="00DD611B"/>
    <w:rsid w:val="00DD64E8"/>
    <w:rsid w:val="00DD64EB"/>
    <w:rsid w:val="00DD653B"/>
    <w:rsid w:val="00DD66BF"/>
    <w:rsid w:val="00DD686B"/>
    <w:rsid w:val="00DD6891"/>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272"/>
    <w:rsid w:val="00DD7324"/>
    <w:rsid w:val="00DD7326"/>
    <w:rsid w:val="00DD73EA"/>
    <w:rsid w:val="00DD7465"/>
    <w:rsid w:val="00DD755E"/>
    <w:rsid w:val="00DD7785"/>
    <w:rsid w:val="00DD77B3"/>
    <w:rsid w:val="00DD78AF"/>
    <w:rsid w:val="00DD78B9"/>
    <w:rsid w:val="00DD7A44"/>
    <w:rsid w:val="00DD7C36"/>
    <w:rsid w:val="00DD7DDC"/>
    <w:rsid w:val="00DD7EE4"/>
    <w:rsid w:val="00DE0050"/>
    <w:rsid w:val="00DE00D2"/>
    <w:rsid w:val="00DE025D"/>
    <w:rsid w:val="00DE0306"/>
    <w:rsid w:val="00DE060D"/>
    <w:rsid w:val="00DE0736"/>
    <w:rsid w:val="00DE074E"/>
    <w:rsid w:val="00DE0766"/>
    <w:rsid w:val="00DE079F"/>
    <w:rsid w:val="00DE0A6E"/>
    <w:rsid w:val="00DE0AFC"/>
    <w:rsid w:val="00DE0E5C"/>
    <w:rsid w:val="00DE0E8E"/>
    <w:rsid w:val="00DE0EEB"/>
    <w:rsid w:val="00DE110F"/>
    <w:rsid w:val="00DE118D"/>
    <w:rsid w:val="00DE1615"/>
    <w:rsid w:val="00DE1625"/>
    <w:rsid w:val="00DE162C"/>
    <w:rsid w:val="00DE17E3"/>
    <w:rsid w:val="00DE1822"/>
    <w:rsid w:val="00DE183A"/>
    <w:rsid w:val="00DE196D"/>
    <w:rsid w:val="00DE1985"/>
    <w:rsid w:val="00DE19A6"/>
    <w:rsid w:val="00DE1B3B"/>
    <w:rsid w:val="00DE1C1A"/>
    <w:rsid w:val="00DE1F10"/>
    <w:rsid w:val="00DE1F72"/>
    <w:rsid w:val="00DE216A"/>
    <w:rsid w:val="00DE21BE"/>
    <w:rsid w:val="00DE22B8"/>
    <w:rsid w:val="00DE249E"/>
    <w:rsid w:val="00DE2539"/>
    <w:rsid w:val="00DE2597"/>
    <w:rsid w:val="00DE2773"/>
    <w:rsid w:val="00DE2845"/>
    <w:rsid w:val="00DE2A4C"/>
    <w:rsid w:val="00DE2AC9"/>
    <w:rsid w:val="00DE2B16"/>
    <w:rsid w:val="00DE2B93"/>
    <w:rsid w:val="00DE2CEF"/>
    <w:rsid w:val="00DE2EB4"/>
    <w:rsid w:val="00DE2F47"/>
    <w:rsid w:val="00DE3052"/>
    <w:rsid w:val="00DE3076"/>
    <w:rsid w:val="00DE30B6"/>
    <w:rsid w:val="00DE30E4"/>
    <w:rsid w:val="00DE3110"/>
    <w:rsid w:val="00DE318C"/>
    <w:rsid w:val="00DE31B5"/>
    <w:rsid w:val="00DE3237"/>
    <w:rsid w:val="00DE3402"/>
    <w:rsid w:val="00DE34C0"/>
    <w:rsid w:val="00DE365A"/>
    <w:rsid w:val="00DE3709"/>
    <w:rsid w:val="00DE3768"/>
    <w:rsid w:val="00DE38F6"/>
    <w:rsid w:val="00DE39AD"/>
    <w:rsid w:val="00DE39C5"/>
    <w:rsid w:val="00DE3AEA"/>
    <w:rsid w:val="00DE3B96"/>
    <w:rsid w:val="00DE3BEA"/>
    <w:rsid w:val="00DE3E64"/>
    <w:rsid w:val="00DE3FA7"/>
    <w:rsid w:val="00DE4040"/>
    <w:rsid w:val="00DE40C0"/>
    <w:rsid w:val="00DE41CC"/>
    <w:rsid w:val="00DE43E1"/>
    <w:rsid w:val="00DE43E7"/>
    <w:rsid w:val="00DE44C2"/>
    <w:rsid w:val="00DE4547"/>
    <w:rsid w:val="00DE4642"/>
    <w:rsid w:val="00DE481B"/>
    <w:rsid w:val="00DE4976"/>
    <w:rsid w:val="00DE49C2"/>
    <w:rsid w:val="00DE4CC5"/>
    <w:rsid w:val="00DE4CCC"/>
    <w:rsid w:val="00DE4D8D"/>
    <w:rsid w:val="00DE4E59"/>
    <w:rsid w:val="00DE4FD9"/>
    <w:rsid w:val="00DE50F7"/>
    <w:rsid w:val="00DE535B"/>
    <w:rsid w:val="00DE537D"/>
    <w:rsid w:val="00DE53D0"/>
    <w:rsid w:val="00DE542D"/>
    <w:rsid w:val="00DE545F"/>
    <w:rsid w:val="00DE5552"/>
    <w:rsid w:val="00DE57DC"/>
    <w:rsid w:val="00DE5823"/>
    <w:rsid w:val="00DE58C7"/>
    <w:rsid w:val="00DE58E6"/>
    <w:rsid w:val="00DE5AF5"/>
    <w:rsid w:val="00DE5BC4"/>
    <w:rsid w:val="00DE5CA4"/>
    <w:rsid w:val="00DE5D65"/>
    <w:rsid w:val="00DE5E21"/>
    <w:rsid w:val="00DE6243"/>
    <w:rsid w:val="00DE637D"/>
    <w:rsid w:val="00DE637E"/>
    <w:rsid w:val="00DE643A"/>
    <w:rsid w:val="00DE64E9"/>
    <w:rsid w:val="00DE6513"/>
    <w:rsid w:val="00DE65DA"/>
    <w:rsid w:val="00DE677F"/>
    <w:rsid w:val="00DE6781"/>
    <w:rsid w:val="00DE68A5"/>
    <w:rsid w:val="00DE6A24"/>
    <w:rsid w:val="00DE6ABA"/>
    <w:rsid w:val="00DE6AD2"/>
    <w:rsid w:val="00DE6AF2"/>
    <w:rsid w:val="00DE6B6D"/>
    <w:rsid w:val="00DE6BA1"/>
    <w:rsid w:val="00DE6BEE"/>
    <w:rsid w:val="00DE6CF3"/>
    <w:rsid w:val="00DE6D57"/>
    <w:rsid w:val="00DE6DA7"/>
    <w:rsid w:val="00DE6EFE"/>
    <w:rsid w:val="00DE6F1C"/>
    <w:rsid w:val="00DE70BD"/>
    <w:rsid w:val="00DE71B9"/>
    <w:rsid w:val="00DE71C9"/>
    <w:rsid w:val="00DE71EF"/>
    <w:rsid w:val="00DE7431"/>
    <w:rsid w:val="00DE744C"/>
    <w:rsid w:val="00DE74C6"/>
    <w:rsid w:val="00DE74EA"/>
    <w:rsid w:val="00DE7522"/>
    <w:rsid w:val="00DE75CF"/>
    <w:rsid w:val="00DE768D"/>
    <w:rsid w:val="00DE7938"/>
    <w:rsid w:val="00DE7A07"/>
    <w:rsid w:val="00DE7A94"/>
    <w:rsid w:val="00DE7BF3"/>
    <w:rsid w:val="00DE7C07"/>
    <w:rsid w:val="00DE7C95"/>
    <w:rsid w:val="00DE7CF9"/>
    <w:rsid w:val="00DE7DA2"/>
    <w:rsid w:val="00DE7DA7"/>
    <w:rsid w:val="00DE7F16"/>
    <w:rsid w:val="00DF00E3"/>
    <w:rsid w:val="00DF0100"/>
    <w:rsid w:val="00DF0156"/>
    <w:rsid w:val="00DF0301"/>
    <w:rsid w:val="00DF0612"/>
    <w:rsid w:val="00DF075A"/>
    <w:rsid w:val="00DF0787"/>
    <w:rsid w:val="00DF087B"/>
    <w:rsid w:val="00DF08A3"/>
    <w:rsid w:val="00DF0997"/>
    <w:rsid w:val="00DF0BAA"/>
    <w:rsid w:val="00DF0BB2"/>
    <w:rsid w:val="00DF0BB8"/>
    <w:rsid w:val="00DF0D3C"/>
    <w:rsid w:val="00DF0E19"/>
    <w:rsid w:val="00DF0EBC"/>
    <w:rsid w:val="00DF10C8"/>
    <w:rsid w:val="00DF111A"/>
    <w:rsid w:val="00DF120A"/>
    <w:rsid w:val="00DF1236"/>
    <w:rsid w:val="00DF1336"/>
    <w:rsid w:val="00DF141D"/>
    <w:rsid w:val="00DF141E"/>
    <w:rsid w:val="00DF1504"/>
    <w:rsid w:val="00DF15BE"/>
    <w:rsid w:val="00DF15CA"/>
    <w:rsid w:val="00DF1663"/>
    <w:rsid w:val="00DF178E"/>
    <w:rsid w:val="00DF17DD"/>
    <w:rsid w:val="00DF1819"/>
    <w:rsid w:val="00DF18F4"/>
    <w:rsid w:val="00DF196E"/>
    <w:rsid w:val="00DF1B03"/>
    <w:rsid w:val="00DF1B61"/>
    <w:rsid w:val="00DF1C7B"/>
    <w:rsid w:val="00DF1C96"/>
    <w:rsid w:val="00DF1CBF"/>
    <w:rsid w:val="00DF1CED"/>
    <w:rsid w:val="00DF1CFC"/>
    <w:rsid w:val="00DF1D99"/>
    <w:rsid w:val="00DF1F4E"/>
    <w:rsid w:val="00DF1F91"/>
    <w:rsid w:val="00DF2036"/>
    <w:rsid w:val="00DF21DB"/>
    <w:rsid w:val="00DF2331"/>
    <w:rsid w:val="00DF2398"/>
    <w:rsid w:val="00DF242B"/>
    <w:rsid w:val="00DF2654"/>
    <w:rsid w:val="00DF269B"/>
    <w:rsid w:val="00DF274F"/>
    <w:rsid w:val="00DF28DC"/>
    <w:rsid w:val="00DF2954"/>
    <w:rsid w:val="00DF29B2"/>
    <w:rsid w:val="00DF2A33"/>
    <w:rsid w:val="00DF2C1E"/>
    <w:rsid w:val="00DF2C24"/>
    <w:rsid w:val="00DF2C34"/>
    <w:rsid w:val="00DF2CC4"/>
    <w:rsid w:val="00DF2CC6"/>
    <w:rsid w:val="00DF2F06"/>
    <w:rsid w:val="00DF309B"/>
    <w:rsid w:val="00DF330C"/>
    <w:rsid w:val="00DF33FF"/>
    <w:rsid w:val="00DF3600"/>
    <w:rsid w:val="00DF373C"/>
    <w:rsid w:val="00DF388B"/>
    <w:rsid w:val="00DF3933"/>
    <w:rsid w:val="00DF3A26"/>
    <w:rsid w:val="00DF3AA4"/>
    <w:rsid w:val="00DF3BFF"/>
    <w:rsid w:val="00DF3CDA"/>
    <w:rsid w:val="00DF3CF9"/>
    <w:rsid w:val="00DF3ED5"/>
    <w:rsid w:val="00DF3F18"/>
    <w:rsid w:val="00DF3F62"/>
    <w:rsid w:val="00DF4153"/>
    <w:rsid w:val="00DF41EC"/>
    <w:rsid w:val="00DF4300"/>
    <w:rsid w:val="00DF436D"/>
    <w:rsid w:val="00DF43FE"/>
    <w:rsid w:val="00DF444C"/>
    <w:rsid w:val="00DF4469"/>
    <w:rsid w:val="00DF45C2"/>
    <w:rsid w:val="00DF46EA"/>
    <w:rsid w:val="00DF4707"/>
    <w:rsid w:val="00DF47D0"/>
    <w:rsid w:val="00DF4955"/>
    <w:rsid w:val="00DF4A2A"/>
    <w:rsid w:val="00DF4A56"/>
    <w:rsid w:val="00DF4B12"/>
    <w:rsid w:val="00DF4CC0"/>
    <w:rsid w:val="00DF4D2C"/>
    <w:rsid w:val="00DF4FE5"/>
    <w:rsid w:val="00DF507D"/>
    <w:rsid w:val="00DF5122"/>
    <w:rsid w:val="00DF5403"/>
    <w:rsid w:val="00DF552A"/>
    <w:rsid w:val="00DF55ED"/>
    <w:rsid w:val="00DF55EE"/>
    <w:rsid w:val="00DF5668"/>
    <w:rsid w:val="00DF5717"/>
    <w:rsid w:val="00DF5884"/>
    <w:rsid w:val="00DF58BB"/>
    <w:rsid w:val="00DF58C1"/>
    <w:rsid w:val="00DF59EC"/>
    <w:rsid w:val="00DF5A31"/>
    <w:rsid w:val="00DF5B23"/>
    <w:rsid w:val="00DF5BCC"/>
    <w:rsid w:val="00DF5C06"/>
    <w:rsid w:val="00DF5D64"/>
    <w:rsid w:val="00DF5D70"/>
    <w:rsid w:val="00DF5DCA"/>
    <w:rsid w:val="00DF5DF7"/>
    <w:rsid w:val="00DF5E77"/>
    <w:rsid w:val="00DF5ECD"/>
    <w:rsid w:val="00DF6002"/>
    <w:rsid w:val="00DF6161"/>
    <w:rsid w:val="00DF6416"/>
    <w:rsid w:val="00DF65D2"/>
    <w:rsid w:val="00DF6609"/>
    <w:rsid w:val="00DF67B3"/>
    <w:rsid w:val="00DF691B"/>
    <w:rsid w:val="00DF6966"/>
    <w:rsid w:val="00DF69AA"/>
    <w:rsid w:val="00DF69AD"/>
    <w:rsid w:val="00DF6AFA"/>
    <w:rsid w:val="00DF6C35"/>
    <w:rsid w:val="00DF6D25"/>
    <w:rsid w:val="00DF6DF8"/>
    <w:rsid w:val="00DF6E45"/>
    <w:rsid w:val="00DF6EE6"/>
    <w:rsid w:val="00DF6F19"/>
    <w:rsid w:val="00DF6F4B"/>
    <w:rsid w:val="00DF6F4E"/>
    <w:rsid w:val="00DF71EE"/>
    <w:rsid w:val="00DF71F0"/>
    <w:rsid w:val="00DF729E"/>
    <w:rsid w:val="00DF7405"/>
    <w:rsid w:val="00DF7443"/>
    <w:rsid w:val="00DF7553"/>
    <w:rsid w:val="00DF75F1"/>
    <w:rsid w:val="00DF7646"/>
    <w:rsid w:val="00DF7943"/>
    <w:rsid w:val="00DF79D5"/>
    <w:rsid w:val="00DF7C5E"/>
    <w:rsid w:val="00DF7D9A"/>
    <w:rsid w:val="00DF7DBC"/>
    <w:rsid w:val="00E0008B"/>
    <w:rsid w:val="00E001EF"/>
    <w:rsid w:val="00E002A4"/>
    <w:rsid w:val="00E002B0"/>
    <w:rsid w:val="00E0030D"/>
    <w:rsid w:val="00E0034E"/>
    <w:rsid w:val="00E00420"/>
    <w:rsid w:val="00E0042C"/>
    <w:rsid w:val="00E00458"/>
    <w:rsid w:val="00E007F4"/>
    <w:rsid w:val="00E008F7"/>
    <w:rsid w:val="00E008FA"/>
    <w:rsid w:val="00E00911"/>
    <w:rsid w:val="00E00BC2"/>
    <w:rsid w:val="00E00BC7"/>
    <w:rsid w:val="00E00C57"/>
    <w:rsid w:val="00E0157E"/>
    <w:rsid w:val="00E015DA"/>
    <w:rsid w:val="00E016AB"/>
    <w:rsid w:val="00E017C9"/>
    <w:rsid w:val="00E018AC"/>
    <w:rsid w:val="00E01972"/>
    <w:rsid w:val="00E01B43"/>
    <w:rsid w:val="00E01B48"/>
    <w:rsid w:val="00E01C55"/>
    <w:rsid w:val="00E01CD8"/>
    <w:rsid w:val="00E01CF1"/>
    <w:rsid w:val="00E01D18"/>
    <w:rsid w:val="00E01D23"/>
    <w:rsid w:val="00E01D33"/>
    <w:rsid w:val="00E01D42"/>
    <w:rsid w:val="00E01E81"/>
    <w:rsid w:val="00E01E86"/>
    <w:rsid w:val="00E01EF3"/>
    <w:rsid w:val="00E01F27"/>
    <w:rsid w:val="00E01F4F"/>
    <w:rsid w:val="00E020C3"/>
    <w:rsid w:val="00E021A2"/>
    <w:rsid w:val="00E022DD"/>
    <w:rsid w:val="00E02332"/>
    <w:rsid w:val="00E02395"/>
    <w:rsid w:val="00E024EB"/>
    <w:rsid w:val="00E025EE"/>
    <w:rsid w:val="00E026BC"/>
    <w:rsid w:val="00E02865"/>
    <w:rsid w:val="00E02E1C"/>
    <w:rsid w:val="00E02E20"/>
    <w:rsid w:val="00E02E5A"/>
    <w:rsid w:val="00E02EBD"/>
    <w:rsid w:val="00E02F84"/>
    <w:rsid w:val="00E03018"/>
    <w:rsid w:val="00E03171"/>
    <w:rsid w:val="00E031A3"/>
    <w:rsid w:val="00E03351"/>
    <w:rsid w:val="00E0346D"/>
    <w:rsid w:val="00E034A4"/>
    <w:rsid w:val="00E034F3"/>
    <w:rsid w:val="00E035F2"/>
    <w:rsid w:val="00E03706"/>
    <w:rsid w:val="00E037E7"/>
    <w:rsid w:val="00E037F8"/>
    <w:rsid w:val="00E03831"/>
    <w:rsid w:val="00E0383E"/>
    <w:rsid w:val="00E038EF"/>
    <w:rsid w:val="00E0395A"/>
    <w:rsid w:val="00E039D7"/>
    <w:rsid w:val="00E03B0D"/>
    <w:rsid w:val="00E03B10"/>
    <w:rsid w:val="00E03BE7"/>
    <w:rsid w:val="00E03BFC"/>
    <w:rsid w:val="00E03C6E"/>
    <w:rsid w:val="00E03F71"/>
    <w:rsid w:val="00E0414B"/>
    <w:rsid w:val="00E041C6"/>
    <w:rsid w:val="00E042ED"/>
    <w:rsid w:val="00E0446F"/>
    <w:rsid w:val="00E044AB"/>
    <w:rsid w:val="00E04643"/>
    <w:rsid w:val="00E0491D"/>
    <w:rsid w:val="00E04969"/>
    <w:rsid w:val="00E049A8"/>
    <w:rsid w:val="00E04B31"/>
    <w:rsid w:val="00E04DB1"/>
    <w:rsid w:val="00E05001"/>
    <w:rsid w:val="00E05113"/>
    <w:rsid w:val="00E05439"/>
    <w:rsid w:val="00E05470"/>
    <w:rsid w:val="00E0549B"/>
    <w:rsid w:val="00E055D2"/>
    <w:rsid w:val="00E0560D"/>
    <w:rsid w:val="00E05610"/>
    <w:rsid w:val="00E056D9"/>
    <w:rsid w:val="00E057B6"/>
    <w:rsid w:val="00E059D2"/>
    <w:rsid w:val="00E05B4D"/>
    <w:rsid w:val="00E05DB9"/>
    <w:rsid w:val="00E05DC2"/>
    <w:rsid w:val="00E05EDD"/>
    <w:rsid w:val="00E05F6A"/>
    <w:rsid w:val="00E05F76"/>
    <w:rsid w:val="00E06165"/>
    <w:rsid w:val="00E06168"/>
    <w:rsid w:val="00E06269"/>
    <w:rsid w:val="00E0636B"/>
    <w:rsid w:val="00E0640D"/>
    <w:rsid w:val="00E0641F"/>
    <w:rsid w:val="00E064A1"/>
    <w:rsid w:val="00E06664"/>
    <w:rsid w:val="00E06665"/>
    <w:rsid w:val="00E066CB"/>
    <w:rsid w:val="00E06840"/>
    <w:rsid w:val="00E06A13"/>
    <w:rsid w:val="00E06BCD"/>
    <w:rsid w:val="00E06C8A"/>
    <w:rsid w:val="00E06E16"/>
    <w:rsid w:val="00E06E19"/>
    <w:rsid w:val="00E06E34"/>
    <w:rsid w:val="00E072CB"/>
    <w:rsid w:val="00E072E7"/>
    <w:rsid w:val="00E072F9"/>
    <w:rsid w:val="00E0731B"/>
    <w:rsid w:val="00E0732D"/>
    <w:rsid w:val="00E073F4"/>
    <w:rsid w:val="00E074A2"/>
    <w:rsid w:val="00E075B4"/>
    <w:rsid w:val="00E07687"/>
    <w:rsid w:val="00E0784A"/>
    <w:rsid w:val="00E07857"/>
    <w:rsid w:val="00E078D3"/>
    <w:rsid w:val="00E079A5"/>
    <w:rsid w:val="00E07AD6"/>
    <w:rsid w:val="00E07B83"/>
    <w:rsid w:val="00E07B94"/>
    <w:rsid w:val="00E07BB0"/>
    <w:rsid w:val="00E07CAD"/>
    <w:rsid w:val="00E07CBA"/>
    <w:rsid w:val="00E07F25"/>
    <w:rsid w:val="00E10035"/>
    <w:rsid w:val="00E100B9"/>
    <w:rsid w:val="00E100F8"/>
    <w:rsid w:val="00E102BE"/>
    <w:rsid w:val="00E105C2"/>
    <w:rsid w:val="00E107DB"/>
    <w:rsid w:val="00E10BDA"/>
    <w:rsid w:val="00E10C4F"/>
    <w:rsid w:val="00E10C61"/>
    <w:rsid w:val="00E10CA0"/>
    <w:rsid w:val="00E10CB0"/>
    <w:rsid w:val="00E10E40"/>
    <w:rsid w:val="00E10E6C"/>
    <w:rsid w:val="00E10F19"/>
    <w:rsid w:val="00E10F30"/>
    <w:rsid w:val="00E10F83"/>
    <w:rsid w:val="00E11006"/>
    <w:rsid w:val="00E1103D"/>
    <w:rsid w:val="00E1110D"/>
    <w:rsid w:val="00E1120A"/>
    <w:rsid w:val="00E112CA"/>
    <w:rsid w:val="00E11375"/>
    <w:rsid w:val="00E113AE"/>
    <w:rsid w:val="00E113C6"/>
    <w:rsid w:val="00E1152C"/>
    <w:rsid w:val="00E11552"/>
    <w:rsid w:val="00E11585"/>
    <w:rsid w:val="00E11630"/>
    <w:rsid w:val="00E11647"/>
    <w:rsid w:val="00E116C6"/>
    <w:rsid w:val="00E117CF"/>
    <w:rsid w:val="00E119B9"/>
    <w:rsid w:val="00E119CA"/>
    <w:rsid w:val="00E11AD9"/>
    <w:rsid w:val="00E11BBC"/>
    <w:rsid w:val="00E11BC4"/>
    <w:rsid w:val="00E11BC7"/>
    <w:rsid w:val="00E11BE1"/>
    <w:rsid w:val="00E11CDF"/>
    <w:rsid w:val="00E11D9E"/>
    <w:rsid w:val="00E11EC2"/>
    <w:rsid w:val="00E11FF1"/>
    <w:rsid w:val="00E11FF7"/>
    <w:rsid w:val="00E1205E"/>
    <w:rsid w:val="00E12091"/>
    <w:rsid w:val="00E12151"/>
    <w:rsid w:val="00E12167"/>
    <w:rsid w:val="00E12191"/>
    <w:rsid w:val="00E1241E"/>
    <w:rsid w:val="00E1246C"/>
    <w:rsid w:val="00E12472"/>
    <w:rsid w:val="00E124D6"/>
    <w:rsid w:val="00E12517"/>
    <w:rsid w:val="00E12545"/>
    <w:rsid w:val="00E12A15"/>
    <w:rsid w:val="00E12A8F"/>
    <w:rsid w:val="00E12CDF"/>
    <w:rsid w:val="00E12DB7"/>
    <w:rsid w:val="00E12E01"/>
    <w:rsid w:val="00E12E78"/>
    <w:rsid w:val="00E12FFF"/>
    <w:rsid w:val="00E130FF"/>
    <w:rsid w:val="00E131E8"/>
    <w:rsid w:val="00E13348"/>
    <w:rsid w:val="00E13366"/>
    <w:rsid w:val="00E133EB"/>
    <w:rsid w:val="00E13415"/>
    <w:rsid w:val="00E1348D"/>
    <w:rsid w:val="00E13547"/>
    <w:rsid w:val="00E135BE"/>
    <w:rsid w:val="00E138AB"/>
    <w:rsid w:val="00E1393C"/>
    <w:rsid w:val="00E13BD9"/>
    <w:rsid w:val="00E13C00"/>
    <w:rsid w:val="00E13C68"/>
    <w:rsid w:val="00E13CF2"/>
    <w:rsid w:val="00E13E22"/>
    <w:rsid w:val="00E13E24"/>
    <w:rsid w:val="00E13F3F"/>
    <w:rsid w:val="00E1405F"/>
    <w:rsid w:val="00E14098"/>
    <w:rsid w:val="00E140FF"/>
    <w:rsid w:val="00E14139"/>
    <w:rsid w:val="00E141D3"/>
    <w:rsid w:val="00E14513"/>
    <w:rsid w:val="00E1454B"/>
    <w:rsid w:val="00E14627"/>
    <w:rsid w:val="00E14951"/>
    <w:rsid w:val="00E14AA6"/>
    <w:rsid w:val="00E14B31"/>
    <w:rsid w:val="00E14B76"/>
    <w:rsid w:val="00E14BEA"/>
    <w:rsid w:val="00E14CBF"/>
    <w:rsid w:val="00E14D39"/>
    <w:rsid w:val="00E14F35"/>
    <w:rsid w:val="00E14F97"/>
    <w:rsid w:val="00E15109"/>
    <w:rsid w:val="00E152AF"/>
    <w:rsid w:val="00E152EC"/>
    <w:rsid w:val="00E15479"/>
    <w:rsid w:val="00E155F9"/>
    <w:rsid w:val="00E157BE"/>
    <w:rsid w:val="00E15841"/>
    <w:rsid w:val="00E1588B"/>
    <w:rsid w:val="00E159CC"/>
    <w:rsid w:val="00E15ACF"/>
    <w:rsid w:val="00E15B2E"/>
    <w:rsid w:val="00E15B44"/>
    <w:rsid w:val="00E15D6D"/>
    <w:rsid w:val="00E15E5F"/>
    <w:rsid w:val="00E15F03"/>
    <w:rsid w:val="00E1605E"/>
    <w:rsid w:val="00E16114"/>
    <w:rsid w:val="00E1623F"/>
    <w:rsid w:val="00E162D3"/>
    <w:rsid w:val="00E1631B"/>
    <w:rsid w:val="00E164C8"/>
    <w:rsid w:val="00E16652"/>
    <w:rsid w:val="00E1669D"/>
    <w:rsid w:val="00E167DD"/>
    <w:rsid w:val="00E16816"/>
    <w:rsid w:val="00E16826"/>
    <w:rsid w:val="00E168ED"/>
    <w:rsid w:val="00E16AA0"/>
    <w:rsid w:val="00E16B2E"/>
    <w:rsid w:val="00E16B7F"/>
    <w:rsid w:val="00E16BA6"/>
    <w:rsid w:val="00E16CA9"/>
    <w:rsid w:val="00E16D79"/>
    <w:rsid w:val="00E16DAE"/>
    <w:rsid w:val="00E16E21"/>
    <w:rsid w:val="00E16E26"/>
    <w:rsid w:val="00E16E59"/>
    <w:rsid w:val="00E16FF2"/>
    <w:rsid w:val="00E1700A"/>
    <w:rsid w:val="00E17040"/>
    <w:rsid w:val="00E1708D"/>
    <w:rsid w:val="00E170F8"/>
    <w:rsid w:val="00E1713F"/>
    <w:rsid w:val="00E1718F"/>
    <w:rsid w:val="00E171F4"/>
    <w:rsid w:val="00E1744D"/>
    <w:rsid w:val="00E17541"/>
    <w:rsid w:val="00E17806"/>
    <w:rsid w:val="00E17868"/>
    <w:rsid w:val="00E17A4E"/>
    <w:rsid w:val="00E17BDB"/>
    <w:rsid w:val="00E17C63"/>
    <w:rsid w:val="00E17D0C"/>
    <w:rsid w:val="00E17D63"/>
    <w:rsid w:val="00E17F5E"/>
    <w:rsid w:val="00E17FDB"/>
    <w:rsid w:val="00E200E8"/>
    <w:rsid w:val="00E200F6"/>
    <w:rsid w:val="00E20138"/>
    <w:rsid w:val="00E2023E"/>
    <w:rsid w:val="00E20279"/>
    <w:rsid w:val="00E202E1"/>
    <w:rsid w:val="00E203BD"/>
    <w:rsid w:val="00E20492"/>
    <w:rsid w:val="00E204A5"/>
    <w:rsid w:val="00E204F3"/>
    <w:rsid w:val="00E2055C"/>
    <w:rsid w:val="00E2066C"/>
    <w:rsid w:val="00E20686"/>
    <w:rsid w:val="00E206D7"/>
    <w:rsid w:val="00E20760"/>
    <w:rsid w:val="00E207A7"/>
    <w:rsid w:val="00E207BC"/>
    <w:rsid w:val="00E207EF"/>
    <w:rsid w:val="00E208CB"/>
    <w:rsid w:val="00E20A12"/>
    <w:rsid w:val="00E20AC6"/>
    <w:rsid w:val="00E20AFF"/>
    <w:rsid w:val="00E20B64"/>
    <w:rsid w:val="00E20DE3"/>
    <w:rsid w:val="00E20FA0"/>
    <w:rsid w:val="00E20FB5"/>
    <w:rsid w:val="00E20FCC"/>
    <w:rsid w:val="00E21086"/>
    <w:rsid w:val="00E210A9"/>
    <w:rsid w:val="00E21109"/>
    <w:rsid w:val="00E21207"/>
    <w:rsid w:val="00E214FE"/>
    <w:rsid w:val="00E217F3"/>
    <w:rsid w:val="00E2182F"/>
    <w:rsid w:val="00E21866"/>
    <w:rsid w:val="00E218B9"/>
    <w:rsid w:val="00E218DC"/>
    <w:rsid w:val="00E21B80"/>
    <w:rsid w:val="00E21C5F"/>
    <w:rsid w:val="00E21D4E"/>
    <w:rsid w:val="00E21D6C"/>
    <w:rsid w:val="00E21F6F"/>
    <w:rsid w:val="00E21FBB"/>
    <w:rsid w:val="00E2215C"/>
    <w:rsid w:val="00E22354"/>
    <w:rsid w:val="00E22417"/>
    <w:rsid w:val="00E226B8"/>
    <w:rsid w:val="00E226D4"/>
    <w:rsid w:val="00E2277D"/>
    <w:rsid w:val="00E2285B"/>
    <w:rsid w:val="00E228DA"/>
    <w:rsid w:val="00E22ADF"/>
    <w:rsid w:val="00E22B26"/>
    <w:rsid w:val="00E22B6C"/>
    <w:rsid w:val="00E22C24"/>
    <w:rsid w:val="00E22CD0"/>
    <w:rsid w:val="00E22D6A"/>
    <w:rsid w:val="00E23061"/>
    <w:rsid w:val="00E23084"/>
    <w:rsid w:val="00E23197"/>
    <w:rsid w:val="00E231C9"/>
    <w:rsid w:val="00E231D7"/>
    <w:rsid w:val="00E2324B"/>
    <w:rsid w:val="00E2329D"/>
    <w:rsid w:val="00E232F5"/>
    <w:rsid w:val="00E23608"/>
    <w:rsid w:val="00E2361D"/>
    <w:rsid w:val="00E23645"/>
    <w:rsid w:val="00E23733"/>
    <w:rsid w:val="00E2373E"/>
    <w:rsid w:val="00E23742"/>
    <w:rsid w:val="00E237D4"/>
    <w:rsid w:val="00E23802"/>
    <w:rsid w:val="00E23B20"/>
    <w:rsid w:val="00E23BB2"/>
    <w:rsid w:val="00E23F2D"/>
    <w:rsid w:val="00E23F36"/>
    <w:rsid w:val="00E240F0"/>
    <w:rsid w:val="00E241B1"/>
    <w:rsid w:val="00E24290"/>
    <w:rsid w:val="00E243A6"/>
    <w:rsid w:val="00E244CF"/>
    <w:rsid w:val="00E246B3"/>
    <w:rsid w:val="00E24817"/>
    <w:rsid w:val="00E24819"/>
    <w:rsid w:val="00E248BB"/>
    <w:rsid w:val="00E249CB"/>
    <w:rsid w:val="00E249E4"/>
    <w:rsid w:val="00E24BA0"/>
    <w:rsid w:val="00E24D92"/>
    <w:rsid w:val="00E24E06"/>
    <w:rsid w:val="00E24E46"/>
    <w:rsid w:val="00E24E83"/>
    <w:rsid w:val="00E24F35"/>
    <w:rsid w:val="00E24F4D"/>
    <w:rsid w:val="00E24F6A"/>
    <w:rsid w:val="00E24FF3"/>
    <w:rsid w:val="00E25056"/>
    <w:rsid w:val="00E25102"/>
    <w:rsid w:val="00E251FD"/>
    <w:rsid w:val="00E25391"/>
    <w:rsid w:val="00E25545"/>
    <w:rsid w:val="00E255D7"/>
    <w:rsid w:val="00E2565C"/>
    <w:rsid w:val="00E25682"/>
    <w:rsid w:val="00E25754"/>
    <w:rsid w:val="00E25776"/>
    <w:rsid w:val="00E25847"/>
    <w:rsid w:val="00E2589C"/>
    <w:rsid w:val="00E258D1"/>
    <w:rsid w:val="00E258FA"/>
    <w:rsid w:val="00E25A24"/>
    <w:rsid w:val="00E25ABE"/>
    <w:rsid w:val="00E25B33"/>
    <w:rsid w:val="00E25BF3"/>
    <w:rsid w:val="00E25CB2"/>
    <w:rsid w:val="00E25DF0"/>
    <w:rsid w:val="00E25FF8"/>
    <w:rsid w:val="00E26206"/>
    <w:rsid w:val="00E2627A"/>
    <w:rsid w:val="00E263FA"/>
    <w:rsid w:val="00E2660F"/>
    <w:rsid w:val="00E26618"/>
    <w:rsid w:val="00E2669C"/>
    <w:rsid w:val="00E267F4"/>
    <w:rsid w:val="00E26816"/>
    <w:rsid w:val="00E2690F"/>
    <w:rsid w:val="00E26A4A"/>
    <w:rsid w:val="00E26A8C"/>
    <w:rsid w:val="00E26C0D"/>
    <w:rsid w:val="00E26E6C"/>
    <w:rsid w:val="00E26F3D"/>
    <w:rsid w:val="00E26FC1"/>
    <w:rsid w:val="00E27003"/>
    <w:rsid w:val="00E270C8"/>
    <w:rsid w:val="00E271BE"/>
    <w:rsid w:val="00E27284"/>
    <w:rsid w:val="00E272F5"/>
    <w:rsid w:val="00E2733B"/>
    <w:rsid w:val="00E274A7"/>
    <w:rsid w:val="00E2778B"/>
    <w:rsid w:val="00E279DC"/>
    <w:rsid w:val="00E27A3E"/>
    <w:rsid w:val="00E27AE5"/>
    <w:rsid w:val="00E27BA2"/>
    <w:rsid w:val="00E27D16"/>
    <w:rsid w:val="00E27D8D"/>
    <w:rsid w:val="00E27DD3"/>
    <w:rsid w:val="00E27F17"/>
    <w:rsid w:val="00E27F3A"/>
    <w:rsid w:val="00E300AF"/>
    <w:rsid w:val="00E300CC"/>
    <w:rsid w:val="00E30202"/>
    <w:rsid w:val="00E30277"/>
    <w:rsid w:val="00E304F5"/>
    <w:rsid w:val="00E3054C"/>
    <w:rsid w:val="00E30744"/>
    <w:rsid w:val="00E30782"/>
    <w:rsid w:val="00E30A94"/>
    <w:rsid w:val="00E30A95"/>
    <w:rsid w:val="00E30D5B"/>
    <w:rsid w:val="00E30E57"/>
    <w:rsid w:val="00E30E63"/>
    <w:rsid w:val="00E30EFD"/>
    <w:rsid w:val="00E30F8B"/>
    <w:rsid w:val="00E31135"/>
    <w:rsid w:val="00E31191"/>
    <w:rsid w:val="00E312D4"/>
    <w:rsid w:val="00E3165C"/>
    <w:rsid w:val="00E31678"/>
    <w:rsid w:val="00E3175C"/>
    <w:rsid w:val="00E3176A"/>
    <w:rsid w:val="00E31A53"/>
    <w:rsid w:val="00E31B68"/>
    <w:rsid w:val="00E31DC5"/>
    <w:rsid w:val="00E31DF3"/>
    <w:rsid w:val="00E31E92"/>
    <w:rsid w:val="00E31ECB"/>
    <w:rsid w:val="00E31ECE"/>
    <w:rsid w:val="00E31F11"/>
    <w:rsid w:val="00E3200A"/>
    <w:rsid w:val="00E320AD"/>
    <w:rsid w:val="00E321B2"/>
    <w:rsid w:val="00E3221F"/>
    <w:rsid w:val="00E32346"/>
    <w:rsid w:val="00E32433"/>
    <w:rsid w:val="00E32446"/>
    <w:rsid w:val="00E32461"/>
    <w:rsid w:val="00E324F8"/>
    <w:rsid w:val="00E32580"/>
    <w:rsid w:val="00E32773"/>
    <w:rsid w:val="00E327CA"/>
    <w:rsid w:val="00E32CED"/>
    <w:rsid w:val="00E32E3D"/>
    <w:rsid w:val="00E33022"/>
    <w:rsid w:val="00E3308B"/>
    <w:rsid w:val="00E3310D"/>
    <w:rsid w:val="00E3312C"/>
    <w:rsid w:val="00E333B1"/>
    <w:rsid w:val="00E3341B"/>
    <w:rsid w:val="00E33426"/>
    <w:rsid w:val="00E33520"/>
    <w:rsid w:val="00E335C0"/>
    <w:rsid w:val="00E33606"/>
    <w:rsid w:val="00E33829"/>
    <w:rsid w:val="00E338A6"/>
    <w:rsid w:val="00E339B7"/>
    <w:rsid w:val="00E339D8"/>
    <w:rsid w:val="00E339E2"/>
    <w:rsid w:val="00E33B41"/>
    <w:rsid w:val="00E33D4C"/>
    <w:rsid w:val="00E33D4E"/>
    <w:rsid w:val="00E33DCF"/>
    <w:rsid w:val="00E33DE7"/>
    <w:rsid w:val="00E33E30"/>
    <w:rsid w:val="00E33F77"/>
    <w:rsid w:val="00E3407D"/>
    <w:rsid w:val="00E34120"/>
    <w:rsid w:val="00E3421A"/>
    <w:rsid w:val="00E3422D"/>
    <w:rsid w:val="00E34369"/>
    <w:rsid w:val="00E34468"/>
    <w:rsid w:val="00E3454D"/>
    <w:rsid w:val="00E345D3"/>
    <w:rsid w:val="00E346E2"/>
    <w:rsid w:val="00E34716"/>
    <w:rsid w:val="00E34928"/>
    <w:rsid w:val="00E349D9"/>
    <w:rsid w:val="00E349DD"/>
    <w:rsid w:val="00E34CA5"/>
    <w:rsid w:val="00E34E75"/>
    <w:rsid w:val="00E34F97"/>
    <w:rsid w:val="00E34FBA"/>
    <w:rsid w:val="00E34FC9"/>
    <w:rsid w:val="00E35001"/>
    <w:rsid w:val="00E35067"/>
    <w:rsid w:val="00E35115"/>
    <w:rsid w:val="00E35242"/>
    <w:rsid w:val="00E35289"/>
    <w:rsid w:val="00E353AF"/>
    <w:rsid w:val="00E353B5"/>
    <w:rsid w:val="00E35433"/>
    <w:rsid w:val="00E354D3"/>
    <w:rsid w:val="00E3551F"/>
    <w:rsid w:val="00E356FC"/>
    <w:rsid w:val="00E35850"/>
    <w:rsid w:val="00E358D7"/>
    <w:rsid w:val="00E35A7E"/>
    <w:rsid w:val="00E35AE8"/>
    <w:rsid w:val="00E35AF8"/>
    <w:rsid w:val="00E35B03"/>
    <w:rsid w:val="00E35B16"/>
    <w:rsid w:val="00E35B28"/>
    <w:rsid w:val="00E35C42"/>
    <w:rsid w:val="00E35E3C"/>
    <w:rsid w:val="00E35F03"/>
    <w:rsid w:val="00E35FC8"/>
    <w:rsid w:val="00E36153"/>
    <w:rsid w:val="00E36199"/>
    <w:rsid w:val="00E361FC"/>
    <w:rsid w:val="00E3622E"/>
    <w:rsid w:val="00E36265"/>
    <w:rsid w:val="00E36287"/>
    <w:rsid w:val="00E363B3"/>
    <w:rsid w:val="00E36591"/>
    <w:rsid w:val="00E36633"/>
    <w:rsid w:val="00E366C8"/>
    <w:rsid w:val="00E36836"/>
    <w:rsid w:val="00E368B0"/>
    <w:rsid w:val="00E36B1F"/>
    <w:rsid w:val="00E36D09"/>
    <w:rsid w:val="00E36D8F"/>
    <w:rsid w:val="00E36F3F"/>
    <w:rsid w:val="00E36F64"/>
    <w:rsid w:val="00E370A9"/>
    <w:rsid w:val="00E3711A"/>
    <w:rsid w:val="00E372EC"/>
    <w:rsid w:val="00E37314"/>
    <w:rsid w:val="00E37389"/>
    <w:rsid w:val="00E373A3"/>
    <w:rsid w:val="00E3744A"/>
    <w:rsid w:val="00E3749D"/>
    <w:rsid w:val="00E37660"/>
    <w:rsid w:val="00E37802"/>
    <w:rsid w:val="00E37856"/>
    <w:rsid w:val="00E37A59"/>
    <w:rsid w:val="00E37B8D"/>
    <w:rsid w:val="00E37BCE"/>
    <w:rsid w:val="00E37CE8"/>
    <w:rsid w:val="00E37F0E"/>
    <w:rsid w:val="00E37F50"/>
    <w:rsid w:val="00E37FA3"/>
    <w:rsid w:val="00E40247"/>
    <w:rsid w:val="00E40290"/>
    <w:rsid w:val="00E4029F"/>
    <w:rsid w:val="00E402E2"/>
    <w:rsid w:val="00E4052E"/>
    <w:rsid w:val="00E40813"/>
    <w:rsid w:val="00E40926"/>
    <w:rsid w:val="00E40ABC"/>
    <w:rsid w:val="00E40AE6"/>
    <w:rsid w:val="00E40AF8"/>
    <w:rsid w:val="00E40BFE"/>
    <w:rsid w:val="00E40C08"/>
    <w:rsid w:val="00E40C27"/>
    <w:rsid w:val="00E40C32"/>
    <w:rsid w:val="00E40E64"/>
    <w:rsid w:val="00E40F21"/>
    <w:rsid w:val="00E4117E"/>
    <w:rsid w:val="00E4129F"/>
    <w:rsid w:val="00E413A3"/>
    <w:rsid w:val="00E413CD"/>
    <w:rsid w:val="00E413F9"/>
    <w:rsid w:val="00E41444"/>
    <w:rsid w:val="00E414C0"/>
    <w:rsid w:val="00E4155A"/>
    <w:rsid w:val="00E415DE"/>
    <w:rsid w:val="00E41603"/>
    <w:rsid w:val="00E4173D"/>
    <w:rsid w:val="00E4197F"/>
    <w:rsid w:val="00E419EE"/>
    <w:rsid w:val="00E41C5E"/>
    <w:rsid w:val="00E41DFB"/>
    <w:rsid w:val="00E41E4F"/>
    <w:rsid w:val="00E41E78"/>
    <w:rsid w:val="00E41E9F"/>
    <w:rsid w:val="00E4206B"/>
    <w:rsid w:val="00E4208A"/>
    <w:rsid w:val="00E420E5"/>
    <w:rsid w:val="00E42196"/>
    <w:rsid w:val="00E421F2"/>
    <w:rsid w:val="00E422C1"/>
    <w:rsid w:val="00E42335"/>
    <w:rsid w:val="00E4239B"/>
    <w:rsid w:val="00E424A6"/>
    <w:rsid w:val="00E424C4"/>
    <w:rsid w:val="00E425B1"/>
    <w:rsid w:val="00E42603"/>
    <w:rsid w:val="00E42620"/>
    <w:rsid w:val="00E42647"/>
    <w:rsid w:val="00E426FA"/>
    <w:rsid w:val="00E428C1"/>
    <w:rsid w:val="00E4299F"/>
    <w:rsid w:val="00E42AED"/>
    <w:rsid w:val="00E42BF9"/>
    <w:rsid w:val="00E42C40"/>
    <w:rsid w:val="00E42C95"/>
    <w:rsid w:val="00E42D37"/>
    <w:rsid w:val="00E42E2D"/>
    <w:rsid w:val="00E435A2"/>
    <w:rsid w:val="00E43631"/>
    <w:rsid w:val="00E4365D"/>
    <w:rsid w:val="00E436AB"/>
    <w:rsid w:val="00E43855"/>
    <w:rsid w:val="00E43879"/>
    <w:rsid w:val="00E439B9"/>
    <w:rsid w:val="00E43A99"/>
    <w:rsid w:val="00E43AF7"/>
    <w:rsid w:val="00E43B21"/>
    <w:rsid w:val="00E43B41"/>
    <w:rsid w:val="00E43B81"/>
    <w:rsid w:val="00E43D82"/>
    <w:rsid w:val="00E43DC7"/>
    <w:rsid w:val="00E43F48"/>
    <w:rsid w:val="00E43F73"/>
    <w:rsid w:val="00E43FD5"/>
    <w:rsid w:val="00E44031"/>
    <w:rsid w:val="00E44099"/>
    <w:rsid w:val="00E440D1"/>
    <w:rsid w:val="00E440FD"/>
    <w:rsid w:val="00E4421F"/>
    <w:rsid w:val="00E4428E"/>
    <w:rsid w:val="00E44344"/>
    <w:rsid w:val="00E443E0"/>
    <w:rsid w:val="00E44605"/>
    <w:rsid w:val="00E446E0"/>
    <w:rsid w:val="00E447B1"/>
    <w:rsid w:val="00E44A23"/>
    <w:rsid w:val="00E44B1D"/>
    <w:rsid w:val="00E44B21"/>
    <w:rsid w:val="00E44CAC"/>
    <w:rsid w:val="00E44E1D"/>
    <w:rsid w:val="00E44E25"/>
    <w:rsid w:val="00E44E44"/>
    <w:rsid w:val="00E44FB0"/>
    <w:rsid w:val="00E45205"/>
    <w:rsid w:val="00E452F5"/>
    <w:rsid w:val="00E45454"/>
    <w:rsid w:val="00E4549D"/>
    <w:rsid w:val="00E455A0"/>
    <w:rsid w:val="00E4568A"/>
    <w:rsid w:val="00E456F3"/>
    <w:rsid w:val="00E4577F"/>
    <w:rsid w:val="00E4578D"/>
    <w:rsid w:val="00E459C0"/>
    <w:rsid w:val="00E45A72"/>
    <w:rsid w:val="00E45A83"/>
    <w:rsid w:val="00E45B48"/>
    <w:rsid w:val="00E45EBD"/>
    <w:rsid w:val="00E45F46"/>
    <w:rsid w:val="00E460F4"/>
    <w:rsid w:val="00E4617B"/>
    <w:rsid w:val="00E4628B"/>
    <w:rsid w:val="00E462EE"/>
    <w:rsid w:val="00E46321"/>
    <w:rsid w:val="00E4650C"/>
    <w:rsid w:val="00E4653F"/>
    <w:rsid w:val="00E46561"/>
    <w:rsid w:val="00E4663C"/>
    <w:rsid w:val="00E46733"/>
    <w:rsid w:val="00E4676A"/>
    <w:rsid w:val="00E46788"/>
    <w:rsid w:val="00E46904"/>
    <w:rsid w:val="00E4695C"/>
    <w:rsid w:val="00E469B7"/>
    <w:rsid w:val="00E46A7B"/>
    <w:rsid w:val="00E46E46"/>
    <w:rsid w:val="00E46EB6"/>
    <w:rsid w:val="00E46EF8"/>
    <w:rsid w:val="00E46FE9"/>
    <w:rsid w:val="00E47051"/>
    <w:rsid w:val="00E471E9"/>
    <w:rsid w:val="00E4733B"/>
    <w:rsid w:val="00E473A0"/>
    <w:rsid w:val="00E474E8"/>
    <w:rsid w:val="00E4755A"/>
    <w:rsid w:val="00E476F4"/>
    <w:rsid w:val="00E4779A"/>
    <w:rsid w:val="00E47B2E"/>
    <w:rsid w:val="00E47C41"/>
    <w:rsid w:val="00E47D06"/>
    <w:rsid w:val="00E47D41"/>
    <w:rsid w:val="00E47DA7"/>
    <w:rsid w:val="00E47E01"/>
    <w:rsid w:val="00E47EBE"/>
    <w:rsid w:val="00E47EE8"/>
    <w:rsid w:val="00E500C4"/>
    <w:rsid w:val="00E503E2"/>
    <w:rsid w:val="00E506BD"/>
    <w:rsid w:val="00E50748"/>
    <w:rsid w:val="00E50902"/>
    <w:rsid w:val="00E50979"/>
    <w:rsid w:val="00E50B21"/>
    <w:rsid w:val="00E50B7C"/>
    <w:rsid w:val="00E50C99"/>
    <w:rsid w:val="00E50D14"/>
    <w:rsid w:val="00E50DDB"/>
    <w:rsid w:val="00E51074"/>
    <w:rsid w:val="00E510DA"/>
    <w:rsid w:val="00E511EC"/>
    <w:rsid w:val="00E51473"/>
    <w:rsid w:val="00E515F5"/>
    <w:rsid w:val="00E5175F"/>
    <w:rsid w:val="00E5184A"/>
    <w:rsid w:val="00E518DB"/>
    <w:rsid w:val="00E5197B"/>
    <w:rsid w:val="00E5199E"/>
    <w:rsid w:val="00E51A47"/>
    <w:rsid w:val="00E51B52"/>
    <w:rsid w:val="00E51B9B"/>
    <w:rsid w:val="00E51CE7"/>
    <w:rsid w:val="00E51EBB"/>
    <w:rsid w:val="00E51ED9"/>
    <w:rsid w:val="00E51F3F"/>
    <w:rsid w:val="00E5212C"/>
    <w:rsid w:val="00E5215B"/>
    <w:rsid w:val="00E521E8"/>
    <w:rsid w:val="00E521EE"/>
    <w:rsid w:val="00E5239F"/>
    <w:rsid w:val="00E52476"/>
    <w:rsid w:val="00E52480"/>
    <w:rsid w:val="00E52526"/>
    <w:rsid w:val="00E526FE"/>
    <w:rsid w:val="00E52773"/>
    <w:rsid w:val="00E527CD"/>
    <w:rsid w:val="00E52826"/>
    <w:rsid w:val="00E52967"/>
    <w:rsid w:val="00E52B0E"/>
    <w:rsid w:val="00E52B6C"/>
    <w:rsid w:val="00E52CA1"/>
    <w:rsid w:val="00E52CA4"/>
    <w:rsid w:val="00E52CE7"/>
    <w:rsid w:val="00E52EB9"/>
    <w:rsid w:val="00E52EF3"/>
    <w:rsid w:val="00E52F14"/>
    <w:rsid w:val="00E5300E"/>
    <w:rsid w:val="00E53170"/>
    <w:rsid w:val="00E53620"/>
    <w:rsid w:val="00E53659"/>
    <w:rsid w:val="00E536BD"/>
    <w:rsid w:val="00E53837"/>
    <w:rsid w:val="00E5385B"/>
    <w:rsid w:val="00E53BBF"/>
    <w:rsid w:val="00E53C3F"/>
    <w:rsid w:val="00E53D11"/>
    <w:rsid w:val="00E53F09"/>
    <w:rsid w:val="00E53FA2"/>
    <w:rsid w:val="00E54012"/>
    <w:rsid w:val="00E54059"/>
    <w:rsid w:val="00E540FF"/>
    <w:rsid w:val="00E54163"/>
    <w:rsid w:val="00E5420D"/>
    <w:rsid w:val="00E5420F"/>
    <w:rsid w:val="00E54462"/>
    <w:rsid w:val="00E545A0"/>
    <w:rsid w:val="00E545D6"/>
    <w:rsid w:val="00E545FE"/>
    <w:rsid w:val="00E546E6"/>
    <w:rsid w:val="00E54799"/>
    <w:rsid w:val="00E547F0"/>
    <w:rsid w:val="00E54838"/>
    <w:rsid w:val="00E54911"/>
    <w:rsid w:val="00E54987"/>
    <w:rsid w:val="00E549FF"/>
    <w:rsid w:val="00E54B2E"/>
    <w:rsid w:val="00E54BCB"/>
    <w:rsid w:val="00E54C8E"/>
    <w:rsid w:val="00E54CD3"/>
    <w:rsid w:val="00E54EC2"/>
    <w:rsid w:val="00E54F3F"/>
    <w:rsid w:val="00E54F87"/>
    <w:rsid w:val="00E55063"/>
    <w:rsid w:val="00E551B0"/>
    <w:rsid w:val="00E55219"/>
    <w:rsid w:val="00E5527A"/>
    <w:rsid w:val="00E55334"/>
    <w:rsid w:val="00E5534D"/>
    <w:rsid w:val="00E554C5"/>
    <w:rsid w:val="00E554D8"/>
    <w:rsid w:val="00E555C7"/>
    <w:rsid w:val="00E555DE"/>
    <w:rsid w:val="00E556AB"/>
    <w:rsid w:val="00E5585E"/>
    <w:rsid w:val="00E55860"/>
    <w:rsid w:val="00E55A11"/>
    <w:rsid w:val="00E55A9A"/>
    <w:rsid w:val="00E55C1B"/>
    <w:rsid w:val="00E55CDE"/>
    <w:rsid w:val="00E55EB2"/>
    <w:rsid w:val="00E56126"/>
    <w:rsid w:val="00E5623B"/>
    <w:rsid w:val="00E56246"/>
    <w:rsid w:val="00E5626A"/>
    <w:rsid w:val="00E5629D"/>
    <w:rsid w:val="00E563CF"/>
    <w:rsid w:val="00E563DD"/>
    <w:rsid w:val="00E5647F"/>
    <w:rsid w:val="00E56480"/>
    <w:rsid w:val="00E56511"/>
    <w:rsid w:val="00E565E8"/>
    <w:rsid w:val="00E565F1"/>
    <w:rsid w:val="00E5663B"/>
    <w:rsid w:val="00E56690"/>
    <w:rsid w:val="00E567B5"/>
    <w:rsid w:val="00E567F2"/>
    <w:rsid w:val="00E56A66"/>
    <w:rsid w:val="00E56B3C"/>
    <w:rsid w:val="00E56BFF"/>
    <w:rsid w:val="00E56D8A"/>
    <w:rsid w:val="00E56E21"/>
    <w:rsid w:val="00E56F5A"/>
    <w:rsid w:val="00E56FF1"/>
    <w:rsid w:val="00E5702F"/>
    <w:rsid w:val="00E57137"/>
    <w:rsid w:val="00E5728B"/>
    <w:rsid w:val="00E574A2"/>
    <w:rsid w:val="00E5767F"/>
    <w:rsid w:val="00E57951"/>
    <w:rsid w:val="00E579DD"/>
    <w:rsid w:val="00E57A05"/>
    <w:rsid w:val="00E57A34"/>
    <w:rsid w:val="00E57BB0"/>
    <w:rsid w:val="00E57BFE"/>
    <w:rsid w:val="00E57C23"/>
    <w:rsid w:val="00E57C55"/>
    <w:rsid w:val="00E57D88"/>
    <w:rsid w:val="00E57DDE"/>
    <w:rsid w:val="00E57DE0"/>
    <w:rsid w:val="00E57E5F"/>
    <w:rsid w:val="00E57E8A"/>
    <w:rsid w:val="00E57EDF"/>
    <w:rsid w:val="00E600ED"/>
    <w:rsid w:val="00E60502"/>
    <w:rsid w:val="00E60512"/>
    <w:rsid w:val="00E60648"/>
    <w:rsid w:val="00E6098A"/>
    <w:rsid w:val="00E609A5"/>
    <w:rsid w:val="00E609B3"/>
    <w:rsid w:val="00E609CC"/>
    <w:rsid w:val="00E60AB0"/>
    <w:rsid w:val="00E60AEB"/>
    <w:rsid w:val="00E60B42"/>
    <w:rsid w:val="00E60D92"/>
    <w:rsid w:val="00E60E63"/>
    <w:rsid w:val="00E60F20"/>
    <w:rsid w:val="00E60F2D"/>
    <w:rsid w:val="00E60F48"/>
    <w:rsid w:val="00E60FC7"/>
    <w:rsid w:val="00E61055"/>
    <w:rsid w:val="00E61110"/>
    <w:rsid w:val="00E61155"/>
    <w:rsid w:val="00E61277"/>
    <w:rsid w:val="00E61287"/>
    <w:rsid w:val="00E61297"/>
    <w:rsid w:val="00E61375"/>
    <w:rsid w:val="00E61543"/>
    <w:rsid w:val="00E61634"/>
    <w:rsid w:val="00E6165B"/>
    <w:rsid w:val="00E61680"/>
    <w:rsid w:val="00E61731"/>
    <w:rsid w:val="00E6174E"/>
    <w:rsid w:val="00E61850"/>
    <w:rsid w:val="00E61881"/>
    <w:rsid w:val="00E6197B"/>
    <w:rsid w:val="00E61C79"/>
    <w:rsid w:val="00E61CC4"/>
    <w:rsid w:val="00E61CDC"/>
    <w:rsid w:val="00E61F63"/>
    <w:rsid w:val="00E61FFD"/>
    <w:rsid w:val="00E621D2"/>
    <w:rsid w:val="00E621DE"/>
    <w:rsid w:val="00E62413"/>
    <w:rsid w:val="00E624C3"/>
    <w:rsid w:val="00E62576"/>
    <w:rsid w:val="00E625EC"/>
    <w:rsid w:val="00E62725"/>
    <w:rsid w:val="00E62769"/>
    <w:rsid w:val="00E627AC"/>
    <w:rsid w:val="00E62B2A"/>
    <w:rsid w:val="00E62D56"/>
    <w:rsid w:val="00E62E43"/>
    <w:rsid w:val="00E62E9D"/>
    <w:rsid w:val="00E632D4"/>
    <w:rsid w:val="00E6341D"/>
    <w:rsid w:val="00E634C8"/>
    <w:rsid w:val="00E63500"/>
    <w:rsid w:val="00E63506"/>
    <w:rsid w:val="00E6352B"/>
    <w:rsid w:val="00E636C9"/>
    <w:rsid w:val="00E63739"/>
    <w:rsid w:val="00E63847"/>
    <w:rsid w:val="00E63932"/>
    <w:rsid w:val="00E63967"/>
    <w:rsid w:val="00E639A0"/>
    <w:rsid w:val="00E63A74"/>
    <w:rsid w:val="00E63B94"/>
    <w:rsid w:val="00E63BBB"/>
    <w:rsid w:val="00E63BE7"/>
    <w:rsid w:val="00E63DD2"/>
    <w:rsid w:val="00E63E4A"/>
    <w:rsid w:val="00E63E75"/>
    <w:rsid w:val="00E63EE5"/>
    <w:rsid w:val="00E6410A"/>
    <w:rsid w:val="00E64210"/>
    <w:rsid w:val="00E6434C"/>
    <w:rsid w:val="00E643B0"/>
    <w:rsid w:val="00E6446B"/>
    <w:rsid w:val="00E644FA"/>
    <w:rsid w:val="00E64534"/>
    <w:rsid w:val="00E646E3"/>
    <w:rsid w:val="00E64880"/>
    <w:rsid w:val="00E6496D"/>
    <w:rsid w:val="00E649D4"/>
    <w:rsid w:val="00E649F9"/>
    <w:rsid w:val="00E64C91"/>
    <w:rsid w:val="00E64CF5"/>
    <w:rsid w:val="00E64F7F"/>
    <w:rsid w:val="00E650A9"/>
    <w:rsid w:val="00E65109"/>
    <w:rsid w:val="00E65251"/>
    <w:rsid w:val="00E6528D"/>
    <w:rsid w:val="00E6541C"/>
    <w:rsid w:val="00E65439"/>
    <w:rsid w:val="00E6555B"/>
    <w:rsid w:val="00E655A3"/>
    <w:rsid w:val="00E655F1"/>
    <w:rsid w:val="00E657A5"/>
    <w:rsid w:val="00E65A94"/>
    <w:rsid w:val="00E65ACB"/>
    <w:rsid w:val="00E65C88"/>
    <w:rsid w:val="00E65D3C"/>
    <w:rsid w:val="00E65D8A"/>
    <w:rsid w:val="00E65DD9"/>
    <w:rsid w:val="00E65E53"/>
    <w:rsid w:val="00E65E5D"/>
    <w:rsid w:val="00E65F03"/>
    <w:rsid w:val="00E65F23"/>
    <w:rsid w:val="00E65F2A"/>
    <w:rsid w:val="00E65F37"/>
    <w:rsid w:val="00E65FB5"/>
    <w:rsid w:val="00E660C1"/>
    <w:rsid w:val="00E660CD"/>
    <w:rsid w:val="00E66153"/>
    <w:rsid w:val="00E662E5"/>
    <w:rsid w:val="00E663A0"/>
    <w:rsid w:val="00E6666C"/>
    <w:rsid w:val="00E668B6"/>
    <w:rsid w:val="00E668D8"/>
    <w:rsid w:val="00E6693F"/>
    <w:rsid w:val="00E669AC"/>
    <w:rsid w:val="00E66A1C"/>
    <w:rsid w:val="00E66A22"/>
    <w:rsid w:val="00E66BC7"/>
    <w:rsid w:val="00E66BCD"/>
    <w:rsid w:val="00E66BDC"/>
    <w:rsid w:val="00E66CF4"/>
    <w:rsid w:val="00E66D50"/>
    <w:rsid w:val="00E66D71"/>
    <w:rsid w:val="00E66E07"/>
    <w:rsid w:val="00E66E96"/>
    <w:rsid w:val="00E66F42"/>
    <w:rsid w:val="00E6714C"/>
    <w:rsid w:val="00E6715A"/>
    <w:rsid w:val="00E67295"/>
    <w:rsid w:val="00E673C6"/>
    <w:rsid w:val="00E673EF"/>
    <w:rsid w:val="00E67521"/>
    <w:rsid w:val="00E675F6"/>
    <w:rsid w:val="00E675FF"/>
    <w:rsid w:val="00E677E5"/>
    <w:rsid w:val="00E6786D"/>
    <w:rsid w:val="00E678D9"/>
    <w:rsid w:val="00E67909"/>
    <w:rsid w:val="00E67BFC"/>
    <w:rsid w:val="00E67C85"/>
    <w:rsid w:val="00E67CD5"/>
    <w:rsid w:val="00E67E23"/>
    <w:rsid w:val="00E67EB0"/>
    <w:rsid w:val="00E67EBF"/>
    <w:rsid w:val="00E7001E"/>
    <w:rsid w:val="00E700CC"/>
    <w:rsid w:val="00E700CF"/>
    <w:rsid w:val="00E701D8"/>
    <w:rsid w:val="00E70291"/>
    <w:rsid w:val="00E702CD"/>
    <w:rsid w:val="00E70309"/>
    <w:rsid w:val="00E70345"/>
    <w:rsid w:val="00E70424"/>
    <w:rsid w:val="00E704C7"/>
    <w:rsid w:val="00E7062F"/>
    <w:rsid w:val="00E707CB"/>
    <w:rsid w:val="00E70904"/>
    <w:rsid w:val="00E70AB8"/>
    <w:rsid w:val="00E70C17"/>
    <w:rsid w:val="00E70E81"/>
    <w:rsid w:val="00E70ED0"/>
    <w:rsid w:val="00E70ED5"/>
    <w:rsid w:val="00E70F5B"/>
    <w:rsid w:val="00E71110"/>
    <w:rsid w:val="00E716CA"/>
    <w:rsid w:val="00E716E4"/>
    <w:rsid w:val="00E71799"/>
    <w:rsid w:val="00E71846"/>
    <w:rsid w:val="00E71882"/>
    <w:rsid w:val="00E71892"/>
    <w:rsid w:val="00E71A0E"/>
    <w:rsid w:val="00E71AF5"/>
    <w:rsid w:val="00E71AF7"/>
    <w:rsid w:val="00E71B6F"/>
    <w:rsid w:val="00E71C09"/>
    <w:rsid w:val="00E71CDD"/>
    <w:rsid w:val="00E71D37"/>
    <w:rsid w:val="00E71F45"/>
    <w:rsid w:val="00E71F5E"/>
    <w:rsid w:val="00E72059"/>
    <w:rsid w:val="00E7223F"/>
    <w:rsid w:val="00E722CF"/>
    <w:rsid w:val="00E7234D"/>
    <w:rsid w:val="00E723EA"/>
    <w:rsid w:val="00E724A0"/>
    <w:rsid w:val="00E7252F"/>
    <w:rsid w:val="00E7259B"/>
    <w:rsid w:val="00E7264C"/>
    <w:rsid w:val="00E72764"/>
    <w:rsid w:val="00E72768"/>
    <w:rsid w:val="00E7283D"/>
    <w:rsid w:val="00E7289E"/>
    <w:rsid w:val="00E72982"/>
    <w:rsid w:val="00E729F8"/>
    <w:rsid w:val="00E72B85"/>
    <w:rsid w:val="00E72C70"/>
    <w:rsid w:val="00E72CEF"/>
    <w:rsid w:val="00E72D6C"/>
    <w:rsid w:val="00E72D9C"/>
    <w:rsid w:val="00E72E11"/>
    <w:rsid w:val="00E72F0C"/>
    <w:rsid w:val="00E72FBC"/>
    <w:rsid w:val="00E7303A"/>
    <w:rsid w:val="00E73178"/>
    <w:rsid w:val="00E7329A"/>
    <w:rsid w:val="00E732C7"/>
    <w:rsid w:val="00E732E0"/>
    <w:rsid w:val="00E73303"/>
    <w:rsid w:val="00E7343C"/>
    <w:rsid w:val="00E73474"/>
    <w:rsid w:val="00E73749"/>
    <w:rsid w:val="00E7376B"/>
    <w:rsid w:val="00E739C5"/>
    <w:rsid w:val="00E73A4B"/>
    <w:rsid w:val="00E73A8F"/>
    <w:rsid w:val="00E73B39"/>
    <w:rsid w:val="00E73B93"/>
    <w:rsid w:val="00E73BE4"/>
    <w:rsid w:val="00E73CBD"/>
    <w:rsid w:val="00E73D26"/>
    <w:rsid w:val="00E73DD1"/>
    <w:rsid w:val="00E73E62"/>
    <w:rsid w:val="00E73FB8"/>
    <w:rsid w:val="00E74021"/>
    <w:rsid w:val="00E7406C"/>
    <w:rsid w:val="00E742B6"/>
    <w:rsid w:val="00E742DF"/>
    <w:rsid w:val="00E745CC"/>
    <w:rsid w:val="00E745E1"/>
    <w:rsid w:val="00E74604"/>
    <w:rsid w:val="00E7465D"/>
    <w:rsid w:val="00E74831"/>
    <w:rsid w:val="00E74980"/>
    <w:rsid w:val="00E74A52"/>
    <w:rsid w:val="00E74B15"/>
    <w:rsid w:val="00E74DBA"/>
    <w:rsid w:val="00E74DFF"/>
    <w:rsid w:val="00E74E2C"/>
    <w:rsid w:val="00E74E74"/>
    <w:rsid w:val="00E74EE7"/>
    <w:rsid w:val="00E74EF6"/>
    <w:rsid w:val="00E75019"/>
    <w:rsid w:val="00E751F1"/>
    <w:rsid w:val="00E7523C"/>
    <w:rsid w:val="00E753F6"/>
    <w:rsid w:val="00E75497"/>
    <w:rsid w:val="00E754B4"/>
    <w:rsid w:val="00E75558"/>
    <w:rsid w:val="00E756D8"/>
    <w:rsid w:val="00E7584F"/>
    <w:rsid w:val="00E75918"/>
    <w:rsid w:val="00E7599A"/>
    <w:rsid w:val="00E759AF"/>
    <w:rsid w:val="00E75B88"/>
    <w:rsid w:val="00E75D44"/>
    <w:rsid w:val="00E75E18"/>
    <w:rsid w:val="00E75E27"/>
    <w:rsid w:val="00E75E3B"/>
    <w:rsid w:val="00E75F60"/>
    <w:rsid w:val="00E75FFE"/>
    <w:rsid w:val="00E7601C"/>
    <w:rsid w:val="00E7603C"/>
    <w:rsid w:val="00E76218"/>
    <w:rsid w:val="00E76237"/>
    <w:rsid w:val="00E7623E"/>
    <w:rsid w:val="00E762E6"/>
    <w:rsid w:val="00E762ED"/>
    <w:rsid w:val="00E76432"/>
    <w:rsid w:val="00E76490"/>
    <w:rsid w:val="00E7652B"/>
    <w:rsid w:val="00E765FD"/>
    <w:rsid w:val="00E7661E"/>
    <w:rsid w:val="00E7668C"/>
    <w:rsid w:val="00E7697A"/>
    <w:rsid w:val="00E76991"/>
    <w:rsid w:val="00E76A78"/>
    <w:rsid w:val="00E76BD0"/>
    <w:rsid w:val="00E76D20"/>
    <w:rsid w:val="00E76D65"/>
    <w:rsid w:val="00E76D69"/>
    <w:rsid w:val="00E770AE"/>
    <w:rsid w:val="00E772DF"/>
    <w:rsid w:val="00E775F9"/>
    <w:rsid w:val="00E779EB"/>
    <w:rsid w:val="00E77C13"/>
    <w:rsid w:val="00E77E35"/>
    <w:rsid w:val="00E77EA3"/>
    <w:rsid w:val="00E77EAB"/>
    <w:rsid w:val="00E77F90"/>
    <w:rsid w:val="00E801AD"/>
    <w:rsid w:val="00E801D5"/>
    <w:rsid w:val="00E8025A"/>
    <w:rsid w:val="00E80477"/>
    <w:rsid w:val="00E8049F"/>
    <w:rsid w:val="00E804E4"/>
    <w:rsid w:val="00E805FB"/>
    <w:rsid w:val="00E80669"/>
    <w:rsid w:val="00E8072D"/>
    <w:rsid w:val="00E80B77"/>
    <w:rsid w:val="00E80CA6"/>
    <w:rsid w:val="00E80F00"/>
    <w:rsid w:val="00E80FF7"/>
    <w:rsid w:val="00E81084"/>
    <w:rsid w:val="00E8114E"/>
    <w:rsid w:val="00E81210"/>
    <w:rsid w:val="00E8153A"/>
    <w:rsid w:val="00E8153C"/>
    <w:rsid w:val="00E815FB"/>
    <w:rsid w:val="00E817AC"/>
    <w:rsid w:val="00E817B7"/>
    <w:rsid w:val="00E8199E"/>
    <w:rsid w:val="00E81A5D"/>
    <w:rsid w:val="00E81B19"/>
    <w:rsid w:val="00E81D89"/>
    <w:rsid w:val="00E81E0F"/>
    <w:rsid w:val="00E81E6A"/>
    <w:rsid w:val="00E81F09"/>
    <w:rsid w:val="00E82104"/>
    <w:rsid w:val="00E82128"/>
    <w:rsid w:val="00E821EE"/>
    <w:rsid w:val="00E82281"/>
    <w:rsid w:val="00E8230F"/>
    <w:rsid w:val="00E82376"/>
    <w:rsid w:val="00E823AC"/>
    <w:rsid w:val="00E823F9"/>
    <w:rsid w:val="00E82461"/>
    <w:rsid w:val="00E82496"/>
    <w:rsid w:val="00E824A7"/>
    <w:rsid w:val="00E824E4"/>
    <w:rsid w:val="00E82681"/>
    <w:rsid w:val="00E82742"/>
    <w:rsid w:val="00E8278C"/>
    <w:rsid w:val="00E827AC"/>
    <w:rsid w:val="00E827C3"/>
    <w:rsid w:val="00E8285F"/>
    <w:rsid w:val="00E8287A"/>
    <w:rsid w:val="00E82A49"/>
    <w:rsid w:val="00E82AD4"/>
    <w:rsid w:val="00E82B2C"/>
    <w:rsid w:val="00E82BE4"/>
    <w:rsid w:val="00E82C62"/>
    <w:rsid w:val="00E82C9A"/>
    <w:rsid w:val="00E82F9C"/>
    <w:rsid w:val="00E82FA0"/>
    <w:rsid w:val="00E82FA2"/>
    <w:rsid w:val="00E830AD"/>
    <w:rsid w:val="00E83215"/>
    <w:rsid w:val="00E8337D"/>
    <w:rsid w:val="00E83555"/>
    <w:rsid w:val="00E8372E"/>
    <w:rsid w:val="00E83940"/>
    <w:rsid w:val="00E839B5"/>
    <w:rsid w:val="00E839BB"/>
    <w:rsid w:val="00E83B8F"/>
    <w:rsid w:val="00E83C54"/>
    <w:rsid w:val="00E83D03"/>
    <w:rsid w:val="00E83E7F"/>
    <w:rsid w:val="00E83EA6"/>
    <w:rsid w:val="00E83F83"/>
    <w:rsid w:val="00E8425F"/>
    <w:rsid w:val="00E84324"/>
    <w:rsid w:val="00E8432E"/>
    <w:rsid w:val="00E843F4"/>
    <w:rsid w:val="00E84651"/>
    <w:rsid w:val="00E84721"/>
    <w:rsid w:val="00E8477E"/>
    <w:rsid w:val="00E847CD"/>
    <w:rsid w:val="00E847E0"/>
    <w:rsid w:val="00E8487E"/>
    <w:rsid w:val="00E84927"/>
    <w:rsid w:val="00E849DC"/>
    <w:rsid w:val="00E84AE5"/>
    <w:rsid w:val="00E84AF0"/>
    <w:rsid w:val="00E84B5F"/>
    <w:rsid w:val="00E84C16"/>
    <w:rsid w:val="00E84C19"/>
    <w:rsid w:val="00E84C38"/>
    <w:rsid w:val="00E84D7E"/>
    <w:rsid w:val="00E84E49"/>
    <w:rsid w:val="00E84E6F"/>
    <w:rsid w:val="00E84EF7"/>
    <w:rsid w:val="00E85011"/>
    <w:rsid w:val="00E85027"/>
    <w:rsid w:val="00E850D6"/>
    <w:rsid w:val="00E852A5"/>
    <w:rsid w:val="00E853A8"/>
    <w:rsid w:val="00E853B6"/>
    <w:rsid w:val="00E853BA"/>
    <w:rsid w:val="00E853C6"/>
    <w:rsid w:val="00E85479"/>
    <w:rsid w:val="00E8549D"/>
    <w:rsid w:val="00E85667"/>
    <w:rsid w:val="00E85789"/>
    <w:rsid w:val="00E8579C"/>
    <w:rsid w:val="00E85807"/>
    <w:rsid w:val="00E859A2"/>
    <w:rsid w:val="00E859B5"/>
    <w:rsid w:val="00E859B7"/>
    <w:rsid w:val="00E85A1C"/>
    <w:rsid w:val="00E85A50"/>
    <w:rsid w:val="00E85B29"/>
    <w:rsid w:val="00E85C42"/>
    <w:rsid w:val="00E85D5F"/>
    <w:rsid w:val="00E85D6A"/>
    <w:rsid w:val="00E85E46"/>
    <w:rsid w:val="00E85E51"/>
    <w:rsid w:val="00E85F2E"/>
    <w:rsid w:val="00E85F4F"/>
    <w:rsid w:val="00E860C4"/>
    <w:rsid w:val="00E860E8"/>
    <w:rsid w:val="00E8617D"/>
    <w:rsid w:val="00E861B7"/>
    <w:rsid w:val="00E861BB"/>
    <w:rsid w:val="00E8621A"/>
    <w:rsid w:val="00E86239"/>
    <w:rsid w:val="00E86346"/>
    <w:rsid w:val="00E863A0"/>
    <w:rsid w:val="00E86400"/>
    <w:rsid w:val="00E86514"/>
    <w:rsid w:val="00E8668F"/>
    <w:rsid w:val="00E86696"/>
    <w:rsid w:val="00E867BA"/>
    <w:rsid w:val="00E868CE"/>
    <w:rsid w:val="00E86AF2"/>
    <w:rsid w:val="00E86B1A"/>
    <w:rsid w:val="00E86C90"/>
    <w:rsid w:val="00E86EF1"/>
    <w:rsid w:val="00E86F5A"/>
    <w:rsid w:val="00E86FAF"/>
    <w:rsid w:val="00E8700C"/>
    <w:rsid w:val="00E870AF"/>
    <w:rsid w:val="00E87118"/>
    <w:rsid w:val="00E87126"/>
    <w:rsid w:val="00E8715E"/>
    <w:rsid w:val="00E87276"/>
    <w:rsid w:val="00E874E6"/>
    <w:rsid w:val="00E87545"/>
    <w:rsid w:val="00E875F7"/>
    <w:rsid w:val="00E8762B"/>
    <w:rsid w:val="00E87B9E"/>
    <w:rsid w:val="00E87BE3"/>
    <w:rsid w:val="00E87C57"/>
    <w:rsid w:val="00E87CB0"/>
    <w:rsid w:val="00E87CBF"/>
    <w:rsid w:val="00E87EDC"/>
    <w:rsid w:val="00E8AA8D"/>
    <w:rsid w:val="00E90035"/>
    <w:rsid w:val="00E900A7"/>
    <w:rsid w:val="00E900C7"/>
    <w:rsid w:val="00E90112"/>
    <w:rsid w:val="00E90225"/>
    <w:rsid w:val="00E90242"/>
    <w:rsid w:val="00E902FE"/>
    <w:rsid w:val="00E90407"/>
    <w:rsid w:val="00E90444"/>
    <w:rsid w:val="00E9074B"/>
    <w:rsid w:val="00E907F2"/>
    <w:rsid w:val="00E909EC"/>
    <w:rsid w:val="00E90B1D"/>
    <w:rsid w:val="00E90C08"/>
    <w:rsid w:val="00E90D32"/>
    <w:rsid w:val="00E90DE2"/>
    <w:rsid w:val="00E90E7E"/>
    <w:rsid w:val="00E90F41"/>
    <w:rsid w:val="00E91055"/>
    <w:rsid w:val="00E91060"/>
    <w:rsid w:val="00E91087"/>
    <w:rsid w:val="00E910EC"/>
    <w:rsid w:val="00E911B7"/>
    <w:rsid w:val="00E911F8"/>
    <w:rsid w:val="00E91273"/>
    <w:rsid w:val="00E9140B"/>
    <w:rsid w:val="00E91427"/>
    <w:rsid w:val="00E91470"/>
    <w:rsid w:val="00E914DC"/>
    <w:rsid w:val="00E91547"/>
    <w:rsid w:val="00E91614"/>
    <w:rsid w:val="00E91894"/>
    <w:rsid w:val="00E9194A"/>
    <w:rsid w:val="00E919C2"/>
    <w:rsid w:val="00E919D6"/>
    <w:rsid w:val="00E91AD7"/>
    <w:rsid w:val="00E91EA5"/>
    <w:rsid w:val="00E91F69"/>
    <w:rsid w:val="00E91F7E"/>
    <w:rsid w:val="00E91FB9"/>
    <w:rsid w:val="00E91FC9"/>
    <w:rsid w:val="00E92087"/>
    <w:rsid w:val="00E92329"/>
    <w:rsid w:val="00E92344"/>
    <w:rsid w:val="00E92406"/>
    <w:rsid w:val="00E92483"/>
    <w:rsid w:val="00E9259E"/>
    <w:rsid w:val="00E9262E"/>
    <w:rsid w:val="00E9277C"/>
    <w:rsid w:val="00E928DA"/>
    <w:rsid w:val="00E92ADD"/>
    <w:rsid w:val="00E92BE2"/>
    <w:rsid w:val="00E92CD6"/>
    <w:rsid w:val="00E92D84"/>
    <w:rsid w:val="00E92F37"/>
    <w:rsid w:val="00E930A4"/>
    <w:rsid w:val="00E93179"/>
    <w:rsid w:val="00E9324B"/>
    <w:rsid w:val="00E93324"/>
    <w:rsid w:val="00E9334D"/>
    <w:rsid w:val="00E934B8"/>
    <w:rsid w:val="00E9357F"/>
    <w:rsid w:val="00E936B5"/>
    <w:rsid w:val="00E936CA"/>
    <w:rsid w:val="00E936DD"/>
    <w:rsid w:val="00E9373F"/>
    <w:rsid w:val="00E937BF"/>
    <w:rsid w:val="00E937DB"/>
    <w:rsid w:val="00E9386C"/>
    <w:rsid w:val="00E93875"/>
    <w:rsid w:val="00E938B0"/>
    <w:rsid w:val="00E938C4"/>
    <w:rsid w:val="00E938F0"/>
    <w:rsid w:val="00E939F8"/>
    <w:rsid w:val="00E93B16"/>
    <w:rsid w:val="00E93BD0"/>
    <w:rsid w:val="00E93E08"/>
    <w:rsid w:val="00E93E30"/>
    <w:rsid w:val="00E93E55"/>
    <w:rsid w:val="00E93E97"/>
    <w:rsid w:val="00E93EB7"/>
    <w:rsid w:val="00E94121"/>
    <w:rsid w:val="00E94172"/>
    <w:rsid w:val="00E94289"/>
    <w:rsid w:val="00E9432C"/>
    <w:rsid w:val="00E94447"/>
    <w:rsid w:val="00E945EA"/>
    <w:rsid w:val="00E9473D"/>
    <w:rsid w:val="00E947B6"/>
    <w:rsid w:val="00E949DA"/>
    <w:rsid w:val="00E94A02"/>
    <w:rsid w:val="00E94A72"/>
    <w:rsid w:val="00E94AA5"/>
    <w:rsid w:val="00E94B8E"/>
    <w:rsid w:val="00E94D27"/>
    <w:rsid w:val="00E94F67"/>
    <w:rsid w:val="00E94F6E"/>
    <w:rsid w:val="00E94F98"/>
    <w:rsid w:val="00E9508C"/>
    <w:rsid w:val="00E950B4"/>
    <w:rsid w:val="00E950D7"/>
    <w:rsid w:val="00E95313"/>
    <w:rsid w:val="00E954E5"/>
    <w:rsid w:val="00E955B7"/>
    <w:rsid w:val="00E955DE"/>
    <w:rsid w:val="00E955FA"/>
    <w:rsid w:val="00E95667"/>
    <w:rsid w:val="00E9570B"/>
    <w:rsid w:val="00E958AB"/>
    <w:rsid w:val="00E958F0"/>
    <w:rsid w:val="00E95A44"/>
    <w:rsid w:val="00E95B24"/>
    <w:rsid w:val="00E95B2C"/>
    <w:rsid w:val="00E95B7D"/>
    <w:rsid w:val="00E95BAE"/>
    <w:rsid w:val="00E95C49"/>
    <w:rsid w:val="00E95C66"/>
    <w:rsid w:val="00E95CF4"/>
    <w:rsid w:val="00E95E1A"/>
    <w:rsid w:val="00E95E8F"/>
    <w:rsid w:val="00E95F0C"/>
    <w:rsid w:val="00E95F83"/>
    <w:rsid w:val="00E9600E"/>
    <w:rsid w:val="00E960DB"/>
    <w:rsid w:val="00E96209"/>
    <w:rsid w:val="00E96226"/>
    <w:rsid w:val="00E96253"/>
    <w:rsid w:val="00E962E9"/>
    <w:rsid w:val="00E9636F"/>
    <w:rsid w:val="00E964EB"/>
    <w:rsid w:val="00E9655D"/>
    <w:rsid w:val="00E965D6"/>
    <w:rsid w:val="00E9661F"/>
    <w:rsid w:val="00E9662D"/>
    <w:rsid w:val="00E96648"/>
    <w:rsid w:val="00E96675"/>
    <w:rsid w:val="00E966C1"/>
    <w:rsid w:val="00E966F1"/>
    <w:rsid w:val="00E967D7"/>
    <w:rsid w:val="00E968DA"/>
    <w:rsid w:val="00E9695B"/>
    <w:rsid w:val="00E969AF"/>
    <w:rsid w:val="00E969B5"/>
    <w:rsid w:val="00E96A32"/>
    <w:rsid w:val="00E96AC7"/>
    <w:rsid w:val="00E96B9A"/>
    <w:rsid w:val="00E96BDD"/>
    <w:rsid w:val="00E96CDE"/>
    <w:rsid w:val="00E96D80"/>
    <w:rsid w:val="00E96EDC"/>
    <w:rsid w:val="00E96F8A"/>
    <w:rsid w:val="00E96FBF"/>
    <w:rsid w:val="00E97014"/>
    <w:rsid w:val="00E9704F"/>
    <w:rsid w:val="00E97139"/>
    <w:rsid w:val="00E9726E"/>
    <w:rsid w:val="00E9730C"/>
    <w:rsid w:val="00E97386"/>
    <w:rsid w:val="00E974C3"/>
    <w:rsid w:val="00E97582"/>
    <w:rsid w:val="00E9760A"/>
    <w:rsid w:val="00E9764D"/>
    <w:rsid w:val="00E978FE"/>
    <w:rsid w:val="00E9799B"/>
    <w:rsid w:val="00E979F6"/>
    <w:rsid w:val="00E97A3F"/>
    <w:rsid w:val="00E97B2C"/>
    <w:rsid w:val="00E97B51"/>
    <w:rsid w:val="00E97E0D"/>
    <w:rsid w:val="00E97E16"/>
    <w:rsid w:val="00E97F52"/>
    <w:rsid w:val="00EA002C"/>
    <w:rsid w:val="00EA00B8"/>
    <w:rsid w:val="00EA00D3"/>
    <w:rsid w:val="00EA0197"/>
    <w:rsid w:val="00EA02D5"/>
    <w:rsid w:val="00EA030C"/>
    <w:rsid w:val="00EA03D0"/>
    <w:rsid w:val="00EA053D"/>
    <w:rsid w:val="00EA079C"/>
    <w:rsid w:val="00EA0AD8"/>
    <w:rsid w:val="00EA0D53"/>
    <w:rsid w:val="00EA0D7D"/>
    <w:rsid w:val="00EA0DA0"/>
    <w:rsid w:val="00EA0DA7"/>
    <w:rsid w:val="00EA0EE4"/>
    <w:rsid w:val="00EA0F97"/>
    <w:rsid w:val="00EA0FD4"/>
    <w:rsid w:val="00EA105F"/>
    <w:rsid w:val="00EA10E7"/>
    <w:rsid w:val="00EA120B"/>
    <w:rsid w:val="00EA1406"/>
    <w:rsid w:val="00EA1576"/>
    <w:rsid w:val="00EA15FA"/>
    <w:rsid w:val="00EA17D1"/>
    <w:rsid w:val="00EA1919"/>
    <w:rsid w:val="00EA193B"/>
    <w:rsid w:val="00EA19E1"/>
    <w:rsid w:val="00EA1A97"/>
    <w:rsid w:val="00EA1CFF"/>
    <w:rsid w:val="00EA1D00"/>
    <w:rsid w:val="00EA1D94"/>
    <w:rsid w:val="00EA1E01"/>
    <w:rsid w:val="00EA1EF5"/>
    <w:rsid w:val="00EA1F73"/>
    <w:rsid w:val="00EA23C8"/>
    <w:rsid w:val="00EA24F2"/>
    <w:rsid w:val="00EA25E9"/>
    <w:rsid w:val="00EA2788"/>
    <w:rsid w:val="00EA2B10"/>
    <w:rsid w:val="00EA2BD8"/>
    <w:rsid w:val="00EA2BDE"/>
    <w:rsid w:val="00EA2C48"/>
    <w:rsid w:val="00EA2CE4"/>
    <w:rsid w:val="00EA2D11"/>
    <w:rsid w:val="00EA2D20"/>
    <w:rsid w:val="00EA2D72"/>
    <w:rsid w:val="00EA2EAC"/>
    <w:rsid w:val="00EA308E"/>
    <w:rsid w:val="00EA30DA"/>
    <w:rsid w:val="00EA3165"/>
    <w:rsid w:val="00EA342E"/>
    <w:rsid w:val="00EA352D"/>
    <w:rsid w:val="00EA3819"/>
    <w:rsid w:val="00EA394E"/>
    <w:rsid w:val="00EA3957"/>
    <w:rsid w:val="00EA3B17"/>
    <w:rsid w:val="00EA3D72"/>
    <w:rsid w:val="00EA3EC5"/>
    <w:rsid w:val="00EA4102"/>
    <w:rsid w:val="00EA41AF"/>
    <w:rsid w:val="00EA41CF"/>
    <w:rsid w:val="00EA4266"/>
    <w:rsid w:val="00EA44F6"/>
    <w:rsid w:val="00EA4740"/>
    <w:rsid w:val="00EA48B5"/>
    <w:rsid w:val="00EA4986"/>
    <w:rsid w:val="00EA4A40"/>
    <w:rsid w:val="00EA4A73"/>
    <w:rsid w:val="00EA4AB0"/>
    <w:rsid w:val="00EA4B5C"/>
    <w:rsid w:val="00EA4D15"/>
    <w:rsid w:val="00EA4D3D"/>
    <w:rsid w:val="00EA5081"/>
    <w:rsid w:val="00EA5175"/>
    <w:rsid w:val="00EA51A9"/>
    <w:rsid w:val="00EA51E1"/>
    <w:rsid w:val="00EA530A"/>
    <w:rsid w:val="00EA53C6"/>
    <w:rsid w:val="00EA54E9"/>
    <w:rsid w:val="00EA570A"/>
    <w:rsid w:val="00EA5890"/>
    <w:rsid w:val="00EA59B8"/>
    <w:rsid w:val="00EA5A79"/>
    <w:rsid w:val="00EA5A7B"/>
    <w:rsid w:val="00EA5C92"/>
    <w:rsid w:val="00EA5E47"/>
    <w:rsid w:val="00EA5F8E"/>
    <w:rsid w:val="00EA5FB2"/>
    <w:rsid w:val="00EA6126"/>
    <w:rsid w:val="00EA61FE"/>
    <w:rsid w:val="00EA62B0"/>
    <w:rsid w:val="00EA6344"/>
    <w:rsid w:val="00EA63FD"/>
    <w:rsid w:val="00EA65DE"/>
    <w:rsid w:val="00EA6741"/>
    <w:rsid w:val="00EA67F8"/>
    <w:rsid w:val="00EA6987"/>
    <w:rsid w:val="00EA6B41"/>
    <w:rsid w:val="00EA6C90"/>
    <w:rsid w:val="00EA6CC9"/>
    <w:rsid w:val="00EA6DE7"/>
    <w:rsid w:val="00EA6EA2"/>
    <w:rsid w:val="00EA7118"/>
    <w:rsid w:val="00EA715A"/>
    <w:rsid w:val="00EA7317"/>
    <w:rsid w:val="00EA7509"/>
    <w:rsid w:val="00EA759C"/>
    <w:rsid w:val="00EA7600"/>
    <w:rsid w:val="00EA768F"/>
    <w:rsid w:val="00EA7715"/>
    <w:rsid w:val="00EA798D"/>
    <w:rsid w:val="00EA7AC6"/>
    <w:rsid w:val="00EA7AC8"/>
    <w:rsid w:val="00EA7BC3"/>
    <w:rsid w:val="00EA7C4F"/>
    <w:rsid w:val="00EA7C5B"/>
    <w:rsid w:val="00EA7C8E"/>
    <w:rsid w:val="00EA7FAA"/>
    <w:rsid w:val="00EB0394"/>
    <w:rsid w:val="00EB04F7"/>
    <w:rsid w:val="00EB07B2"/>
    <w:rsid w:val="00EB07B8"/>
    <w:rsid w:val="00EB081D"/>
    <w:rsid w:val="00EB0954"/>
    <w:rsid w:val="00EB09FF"/>
    <w:rsid w:val="00EB0A86"/>
    <w:rsid w:val="00EB0AA3"/>
    <w:rsid w:val="00EB0AC6"/>
    <w:rsid w:val="00EB0AEA"/>
    <w:rsid w:val="00EB0BA7"/>
    <w:rsid w:val="00EB0DF7"/>
    <w:rsid w:val="00EB0F52"/>
    <w:rsid w:val="00EB0F6E"/>
    <w:rsid w:val="00EB1169"/>
    <w:rsid w:val="00EB11B9"/>
    <w:rsid w:val="00EB124E"/>
    <w:rsid w:val="00EB1259"/>
    <w:rsid w:val="00EB1297"/>
    <w:rsid w:val="00EB13FE"/>
    <w:rsid w:val="00EB14DC"/>
    <w:rsid w:val="00EB1616"/>
    <w:rsid w:val="00EB16A2"/>
    <w:rsid w:val="00EB1943"/>
    <w:rsid w:val="00EB1BE2"/>
    <w:rsid w:val="00EB1C39"/>
    <w:rsid w:val="00EB1D5A"/>
    <w:rsid w:val="00EB1DFD"/>
    <w:rsid w:val="00EB1F9D"/>
    <w:rsid w:val="00EB1FEA"/>
    <w:rsid w:val="00EB212C"/>
    <w:rsid w:val="00EB2146"/>
    <w:rsid w:val="00EB216A"/>
    <w:rsid w:val="00EB228F"/>
    <w:rsid w:val="00EB2308"/>
    <w:rsid w:val="00EB249A"/>
    <w:rsid w:val="00EB249B"/>
    <w:rsid w:val="00EB2636"/>
    <w:rsid w:val="00EB2866"/>
    <w:rsid w:val="00EB28AC"/>
    <w:rsid w:val="00EB2A37"/>
    <w:rsid w:val="00EB2A4C"/>
    <w:rsid w:val="00EB2A5F"/>
    <w:rsid w:val="00EB2AE6"/>
    <w:rsid w:val="00EB2B42"/>
    <w:rsid w:val="00EB2BBC"/>
    <w:rsid w:val="00EB2C64"/>
    <w:rsid w:val="00EB2C9F"/>
    <w:rsid w:val="00EB2D99"/>
    <w:rsid w:val="00EB2DE7"/>
    <w:rsid w:val="00EB2FB5"/>
    <w:rsid w:val="00EB3153"/>
    <w:rsid w:val="00EB31CE"/>
    <w:rsid w:val="00EB3232"/>
    <w:rsid w:val="00EB33CF"/>
    <w:rsid w:val="00EB34D8"/>
    <w:rsid w:val="00EB3578"/>
    <w:rsid w:val="00EB3779"/>
    <w:rsid w:val="00EB380C"/>
    <w:rsid w:val="00EB3851"/>
    <w:rsid w:val="00EB38EA"/>
    <w:rsid w:val="00EB38F0"/>
    <w:rsid w:val="00EB3A0B"/>
    <w:rsid w:val="00EB3B56"/>
    <w:rsid w:val="00EB3CC9"/>
    <w:rsid w:val="00EB3CE1"/>
    <w:rsid w:val="00EB3FB4"/>
    <w:rsid w:val="00EB3FE8"/>
    <w:rsid w:val="00EB4062"/>
    <w:rsid w:val="00EB4093"/>
    <w:rsid w:val="00EB4206"/>
    <w:rsid w:val="00EB4356"/>
    <w:rsid w:val="00EB437A"/>
    <w:rsid w:val="00EB4544"/>
    <w:rsid w:val="00EB4577"/>
    <w:rsid w:val="00EB471E"/>
    <w:rsid w:val="00EB473C"/>
    <w:rsid w:val="00EB47F5"/>
    <w:rsid w:val="00EB4857"/>
    <w:rsid w:val="00EB48F4"/>
    <w:rsid w:val="00EB4B05"/>
    <w:rsid w:val="00EB4B59"/>
    <w:rsid w:val="00EB4C58"/>
    <w:rsid w:val="00EB4C5F"/>
    <w:rsid w:val="00EB4DC1"/>
    <w:rsid w:val="00EB4EED"/>
    <w:rsid w:val="00EB4F11"/>
    <w:rsid w:val="00EB4F41"/>
    <w:rsid w:val="00EB4F8B"/>
    <w:rsid w:val="00EB4FDF"/>
    <w:rsid w:val="00EB5061"/>
    <w:rsid w:val="00EB50CB"/>
    <w:rsid w:val="00EB50D3"/>
    <w:rsid w:val="00EB5151"/>
    <w:rsid w:val="00EB51D2"/>
    <w:rsid w:val="00EB5202"/>
    <w:rsid w:val="00EB53F2"/>
    <w:rsid w:val="00EB540D"/>
    <w:rsid w:val="00EB548F"/>
    <w:rsid w:val="00EB5717"/>
    <w:rsid w:val="00EB5904"/>
    <w:rsid w:val="00EB5934"/>
    <w:rsid w:val="00EB5990"/>
    <w:rsid w:val="00EB59F2"/>
    <w:rsid w:val="00EB59FF"/>
    <w:rsid w:val="00EB5A60"/>
    <w:rsid w:val="00EB5B4D"/>
    <w:rsid w:val="00EB5C98"/>
    <w:rsid w:val="00EB5D40"/>
    <w:rsid w:val="00EB5E6F"/>
    <w:rsid w:val="00EB6135"/>
    <w:rsid w:val="00EB61AD"/>
    <w:rsid w:val="00EB61C1"/>
    <w:rsid w:val="00EB634E"/>
    <w:rsid w:val="00EB636C"/>
    <w:rsid w:val="00EB63A3"/>
    <w:rsid w:val="00EB66C2"/>
    <w:rsid w:val="00EB66F1"/>
    <w:rsid w:val="00EB6834"/>
    <w:rsid w:val="00EB6876"/>
    <w:rsid w:val="00EB68AA"/>
    <w:rsid w:val="00EB6A1E"/>
    <w:rsid w:val="00EB6AEF"/>
    <w:rsid w:val="00EB6BCD"/>
    <w:rsid w:val="00EB6BCF"/>
    <w:rsid w:val="00EB6C17"/>
    <w:rsid w:val="00EB6E20"/>
    <w:rsid w:val="00EB6E2D"/>
    <w:rsid w:val="00EB6F96"/>
    <w:rsid w:val="00EB7258"/>
    <w:rsid w:val="00EB72E8"/>
    <w:rsid w:val="00EB7393"/>
    <w:rsid w:val="00EB741B"/>
    <w:rsid w:val="00EB7566"/>
    <w:rsid w:val="00EB757D"/>
    <w:rsid w:val="00EB765E"/>
    <w:rsid w:val="00EB76B7"/>
    <w:rsid w:val="00EB76C8"/>
    <w:rsid w:val="00EB7721"/>
    <w:rsid w:val="00EB78F1"/>
    <w:rsid w:val="00EB7962"/>
    <w:rsid w:val="00EB7A55"/>
    <w:rsid w:val="00EB7B9A"/>
    <w:rsid w:val="00EB7BE7"/>
    <w:rsid w:val="00EB7CF9"/>
    <w:rsid w:val="00EB7D1D"/>
    <w:rsid w:val="00EC014C"/>
    <w:rsid w:val="00EC02C2"/>
    <w:rsid w:val="00EC03EC"/>
    <w:rsid w:val="00EC054B"/>
    <w:rsid w:val="00EC05F3"/>
    <w:rsid w:val="00EC060D"/>
    <w:rsid w:val="00EC064C"/>
    <w:rsid w:val="00EC06C6"/>
    <w:rsid w:val="00EC0734"/>
    <w:rsid w:val="00EC076E"/>
    <w:rsid w:val="00EC07A5"/>
    <w:rsid w:val="00EC08A7"/>
    <w:rsid w:val="00EC08D0"/>
    <w:rsid w:val="00EC09A1"/>
    <w:rsid w:val="00EC0A8B"/>
    <w:rsid w:val="00EC0D3E"/>
    <w:rsid w:val="00EC0E61"/>
    <w:rsid w:val="00EC0F51"/>
    <w:rsid w:val="00EC11AD"/>
    <w:rsid w:val="00EC11D1"/>
    <w:rsid w:val="00EC1353"/>
    <w:rsid w:val="00EC14AF"/>
    <w:rsid w:val="00EC158B"/>
    <w:rsid w:val="00EC15FE"/>
    <w:rsid w:val="00EC1627"/>
    <w:rsid w:val="00EC169C"/>
    <w:rsid w:val="00EC1854"/>
    <w:rsid w:val="00EC19FE"/>
    <w:rsid w:val="00EC1A3C"/>
    <w:rsid w:val="00EC1A57"/>
    <w:rsid w:val="00EC1A73"/>
    <w:rsid w:val="00EC1AE4"/>
    <w:rsid w:val="00EC1B3A"/>
    <w:rsid w:val="00EC1B54"/>
    <w:rsid w:val="00EC1C0C"/>
    <w:rsid w:val="00EC1C4A"/>
    <w:rsid w:val="00EC1D68"/>
    <w:rsid w:val="00EC1E2D"/>
    <w:rsid w:val="00EC1E2F"/>
    <w:rsid w:val="00EC1E59"/>
    <w:rsid w:val="00EC1E5A"/>
    <w:rsid w:val="00EC1EC3"/>
    <w:rsid w:val="00EC208D"/>
    <w:rsid w:val="00EC20BF"/>
    <w:rsid w:val="00EC20CE"/>
    <w:rsid w:val="00EC2115"/>
    <w:rsid w:val="00EC2221"/>
    <w:rsid w:val="00EC23AD"/>
    <w:rsid w:val="00EC247F"/>
    <w:rsid w:val="00EC2490"/>
    <w:rsid w:val="00EC251F"/>
    <w:rsid w:val="00EC2533"/>
    <w:rsid w:val="00EC2703"/>
    <w:rsid w:val="00EC2708"/>
    <w:rsid w:val="00EC2A75"/>
    <w:rsid w:val="00EC2B05"/>
    <w:rsid w:val="00EC2C21"/>
    <w:rsid w:val="00EC2C38"/>
    <w:rsid w:val="00EC2D16"/>
    <w:rsid w:val="00EC2F15"/>
    <w:rsid w:val="00EC2F4B"/>
    <w:rsid w:val="00EC303B"/>
    <w:rsid w:val="00EC3098"/>
    <w:rsid w:val="00EC31B5"/>
    <w:rsid w:val="00EC3481"/>
    <w:rsid w:val="00EC349B"/>
    <w:rsid w:val="00EC35B5"/>
    <w:rsid w:val="00EC376A"/>
    <w:rsid w:val="00EC3896"/>
    <w:rsid w:val="00EC38F3"/>
    <w:rsid w:val="00EC3957"/>
    <w:rsid w:val="00EC3A84"/>
    <w:rsid w:val="00EC3B49"/>
    <w:rsid w:val="00EC3B7B"/>
    <w:rsid w:val="00EC3B8D"/>
    <w:rsid w:val="00EC3B92"/>
    <w:rsid w:val="00EC3C74"/>
    <w:rsid w:val="00EC3CD1"/>
    <w:rsid w:val="00EC3CE4"/>
    <w:rsid w:val="00EC3D39"/>
    <w:rsid w:val="00EC3DB3"/>
    <w:rsid w:val="00EC3E99"/>
    <w:rsid w:val="00EC3F00"/>
    <w:rsid w:val="00EC3F7B"/>
    <w:rsid w:val="00EC41DE"/>
    <w:rsid w:val="00EC42A3"/>
    <w:rsid w:val="00EC44AA"/>
    <w:rsid w:val="00EC4631"/>
    <w:rsid w:val="00EC478D"/>
    <w:rsid w:val="00EC4948"/>
    <w:rsid w:val="00EC4992"/>
    <w:rsid w:val="00EC4A72"/>
    <w:rsid w:val="00EC4D43"/>
    <w:rsid w:val="00EC4D54"/>
    <w:rsid w:val="00EC4DE9"/>
    <w:rsid w:val="00EC4EE7"/>
    <w:rsid w:val="00EC4F4B"/>
    <w:rsid w:val="00EC5052"/>
    <w:rsid w:val="00EC50EB"/>
    <w:rsid w:val="00EC51BA"/>
    <w:rsid w:val="00EC5258"/>
    <w:rsid w:val="00EC5430"/>
    <w:rsid w:val="00EC55B9"/>
    <w:rsid w:val="00EC572A"/>
    <w:rsid w:val="00EC5749"/>
    <w:rsid w:val="00EC574A"/>
    <w:rsid w:val="00EC577C"/>
    <w:rsid w:val="00EC57C6"/>
    <w:rsid w:val="00EC58B7"/>
    <w:rsid w:val="00EC5A0A"/>
    <w:rsid w:val="00EC5AA0"/>
    <w:rsid w:val="00EC5BCA"/>
    <w:rsid w:val="00EC5C05"/>
    <w:rsid w:val="00EC5CB7"/>
    <w:rsid w:val="00EC5CDC"/>
    <w:rsid w:val="00EC5E6C"/>
    <w:rsid w:val="00EC5E76"/>
    <w:rsid w:val="00EC5ECE"/>
    <w:rsid w:val="00EC5F86"/>
    <w:rsid w:val="00EC61F0"/>
    <w:rsid w:val="00EC6217"/>
    <w:rsid w:val="00EC626D"/>
    <w:rsid w:val="00EC6335"/>
    <w:rsid w:val="00EC64B8"/>
    <w:rsid w:val="00EC663B"/>
    <w:rsid w:val="00EC6733"/>
    <w:rsid w:val="00EC6934"/>
    <w:rsid w:val="00EC69EE"/>
    <w:rsid w:val="00EC6A7F"/>
    <w:rsid w:val="00EC6C56"/>
    <w:rsid w:val="00EC6D31"/>
    <w:rsid w:val="00EC6DF2"/>
    <w:rsid w:val="00EC6E29"/>
    <w:rsid w:val="00EC6EDD"/>
    <w:rsid w:val="00EC7013"/>
    <w:rsid w:val="00EC7140"/>
    <w:rsid w:val="00EC7199"/>
    <w:rsid w:val="00EC7362"/>
    <w:rsid w:val="00EC756C"/>
    <w:rsid w:val="00EC760A"/>
    <w:rsid w:val="00EC773D"/>
    <w:rsid w:val="00EC77CF"/>
    <w:rsid w:val="00EC79AD"/>
    <w:rsid w:val="00EC7B9C"/>
    <w:rsid w:val="00EC7D0B"/>
    <w:rsid w:val="00EC7DB4"/>
    <w:rsid w:val="00EC7E4B"/>
    <w:rsid w:val="00EC7F23"/>
    <w:rsid w:val="00ED004C"/>
    <w:rsid w:val="00ED009D"/>
    <w:rsid w:val="00ED0212"/>
    <w:rsid w:val="00ED0247"/>
    <w:rsid w:val="00ED032A"/>
    <w:rsid w:val="00ED032B"/>
    <w:rsid w:val="00ED0393"/>
    <w:rsid w:val="00ED03EA"/>
    <w:rsid w:val="00ED044A"/>
    <w:rsid w:val="00ED049E"/>
    <w:rsid w:val="00ED04F5"/>
    <w:rsid w:val="00ED05F6"/>
    <w:rsid w:val="00ED0842"/>
    <w:rsid w:val="00ED0A3C"/>
    <w:rsid w:val="00ED0B40"/>
    <w:rsid w:val="00ED1001"/>
    <w:rsid w:val="00ED11A2"/>
    <w:rsid w:val="00ED12B6"/>
    <w:rsid w:val="00ED132D"/>
    <w:rsid w:val="00ED16DC"/>
    <w:rsid w:val="00ED1727"/>
    <w:rsid w:val="00ED172D"/>
    <w:rsid w:val="00ED1A15"/>
    <w:rsid w:val="00ED1A2F"/>
    <w:rsid w:val="00ED1A7B"/>
    <w:rsid w:val="00ED1AB1"/>
    <w:rsid w:val="00ED1BFC"/>
    <w:rsid w:val="00ED1CD9"/>
    <w:rsid w:val="00ED1EB6"/>
    <w:rsid w:val="00ED2164"/>
    <w:rsid w:val="00ED2307"/>
    <w:rsid w:val="00ED248D"/>
    <w:rsid w:val="00ED24A8"/>
    <w:rsid w:val="00ED27DD"/>
    <w:rsid w:val="00ED294B"/>
    <w:rsid w:val="00ED29C5"/>
    <w:rsid w:val="00ED2A19"/>
    <w:rsid w:val="00ED2B09"/>
    <w:rsid w:val="00ED2C53"/>
    <w:rsid w:val="00ED2D0E"/>
    <w:rsid w:val="00ED2DEA"/>
    <w:rsid w:val="00ED2DF5"/>
    <w:rsid w:val="00ED2E9B"/>
    <w:rsid w:val="00ED310C"/>
    <w:rsid w:val="00ED32C9"/>
    <w:rsid w:val="00ED34FF"/>
    <w:rsid w:val="00ED361A"/>
    <w:rsid w:val="00ED36E6"/>
    <w:rsid w:val="00ED398F"/>
    <w:rsid w:val="00ED3B72"/>
    <w:rsid w:val="00ED3BCF"/>
    <w:rsid w:val="00ED3DD1"/>
    <w:rsid w:val="00ED3E55"/>
    <w:rsid w:val="00ED3EEE"/>
    <w:rsid w:val="00ED3F16"/>
    <w:rsid w:val="00ED3F48"/>
    <w:rsid w:val="00ED40CA"/>
    <w:rsid w:val="00ED41BD"/>
    <w:rsid w:val="00ED4639"/>
    <w:rsid w:val="00ED46DA"/>
    <w:rsid w:val="00ED46F7"/>
    <w:rsid w:val="00ED4902"/>
    <w:rsid w:val="00ED4BF0"/>
    <w:rsid w:val="00ED4C85"/>
    <w:rsid w:val="00ED4C94"/>
    <w:rsid w:val="00ED4D40"/>
    <w:rsid w:val="00ED4DF9"/>
    <w:rsid w:val="00ED4F2D"/>
    <w:rsid w:val="00ED51C0"/>
    <w:rsid w:val="00ED5225"/>
    <w:rsid w:val="00ED534D"/>
    <w:rsid w:val="00ED535C"/>
    <w:rsid w:val="00ED5413"/>
    <w:rsid w:val="00ED551A"/>
    <w:rsid w:val="00ED5601"/>
    <w:rsid w:val="00ED562F"/>
    <w:rsid w:val="00ED5673"/>
    <w:rsid w:val="00ED5700"/>
    <w:rsid w:val="00ED5899"/>
    <w:rsid w:val="00ED59EC"/>
    <w:rsid w:val="00ED5B2A"/>
    <w:rsid w:val="00ED5B30"/>
    <w:rsid w:val="00ED5BFD"/>
    <w:rsid w:val="00ED5C76"/>
    <w:rsid w:val="00ED5C8C"/>
    <w:rsid w:val="00ED5D5F"/>
    <w:rsid w:val="00ED5EB5"/>
    <w:rsid w:val="00ED5EBB"/>
    <w:rsid w:val="00ED601C"/>
    <w:rsid w:val="00ED6119"/>
    <w:rsid w:val="00ED612A"/>
    <w:rsid w:val="00ED61C0"/>
    <w:rsid w:val="00ED6281"/>
    <w:rsid w:val="00ED636A"/>
    <w:rsid w:val="00ED6375"/>
    <w:rsid w:val="00ED6399"/>
    <w:rsid w:val="00ED6491"/>
    <w:rsid w:val="00ED68ED"/>
    <w:rsid w:val="00ED69BC"/>
    <w:rsid w:val="00ED6ABF"/>
    <w:rsid w:val="00ED6B01"/>
    <w:rsid w:val="00ED6CC4"/>
    <w:rsid w:val="00ED6D37"/>
    <w:rsid w:val="00ED6D98"/>
    <w:rsid w:val="00ED6DEB"/>
    <w:rsid w:val="00ED6E73"/>
    <w:rsid w:val="00ED6ED8"/>
    <w:rsid w:val="00ED706E"/>
    <w:rsid w:val="00ED70F4"/>
    <w:rsid w:val="00ED71B2"/>
    <w:rsid w:val="00ED74DB"/>
    <w:rsid w:val="00ED7579"/>
    <w:rsid w:val="00ED75C3"/>
    <w:rsid w:val="00ED75D3"/>
    <w:rsid w:val="00ED772F"/>
    <w:rsid w:val="00ED792F"/>
    <w:rsid w:val="00ED7AE8"/>
    <w:rsid w:val="00ED7B17"/>
    <w:rsid w:val="00ED7C06"/>
    <w:rsid w:val="00ED7C08"/>
    <w:rsid w:val="00ED7D99"/>
    <w:rsid w:val="00ED7DD7"/>
    <w:rsid w:val="00ED7E28"/>
    <w:rsid w:val="00ED7EF6"/>
    <w:rsid w:val="00ED7FD3"/>
    <w:rsid w:val="00EE0027"/>
    <w:rsid w:val="00EE028F"/>
    <w:rsid w:val="00EE0841"/>
    <w:rsid w:val="00EE0939"/>
    <w:rsid w:val="00EE0993"/>
    <w:rsid w:val="00EE09AA"/>
    <w:rsid w:val="00EE0B10"/>
    <w:rsid w:val="00EE0B23"/>
    <w:rsid w:val="00EE0BF5"/>
    <w:rsid w:val="00EE0C42"/>
    <w:rsid w:val="00EE0C9B"/>
    <w:rsid w:val="00EE0E5D"/>
    <w:rsid w:val="00EE0ED5"/>
    <w:rsid w:val="00EE0EF1"/>
    <w:rsid w:val="00EE0F65"/>
    <w:rsid w:val="00EE1175"/>
    <w:rsid w:val="00EE135A"/>
    <w:rsid w:val="00EE138D"/>
    <w:rsid w:val="00EE1410"/>
    <w:rsid w:val="00EE1529"/>
    <w:rsid w:val="00EE156A"/>
    <w:rsid w:val="00EE1885"/>
    <w:rsid w:val="00EE18B9"/>
    <w:rsid w:val="00EE197D"/>
    <w:rsid w:val="00EE1A70"/>
    <w:rsid w:val="00EE1A9C"/>
    <w:rsid w:val="00EE1AEC"/>
    <w:rsid w:val="00EE1BA6"/>
    <w:rsid w:val="00EE1C14"/>
    <w:rsid w:val="00EE1CCA"/>
    <w:rsid w:val="00EE1DD0"/>
    <w:rsid w:val="00EE1E4B"/>
    <w:rsid w:val="00EE1F40"/>
    <w:rsid w:val="00EE1F69"/>
    <w:rsid w:val="00EE1FD0"/>
    <w:rsid w:val="00EE2138"/>
    <w:rsid w:val="00EE2152"/>
    <w:rsid w:val="00EE2251"/>
    <w:rsid w:val="00EE2306"/>
    <w:rsid w:val="00EE2370"/>
    <w:rsid w:val="00EE2455"/>
    <w:rsid w:val="00EE2560"/>
    <w:rsid w:val="00EE27AF"/>
    <w:rsid w:val="00EE27FB"/>
    <w:rsid w:val="00EE2942"/>
    <w:rsid w:val="00EE2987"/>
    <w:rsid w:val="00EE2AF2"/>
    <w:rsid w:val="00EE2BBE"/>
    <w:rsid w:val="00EE2CCF"/>
    <w:rsid w:val="00EE2D79"/>
    <w:rsid w:val="00EE2DAC"/>
    <w:rsid w:val="00EE2FED"/>
    <w:rsid w:val="00EE3095"/>
    <w:rsid w:val="00EE321E"/>
    <w:rsid w:val="00EE3222"/>
    <w:rsid w:val="00EE32BF"/>
    <w:rsid w:val="00EE32CF"/>
    <w:rsid w:val="00EE34B3"/>
    <w:rsid w:val="00EE34F9"/>
    <w:rsid w:val="00EE35FC"/>
    <w:rsid w:val="00EE361E"/>
    <w:rsid w:val="00EE384F"/>
    <w:rsid w:val="00EE38B0"/>
    <w:rsid w:val="00EE39A9"/>
    <w:rsid w:val="00EE39F7"/>
    <w:rsid w:val="00EE3AF8"/>
    <w:rsid w:val="00EE3B35"/>
    <w:rsid w:val="00EE3BE3"/>
    <w:rsid w:val="00EE3BE8"/>
    <w:rsid w:val="00EE3C4E"/>
    <w:rsid w:val="00EE3CA5"/>
    <w:rsid w:val="00EE3CF1"/>
    <w:rsid w:val="00EE3E08"/>
    <w:rsid w:val="00EE3E66"/>
    <w:rsid w:val="00EE3EE4"/>
    <w:rsid w:val="00EE4064"/>
    <w:rsid w:val="00EE41CB"/>
    <w:rsid w:val="00EE429B"/>
    <w:rsid w:val="00EE45D8"/>
    <w:rsid w:val="00EE4602"/>
    <w:rsid w:val="00EE4852"/>
    <w:rsid w:val="00EE48A1"/>
    <w:rsid w:val="00EE4BBC"/>
    <w:rsid w:val="00EE4CB5"/>
    <w:rsid w:val="00EE4DB2"/>
    <w:rsid w:val="00EE4E2B"/>
    <w:rsid w:val="00EE4EB3"/>
    <w:rsid w:val="00EE4EFF"/>
    <w:rsid w:val="00EE4F70"/>
    <w:rsid w:val="00EE4FEA"/>
    <w:rsid w:val="00EE55E7"/>
    <w:rsid w:val="00EE5632"/>
    <w:rsid w:val="00EE5672"/>
    <w:rsid w:val="00EE5844"/>
    <w:rsid w:val="00EE599D"/>
    <w:rsid w:val="00EE5A17"/>
    <w:rsid w:val="00EE5A6A"/>
    <w:rsid w:val="00EE5AC5"/>
    <w:rsid w:val="00EE5B4D"/>
    <w:rsid w:val="00EE5F2C"/>
    <w:rsid w:val="00EE6172"/>
    <w:rsid w:val="00EE61D4"/>
    <w:rsid w:val="00EE63CB"/>
    <w:rsid w:val="00EE63F8"/>
    <w:rsid w:val="00EE649B"/>
    <w:rsid w:val="00EE6615"/>
    <w:rsid w:val="00EE662B"/>
    <w:rsid w:val="00EE672D"/>
    <w:rsid w:val="00EE694A"/>
    <w:rsid w:val="00EE6A8E"/>
    <w:rsid w:val="00EE6ABB"/>
    <w:rsid w:val="00EE6B17"/>
    <w:rsid w:val="00EE6C56"/>
    <w:rsid w:val="00EE6CB2"/>
    <w:rsid w:val="00EE6CB5"/>
    <w:rsid w:val="00EE6E87"/>
    <w:rsid w:val="00EE6F9D"/>
    <w:rsid w:val="00EE7056"/>
    <w:rsid w:val="00EE711D"/>
    <w:rsid w:val="00EE7232"/>
    <w:rsid w:val="00EE72B3"/>
    <w:rsid w:val="00EE73A3"/>
    <w:rsid w:val="00EE753C"/>
    <w:rsid w:val="00EE754D"/>
    <w:rsid w:val="00EE7580"/>
    <w:rsid w:val="00EE7765"/>
    <w:rsid w:val="00EE77FB"/>
    <w:rsid w:val="00EE77FD"/>
    <w:rsid w:val="00EE78A6"/>
    <w:rsid w:val="00EE7989"/>
    <w:rsid w:val="00EE7A21"/>
    <w:rsid w:val="00EE7ABC"/>
    <w:rsid w:val="00EE7AEE"/>
    <w:rsid w:val="00EE7B72"/>
    <w:rsid w:val="00EE7C8B"/>
    <w:rsid w:val="00EE7ED5"/>
    <w:rsid w:val="00EE7F7A"/>
    <w:rsid w:val="00EE7FE4"/>
    <w:rsid w:val="00EE7FFC"/>
    <w:rsid w:val="00EF007B"/>
    <w:rsid w:val="00EF01B2"/>
    <w:rsid w:val="00EF044F"/>
    <w:rsid w:val="00EF047A"/>
    <w:rsid w:val="00EF0620"/>
    <w:rsid w:val="00EF063F"/>
    <w:rsid w:val="00EF06A2"/>
    <w:rsid w:val="00EF070B"/>
    <w:rsid w:val="00EF07BF"/>
    <w:rsid w:val="00EF08DC"/>
    <w:rsid w:val="00EF097E"/>
    <w:rsid w:val="00EF09B7"/>
    <w:rsid w:val="00EF0A2E"/>
    <w:rsid w:val="00EF0AAD"/>
    <w:rsid w:val="00EF0AEB"/>
    <w:rsid w:val="00EF0C7B"/>
    <w:rsid w:val="00EF0CD9"/>
    <w:rsid w:val="00EF0D45"/>
    <w:rsid w:val="00EF0F7F"/>
    <w:rsid w:val="00EF0FD0"/>
    <w:rsid w:val="00EF111D"/>
    <w:rsid w:val="00EF120A"/>
    <w:rsid w:val="00EF1278"/>
    <w:rsid w:val="00EF13F1"/>
    <w:rsid w:val="00EF143F"/>
    <w:rsid w:val="00EF1684"/>
    <w:rsid w:val="00EF199A"/>
    <w:rsid w:val="00EF1A24"/>
    <w:rsid w:val="00EF1BA0"/>
    <w:rsid w:val="00EF1CF0"/>
    <w:rsid w:val="00EF1D4E"/>
    <w:rsid w:val="00EF1EA1"/>
    <w:rsid w:val="00EF20F6"/>
    <w:rsid w:val="00EF2195"/>
    <w:rsid w:val="00EF22F8"/>
    <w:rsid w:val="00EF2363"/>
    <w:rsid w:val="00EF23D9"/>
    <w:rsid w:val="00EF2471"/>
    <w:rsid w:val="00EF26E9"/>
    <w:rsid w:val="00EF2748"/>
    <w:rsid w:val="00EF2A1D"/>
    <w:rsid w:val="00EF2A20"/>
    <w:rsid w:val="00EF2AA9"/>
    <w:rsid w:val="00EF2BBE"/>
    <w:rsid w:val="00EF2C39"/>
    <w:rsid w:val="00EF2FBD"/>
    <w:rsid w:val="00EF3137"/>
    <w:rsid w:val="00EF3150"/>
    <w:rsid w:val="00EF3208"/>
    <w:rsid w:val="00EF321B"/>
    <w:rsid w:val="00EF333D"/>
    <w:rsid w:val="00EF3446"/>
    <w:rsid w:val="00EF3489"/>
    <w:rsid w:val="00EF358D"/>
    <w:rsid w:val="00EF392D"/>
    <w:rsid w:val="00EF3A86"/>
    <w:rsid w:val="00EF3A98"/>
    <w:rsid w:val="00EF3B2F"/>
    <w:rsid w:val="00EF3B62"/>
    <w:rsid w:val="00EF3D46"/>
    <w:rsid w:val="00EF3EDF"/>
    <w:rsid w:val="00EF3F26"/>
    <w:rsid w:val="00EF3F68"/>
    <w:rsid w:val="00EF3FBD"/>
    <w:rsid w:val="00EF40A0"/>
    <w:rsid w:val="00EF41D6"/>
    <w:rsid w:val="00EF42FE"/>
    <w:rsid w:val="00EF43D0"/>
    <w:rsid w:val="00EF43E4"/>
    <w:rsid w:val="00EF44F0"/>
    <w:rsid w:val="00EF47A1"/>
    <w:rsid w:val="00EF48EE"/>
    <w:rsid w:val="00EF49AF"/>
    <w:rsid w:val="00EF49BC"/>
    <w:rsid w:val="00EF4B54"/>
    <w:rsid w:val="00EF4BEB"/>
    <w:rsid w:val="00EF4C3E"/>
    <w:rsid w:val="00EF4CF0"/>
    <w:rsid w:val="00EF4CFD"/>
    <w:rsid w:val="00EF4F08"/>
    <w:rsid w:val="00EF5135"/>
    <w:rsid w:val="00EF5352"/>
    <w:rsid w:val="00EF53EC"/>
    <w:rsid w:val="00EF5407"/>
    <w:rsid w:val="00EF547E"/>
    <w:rsid w:val="00EF5558"/>
    <w:rsid w:val="00EF5713"/>
    <w:rsid w:val="00EF5779"/>
    <w:rsid w:val="00EF57B3"/>
    <w:rsid w:val="00EF5923"/>
    <w:rsid w:val="00EF59B9"/>
    <w:rsid w:val="00EF5A67"/>
    <w:rsid w:val="00EF5CCA"/>
    <w:rsid w:val="00EF5D39"/>
    <w:rsid w:val="00EF5FE3"/>
    <w:rsid w:val="00EF6052"/>
    <w:rsid w:val="00EF611B"/>
    <w:rsid w:val="00EF62D8"/>
    <w:rsid w:val="00EF646C"/>
    <w:rsid w:val="00EF6494"/>
    <w:rsid w:val="00EF649C"/>
    <w:rsid w:val="00EF656A"/>
    <w:rsid w:val="00EF6705"/>
    <w:rsid w:val="00EF6779"/>
    <w:rsid w:val="00EF67EB"/>
    <w:rsid w:val="00EF67FE"/>
    <w:rsid w:val="00EF680C"/>
    <w:rsid w:val="00EF69DA"/>
    <w:rsid w:val="00EF6A4E"/>
    <w:rsid w:val="00EF6BB5"/>
    <w:rsid w:val="00EF6CE9"/>
    <w:rsid w:val="00EF6E61"/>
    <w:rsid w:val="00EF6F7F"/>
    <w:rsid w:val="00EF7192"/>
    <w:rsid w:val="00EF723C"/>
    <w:rsid w:val="00EF7244"/>
    <w:rsid w:val="00EF72AF"/>
    <w:rsid w:val="00EF73CA"/>
    <w:rsid w:val="00EF764C"/>
    <w:rsid w:val="00EF76BE"/>
    <w:rsid w:val="00EF76D2"/>
    <w:rsid w:val="00EF7729"/>
    <w:rsid w:val="00EF77E8"/>
    <w:rsid w:val="00EF79D5"/>
    <w:rsid w:val="00EF7AF5"/>
    <w:rsid w:val="00EF7C65"/>
    <w:rsid w:val="00EF7CCB"/>
    <w:rsid w:val="00EF7CE5"/>
    <w:rsid w:val="00EF7D69"/>
    <w:rsid w:val="00EF7DCD"/>
    <w:rsid w:val="00EF7E12"/>
    <w:rsid w:val="00EF7EF5"/>
    <w:rsid w:val="00EF7F6A"/>
    <w:rsid w:val="00F000FF"/>
    <w:rsid w:val="00F00108"/>
    <w:rsid w:val="00F00209"/>
    <w:rsid w:val="00F00225"/>
    <w:rsid w:val="00F002EB"/>
    <w:rsid w:val="00F00381"/>
    <w:rsid w:val="00F007E0"/>
    <w:rsid w:val="00F00826"/>
    <w:rsid w:val="00F008FC"/>
    <w:rsid w:val="00F009B4"/>
    <w:rsid w:val="00F009B9"/>
    <w:rsid w:val="00F00B18"/>
    <w:rsid w:val="00F00BDE"/>
    <w:rsid w:val="00F00BF2"/>
    <w:rsid w:val="00F00CA8"/>
    <w:rsid w:val="00F00CE4"/>
    <w:rsid w:val="00F00CFA"/>
    <w:rsid w:val="00F00D0C"/>
    <w:rsid w:val="00F00EB0"/>
    <w:rsid w:val="00F00EB1"/>
    <w:rsid w:val="00F00F69"/>
    <w:rsid w:val="00F010AC"/>
    <w:rsid w:val="00F01141"/>
    <w:rsid w:val="00F0119F"/>
    <w:rsid w:val="00F0139F"/>
    <w:rsid w:val="00F014BE"/>
    <w:rsid w:val="00F01554"/>
    <w:rsid w:val="00F015B9"/>
    <w:rsid w:val="00F017A3"/>
    <w:rsid w:val="00F01996"/>
    <w:rsid w:val="00F019A4"/>
    <w:rsid w:val="00F019D7"/>
    <w:rsid w:val="00F01A26"/>
    <w:rsid w:val="00F01AFA"/>
    <w:rsid w:val="00F01B00"/>
    <w:rsid w:val="00F01BC5"/>
    <w:rsid w:val="00F01BD5"/>
    <w:rsid w:val="00F01C2B"/>
    <w:rsid w:val="00F01C69"/>
    <w:rsid w:val="00F01E82"/>
    <w:rsid w:val="00F01F3B"/>
    <w:rsid w:val="00F01F62"/>
    <w:rsid w:val="00F01FCC"/>
    <w:rsid w:val="00F0200F"/>
    <w:rsid w:val="00F020B2"/>
    <w:rsid w:val="00F022A1"/>
    <w:rsid w:val="00F022D2"/>
    <w:rsid w:val="00F02600"/>
    <w:rsid w:val="00F02632"/>
    <w:rsid w:val="00F02731"/>
    <w:rsid w:val="00F02A65"/>
    <w:rsid w:val="00F02ACB"/>
    <w:rsid w:val="00F02D17"/>
    <w:rsid w:val="00F02FA9"/>
    <w:rsid w:val="00F02FFA"/>
    <w:rsid w:val="00F0312C"/>
    <w:rsid w:val="00F0314D"/>
    <w:rsid w:val="00F031C1"/>
    <w:rsid w:val="00F03215"/>
    <w:rsid w:val="00F032C8"/>
    <w:rsid w:val="00F032F0"/>
    <w:rsid w:val="00F03333"/>
    <w:rsid w:val="00F0333A"/>
    <w:rsid w:val="00F0338F"/>
    <w:rsid w:val="00F0351C"/>
    <w:rsid w:val="00F0356F"/>
    <w:rsid w:val="00F0375E"/>
    <w:rsid w:val="00F037EE"/>
    <w:rsid w:val="00F03A67"/>
    <w:rsid w:val="00F03ABF"/>
    <w:rsid w:val="00F03B8A"/>
    <w:rsid w:val="00F03BAA"/>
    <w:rsid w:val="00F03C7D"/>
    <w:rsid w:val="00F03DA6"/>
    <w:rsid w:val="00F03E2F"/>
    <w:rsid w:val="00F03E79"/>
    <w:rsid w:val="00F03FDD"/>
    <w:rsid w:val="00F04017"/>
    <w:rsid w:val="00F0402C"/>
    <w:rsid w:val="00F04075"/>
    <w:rsid w:val="00F04197"/>
    <w:rsid w:val="00F04510"/>
    <w:rsid w:val="00F04573"/>
    <w:rsid w:val="00F04593"/>
    <w:rsid w:val="00F04664"/>
    <w:rsid w:val="00F046AD"/>
    <w:rsid w:val="00F0474A"/>
    <w:rsid w:val="00F047F2"/>
    <w:rsid w:val="00F04823"/>
    <w:rsid w:val="00F04A36"/>
    <w:rsid w:val="00F04BE5"/>
    <w:rsid w:val="00F04C7B"/>
    <w:rsid w:val="00F04CA3"/>
    <w:rsid w:val="00F04D48"/>
    <w:rsid w:val="00F04E6D"/>
    <w:rsid w:val="00F04EA0"/>
    <w:rsid w:val="00F04EB6"/>
    <w:rsid w:val="00F04EE1"/>
    <w:rsid w:val="00F050E9"/>
    <w:rsid w:val="00F05128"/>
    <w:rsid w:val="00F0514A"/>
    <w:rsid w:val="00F0515E"/>
    <w:rsid w:val="00F051CA"/>
    <w:rsid w:val="00F05273"/>
    <w:rsid w:val="00F053AD"/>
    <w:rsid w:val="00F054ED"/>
    <w:rsid w:val="00F05523"/>
    <w:rsid w:val="00F0582B"/>
    <w:rsid w:val="00F058A9"/>
    <w:rsid w:val="00F05973"/>
    <w:rsid w:val="00F05C13"/>
    <w:rsid w:val="00F05C99"/>
    <w:rsid w:val="00F05C9A"/>
    <w:rsid w:val="00F05E64"/>
    <w:rsid w:val="00F05F75"/>
    <w:rsid w:val="00F0614E"/>
    <w:rsid w:val="00F061B7"/>
    <w:rsid w:val="00F0629C"/>
    <w:rsid w:val="00F06393"/>
    <w:rsid w:val="00F063BC"/>
    <w:rsid w:val="00F06586"/>
    <w:rsid w:val="00F065CE"/>
    <w:rsid w:val="00F06651"/>
    <w:rsid w:val="00F067E3"/>
    <w:rsid w:val="00F0683C"/>
    <w:rsid w:val="00F06921"/>
    <w:rsid w:val="00F0724A"/>
    <w:rsid w:val="00F072B4"/>
    <w:rsid w:val="00F076E2"/>
    <w:rsid w:val="00F0775C"/>
    <w:rsid w:val="00F0779E"/>
    <w:rsid w:val="00F07899"/>
    <w:rsid w:val="00F07911"/>
    <w:rsid w:val="00F079A2"/>
    <w:rsid w:val="00F07A8D"/>
    <w:rsid w:val="00F07B27"/>
    <w:rsid w:val="00F07CB0"/>
    <w:rsid w:val="00F07D8B"/>
    <w:rsid w:val="00F07E11"/>
    <w:rsid w:val="00F07E57"/>
    <w:rsid w:val="00F07E69"/>
    <w:rsid w:val="00F07F87"/>
    <w:rsid w:val="00F07FBB"/>
    <w:rsid w:val="00F0BC40"/>
    <w:rsid w:val="00F100B9"/>
    <w:rsid w:val="00F100D4"/>
    <w:rsid w:val="00F100EA"/>
    <w:rsid w:val="00F101B7"/>
    <w:rsid w:val="00F1034D"/>
    <w:rsid w:val="00F1034E"/>
    <w:rsid w:val="00F10374"/>
    <w:rsid w:val="00F10409"/>
    <w:rsid w:val="00F10482"/>
    <w:rsid w:val="00F10545"/>
    <w:rsid w:val="00F10547"/>
    <w:rsid w:val="00F105CD"/>
    <w:rsid w:val="00F106B6"/>
    <w:rsid w:val="00F106FF"/>
    <w:rsid w:val="00F1070B"/>
    <w:rsid w:val="00F10851"/>
    <w:rsid w:val="00F10A74"/>
    <w:rsid w:val="00F10B98"/>
    <w:rsid w:val="00F10C5F"/>
    <w:rsid w:val="00F10CE3"/>
    <w:rsid w:val="00F10D76"/>
    <w:rsid w:val="00F10DE1"/>
    <w:rsid w:val="00F10DFE"/>
    <w:rsid w:val="00F10E18"/>
    <w:rsid w:val="00F10F40"/>
    <w:rsid w:val="00F1101A"/>
    <w:rsid w:val="00F11195"/>
    <w:rsid w:val="00F113FE"/>
    <w:rsid w:val="00F11413"/>
    <w:rsid w:val="00F11453"/>
    <w:rsid w:val="00F11476"/>
    <w:rsid w:val="00F115A6"/>
    <w:rsid w:val="00F115CA"/>
    <w:rsid w:val="00F1178E"/>
    <w:rsid w:val="00F117D4"/>
    <w:rsid w:val="00F1197C"/>
    <w:rsid w:val="00F11ABC"/>
    <w:rsid w:val="00F11AF3"/>
    <w:rsid w:val="00F11C68"/>
    <w:rsid w:val="00F11C9B"/>
    <w:rsid w:val="00F11CBD"/>
    <w:rsid w:val="00F11CCC"/>
    <w:rsid w:val="00F11D04"/>
    <w:rsid w:val="00F11F6D"/>
    <w:rsid w:val="00F12038"/>
    <w:rsid w:val="00F1228E"/>
    <w:rsid w:val="00F122A4"/>
    <w:rsid w:val="00F123B7"/>
    <w:rsid w:val="00F123EF"/>
    <w:rsid w:val="00F12540"/>
    <w:rsid w:val="00F125B5"/>
    <w:rsid w:val="00F12614"/>
    <w:rsid w:val="00F12949"/>
    <w:rsid w:val="00F12AC6"/>
    <w:rsid w:val="00F12C88"/>
    <w:rsid w:val="00F12D90"/>
    <w:rsid w:val="00F12E4E"/>
    <w:rsid w:val="00F12F3E"/>
    <w:rsid w:val="00F12FA2"/>
    <w:rsid w:val="00F12FD4"/>
    <w:rsid w:val="00F130AA"/>
    <w:rsid w:val="00F13145"/>
    <w:rsid w:val="00F1316B"/>
    <w:rsid w:val="00F1316F"/>
    <w:rsid w:val="00F131AA"/>
    <w:rsid w:val="00F131E6"/>
    <w:rsid w:val="00F13222"/>
    <w:rsid w:val="00F133DA"/>
    <w:rsid w:val="00F136BD"/>
    <w:rsid w:val="00F1377A"/>
    <w:rsid w:val="00F137B6"/>
    <w:rsid w:val="00F137C4"/>
    <w:rsid w:val="00F137D5"/>
    <w:rsid w:val="00F13845"/>
    <w:rsid w:val="00F138C6"/>
    <w:rsid w:val="00F139A7"/>
    <w:rsid w:val="00F13A44"/>
    <w:rsid w:val="00F13A70"/>
    <w:rsid w:val="00F13AEE"/>
    <w:rsid w:val="00F13B8A"/>
    <w:rsid w:val="00F13BCE"/>
    <w:rsid w:val="00F13CC4"/>
    <w:rsid w:val="00F13D2F"/>
    <w:rsid w:val="00F13D68"/>
    <w:rsid w:val="00F13D97"/>
    <w:rsid w:val="00F13DF2"/>
    <w:rsid w:val="00F13EA6"/>
    <w:rsid w:val="00F13EEE"/>
    <w:rsid w:val="00F140DF"/>
    <w:rsid w:val="00F1414B"/>
    <w:rsid w:val="00F142A9"/>
    <w:rsid w:val="00F143EB"/>
    <w:rsid w:val="00F1446C"/>
    <w:rsid w:val="00F144CC"/>
    <w:rsid w:val="00F14554"/>
    <w:rsid w:val="00F1455B"/>
    <w:rsid w:val="00F146AB"/>
    <w:rsid w:val="00F146E8"/>
    <w:rsid w:val="00F147FA"/>
    <w:rsid w:val="00F14817"/>
    <w:rsid w:val="00F148D4"/>
    <w:rsid w:val="00F149FE"/>
    <w:rsid w:val="00F14DC8"/>
    <w:rsid w:val="00F14E28"/>
    <w:rsid w:val="00F14E34"/>
    <w:rsid w:val="00F14E70"/>
    <w:rsid w:val="00F15350"/>
    <w:rsid w:val="00F153E2"/>
    <w:rsid w:val="00F15404"/>
    <w:rsid w:val="00F154D7"/>
    <w:rsid w:val="00F15531"/>
    <w:rsid w:val="00F155A6"/>
    <w:rsid w:val="00F15748"/>
    <w:rsid w:val="00F15807"/>
    <w:rsid w:val="00F15864"/>
    <w:rsid w:val="00F15AA1"/>
    <w:rsid w:val="00F15B46"/>
    <w:rsid w:val="00F15CEA"/>
    <w:rsid w:val="00F15EF9"/>
    <w:rsid w:val="00F15F80"/>
    <w:rsid w:val="00F15FC5"/>
    <w:rsid w:val="00F15FD0"/>
    <w:rsid w:val="00F161A6"/>
    <w:rsid w:val="00F16442"/>
    <w:rsid w:val="00F16513"/>
    <w:rsid w:val="00F16565"/>
    <w:rsid w:val="00F1657D"/>
    <w:rsid w:val="00F165C5"/>
    <w:rsid w:val="00F1662C"/>
    <w:rsid w:val="00F167F4"/>
    <w:rsid w:val="00F1692B"/>
    <w:rsid w:val="00F16A09"/>
    <w:rsid w:val="00F16A21"/>
    <w:rsid w:val="00F16AFE"/>
    <w:rsid w:val="00F16B22"/>
    <w:rsid w:val="00F16B5A"/>
    <w:rsid w:val="00F16CD5"/>
    <w:rsid w:val="00F16D67"/>
    <w:rsid w:val="00F16E60"/>
    <w:rsid w:val="00F16EDF"/>
    <w:rsid w:val="00F16F1C"/>
    <w:rsid w:val="00F16F2F"/>
    <w:rsid w:val="00F1700A"/>
    <w:rsid w:val="00F170C0"/>
    <w:rsid w:val="00F1710A"/>
    <w:rsid w:val="00F1710E"/>
    <w:rsid w:val="00F1727B"/>
    <w:rsid w:val="00F173F3"/>
    <w:rsid w:val="00F17466"/>
    <w:rsid w:val="00F17522"/>
    <w:rsid w:val="00F175BA"/>
    <w:rsid w:val="00F176FA"/>
    <w:rsid w:val="00F1798E"/>
    <w:rsid w:val="00F179BC"/>
    <w:rsid w:val="00F17AFF"/>
    <w:rsid w:val="00F17CBE"/>
    <w:rsid w:val="00F17D8A"/>
    <w:rsid w:val="00F17E0D"/>
    <w:rsid w:val="00F203E1"/>
    <w:rsid w:val="00F203E8"/>
    <w:rsid w:val="00F204F5"/>
    <w:rsid w:val="00F205B6"/>
    <w:rsid w:val="00F2092C"/>
    <w:rsid w:val="00F209B3"/>
    <w:rsid w:val="00F209E1"/>
    <w:rsid w:val="00F20BB0"/>
    <w:rsid w:val="00F20C30"/>
    <w:rsid w:val="00F20D72"/>
    <w:rsid w:val="00F20D7D"/>
    <w:rsid w:val="00F20F37"/>
    <w:rsid w:val="00F20F81"/>
    <w:rsid w:val="00F20FB6"/>
    <w:rsid w:val="00F20FEC"/>
    <w:rsid w:val="00F2107F"/>
    <w:rsid w:val="00F21131"/>
    <w:rsid w:val="00F21186"/>
    <w:rsid w:val="00F211C4"/>
    <w:rsid w:val="00F21318"/>
    <w:rsid w:val="00F21480"/>
    <w:rsid w:val="00F215F4"/>
    <w:rsid w:val="00F216D3"/>
    <w:rsid w:val="00F217EC"/>
    <w:rsid w:val="00F218C7"/>
    <w:rsid w:val="00F21995"/>
    <w:rsid w:val="00F219A9"/>
    <w:rsid w:val="00F219E5"/>
    <w:rsid w:val="00F21AEB"/>
    <w:rsid w:val="00F21C7E"/>
    <w:rsid w:val="00F21D99"/>
    <w:rsid w:val="00F21DD0"/>
    <w:rsid w:val="00F21E4B"/>
    <w:rsid w:val="00F2224B"/>
    <w:rsid w:val="00F22481"/>
    <w:rsid w:val="00F2257E"/>
    <w:rsid w:val="00F226AD"/>
    <w:rsid w:val="00F226F4"/>
    <w:rsid w:val="00F226FA"/>
    <w:rsid w:val="00F22854"/>
    <w:rsid w:val="00F22941"/>
    <w:rsid w:val="00F229D1"/>
    <w:rsid w:val="00F229F6"/>
    <w:rsid w:val="00F22A8F"/>
    <w:rsid w:val="00F22AF9"/>
    <w:rsid w:val="00F22B01"/>
    <w:rsid w:val="00F22C89"/>
    <w:rsid w:val="00F22D9D"/>
    <w:rsid w:val="00F22E4B"/>
    <w:rsid w:val="00F22E89"/>
    <w:rsid w:val="00F22F92"/>
    <w:rsid w:val="00F23031"/>
    <w:rsid w:val="00F23176"/>
    <w:rsid w:val="00F23209"/>
    <w:rsid w:val="00F232A5"/>
    <w:rsid w:val="00F232CF"/>
    <w:rsid w:val="00F23306"/>
    <w:rsid w:val="00F233CD"/>
    <w:rsid w:val="00F234EE"/>
    <w:rsid w:val="00F2357E"/>
    <w:rsid w:val="00F2362B"/>
    <w:rsid w:val="00F23712"/>
    <w:rsid w:val="00F237B6"/>
    <w:rsid w:val="00F23992"/>
    <w:rsid w:val="00F23A57"/>
    <w:rsid w:val="00F23BD1"/>
    <w:rsid w:val="00F23D4E"/>
    <w:rsid w:val="00F23D51"/>
    <w:rsid w:val="00F23DDB"/>
    <w:rsid w:val="00F23E8D"/>
    <w:rsid w:val="00F23F58"/>
    <w:rsid w:val="00F24017"/>
    <w:rsid w:val="00F2407B"/>
    <w:rsid w:val="00F2413F"/>
    <w:rsid w:val="00F24190"/>
    <w:rsid w:val="00F242EB"/>
    <w:rsid w:val="00F244A3"/>
    <w:rsid w:val="00F244B9"/>
    <w:rsid w:val="00F2454D"/>
    <w:rsid w:val="00F245E4"/>
    <w:rsid w:val="00F2463B"/>
    <w:rsid w:val="00F24642"/>
    <w:rsid w:val="00F24759"/>
    <w:rsid w:val="00F24765"/>
    <w:rsid w:val="00F2482B"/>
    <w:rsid w:val="00F248E8"/>
    <w:rsid w:val="00F248F1"/>
    <w:rsid w:val="00F2492C"/>
    <w:rsid w:val="00F24AB0"/>
    <w:rsid w:val="00F24B1F"/>
    <w:rsid w:val="00F24DCD"/>
    <w:rsid w:val="00F24E40"/>
    <w:rsid w:val="00F24F5B"/>
    <w:rsid w:val="00F25021"/>
    <w:rsid w:val="00F25112"/>
    <w:rsid w:val="00F252CA"/>
    <w:rsid w:val="00F2550E"/>
    <w:rsid w:val="00F25567"/>
    <w:rsid w:val="00F25723"/>
    <w:rsid w:val="00F2574D"/>
    <w:rsid w:val="00F25908"/>
    <w:rsid w:val="00F25992"/>
    <w:rsid w:val="00F261F7"/>
    <w:rsid w:val="00F26272"/>
    <w:rsid w:val="00F263C1"/>
    <w:rsid w:val="00F263EE"/>
    <w:rsid w:val="00F2640D"/>
    <w:rsid w:val="00F26496"/>
    <w:rsid w:val="00F26594"/>
    <w:rsid w:val="00F26596"/>
    <w:rsid w:val="00F2672B"/>
    <w:rsid w:val="00F2684C"/>
    <w:rsid w:val="00F26877"/>
    <w:rsid w:val="00F268D3"/>
    <w:rsid w:val="00F2696D"/>
    <w:rsid w:val="00F26C68"/>
    <w:rsid w:val="00F26C92"/>
    <w:rsid w:val="00F26D64"/>
    <w:rsid w:val="00F26D70"/>
    <w:rsid w:val="00F26D9C"/>
    <w:rsid w:val="00F26DC8"/>
    <w:rsid w:val="00F26E34"/>
    <w:rsid w:val="00F26F0F"/>
    <w:rsid w:val="00F26F83"/>
    <w:rsid w:val="00F26FBB"/>
    <w:rsid w:val="00F27097"/>
    <w:rsid w:val="00F270E7"/>
    <w:rsid w:val="00F271B0"/>
    <w:rsid w:val="00F2731B"/>
    <w:rsid w:val="00F273ED"/>
    <w:rsid w:val="00F27432"/>
    <w:rsid w:val="00F275FD"/>
    <w:rsid w:val="00F276D6"/>
    <w:rsid w:val="00F27892"/>
    <w:rsid w:val="00F2791F"/>
    <w:rsid w:val="00F2797C"/>
    <w:rsid w:val="00F279B4"/>
    <w:rsid w:val="00F27BC8"/>
    <w:rsid w:val="00F27C54"/>
    <w:rsid w:val="00F27CA7"/>
    <w:rsid w:val="00F27CED"/>
    <w:rsid w:val="00F27D1A"/>
    <w:rsid w:val="00F27DAA"/>
    <w:rsid w:val="00F27E27"/>
    <w:rsid w:val="00F30079"/>
    <w:rsid w:val="00F30129"/>
    <w:rsid w:val="00F30155"/>
    <w:rsid w:val="00F302B7"/>
    <w:rsid w:val="00F303A3"/>
    <w:rsid w:val="00F30455"/>
    <w:rsid w:val="00F3047F"/>
    <w:rsid w:val="00F304A7"/>
    <w:rsid w:val="00F30670"/>
    <w:rsid w:val="00F306A4"/>
    <w:rsid w:val="00F30A76"/>
    <w:rsid w:val="00F30BD2"/>
    <w:rsid w:val="00F30D88"/>
    <w:rsid w:val="00F30E03"/>
    <w:rsid w:val="00F30E42"/>
    <w:rsid w:val="00F30E7B"/>
    <w:rsid w:val="00F30F3B"/>
    <w:rsid w:val="00F3101B"/>
    <w:rsid w:val="00F310AD"/>
    <w:rsid w:val="00F310DD"/>
    <w:rsid w:val="00F31130"/>
    <w:rsid w:val="00F31184"/>
    <w:rsid w:val="00F311DF"/>
    <w:rsid w:val="00F31450"/>
    <w:rsid w:val="00F31452"/>
    <w:rsid w:val="00F314A1"/>
    <w:rsid w:val="00F314F8"/>
    <w:rsid w:val="00F31555"/>
    <w:rsid w:val="00F315C0"/>
    <w:rsid w:val="00F31616"/>
    <w:rsid w:val="00F31638"/>
    <w:rsid w:val="00F31776"/>
    <w:rsid w:val="00F317CE"/>
    <w:rsid w:val="00F31825"/>
    <w:rsid w:val="00F31888"/>
    <w:rsid w:val="00F31AED"/>
    <w:rsid w:val="00F31D59"/>
    <w:rsid w:val="00F31D6C"/>
    <w:rsid w:val="00F32110"/>
    <w:rsid w:val="00F32123"/>
    <w:rsid w:val="00F321B0"/>
    <w:rsid w:val="00F322B4"/>
    <w:rsid w:val="00F32316"/>
    <w:rsid w:val="00F32342"/>
    <w:rsid w:val="00F32362"/>
    <w:rsid w:val="00F3248D"/>
    <w:rsid w:val="00F3253C"/>
    <w:rsid w:val="00F32551"/>
    <w:rsid w:val="00F32806"/>
    <w:rsid w:val="00F32998"/>
    <w:rsid w:val="00F329AA"/>
    <w:rsid w:val="00F329C6"/>
    <w:rsid w:val="00F32A16"/>
    <w:rsid w:val="00F32A47"/>
    <w:rsid w:val="00F32B6C"/>
    <w:rsid w:val="00F32DBA"/>
    <w:rsid w:val="00F32F17"/>
    <w:rsid w:val="00F32F9F"/>
    <w:rsid w:val="00F3306B"/>
    <w:rsid w:val="00F33137"/>
    <w:rsid w:val="00F33589"/>
    <w:rsid w:val="00F335DF"/>
    <w:rsid w:val="00F3373B"/>
    <w:rsid w:val="00F33AC2"/>
    <w:rsid w:val="00F33E01"/>
    <w:rsid w:val="00F33E2B"/>
    <w:rsid w:val="00F33ED8"/>
    <w:rsid w:val="00F33EE7"/>
    <w:rsid w:val="00F33F47"/>
    <w:rsid w:val="00F34044"/>
    <w:rsid w:val="00F34144"/>
    <w:rsid w:val="00F342E1"/>
    <w:rsid w:val="00F343E3"/>
    <w:rsid w:val="00F344D3"/>
    <w:rsid w:val="00F3455D"/>
    <w:rsid w:val="00F34574"/>
    <w:rsid w:val="00F3465D"/>
    <w:rsid w:val="00F34669"/>
    <w:rsid w:val="00F34738"/>
    <w:rsid w:val="00F34846"/>
    <w:rsid w:val="00F34BED"/>
    <w:rsid w:val="00F34C23"/>
    <w:rsid w:val="00F34CAE"/>
    <w:rsid w:val="00F34DCB"/>
    <w:rsid w:val="00F34DD5"/>
    <w:rsid w:val="00F34E2B"/>
    <w:rsid w:val="00F34FA6"/>
    <w:rsid w:val="00F35196"/>
    <w:rsid w:val="00F35398"/>
    <w:rsid w:val="00F3539D"/>
    <w:rsid w:val="00F35502"/>
    <w:rsid w:val="00F355FF"/>
    <w:rsid w:val="00F35659"/>
    <w:rsid w:val="00F35D63"/>
    <w:rsid w:val="00F35D99"/>
    <w:rsid w:val="00F35DE0"/>
    <w:rsid w:val="00F35DF4"/>
    <w:rsid w:val="00F35EC3"/>
    <w:rsid w:val="00F36013"/>
    <w:rsid w:val="00F36024"/>
    <w:rsid w:val="00F36042"/>
    <w:rsid w:val="00F360E9"/>
    <w:rsid w:val="00F3620F"/>
    <w:rsid w:val="00F3629D"/>
    <w:rsid w:val="00F362C0"/>
    <w:rsid w:val="00F36303"/>
    <w:rsid w:val="00F3640C"/>
    <w:rsid w:val="00F36894"/>
    <w:rsid w:val="00F368E7"/>
    <w:rsid w:val="00F368F7"/>
    <w:rsid w:val="00F3698A"/>
    <w:rsid w:val="00F36ADA"/>
    <w:rsid w:val="00F36BFB"/>
    <w:rsid w:val="00F36C7D"/>
    <w:rsid w:val="00F36C94"/>
    <w:rsid w:val="00F36CCC"/>
    <w:rsid w:val="00F36D0F"/>
    <w:rsid w:val="00F36D2A"/>
    <w:rsid w:val="00F36D49"/>
    <w:rsid w:val="00F36F20"/>
    <w:rsid w:val="00F36F5D"/>
    <w:rsid w:val="00F36F65"/>
    <w:rsid w:val="00F36F9B"/>
    <w:rsid w:val="00F37012"/>
    <w:rsid w:val="00F37114"/>
    <w:rsid w:val="00F37190"/>
    <w:rsid w:val="00F373B6"/>
    <w:rsid w:val="00F37420"/>
    <w:rsid w:val="00F3742F"/>
    <w:rsid w:val="00F376C3"/>
    <w:rsid w:val="00F3780E"/>
    <w:rsid w:val="00F37848"/>
    <w:rsid w:val="00F3785D"/>
    <w:rsid w:val="00F37892"/>
    <w:rsid w:val="00F378B0"/>
    <w:rsid w:val="00F37925"/>
    <w:rsid w:val="00F379CB"/>
    <w:rsid w:val="00F37AC0"/>
    <w:rsid w:val="00F37AC4"/>
    <w:rsid w:val="00F37AD2"/>
    <w:rsid w:val="00F37BE6"/>
    <w:rsid w:val="00F37C3D"/>
    <w:rsid w:val="00F37D2C"/>
    <w:rsid w:val="00F37D39"/>
    <w:rsid w:val="00F37E13"/>
    <w:rsid w:val="00F37E68"/>
    <w:rsid w:val="00F37E6A"/>
    <w:rsid w:val="00F37F98"/>
    <w:rsid w:val="00F37FE5"/>
    <w:rsid w:val="00F400C1"/>
    <w:rsid w:val="00F400CC"/>
    <w:rsid w:val="00F402A5"/>
    <w:rsid w:val="00F403B8"/>
    <w:rsid w:val="00F403C2"/>
    <w:rsid w:val="00F404C1"/>
    <w:rsid w:val="00F40505"/>
    <w:rsid w:val="00F405C5"/>
    <w:rsid w:val="00F405D2"/>
    <w:rsid w:val="00F40660"/>
    <w:rsid w:val="00F4068F"/>
    <w:rsid w:val="00F406A3"/>
    <w:rsid w:val="00F406F0"/>
    <w:rsid w:val="00F40834"/>
    <w:rsid w:val="00F408CD"/>
    <w:rsid w:val="00F40B16"/>
    <w:rsid w:val="00F40BE0"/>
    <w:rsid w:val="00F40CC7"/>
    <w:rsid w:val="00F40DE9"/>
    <w:rsid w:val="00F40E09"/>
    <w:rsid w:val="00F40F0D"/>
    <w:rsid w:val="00F40FC2"/>
    <w:rsid w:val="00F4108B"/>
    <w:rsid w:val="00F41149"/>
    <w:rsid w:val="00F4116F"/>
    <w:rsid w:val="00F411F5"/>
    <w:rsid w:val="00F41284"/>
    <w:rsid w:val="00F412B6"/>
    <w:rsid w:val="00F41313"/>
    <w:rsid w:val="00F41442"/>
    <w:rsid w:val="00F41510"/>
    <w:rsid w:val="00F415A5"/>
    <w:rsid w:val="00F4169A"/>
    <w:rsid w:val="00F416DC"/>
    <w:rsid w:val="00F41728"/>
    <w:rsid w:val="00F4179A"/>
    <w:rsid w:val="00F41986"/>
    <w:rsid w:val="00F41A89"/>
    <w:rsid w:val="00F41AB5"/>
    <w:rsid w:val="00F41BDE"/>
    <w:rsid w:val="00F41C65"/>
    <w:rsid w:val="00F41E1C"/>
    <w:rsid w:val="00F420A7"/>
    <w:rsid w:val="00F42149"/>
    <w:rsid w:val="00F4223D"/>
    <w:rsid w:val="00F42280"/>
    <w:rsid w:val="00F425A4"/>
    <w:rsid w:val="00F425E4"/>
    <w:rsid w:val="00F42827"/>
    <w:rsid w:val="00F42A81"/>
    <w:rsid w:val="00F42B5D"/>
    <w:rsid w:val="00F42D56"/>
    <w:rsid w:val="00F42DB0"/>
    <w:rsid w:val="00F42DD2"/>
    <w:rsid w:val="00F42F3C"/>
    <w:rsid w:val="00F43070"/>
    <w:rsid w:val="00F43096"/>
    <w:rsid w:val="00F430BF"/>
    <w:rsid w:val="00F43297"/>
    <w:rsid w:val="00F43326"/>
    <w:rsid w:val="00F4344C"/>
    <w:rsid w:val="00F435AB"/>
    <w:rsid w:val="00F4369A"/>
    <w:rsid w:val="00F436ED"/>
    <w:rsid w:val="00F437EE"/>
    <w:rsid w:val="00F43A40"/>
    <w:rsid w:val="00F43A55"/>
    <w:rsid w:val="00F43B3A"/>
    <w:rsid w:val="00F43E54"/>
    <w:rsid w:val="00F43E82"/>
    <w:rsid w:val="00F43E9E"/>
    <w:rsid w:val="00F43F3B"/>
    <w:rsid w:val="00F43F78"/>
    <w:rsid w:val="00F4400A"/>
    <w:rsid w:val="00F44018"/>
    <w:rsid w:val="00F44050"/>
    <w:rsid w:val="00F4408E"/>
    <w:rsid w:val="00F440AA"/>
    <w:rsid w:val="00F44148"/>
    <w:rsid w:val="00F4415B"/>
    <w:rsid w:val="00F441CC"/>
    <w:rsid w:val="00F443E7"/>
    <w:rsid w:val="00F44407"/>
    <w:rsid w:val="00F44548"/>
    <w:rsid w:val="00F445D9"/>
    <w:rsid w:val="00F445F6"/>
    <w:rsid w:val="00F4460A"/>
    <w:rsid w:val="00F44870"/>
    <w:rsid w:val="00F44910"/>
    <w:rsid w:val="00F4497E"/>
    <w:rsid w:val="00F449C7"/>
    <w:rsid w:val="00F44A72"/>
    <w:rsid w:val="00F44A7A"/>
    <w:rsid w:val="00F44B8B"/>
    <w:rsid w:val="00F44BAF"/>
    <w:rsid w:val="00F44C30"/>
    <w:rsid w:val="00F44D1D"/>
    <w:rsid w:val="00F44F64"/>
    <w:rsid w:val="00F4501B"/>
    <w:rsid w:val="00F4518E"/>
    <w:rsid w:val="00F452CC"/>
    <w:rsid w:val="00F4533E"/>
    <w:rsid w:val="00F4540A"/>
    <w:rsid w:val="00F45440"/>
    <w:rsid w:val="00F4547B"/>
    <w:rsid w:val="00F4580E"/>
    <w:rsid w:val="00F458D2"/>
    <w:rsid w:val="00F458F4"/>
    <w:rsid w:val="00F45915"/>
    <w:rsid w:val="00F45946"/>
    <w:rsid w:val="00F459A8"/>
    <w:rsid w:val="00F45A67"/>
    <w:rsid w:val="00F45B96"/>
    <w:rsid w:val="00F45CF0"/>
    <w:rsid w:val="00F45E3D"/>
    <w:rsid w:val="00F45FE1"/>
    <w:rsid w:val="00F46060"/>
    <w:rsid w:val="00F46152"/>
    <w:rsid w:val="00F46181"/>
    <w:rsid w:val="00F461F9"/>
    <w:rsid w:val="00F46338"/>
    <w:rsid w:val="00F46585"/>
    <w:rsid w:val="00F466C3"/>
    <w:rsid w:val="00F46BD7"/>
    <w:rsid w:val="00F46CC2"/>
    <w:rsid w:val="00F46E95"/>
    <w:rsid w:val="00F46ED8"/>
    <w:rsid w:val="00F46FA9"/>
    <w:rsid w:val="00F47176"/>
    <w:rsid w:val="00F47227"/>
    <w:rsid w:val="00F47250"/>
    <w:rsid w:val="00F47312"/>
    <w:rsid w:val="00F47510"/>
    <w:rsid w:val="00F47546"/>
    <w:rsid w:val="00F4757B"/>
    <w:rsid w:val="00F47590"/>
    <w:rsid w:val="00F4759D"/>
    <w:rsid w:val="00F47659"/>
    <w:rsid w:val="00F47952"/>
    <w:rsid w:val="00F47B94"/>
    <w:rsid w:val="00F47EBF"/>
    <w:rsid w:val="00F50058"/>
    <w:rsid w:val="00F500C3"/>
    <w:rsid w:val="00F50119"/>
    <w:rsid w:val="00F50321"/>
    <w:rsid w:val="00F5034D"/>
    <w:rsid w:val="00F50385"/>
    <w:rsid w:val="00F504FF"/>
    <w:rsid w:val="00F50514"/>
    <w:rsid w:val="00F507AB"/>
    <w:rsid w:val="00F50849"/>
    <w:rsid w:val="00F50976"/>
    <w:rsid w:val="00F50A19"/>
    <w:rsid w:val="00F50B16"/>
    <w:rsid w:val="00F50B44"/>
    <w:rsid w:val="00F50B87"/>
    <w:rsid w:val="00F50BBB"/>
    <w:rsid w:val="00F50D84"/>
    <w:rsid w:val="00F50E46"/>
    <w:rsid w:val="00F50E95"/>
    <w:rsid w:val="00F50EC8"/>
    <w:rsid w:val="00F510E0"/>
    <w:rsid w:val="00F5111E"/>
    <w:rsid w:val="00F5116E"/>
    <w:rsid w:val="00F5121E"/>
    <w:rsid w:val="00F5130A"/>
    <w:rsid w:val="00F5169D"/>
    <w:rsid w:val="00F517B4"/>
    <w:rsid w:val="00F517C8"/>
    <w:rsid w:val="00F51812"/>
    <w:rsid w:val="00F51839"/>
    <w:rsid w:val="00F5186F"/>
    <w:rsid w:val="00F518B2"/>
    <w:rsid w:val="00F51901"/>
    <w:rsid w:val="00F51A09"/>
    <w:rsid w:val="00F51A30"/>
    <w:rsid w:val="00F51AE1"/>
    <w:rsid w:val="00F51AE3"/>
    <w:rsid w:val="00F51BBB"/>
    <w:rsid w:val="00F51CA7"/>
    <w:rsid w:val="00F51E10"/>
    <w:rsid w:val="00F51EF9"/>
    <w:rsid w:val="00F51F47"/>
    <w:rsid w:val="00F52010"/>
    <w:rsid w:val="00F520BE"/>
    <w:rsid w:val="00F524E4"/>
    <w:rsid w:val="00F52526"/>
    <w:rsid w:val="00F52583"/>
    <w:rsid w:val="00F5269E"/>
    <w:rsid w:val="00F52771"/>
    <w:rsid w:val="00F52791"/>
    <w:rsid w:val="00F5279C"/>
    <w:rsid w:val="00F52ADE"/>
    <w:rsid w:val="00F52C28"/>
    <w:rsid w:val="00F52DB7"/>
    <w:rsid w:val="00F52EA0"/>
    <w:rsid w:val="00F52F09"/>
    <w:rsid w:val="00F530D5"/>
    <w:rsid w:val="00F53209"/>
    <w:rsid w:val="00F53216"/>
    <w:rsid w:val="00F53282"/>
    <w:rsid w:val="00F53355"/>
    <w:rsid w:val="00F5352D"/>
    <w:rsid w:val="00F5358B"/>
    <w:rsid w:val="00F535A8"/>
    <w:rsid w:val="00F53718"/>
    <w:rsid w:val="00F53ADF"/>
    <w:rsid w:val="00F53AEC"/>
    <w:rsid w:val="00F53CA9"/>
    <w:rsid w:val="00F53DDB"/>
    <w:rsid w:val="00F53ECD"/>
    <w:rsid w:val="00F53F18"/>
    <w:rsid w:val="00F53F6C"/>
    <w:rsid w:val="00F53F78"/>
    <w:rsid w:val="00F5402B"/>
    <w:rsid w:val="00F54090"/>
    <w:rsid w:val="00F5451A"/>
    <w:rsid w:val="00F5454D"/>
    <w:rsid w:val="00F54554"/>
    <w:rsid w:val="00F54638"/>
    <w:rsid w:val="00F5465C"/>
    <w:rsid w:val="00F546B8"/>
    <w:rsid w:val="00F54722"/>
    <w:rsid w:val="00F5472A"/>
    <w:rsid w:val="00F548D7"/>
    <w:rsid w:val="00F54BFE"/>
    <w:rsid w:val="00F54C55"/>
    <w:rsid w:val="00F54DF5"/>
    <w:rsid w:val="00F54E92"/>
    <w:rsid w:val="00F54F04"/>
    <w:rsid w:val="00F54F17"/>
    <w:rsid w:val="00F54F41"/>
    <w:rsid w:val="00F5500B"/>
    <w:rsid w:val="00F5502A"/>
    <w:rsid w:val="00F55061"/>
    <w:rsid w:val="00F55141"/>
    <w:rsid w:val="00F55285"/>
    <w:rsid w:val="00F5543E"/>
    <w:rsid w:val="00F55630"/>
    <w:rsid w:val="00F55671"/>
    <w:rsid w:val="00F556E5"/>
    <w:rsid w:val="00F5574A"/>
    <w:rsid w:val="00F5591C"/>
    <w:rsid w:val="00F5592F"/>
    <w:rsid w:val="00F55ABA"/>
    <w:rsid w:val="00F55B62"/>
    <w:rsid w:val="00F55B75"/>
    <w:rsid w:val="00F55C1C"/>
    <w:rsid w:val="00F55C52"/>
    <w:rsid w:val="00F55CEF"/>
    <w:rsid w:val="00F55F4B"/>
    <w:rsid w:val="00F56356"/>
    <w:rsid w:val="00F56371"/>
    <w:rsid w:val="00F564EF"/>
    <w:rsid w:val="00F56551"/>
    <w:rsid w:val="00F56662"/>
    <w:rsid w:val="00F567BA"/>
    <w:rsid w:val="00F5682B"/>
    <w:rsid w:val="00F568C7"/>
    <w:rsid w:val="00F5694D"/>
    <w:rsid w:val="00F56A25"/>
    <w:rsid w:val="00F56A26"/>
    <w:rsid w:val="00F56BB8"/>
    <w:rsid w:val="00F56C62"/>
    <w:rsid w:val="00F56EFC"/>
    <w:rsid w:val="00F56EFD"/>
    <w:rsid w:val="00F57175"/>
    <w:rsid w:val="00F57225"/>
    <w:rsid w:val="00F574FB"/>
    <w:rsid w:val="00F57548"/>
    <w:rsid w:val="00F57575"/>
    <w:rsid w:val="00F577AA"/>
    <w:rsid w:val="00F578A8"/>
    <w:rsid w:val="00F5794A"/>
    <w:rsid w:val="00F5798A"/>
    <w:rsid w:val="00F57A1A"/>
    <w:rsid w:val="00F57D31"/>
    <w:rsid w:val="00F57DD3"/>
    <w:rsid w:val="00F57EBF"/>
    <w:rsid w:val="00F60091"/>
    <w:rsid w:val="00F600B3"/>
    <w:rsid w:val="00F600D7"/>
    <w:rsid w:val="00F601AE"/>
    <w:rsid w:val="00F603BD"/>
    <w:rsid w:val="00F60421"/>
    <w:rsid w:val="00F6047E"/>
    <w:rsid w:val="00F604D6"/>
    <w:rsid w:val="00F604DF"/>
    <w:rsid w:val="00F604F6"/>
    <w:rsid w:val="00F6060B"/>
    <w:rsid w:val="00F60640"/>
    <w:rsid w:val="00F6077B"/>
    <w:rsid w:val="00F608FE"/>
    <w:rsid w:val="00F60981"/>
    <w:rsid w:val="00F609A2"/>
    <w:rsid w:val="00F60ADD"/>
    <w:rsid w:val="00F60B28"/>
    <w:rsid w:val="00F60CCE"/>
    <w:rsid w:val="00F60D9F"/>
    <w:rsid w:val="00F60E86"/>
    <w:rsid w:val="00F60EF8"/>
    <w:rsid w:val="00F61108"/>
    <w:rsid w:val="00F612F8"/>
    <w:rsid w:val="00F613EA"/>
    <w:rsid w:val="00F61468"/>
    <w:rsid w:val="00F614B6"/>
    <w:rsid w:val="00F615CD"/>
    <w:rsid w:val="00F617C1"/>
    <w:rsid w:val="00F617D3"/>
    <w:rsid w:val="00F61825"/>
    <w:rsid w:val="00F618BE"/>
    <w:rsid w:val="00F618EA"/>
    <w:rsid w:val="00F61A3F"/>
    <w:rsid w:val="00F61A9C"/>
    <w:rsid w:val="00F61AF5"/>
    <w:rsid w:val="00F61C2E"/>
    <w:rsid w:val="00F61DD1"/>
    <w:rsid w:val="00F62065"/>
    <w:rsid w:val="00F620E3"/>
    <w:rsid w:val="00F620F7"/>
    <w:rsid w:val="00F62307"/>
    <w:rsid w:val="00F62335"/>
    <w:rsid w:val="00F62337"/>
    <w:rsid w:val="00F62355"/>
    <w:rsid w:val="00F62369"/>
    <w:rsid w:val="00F6240E"/>
    <w:rsid w:val="00F625B4"/>
    <w:rsid w:val="00F62755"/>
    <w:rsid w:val="00F62951"/>
    <w:rsid w:val="00F62B2D"/>
    <w:rsid w:val="00F62CA9"/>
    <w:rsid w:val="00F62DA1"/>
    <w:rsid w:val="00F62E4D"/>
    <w:rsid w:val="00F62F17"/>
    <w:rsid w:val="00F63040"/>
    <w:rsid w:val="00F6332D"/>
    <w:rsid w:val="00F63505"/>
    <w:rsid w:val="00F6351F"/>
    <w:rsid w:val="00F63982"/>
    <w:rsid w:val="00F639B2"/>
    <w:rsid w:val="00F639C2"/>
    <w:rsid w:val="00F63C7B"/>
    <w:rsid w:val="00F63CDC"/>
    <w:rsid w:val="00F63D52"/>
    <w:rsid w:val="00F63DC7"/>
    <w:rsid w:val="00F63E13"/>
    <w:rsid w:val="00F63E66"/>
    <w:rsid w:val="00F6403B"/>
    <w:rsid w:val="00F64068"/>
    <w:rsid w:val="00F64173"/>
    <w:rsid w:val="00F64436"/>
    <w:rsid w:val="00F64443"/>
    <w:rsid w:val="00F645FC"/>
    <w:rsid w:val="00F6462B"/>
    <w:rsid w:val="00F64788"/>
    <w:rsid w:val="00F64A2F"/>
    <w:rsid w:val="00F64C3F"/>
    <w:rsid w:val="00F64D35"/>
    <w:rsid w:val="00F64DC7"/>
    <w:rsid w:val="00F64E46"/>
    <w:rsid w:val="00F64E4C"/>
    <w:rsid w:val="00F64E8D"/>
    <w:rsid w:val="00F64F37"/>
    <w:rsid w:val="00F65034"/>
    <w:rsid w:val="00F65137"/>
    <w:rsid w:val="00F651B5"/>
    <w:rsid w:val="00F651F8"/>
    <w:rsid w:val="00F6522C"/>
    <w:rsid w:val="00F652B9"/>
    <w:rsid w:val="00F652C8"/>
    <w:rsid w:val="00F653A7"/>
    <w:rsid w:val="00F65470"/>
    <w:rsid w:val="00F65480"/>
    <w:rsid w:val="00F6554F"/>
    <w:rsid w:val="00F6557A"/>
    <w:rsid w:val="00F65666"/>
    <w:rsid w:val="00F6575C"/>
    <w:rsid w:val="00F65785"/>
    <w:rsid w:val="00F6579C"/>
    <w:rsid w:val="00F657EA"/>
    <w:rsid w:val="00F658DA"/>
    <w:rsid w:val="00F6593B"/>
    <w:rsid w:val="00F65A99"/>
    <w:rsid w:val="00F65C81"/>
    <w:rsid w:val="00F65CAB"/>
    <w:rsid w:val="00F65CB1"/>
    <w:rsid w:val="00F65D52"/>
    <w:rsid w:val="00F65DFE"/>
    <w:rsid w:val="00F65E2D"/>
    <w:rsid w:val="00F66005"/>
    <w:rsid w:val="00F6604C"/>
    <w:rsid w:val="00F660A6"/>
    <w:rsid w:val="00F660D7"/>
    <w:rsid w:val="00F6625E"/>
    <w:rsid w:val="00F6627F"/>
    <w:rsid w:val="00F6658A"/>
    <w:rsid w:val="00F665E8"/>
    <w:rsid w:val="00F667D5"/>
    <w:rsid w:val="00F66B05"/>
    <w:rsid w:val="00F66DAE"/>
    <w:rsid w:val="00F66E9E"/>
    <w:rsid w:val="00F66EBD"/>
    <w:rsid w:val="00F66F0B"/>
    <w:rsid w:val="00F66FA9"/>
    <w:rsid w:val="00F6704C"/>
    <w:rsid w:val="00F6707D"/>
    <w:rsid w:val="00F670DE"/>
    <w:rsid w:val="00F6716D"/>
    <w:rsid w:val="00F6724B"/>
    <w:rsid w:val="00F67281"/>
    <w:rsid w:val="00F672E6"/>
    <w:rsid w:val="00F673DD"/>
    <w:rsid w:val="00F67588"/>
    <w:rsid w:val="00F67746"/>
    <w:rsid w:val="00F677B6"/>
    <w:rsid w:val="00F67928"/>
    <w:rsid w:val="00F67A06"/>
    <w:rsid w:val="00F67A82"/>
    <w:rsid w:val="00F67AE0"/>
    <w:rsid w:val="00F67B21"/>
    <w:rsid w:val="00F67CAF"/>
    <w:rsid w:val="00F67CB6"/>
    <w:rsid w:val="00F67D88"/>
    <w:rsid w:val="00F7002A"/>
    <w:rsid w:val="00F70094"/>
    <w:rsid w:val="00F700AC"/>
    <w:rsid w:val="00F70112"/>
    <w:rsid w:val="00F70216"/>
    <w:rsid w:val="00F70340"/>
    <w:rsid w:val="00F703B0"/>
    <w:rsid w:val="00F7054A"/>
    <w:rsid w:val="00F707EC"/>
    <w:rsid w:val="00F70802"/>
    <w:rsid w:val="00F708E0"/>
    <w:rsid w:val="00F70925"/>
    <w:rsid w:val="00F7094C"/>
    <w:rsid w:val="00F709A5"/>
    <w:rsid w:val="00F70B4D"/>
    <w:rsid w:val="00F70BDF"/>
    <w:rsid w:val="00F70C4D"/>
    <w:rsid w:val="00F70D50"/>
    <w:rsid w:val="00F70D84"/>
    <w:rsid w:val="00F70E29"/>
    <w:rsid w:val="00F710AF"/>
    <w:rsid w:val="00F711D8"/>
    <w:rsid w:val="00F711E6"/>
    <w:rsid w:val="00F71587"/>
    <w:rsid w:val="00F71655"/>
    <w:rsid w:val="00F71878"/>
    <w:rsid w:val="00F718D2"/>
    <w:rsid w:val="00F7194F"/>
    <w:rsid w:val="00F71969"/>
    <w:rsid w:val="00F71C00"/>
    <w:rsid w:val="00F71C11"/>
    <w:rsid w:val="00F71C44"/>
    <w:rsid w:val="00F71CB7"/>
    <w:rsid w:val="00F71D75"/>
    <w:rsid w:val="00F71DB7"/>
    <w:rsid w:val="00F71EC2"/>
    <w:rsid w:val="00F7205A"/>
    <w:rsid w:val="00F720BB"/>
    <w:rsid w:val="00F721E2"/>
    <w:rsid w:val="00F723CB"/>
    <w:rsid w:val="00F723F4"/>
    <w:rsid w:val="00F72539"/>
    <w:rsid w:val="00F727CB"/>
    <w:rsid w:val="00F7284E"/>
    <w:rsid w:val="00F7290A"/>
    <w:rsid w:val="00F72B8D"/>
    <w:rsid w:val="00F72C24"/>
    <w:rsid w:val="00F72CBA"/>
    <w:rsid w:val="00F72DDE"/>
    <w:rsid w:val="00F72E4C"/>
    <w:rsid w:val="00F72FFA"/>
    <w:rsid w:val="00F730AA"/>
    <w:rsid w:val="00F730C1"/>
    <w:rsid w:val="00F73325"/>
    <w:rsid w:val="00F73336"/>
    <w:rsid w:val="00F73614"/>
    <w:rsid w:val="00F737EA"/>
    <w:rsid w:val="00F7381C"/>
    <w:rsid w:val="00F738B0"/>
    <w:rsid w:val="00F738EE"/>
    <w:rsid w:val="00F7396B"/>
    <w:rsid w:val="00F73AE0"/>
    <w:rsid w:val="00F73B0B"/>
    <w:rsid w:val="00F73C09"/>
    <w:rsid w:val="00F73C12"/>
    <w:rsid w:val="00F73E10"/>
    <w:rsid w:val="00F73E54"/>
    <w:rsid w:val="00F73EAB"/>
    <w:rsid w:val="00F73EC8"/>
    <w:rsid w:val="00F74361"/>
    <w:rsid w:val="00F743EA"/>
    <w:rsid w:val="00F74428"/>
    <w:rsid w:val="00F74627"/>
    <w:rsid w:val="00F746DC"/>
    <w:rsid w:val="00F746E8"/>
    <w:rsid w:val="00F74723"/>
    <w:rsid w:val="00F747A8"/>
    <w:rsid w:val="00F7481F"/>
    <w:rsid w:val="00F74B4E"/>
    <w:rsid w:val="00F74BA2"/>
    <w:rsid w:val="00F74BED"/>
    <w:rsid w:val="00F74BF2"/>
    <w:rsid w:val="00F74BFC"/>
    <w:rsid w:val="00F74E5A"/>
    <w:rsid w:val="00F75049"/>
    <w:rsid w:val="00F7504F"/>
    <w:rsid w:val="00F750A0"/>
    <w:rsid w:val="00F75120"/>
    <w:rsid w:val="00F753E3"/>
    <w:rsid w:val="00F75653"/>
    <w:rsid w:val="00F75694"/>
    <w:rsid w:val="00F757DC"/>
    <w:rsid w:val="00F75903"/>
    <w:rsid w:val="00F75957"/>
    <w:rsid w:val="00F759CB"/>
    <w:rsid w:val="00F75A03"/>
    <w:rsid w:val="00F75A33"/>
    <w:rsid w:val="00F75A9A"/>
    <w:rsid w:val="00F75AC4"/>
    <w:rsid w:val="00F75ADA"/>
    <w:rsid w:val="00F75B5B"/>
    <w:rsid w:val="00F75BC3"/>
    <w:rsid w:val="00F75BF8"/>
    <w:rsid w:val="00F75C37"/>
    <w:rsid w:val="00F75C81"/>
    <w:rsid w:val="00F75C95"/>
    <w:rsid w:val="00F75D3E"/>
    <w:rsid w:val="00F75D60"/>
    <w:rsid w:val="00F75E9A"/>
    <w:rsid w:val="00F75EE9"/>
    <w:rsid w:val="00F75F31"/>
    <w:rsid w:val="00F75F63"/>
    <w:rsid w:val="00F7605E"/>
    <w:rsid w:val="00F7609C"/>
    <w:rsid w:val="00F76116"/>
    <w:rsid w:val="00F76450"/>
    <w:rsid w:val="00F7656E"/>
    <w:rsid w:val="00F7658C"/>
    <w:rsid w:val="00F7664D"/>
    <w:rsid w:val="00F766B7"/>
    <w:rsid w:val="00F7670B"/>
    <w:rsid w:val="00F769B2"/>
    <w:rsid w:val="00F76D30"/>
    <w:rsid w:val="00F76D8C"/>
    <w:rsid w:val="00F76D92"/>
    <w:rsid w:val="00F76DE1"/>
    <w:rsid w:val="00F76EBF"/>
    <w:rsid w:val="00F77036"/>
    <w:rsid w:val="00F770DF"/>
    <w:rsid w:val="00F77138"/>
    <w:rsid w:val="00F771F2"/>
    <w:rsid w:val="00F772A0"/>
    <w:rsid w:val="00F772C2"/>
    <w:rsid w:val="00F7738B"/>
    <w:rsid w:val="00F774AA"/>
    <w:rsid w:val="00F774D5"/>
    <w:rsid w:val="00F77564"/>
    <w:rsid w:val="00F77636"/>
    <w:rsid w:val="00F77825"/>
    <w:rsid w:val="00F77A09"/>
    <w:rsid w:val="00F77A12"/>
    <w:rsid w:val="00F77B23"/>
    <w:rsid w:val="00F77B6B"/>
    <w:rsid w:val="00F77BD0"/>
    <w:rsid w:val="00F77CC6"/>
    <w:rsid w:val="00F77DC1"/>
    <w:rsid w:val="00F77E40"/>
    <w:rsid w:val="00F800D4"/>
    <w:rsid w:val="00F801AA"/>
    <w:rsid w:val="00F801F0"/>
    <w:rsid w:val="00F80264"/>
    <w:rsid w:val="00F802A4"/>
    <w:rsid w:val="00F803D1"/>
    <w:rsid w:val="00F80671"/>
    <w:rsid w:val="00F8068F"/>
    <w:rsid w:val="00F8072A"/>
    <w:rsid w:val="00F807B9"/>
    <w:rsid w:val="00F8082E"/>
    <w:rsid w:val="00F80970"/>
    <w:rsid w:val="00F80A9F"/>
    <w:rsid w:val="00F80BDE"/>
    <w:rsid w:val="00F80BFE"/>
    <w:rsid w:val="00F80CDF"/>
    <w:rsid w:val="00F80DB8"/>
    <w:rsid w:val="00F80F28"/>
    <w:rsid w:val="00F8115B"/>
    <w:rsid w:val="00F812A1"/>
    <w:rsid w:val="00F812B1"/>
    <w:rsid w:val="00F812CB"/>
    <w:rsid w:val="00F812D2"/>
    <w:rsid w:val="00F81325"/>
    <w:rsid w:val="00F81340"/>
    <w:rsid w:val="00F81349"/>
    <w:rsid w:val="00F819CF"/>
    <w:rsid w:val="00F81A47"/>
    <w:rsid w:val="00F81A68"/>
    <w:rsid w:val="00F81B10"/>
    <w:rsid w:val="00F81BA3"/>
    <w:rsid w:val="00F81CF1"/>
    <w:rsid w:val="00F81D19"/>
    <w:rsid w:val="00F81E26"/>
    <w:rsid w:val="00F81FC4"/>
    <w:rsid w:val="00F8218E"/>
    <w:rsid w:val="00F822C8"/>
    <w:rsid w:val="00F82671"/>
    <w:rsid w:val="00F82721"/>
    <w:rsid w:val="00F8277E"/>
    <w:rsid w:val="00F8278C"/>
    <w:rsid w:val="00F82875"/>
    <w:rsid w:val="00F82961"/>
    <w:rsid w:val="00F82983"/>
    <w:rsid w:val="00F829AD"/>
    <w:rsid w:val="00F82A2F"/>
    <w:rsid w:val="00F82A59"/>
    <w:rsid w:val="00F82AF0"/>
    <w:rsid w:val="00F82B8B"/>
    <w:rsid w:val="00F82E50"/>
    <w:rsid w:val="00F82EE6"/>
    <w:rsid w:val="00F8301A"/>
    <w:rsid w:val="00F8305A"/>
    <w:rsid w:val="00F830D3"/>
    <w:rsid w:val="00F830FA"/>
    <w:rsid w:val="00F83107"/>
    <w:rsid w:val="00F83188"/>
    <w:rsid w:val="00F831CB"/>
    <w:rsid w:val="00F8323E"/>
    <w:rsid w:val="00F83408"/>
    <w:rsid w:val="00F8378F"/>
    <w:rsid w:val="00F8381B"/>
    <w:rsid w:val="00F838AB"/>
    <w:rsid w:val="00F83A9E"/>
    <w:rsid w:val="00F83B23"/>
    <w:rsid w:val="00F83B36"/>
    <w:rsid w:val="00F83B99"/>
    <w:rsid w:val="00F83BDC"/>
    <w:rsid w:val="00F83CFA"/>
    <w:rsid w:val="00F83DCF"/>
    <w:rsid w:val="00F83E06"/>
    <w:rsid w:val="00F84238"/>
    <w:rsid w:val="00F84335"/>
    <w:rsid w:val="00F84337"/>
    <w:rsid w:val="00F8447F"/>
    <w:rsid w:val="00F844B8"/>
    <w:rsid w:val="00F844D0"/>
    <w:rsid w:val="00F8450B"/>
    <w:rsid w:val="00F845F2"/>
    <w:rsid w:val="00F8460E"/>
    <w:rsid w:val="00F84790"/>
    <w:rsid w:val="00F847CB"/>
    <w:rsid w:val="00F84889"/>
    <w:rsid w:val="00F849EA"/>
    <w:rsid w:val="00F84A7A"/>
    <w:rsid w:val="00F84AC0"/>
    <w:rsid w:val="00F84B2D"/>
    <w:rsid w:val="00F84B5B"/>
    <w:rsid w:val="00F84CAD"/>
    <w:rsid w:val="00F84DE1"/>
    <w:rsid w:val="00F84E88"/>
    <w:rsid w:val="00F84F15"/>
    <w:rsid w:val="00F84FD6"/>
    <w:rsid w:val="00F850C8"/>
    <w:rsid w:val="00F85110"/>
    <w:rsid w:val="00F8512A"/>
    <w:rsid w:val="00F852BA"/>
    <w:rsid w:val="00F85334"/>
    <w:rsid w:val="00F8549F"/>
    <w:rsid w:val="00F85584"/>
    <w:rsid w:val="00F85662"/>
    <w:rsid w:val="00F856F1"/>
    <w:rsid w:val="00F85792"/>
    <w:rsid w:val="00F857AA"/>
    <w:rsid w:val="00F857F5"/>
    <w:rsid w:val="00F85838"/>
    <w:rsid w:val="00F85842"/>
    <w:rsid w:val="00F85845"/>
    <w:rsid w:val="00F858E7"/>
    <w:rsid w:val="00F85903"/>
    <w:rsid w:val="00F8590B"/>
    <w:rsid w:val="00F85B11"/>
    <w:rsid w:val="00F85BD5"/>
    <w:rsid w:val="00F85D40"/>
    <w:rsid w:val="00F85D7D"/>
    <w:rsid w:val="00F85E4E"/>
    <w:rsid w:val="00F85EC2"/>
    <w:rsid w:val="00F85EEF"/>
    <w:rsid w:val="00F85FCC"/>
    <w:rsid w:val="00F860EB"/>
    <w:rsid w:val="00F86223"/>
    <w:rsid w:val="00F8654C"/>
    <w:rsid w:val="00F86550"/>
    <w:rsid w:val="00F86582"/>
    <w:rsid w:val="00F86593"/>
    <w:rsid w:val="00F8671D"/>
    <w:rsid w:val="00F8679E"/>
    <w:rsid w:val="00F867DF"/>
    <w:rsid w:val="00F868AE"/>
    <w:rsid w:val="00F86A02"/>
    <w:rsid w:val="00F86A7A"/>
    <w:rsid w:val="00F86C38"/>
    <w:rsid w:val="00F86CEF"/>
    <w:rsid w:val="00F87194"/>
    <w:rsid w:val="00F872FA"/>
    <w:rsid w:val="00F874B6"/>
    <w:rsid w:val="00F875E0"/>
    <w:rsid w:val="00F87616"/>
    <w:rsid w:val="00F87630"/>
    <w:rsid w:val="00F876B4"/>
    <w:rsid w:val="00F877F0"/>
    <w:rsid w:val="00F877FB"/>
    <w:rsid w:val="00F8797C"/>
    <w:rsid w:val="00F87B54"/>
    <w:rsid w:val="00F87CD7"/>
    <w:rsid w:val="00F87D75"/>
    <w:rsid w:val="00F87DAF"/>
    <w:rsid w:val="00F87DF2"/>
    <w:rsid w:val="00F87EF7"/>
    <w:rsid w:val="00F87FAB"/>
    <w:rsid w:val="00F9007F"/>
    <w:rsid w:val="00F900B6"/>
    <w:rsid w:val="00F90172"/>
    <w:rsid w:val="00F901F3"/>
    <w:rsid w:val="00F902A6"/>
    <w:rsid w:val="00F90389"/>
    <w:rsid w:val="00F90507"/>
    <w:rsid w:val="00F90566"/>
    <w:rsid w:val="00F905D2"/>
    <w:rsid w:val="00F905FD"/>
    <w:rsid w:val="00F9069B"/>
    <w:rsid w:val="00F90754"/>
    <w:rsid w:val="00F9075C"/>
    <w:rsid w:val="00F90797"/>
    <w:rsid w:val="00F90830"/>
    <w:rsid w:val="00F908C6"/>
    <w:rsid w:val="00F90AB2"/>
    <w:rsid w:val="00F90ADE"/>
    <w:rsid w:val="00F90BEA"/>
    <w:rsid w:val="00F90C4D"/>
    <w:rsid w:val="00F90D11"/>
    <w:rsid w:val="00F90DF8"/>
    <w:rsid w:val="00F90E1C"/>
    <w:rsid w:val="00F90E4F"/>
    <w:rsid w:val="00F90EE8"/>
    <w:rsid w:val="00F90F25"/>
    <w:rsid w:val="00F9104B"/>
    <w:rsid w:val="00F910A9"/>
    <w:rsid w:val="00F912EE"/>
    <w:rsid w:val="00F91343"/>
    <w:rsid w:val="00F913E6"/>
    <w:rsid w:val="00F915D2"/>
    <w:rsid w:val="00F915EC"/>
    <w:rsid w:val="00F91742"/>
    <w:rsid w:val="00F918AA"/>
    <w:rsid w:val="00F918CF"/>
    <w:rsid w:val="00F91980"/>
    <w:rsid w:val="00F91A08"/>
    <w:rsid w:val="00F91AEC"/>
    <w:rsid w:val="00F91C85"/>
    <w:rsid w:val="00F91CF3"/>
    <w:rsid w:val="00F91D5C"/>
    <w:rsid w:val="00F91EFC"/>
    <w:rsid w:val="00F91F15"/>
    <w:rsid w:val="00F91F1F"/>
    <w:rsid w:val="00F91F4F"/>
    <w:rsid w:val="00F91FB4"/>
    <w:rsid w:val="00F92111"/>
    <w:rsid w:val="00F9212F"/>
    <w:rsid w:val="00F92201"/>
    <w:rsid w:val="00F92246"/>
    <w:rsid w:val="00F9226B"/>
    <w:rsid w:val="00F92361"/>
    <w:rsid w:val="00F9236F"/>
    <w:rsid w:val="00F924DD"/>
    <w:rsid w:val="00F92636"/>
    <w:rsid w:val="00F92723"/>
    <w:rsid w:val="00F92735"/>
    <w:rsid w:val="00F9288A"/>
    <w:rsid w:val="00F928A5"/>
    <w:rsid w:val="00F928C1"/>
    <w:rsid w:val="00F92A68"/>
    <w:rsid w:val="00F92CBF"/>
    <w:rsid w:val="00F92D89"/>
    <w:rsid w:val="00F92F15"/>
    <w:rsid w:val="00F92F4D"/>
    <w:rsid w:val="00F92FFD"/>
    <w:rsid w:val="00F93022"/>
    <w:rsid w:val="00F93097"/>
    <w:rsid w:val="00F93162"/>
    <w:rsid w:val="00F931D5"/>
    <w:rsid w:val="00F93210"/>
    <w:rsid w:val="00F9326C"/>
    <w:rsid w:val="00F932F4"/>
    <w:rsid w:val="00F933D5"/>
    <w:rsid w:val="00F93476"/>
    <w:rsid w:val="00F934C0"/>
    <w:rsid w:val="00F93538"/>
    <w:rsid w:val="00F93575"/>
    <w:rsid w:val="00F93591"/>
    <w:rsid w:val="00F935B2"/>
    <w:rsid w:val="00F9365C"/>
    <w:rsid w:val="00F936D8"/>
    <w:rsid w:val="00F93760"/>
    <w:rsid w:val="00F9388B"/>
    <w:rsid w:val="00F938F4"/>
    <w:rsid w:val="00F93982"/>
    <w:rsid w:val="00F93C45"/>
    <w:rsid w:val="00F93CCD"/>
    <w:rsid w:val="00F93D11"/>
    <w:rsid w:val="00F93D41"/>
    <w:rsid w:val="00F93D9E"/>
    <w:rsid w:val="00F93E19"/>
    <w:rsid w:val="00F93F0D"/>
    <w:rsid w:val="00F93F31"/>
    <w:rsid w:val="00F9440E"/>
    <w:rsid w:val="00F9449E"/>
    <w:rsid w:val="00F944BF"/>
    <w:rsid w:val="00F94529"/>
    <w:rsid w:val="00F945A2"/>
    <w:rsid w:val="00F94748"/>
    <w:rsid w:val="00F948B1"/>
    <w:rsid w:val="00F948C4"/>
    <w:rsid w:val="00F9499B"/>
    <w:rsid w:val="00F94B1C"/>
    <w:rsid w:val="00F94B9B"/>
    <w:rsid w:val="00F94BB8"/>
    <w:rsid w:val="00F94BC8"/>
    <w:rsid w:val="00F94CB1"/>
    <w:rsid w:val="00F94CDE"/>
    <w:rsid w:val="00F94F96"/>
    <w:rsid w:val="00F95007"/>
    <w:rsid w:val="00F950A4"/>
    <w:rsid w:val="00F95266"/>
    <w:rsid w:val="00F952BE"/>
    <w:rsid w:val="00F95403"/>
    <w:rsid w:val="00F954A4"/>
    <w:rsid w:val="00F9559F"/>
    <w:rsid w:val="00F9563F"/>
    <w:rsid w:val="00F95838"/>
    <w:rsid w:val="00F958D4"/>
    <w:rsid w:val="00F959FC"/>
    <w:rsid w:val="00F95DD8"/>
    <w:rsid w:val="00F95E8F"/>
    <w:rsid w:val="00F95F59"/>
    <w:rsid w:val="00F964B9"/>
    <w:rsid w:val="00F965FF"/>
    <w:rsid w:val="00F96686"/>
    <w:rsid w:val="00F96691"/>
    <w:rsid w:val="00F96769"/>
    <w:rsid w:val="00F9694E"/>
    <w:rsid w:val="00F96991"/>
    <w:rsid w:val="00F96BE7"/>
    <w:rsid w:val="00F96D9A"/>
    <w:rsid w:val="00F96DAC"/>
    <w:rsid w:val="00F96E49"/>
    <w:rsid w:val="00F96E7D"/>
    <w:rsid w:val="00F96EF3"/>
    <w:rsid w:val="00F96F45"/>
    <w:rsid w:val="00F96F52"/>
    <w:rsid w:val="00F971DA"/>
    <w:rsid w:val="00F97207"/>
    <w:rsid w:val="00F97222"/>
    <w:rsid w:val="00F9724E"/>
    <w:rsid w:val="00F97258"/>
    <w:rsid w:val="00F97370"/>
    <w:rsid w:val="00F9737F"/>
    <w:rsid w:val="00F974D5"/>
    <w:rsid w:val="00F9758B"/>
    <w:rsid w:val="00F97749"/>
    <w:rsid w:val="00F977B8"/>
    <w:rsid w:val="00F97817"/>
    <w:rsid w:val="00F97844"/>
    <w:rsid w:val="00F97983"/>
    <w:rsid w:val="00F97BF2"/>
    <w:rsid w:val="00F97CA5"/>
    <w:rsid w:val="00F97D5A"/>
    <w:rsid w:val="00F97DA9"/>
    <w:rsid w:val="00F97DE5"/>
    <w:rsid w:val="00FA0046"/>
    <w:rsid w:val="00FA01D4"/>
    <w:rsid w:val="00FA022B"/>
    <w:rsid w:val="00FA03D7"/>
    <w:rsid w:val="00FA04B3"/>
    <w:rsid w:val="00FA05CA"/>
    <w:rsid w:val="00FA05DA"/>
    <w:rsid w:val="00FA0663"/>
    <w:rsid w:val="00FA066C"/>
    <w:rsid w:val="00FA070F"/>
    <w:rsid w:val="00FA0807"/>
    <w:rsid w:val="00FA09AF"/>
    <w:rsid w:val="00FA0A6C"/>
    <w:rsid w:val="00FA0A87"/>
    <w:rsid w:val="00FA0A9D"/>
    <w:rsid w:val="00FA0B08"/>
    <w:rsid w:val="00FA0DBD"/>
    <w:rsid w:val="00FA0E77"/>
    <w:rsid w:val="00FA0F05"/>
    <w:rsid w:val="00FA0F6F"/>
    <w:rsid w:val="00FA10C1"/>
    <w:rsid w:val="00FA113B"/>
    <w:rsid w:val="00FA11B0"/>
    <w:rsid w:val="00FA130D"/>
    <w:rsid w:val="00FA136A"/>
    <w:rsid w:val="00FA1470"/>
    <w:rsid w:val="00FA154B"/>
    <w:rsid w:val="00FA15FA"/>
    <w:rsid w:val="00FA1713"/>
    <w:rsid w:val="00FA17C9"/>
    <w:rsid w:val="00FA1871"/>
    <w:rsid w:val="00FA189C"/>
    <w:rsid w:val="00FA189D"/>
    <w:rsid w:val="00FA1909"/>
    <w:rsid w:val="00FA19E0"/>
    <w:rsid w:val="00FA1C7D"/>
    <w:rsid w:val="00FA1D51"/>
    <w:rsid w:val="00FA1F12"/>
    <w:rsid w:val="00FA204C"/>
    <w:rsid w:val="00FA2213"/>
    <w:rsid w:val="00FA2228"/>
    <w:rsid w:val="00FA22AB"/>
    <w:rsid w:val="00FA22C6"/>
    <w:rsid w:val="00FA23E7"/>
    <w:rsid w:val="00FA2886"/>
    <w:rsid w:val="00FA2AF5"/>
    <w:rsid w:val="00FA2AF9"/>
    <w:rsid w:val="00FA2B2D"/>
    <w:rsid w:val="00FA2B51"/>
    <w:rsid w:val="00FA2BD5"/>
    <w:rsid w:val="00FA2DFE"/>
    <w:rsid w:val="00FA2ED3"/>
    <w:rsid w:val="00FA2EDB"/>
    <w:rsid w:val="00FA319D"/>
    <w:rsid w:val="00FA32E2"/>
    <w:rsid w:val="00FA3323"/>
    <w:rsid w:val="00FA33AD"/>
    <w:rsid w:val="00FA342C"/>
    <w:rsid w:val="00FA3489"/>
    <w:rsid w:val="00FA3491"/>
    <w:rsid w:val="00FA3564"/>
    <w:rsid w:val="00FA35D5"/>
    <w:rsid w:val="00FA3602"/>
    <w:rsid w:val="00FA3685"/>
    <w:rsid w:val="00FA3707"/>
    <w:rsid w:val="00FA37E2"/>
    <w:rsid w:val="00FA3B09"/>
    <w:rsid w:val="00FA3C7A"/>
    <w:rsid w:val="00FA3C9C"/>
    <w:rsid w:val="00FA3D63"/>
    <w:rsid w:val="00FA3DEA"/>
    <w:rsid w:val="00FA3EDA"/>
    <w:rsid w:val="00FA3EFF"/>
    <w:rsid w:val="00FA3FD5"/>
    <w:rsid w:val="00FA4019"/>
    <w:rsid w:val="00FA406F"/>
    <w:rsid w:val="00FA4074"/>
    <w:rsid w:val="00FA417A"/>
    <w:rsid w:val="00FA447A"/>
    <w:rsid w:val="00FA4582"/>
    <w:rsid w:val="00FA45B7"/>
    <w:rsid w:val="00FA478D"/>
    <w:rsid w:val="00FA490F"/>
    <w:rsid w:val="00FA4932"/>
    <w:rsid w:val="00FA49AC"/>
    <w:rsid w:val="00FA4A35"/>
    <w:rsid w:val="00FA4B80"/>
    <w:rsid w:val="00FA4BB2"/>
    <w:rsid w:val="00FA4D18"/>
    <w:rsid w:val="00FA4E3D"/>
    <w:rsid w:val="00FA4E5A"/>
    <w:rsid w:val="00FA4F3B"/>
    <w:rsid w:val="00FA4FD8"/>
    <w:rsid w:val="00FA5046"/>
    <w:rsid w:val="00FA515D"/>
    <w:rsid w:val="00FA5281"/>
    <w:rsid w:val="00FA52A9"/>
    <w:rsid w:val="00FA53A3"/>
    <w:rsid w:val="00FA54EA"/>
    <w:rsid w:val="00FA55A7"/>
    <w:rsid w:val="00FA563D"/>
    <w:rsid w:val="00FA56D5"/>
    <w:rsid w:val="00FA5702"/>
    <w:rsid w:val="00FA590B"/>
    <w:rsid w:val="00FA5A2E"/>
    <w:rsid w:val="00FA5BCB"/>
    <w:rsid w:val="00FA5BF7"/>
    <w:rsid w:val="00FA5C95"/>
    <w:rsid w:val="00FA5D23"/>
    <w:rsid w:val="00FA5D74"/>
    <w:rsid w:val="00FA5E1D"/>
    <w:rsid w:val="00FA5EC0"/>
    <w:rsid w:val="00FA5F08"/>
    <w:rsid w:val="00FA5F6E"/>
    <w:rsid w:val="00FA6134"/>
    <w:rsid w:val="00FA622F"/>
    <w:rsid w:val="00FA62A0"/>
    <w:rsid w:val="00FA6353"/>
    <w:rsid w:val="00FA6446"/>
    <w:rsid w:val="00FA6451"/>
    <w:rsid w:val="00FA64F6"/>
    <w:rsid w:val="00FA6578"/>
    <w:rsid w:val="00FA6607"/>
    <w:rsid w:val="00FA6806"/>
    <w:rsid w:val="00FA68FD"/>
    <w:rsid w:val="00FA69DC"/>
    <w:rsid w:val="00FA6A3C"/>
    <w:rsid w:val="00FA6A86"/>
    <w:rsid w:val="00FA6B65"/>
    <w:rsid w:val="00FA6C0D"/>
    <w:rsid w:val="00FA6CC0"/>
    <w:rsid w:val="00FA6CFF"/>
    <w:rsid w:val="00FA6D80"/>
    <w:rsid w:val="00FA6E5D"/>
    <w:rsid w:val="00FA6FF9"/>
    <w:rsid w:val="00FA72B3"/>
    <w:rsid w:val="00FA7351"/>
    <w:rsid w:val="00FA7369"/>
    <w:rsid w:val="00FA73B1"/>
    <w:rsid w:val="00FA753B"/>
    <w:rsid w:val="00FA758D"/>
    <w:rsid w:val="00FA75FA"/>
    <w:rsid w:val="00FA764B"/>
    <w:rsid w:val="00FA771D"/>
    <w:rsid w:val="00FA779E"/>
    <w:rsid w:val="00FA77BB"/>
    <w:rsid w:val="00FA77E8"/>
    <w:rsid w:val="00FA7B6C"/>
    <w:rsid w:val="00FA7BB8"/>
    <w:rsid w:val="00FA7C12"/>
    <w:rsid w:val="00FA7C35"/>
    <w:rsid w:val="00FA7F35"/>
    <w:rsid w:val="00FA7FA2"/>
    <w:rsid w:val="00FB017A"/>
    <w:rsid w:val="00FB018A"/>
    <w:rsid w:val="00FB0295"/>
    <w:rsid w:val="00FB0311"/>
    <w:rsid w:val="00FB03AE"/>
    <w:rsid w:val="00FB075B"/>
    <w:rsid w:val="00FB0841"/>
    <w:rsid w:val="00FB089E"/>
    <w:rsid w:val="00FB0B2A"/>
    <w:rsid w:val="00FB0B4F"/>
    <w:rsid w:val="00FB0B87"/>
    <w:rsid w:val="00FB0CF2"/>
    <w:rsid w:val="00FB0DA4"/>
    <w:rsid w:val="00FB0EFD"/>
    <w:rsid w:val="00FB0F08"/>
    <w:rsid w:val="00FB0F8D"/>
    <w:rsid w:val="00FB104C"/>
    <w:rsid w:val="00FB1095"/>
    <w:rsid w:val="00FB10BA"/>
    <w:rsid w:val="00FB1695"/>
    <w:rsid w:val="00FB16E3"/>
    <w:rsid w:val="00FB178B"/>
    <w:rsid w:val="00FB17E2"/>
    <w:rsid w:val="00FB1870"/>
    <w:rsid w:val="00FB188C"/>
    <w:rsid w:val="00FB1A66"/>
    <w:rsid w:val="00FB1A7B"/>
    <w:rsid w:val="00FB1B15"/>
    <w:rsid w:val="00FB1C0A"/>
    <w:rsid w:val="00FB1CEA"/>
    <w:rsid w:val="00FB1E9A"/>
    <w:rsid w:val="00FB2036"/>
    <w:rsid w:val="00FB2099"/>
    <w:rsid w:val="00FB2278"/>
    <w:rsid w:val="00FB271F"/>
    <w:rsid w:val="00FB27D3"/>
    <w:rsid w:val="00FB285B"/>
    <w:rsid w:val="00FB28AC"/>
    <w:rsid w:val="00FB2914"/>
    <w:rsid w:val="00FB293D"/>
    <w:rsid w:val="00FB2953"/>
    <w:rsid w:val="00FB2A07"/>
    <w:rsid w:val="00FB2AC7"/>
    <w:rsid w:val="00FB2B07"/>
    <w:rsid w:val="00FB2C3D"/>
    <w:rsid w:val="00FB2C56"/>
    <w:rsid w:val="00FB2CDD"/>
    <w:rsid w:val="00FB2D36"/>
    <w:rsid w:val="00FB2EF1"/>
    <w:rsid w:val="00FB2FF9"/>
    <w:rsid w:val="00FB30D5"/>
    <w:rsid w:val="00FB3133"/>
    <w:rsid w:val="00FB3369"/>
    <w:rsid w:val="00FB33CA"/>
    <w:rsid w:val="00FB3413"/>
    <w:rsid w:val="00FB34C8"/>
    <w:rsid w:val="00FB3537"/>
    <w:rsid w:val="00FB3567"/>
    <w:rsid w:val="00FB36E7"/>
    <w:rsid w:val="00FB370C"/>
    <w:rsid w:val="00FB3719"/>
    <w:rsid w:val="00FB3865"/>
    <w:rsid w:val="00FB38E8"/>
    <w:rsid w:val="00FB39CD"/>
    <w:rsid w:val="00FB3F22"/>
    <w:rsid w:val="00FB3F2D"/>
    <w:rsid w:val="00FB3FD4"/>
    <w:rsid w:val="00FB3FF6"/>
    <w:rsid w:val="00FB40EC"/>
    <w:rsid w:val="00FB40EE"/>
    <w:rsid w:val="00FB414C"/>
    <w:rsid w:val="00FB4326"/>
    <w:rsid w:val="00FB440F"/>
    <w:rsid w:val="00FB4441"/>
    <w:rsid w:val="00FB466A"/>
    <w:rsid w:val="00FB4696"/>
    <w:rsid w:val="00FB46B7"/>
    <w:rsid w:val="00FB46D3"/>
    <w:rsid w:val="00FB4787"/>
    <w:rsid w:val="00FB47EB"/>
    <w:rsid w:val="00FB4872"/>
    <w:rsid w:val="00FB48FF"/>
    <w:rsid w:val="00FB4903"/>
    <w:rsid w:val="00FB49DE"/>
    <w:rsid w:val="00FB4A18"/>
    <w:rsid w:val="00FB4A94"/>
    <w:rsid w:val="00FB4B7B"/>
    <w:rsid w:val="00FB4BA1"/>
    <w:rsid w:val="00FB4BB0"/>
    <w:rsid w:val="00FB4BC1"/>
    <w:rsid w:val="00FB4DBE"/>
    <w:rsid w:val="00FB4DF3"/>
    <w:rsid w:val="00FB4E08"/>
    <w:rsid w:val="00FB4E63"/>
    <w:rsid w:val="00FB4E92"/>
    <w:rsid w:val="00FB4FB0"/>
    <w:rsid w:val="00FB5020"/>
    <w:rsid w:val="00FB505A"/>
    <w:rsid w:val="00FB505F"/>
    <w:rsid w:val="00FB5074"/>
    <w:rsid w:val="00FB5089"/>
    <w:rsid w:val="00FB5163"/>
    <w:rsid w:val="00FB51BB"/>
    <w:rsid w:val="00FB528F"/>
    <w:rsid w:val="00FB5391"/>
    <w:rsid w:val="00FB53F7"/>
    <w:rsid w:val="00FB561A"/>
    <w:rsid w:val="00FB5682"/>
    <w:rsid w:val="00FB591C"/>
    <w:rsid w:val="00FB5922"/>
    <w:rsid w:val="00FB5B8E"/>
    <w:rsid w:val="00FB5BE5"/>
    <w:rsid w:val="00FB5D7D"/>
    <w:rsid w:val="00FB6182"/>
    <w:rsid w:val="00FB6295"/>
    <w:rsid w:val="00FB63F2"/>
    <w:rsid w:val="00FB66C4"/>
    <w:rsid w:val="00FB671E"/>
    <w:rsid w:val="00FB6878"/>
    <w:rsid w:val="00FB6B89"/>
    <w:rsid w:val="00FB6B8D"/>
    <w:rsid w:val="00FB6D32"/>
    <w:rsid w:val="00FB6D5B"/>
    <w:rsid w:val="00FB6E01"/>
    <w:rsid w:val="00FB71AC"/>
    <w:rsid w:val="00FB71ED"/>
    <w:rsid w:val="00FB7262"/>
    <w:rsid w:val="00FB7280"/>
    <w:rsid w:val="00FB7457"/>
    <w:rsid w:val="00FB775F"/>
    <w:rsid w:val="00FB78A7"/>
    <w:rsid w:val="00FB7930"/>
    <w:rsid w:val="00FB7961"/>
    <w:rsid w:val="00FB79D3"/>
    <w:rsid w:val="00FB7A16"/>
    <w:rsid w:val="00FB7C29"/>
    <w:rsid w:val="00FB7C94"/>
    <w:rsid w:val="00FB7EC2"/>
    <w:rsid w:val="00FB7F7A"/>
    <w:rsid w:val="00FB7F7C"/>
    <w:rsid w:val="00FC01F9"/>
    <w:rsid w:val="00FC02BC"/>
    <w:rsid w:val="00FC038B"/>
    <w:rsid w:val="00FC03A3"/>
    <w:rsid w:val="00FC04ED"/>
    <w:rsid w:val="00FC05C4"/>
    <w:rsid w:val="00FC069E"/>
    <w:rsid w:val="00FC07CF"/>
    <w:rsid w:val="00FC083D"/>
    <w:rsid w:val="00FC0965"/>
    <w:rsid w:val="00FC09DA"/>
    <w:rsid w:val="00FC0A57"/>
    <w:rsid w:val="00FC0AD6"/>
    <w:rsid w:val="00FC0CC3"/>
    <w:rsid w:val="00FC0D23"/>
    <w:rsid w:val="00FC0D4C"/>
    <w:rsid w:val="00FC0E60"/>
    <w:rsid w:val="00FC0F23"/>
    <w:rsid w:val="00FC1131"/>
    <w:rsid w:val="00FC120E"/>
    <w:rsid w:val="00FC1211"/>
    <w:rsid w:val="00FC12A9"/>
    <w:rsid w:val="00FC148C"/>
    <w:rsid w:val="00FC14A6"/>
    <w:rsid w:val="00FC1503"/>
    <w:rsid w:val="00FC15D3"/>
    <w:rsid w:val="00FC1640"/>
    <w:rsid w:val="00FC1777"/>
    <w:rsid w:val="00FC18C5"/>
    <w:rsid w:val="00FC1ACD"/>
    <w:rsid w:val="00FC1AE9"/>
    <w:rsid w:val="00FC1B25"/>
    <w:rsid w:val="00FC1C02"/>
    <w:rsid w:val="00FC1F4A"/>
    <w:rsid w:val="00FC20CE"/>
    <w:rsid w:val="00FC215C"/>
    <w:rsid w:val="00FC21D5"/>
    <w:rsid w:val="00FC22DF"/>
    <w:rsid w:val="00FC23D7"/>
    <w:rsid w:val="00FC2433"/>
    <w:rsid w:val="00FC248C"/>
    <w:rsid w:val="00FC2586"/>
    <w:rsid w:val="00FC2825"/>
    <w:rsid w:val="00FC2868"/>
    <w:rsid w:val="00FC28AA"/>
    <w:rsid w:val="00FC29F2"/>
    <w:rsid w:val="00FC2A02"/>
    <w:rsid w:val="00FC2AAD"/>
    <w:rsid w:val="00FC2C06"/>
    <w:rsid w:val="00FC2C2D"/>
    <w:rsid w:val="00FC2C4A"/>
    <w:rsid w:val="00FC2C77"/>
    <w:rsid w:val="00FC2E37"/>
    <w:rsid w:val="00FC2F40"/>
    <w:rsid w:val="00FC2F7D"/>
    <w:rsid w:val="00FC2F87"/>
    <w:rsid w:val="00FC2F88"/>
    <w:rsid w:val="00FC31EC"/>
    <w:rsid w:val="00FC3205"/>
    <w:rsid w:val="00FC33BC"/>
    <w:rsid w:val="00FC3427"/>
    <w:rsid w:val="00FC3461"/>
    <w:rsid w:val="00FC34C2"/>
    <w:rsid w:val="00FC35E3"/>
    <w:rsid w:val="00FC3643"/>
    <w:rsid w:val="00FC3763"/>
    <w:rsid w:val="00FC376D"/>
    <w:rsid w:val="00FC39F2"/>
    <w:rsid w:val="00FC3B1B"/>
    <w:rsid w:val="00FC3B4B"/>
    <w:rsid w:val="00FC3B69"/>
    <w:rsid w:val="00FC3D8D"/>
    <w:rsid w:val="00FC3FAB"/>
    <w:rsid w:val="00FC4060"/>
    <w:rsid w:val="00FC407A"/>
    <w:rsid w:val="00FC417E"/>
    <w:rsid w:val="00FC4188"/>
    <w:rsid w:val="00FC43C4"/>
    <w:rsid w:val="00FC44CD"/>
    <w:rsid w:val="00FC463E"/>
    <w:rsid w:val="00FC487F"/>
    <w:rsid w:val="00FC497A"/>
    <w:rsid w:val="00FC498B"/>
    <w:rsid w:val="00FC4A66"/>
    <w:rsid w:val="00FC4B92"/>
    <w:rsid w:val="00FC4C84"/>
    <w:rsid w:val="00FC4C8C"/>
    <w:rsid w:val="00FC4DCF"/>
    <w:rsid w:val="00FC4E94"/>
    <w:rsid w:val="00FC4EEF"/>
    <w:rsid w:val="00FC4F2C"/>
    <w:rsid w:val="00FC500E"/>
    <w:rsid w:val="00FC52C3"/>
    <w:rsid w:val="00FC5306"/>
    <w:rsid w:val="00FC5545"/>
    <w:rsid w:val="00FC555F"/>
    <w:rsid w:val="00FC5563"/>
    <w:rsid w:val="00FC557B"/>
    <w:rsid w:val="00FC5688"/>
    <w:rsid w:val="00FC56BA"/>
    <w:rsid w:val="00FC56C7"/>
    <w:rsid w:val="00FC56EB"/>
    <w:rsid w:val="00FC5800"/>
    <w:rsid w:val="00FC5983"/>
    <w:rsid w:val="00FC599B"/>
    <w:rsid w:val="00FC599C"/>
    <w:rsid w:val="00FC5AF5"/>
    <w:rsid w:val="00FC5B28"/>
    <w:rsid w:val="00FC5B98"/>
    <w:rsid w:val="00FC5BE7"/>
    <w:rsid w:val="00FC5C11"/>
    <w:rsid w:val="00FC5D57"/>
    <w:rsid w:val="00FC5EB4"/>
    <w:rsid w:val="00FC6079"/>
    <w:rsid w:val="00FC60BD"/>
    <w:rsid w:val="00FC615C"/>
    <w:rsid w:val="00FC6185"/>
    <w:rsid w:val="00FC6194"/>
    <w:rsid w:val="00FC6393"/>
    <w:rsid w:val="00FC63F7"/>
    <w:rsid w:val="00FC6413"/>
    <w:rsid w:val="00FC645B"/>
    <w:rsid w:val="00FC6525"/>
    <w:rsid w:val="00FC653C"/>
    <w:rsid w:val="00FC66B6"/>
    <w:rsid w:val="00FC673B"/>
    <w:rsid w:val="00FC673D"/>
    <w:rsid w:val="00FC6753"/>
    <w:rsid w:val="00FC67C5"/>
    <w:rsid w:val="00FC681E"/>
    <w:rsid w:val="00FC6AEB"/>
    <w:rsid w:val="00FC6B64"/>
    <w:rsid w:val="00FC6D2E"/>
    <w:rsid w:val="00FC6D42"/>
    <w:rsid w:val="00FC6DD3"/>
    <w:rsid w:val="00FC6DE2"/>
    <w:rsid w:val="00FC6E64"/>
    <w:rsid w:val="00FC6EE3"/>
    <w:rsid w:val="00FC6F27"/>
    <w:rsid w:val="00FC715F"/>
    <w:rsid w:val="00FC7335"/>
    <w:rsid w:val="00FC7546"/>
    <w:rsid w:val="00FC7867"/>
    <w:rsid w:val="00FC7A60"/>
    <w:rsid w:val="00FC7A6D"/>
    <w:rsid w:val="00FC7A99"/>
    <w:rsid w:val="00FC7FB3"/>
    <w:rsid w:val="00FD00F4"/>
    <w:rsid w:val="00FD011B"/>
    <w:rsid w:val="00FD01E2"/>
    <w:rsid w:val="00FD024C"/>
    <w:rsid w:val="00FD03E7"/>
    <w:rsid w:val="00FD0443"/>
    <w:rsid w:val="00FD05C1"/>
    <w:rsid w:val="00FD0606"/>
    <w:rsid w:val="00FD07CC"/>
    <w:rsid w:val="00FD08EC"/>
    <w:rsid w:val="00FD09CF"/>
    <w:rsid w:val="00FD0B99"/>
    <w:rsid w:val="00FD0CF1"/>
    <w:rsid w:val="00FD1043"/>
    <w:rsid w:val="00FD10B0"/>
    <w:rsid w:val="00FD1311"/>
    <w:rsid w:val="00FD13BA"/>
    <w:rsid w:val="00FD1496"/>
    <w:rsid w:val="00FD15D8"/>
    <w:rsid w:val="00FD178D"/>
    <w:rsid w:val="00FD17CB"/>
    <w:rsid w:val="00FD186A"/>
    <w:rsid w:val="00FD19CE"/>
    <w:rsid w:val="00FD1A12"/>
    <w:rsid w:val="00FD1F96"/>
    <w:rsid w:val="00FD1FB6"/>
    <w:rsid w:val="00FD2090"/>
    <w:rsid w:val="00FD21EE"/>
    <w:rsid w:val="00FD221E"/>
    <w:rsid w:val="00FD22E0"/>
    <w:rsid w:val="00FD2390"/>
    <w:rsid w:val="00FD24AB"/>
    <w:rsid w:val="00FD24CD"/>
    <w:rsid w:val="00FD255B"/>
    <w:rsid w:val="00FD257C"/>
    <w:rsid w:val="00FD25A1"/>
    <w:rsid w:val="00FD2842"/>
    <w:rsid w:val="00FD2925"/>
    <w:rsid w:val="00FD2963"/>
    <w:rsid w:val="00FD29CB"/>
    <w:rsid w:val="00FD2A0D"/>
    <w:rsid w:val="00FD2A86"/>
    <w:rsid w:val="00FD2A97"/>
    <w:rsid w:val="00FD2AE4"/>
    <w:rsid w:val="00FD2B7F"/>
    <w:rsid w:val="00FD2BFD"/>
    <w:rsid w:val="00FD2C14"/>
    <w:rsid w:val="00FD2F22"/>
    <w:rsid w:val="00FD3030"/>
    <w:rsid w:val="00FD3041"/>
    <w:rsid w:val="00FD306B"/>
    <w:rsid w:val="00FD321E"/>
    <w:rsid w:val="00FD336D"/>
    <w:rsid w:val="00FD336F"/>
    <w:rsid w:val="00FD33AE"/>
    <w:rsid w:val="00FD3569"/>
    <w:rsid w:val="00FD37A9"/>
    <w:rsid w:val="00FD37CD"/>
    <w:rsid w:val="00FD3B61"/>
    <w:rsid w:val="00FD3BB8"/>
    <w:rsid w:val="00FD3FAD"/>
    <w:rsid w:val="00FD4053"/>
    <w:rsid w:val="00FD40B9"/>
    <w:rsid w:val="00FD42E8"/>
    <w:rsid w:val="00FD4345"/>
    <w:rsid w:val="00FD4388"/>
    <w:rsid w:val="00FD4409"/>
    <w:rsid w:val="00FD4494"/>
    <w:rsid w:val="00FD45CA"/>
    <w:rsid w:val="00FD4612"/>
    <w:rsid w:val="00FD46B8"/>
    <w:rsid w:val="00FD480B"/>
    <w:rsid w:val="00FD48D9"/>
    <w:rsid w:val="00FD4A2D"/>
    <w:rsid w:val="00FD4A35"/>
    <w:rsid w:val="00FD4B14"/>
    <w:rsid w:val="00FD4B29"/>
    <w:rsid w:val="00FD4C0D"/>
    <w:rsid w:val="00FD4CC6"/>
    <w:rsid w:val="00FD4DE1"/>
    <w:rsid w:val="00FD4EB4"/>
    <w:rsid w:val="00FD4F60"/>
    <w:rsid w:val="00FD4FBD"/>
    <w:rsid w:val="00FD4FD6"/>
    <w:rsid w:val="00FD5097"/>
    <w:rsid w:val="00FD50A7"/>
    <w:rsid w:val="00FD512D"/>
    <w:rsid w:val="00FD5139"/>
    <w:rsid w:val="00FD514B"/>
    <w:rsid w:val="00FD5299"/>
    <w:rsid w:val="00FD52C1"/>
    <w:rsid w:val="00FD5554"/>
    <w:rsid w:val="00FD5644"/>
    <w:rsid w:val="00FD567E"/>
    <w:rsid w:val="00FD5A3C"/>
    <w:rsid w:val="00FD5A91"/>
    <w:rsid w:val="00FD5BB4"/>
    <w:rsid w:val="00FD5C57"/>
    <w:rsid w:val="00FD5CF9"/>
    <w:rsid w:val="00FD5DA2"/>
    <w:rsid w:val="00FD5EFE"/>
    <w:rsid w:val="00FD6399"/>
    <w:rsid w:val="00FD63B0"/>
    <w:rsid w:val="00FD6518"/>
    <w:rsid w:val="00FD654B"/>
    <w:rsid w:val="00FD66F3"/>
    <w:rsid w:val="00FD69AA"/>
    <w:rsid w:val="00FD6B9E"/>
    <w:rsid w:val="00FD6BB1"/>
    <w:rsid w:val="00FD6D42"/>
    <w:rsid w:val="00FD6D8C"/>
    <w:rsid w:val="00FD6DD0"/>
    <w:rsid w:val="00FD6FB8"/>
    <w:rsid w:val="00FD7005"/>
    <w:rsid w:val="00FD70C5"/>
    <w:rsid w:val="00FD716E"/>
    <w:rsid w:val="00FD717E"/>
    <w:rsid w:val="00FD71B1"/>
    <w:rsid w:val="00FD71ED"/>
    <w:rsid w:val="00FD72CF"/>
    <w:rsid w:val="00FD7309"/>
    <w:rsid w:val="00FD740E"/>
    <w:rsid w:val="00FD748F"/>
    <w:rsid w:val="00FD75F1"/>
    <w:rsid w:val="00FD767B"/>
    <w:rsid w:val="00FD7977"/>
    <w:rsid w:val="00FD797D"/>
    <w:rsid w:val="00FD7AD2"/>
    <w:rsid w:val="00FD7D72"/>
    <w:rsid w:val="00FD7DBA"/>
    <w:rsid w:val="00FD7F21"/>
    <w:rsid w:val="00FD7FFD"/>
    <w:rsid w:val="00FE000C"/>
    <w:rsid w:val="00FE004C"/>
    <w:rsid w:val="00FE00DA"/>
    <w:rsid w:val="00FE0106"/>
    <w:rsid w:val="00FE0212"/>
    <w:rsid w:val="00FE02B8"/>
    <w:rsid w:val="00FE02DA"/>
    <w:rsid w:val="00FE035D"/>
    <w:rsid w:val="00FE03A0"/>
    <w:rsid w:val="00FE0427"/>
    <w:rsid w:val="00FE04BF"/>
    <w:rsid w:val="00FE050F"/>
    <w:rsid w:val="00FE052D"/>
    <w:rsid w:val="00FE0601"/>
    <w:rsid w:val="00FE0608"/>
    <w:rsid w:val="00FE0641"/>
    <w:rsid w:val="00FE0710"/>
    <w:rsid w:val="00FE07C5"/>
    <w:rsid w:val="00FE08FF"/>
    <w:rsid w:val="00FE0D06"/>
    <w:rsid w:val="00FE0E02"/>
    <w:rsid w:val="00FE0E79"/>
    <w:rsid w:val="00FE0EF1"/>
    <w:rsid w:val="00FE0FA8"/>
    <w:rsid w:val="00FE100E"/>
    <w:rsid w:val="00FE11B7"/>
    <w:rsid w:val="00FE1269"/>
    <w:rsid w:val="00FE12A1"/>
    <w:rsid w:val="00FE13F5"/>
    <w:rsid w:val="00FE1404"/>
    <w:rsid w:val="00FE1611"/>
    <w:rsid w:val="00FE1630"/>
    <w:rsid w:val="00FE1675"/>
    <w:rsid w:val="00FE17CF"/>
    <w:rsid w:val="00FE1804"/>
    <w:rsid w:val="00FE1845"/>
    <w:rsid w:val="00FE188C"/>
    <w:rsid w:val="00FE18B5"/>
    <w:rsid w:val="00FE1A0A"/>
    <w:rsid w:val="00FE1A47"/>
    <w:rsid w:val="00FE1A8A"/>
    <w:rsid w:val="00FE1AA5"/>
    <w:rsid w:val="00FE1CCB"/>
    <w:rsid w:val="00FE1D77"/>
    <w:rsid w:val="00FE1F37"/>
    <w:rsid w:val="00FE1F66"/>
    <w:rsid w:val="00FE1FC8"/>
    <w:rsid w:val="00FE1FD1"/>
    <w:rsid w:val="00FE20E8"/>
    <w:rsid w:val="00FE21BC"/>
    <w:rsid w:val="00FE22CD"/>
    <w:rsid w:val="00FE22CF"/>
    <w:rsid w:val="00FE22DB"/>
    <w:rsid w:val="00FE22E4"/>
    <w:rsid w:val="00FE22FC"/>
    <w:rsid w:val="00FE2367"/>
    <w:rsid w:val="00FE2424"/>
    <w:rsid w:val="00FE243B"/>
    <w:rsid w:val="00FE2572"/>
    <w:rsid w:val="00FE2669"/>
    <w:rsid w:val="00FE26A1"/>
    <w:rsid w:val="00FE285F"/>
    <w:rsid w:val="00FE293F"/>
    <w:rsid w:val="00FE295F"/>
    <w:rsid w:val="00FE29A5"/>
    <w:rsid w:val="00FE2B6C"/>
    <w:rsid w:val="00FE2CA2"/>
    <w:rsid w:val="00FE2CAA"/>
    <w:rsid w:val="00FE2D88"/>
    <w:rsid w:val="00FE2DEE"/>
    <w:rsid w:val="00FE2EAB"/>
    <w:rsid w:val="00FE2F13"/>
    <w:rsid w:val="00FE2FA3"/>
    <w:rsid w:val="00FE3086"/>
    <w:rsid w:val="00FE31AE"/>
    <w:rsid w:val="00FE320E"/>
    <w:rsid w:val="00FE3422"/>
    <w:rsid w:val="00FE3537"/>
    <w:rsid w:val="00FE357D"/>
    <w:rsid w:val="00FE3603"/>
    <w:rsid w:val="00FE388A"/>
    <w:rsid w:val="00FE3981"/>
    <w:rsid w:val="00FE39DC"/>
    <w:rsid w:val="00FE3A15"/>
    <w:rsid w:val="00FE3A21"/>
    <w:rsid w:val="00FE3AD8"/>
    <w:rsid w:val="00FE3AEF"/>
    <w:rsid w:val="00FE3B4C"/>
    <w:rsid w:val="00FE3D92"/>
    <w:rsid w:val="00FE3E4B"/>
    <w:rsid w:val="00FE3EB8"/>
    <w:rsid w:val="00FE3FE2"/>
    <w:rsid w:val="00FE413D"/>
    <w:rsid w:val="00FE41D4"/>
    <w:rsid w:val="00FE4263"/>
    <w:rsid w:val="00FE44D0"/>
    <w:rsid w:val="00FE4509"/>
    <w:rsid w:val="00FE45C7"/>
    <w:rsid w:val="00FE46AB"/>
    <w:rsid w:val="00FE4740"/>
    <w:rsid w:val="00FE47AA"/>
    <w:rsid w:val="00FE4856"/>
    <w:rsid w:val="00FE48AF"/>
    <w:rsid w:val="00FE492C"/>
    <w:rsid w:val="00FE494B"/>
    <w:rsid w:val="00FE4A64"/>
    <w:rsid w:val="00FE4BF6"/>
    <w:rsid w:val="00FE4C5A"/>
    <w:rsid w:val="00FE4CF0"/>
    <w:rsid w:val="00FE4D73"/>
    <w:rsid w:val="00FE4FAF"/>
    <w:rsid w:val="00FE504D"/>
    <w:rsid w:val="00FE507B"/>
    <w:rsid w:val="00FE5180"/>
    <w:rsid w:val="00FE51BC"/>
    <w:rsid w:val="00FE5261"/>
    <w:rsid w:val="00FE535E"/>
    <w:rsid w:val="00FE54EB"/>
    <w:rsid w:val="00FE55BD"/>
    <w:rsid w:val="00FE55C4"/>
    <w:rsid w:val="00FE5791"/>
    <w:rsid w:val="00FE581E"/>
    <w:rsid w:val="00FE58A6"/>
    <w:rsid w:val="00FE5938"/>
    <w:rsid w:val="00FE59AC"/>
    <w:rsid w:val="00FE5A85"/>
    <w:rsid w:val="00FE5B05"/>
    <w:rsid w:val="00FE5C98"/>
    <w:rsid w:val="00FE5CF7"/>
    <w:rsid w:val="00FE5D05"/>
    <w:rsid w:val="00FE5DB6"/>
    <w:rsid w:val="00FE5F58"/>
    <w:rsid w:val="00FE5F9A"/>
    <w:rsid w:val="00FE6096"/>
    <w:rsid w:val="00FE640A"/>
    <w:rsid w:val="00FE65FD"/>
    <w:rsid w:val="00FE662A"/>
    <w:rsid w:val="00FE66B4"/>
    <w:rsid w:val="00FE6725"/>
    <w:rsid w:val="00FE6765"/>
    <w:rsid w:val="00FE67E5"/>
    <w:rsid w:val="00FE6845"/>
    <w:rsid w:val="00FE68F0"/>
    <w:rsid w:val="00FE693C"/>
    <w:rsid w:val="00FE6981"/>
    <w:rsid w:val="00FE69CA"/>
    <w:rsid w:val="00FE6A6A"/>
    <w:rsid w:val="00FE6AF3"/>
    <w:rsid w:val="00FE6BB7"/>
    <w:rsid w:val="00FE6C48"/>
    <w:rsid w:val="00FE6D1D"/>
    <w:rsid w:val="00FE7003"/>
    <w:rsid w:val="00FE716F"/>
    <w:rsid w:val="00FE724D"/>
    <w:rsid w:val="00FE727D"/>
    <w:rsid w:val="00FE733A"/>
    <w:rsid w:val="00FE738C"/>
    <w:rsid w:val="00FE7555"/>
    <w:rsid w:val="00FE76DC"/>
    <w:rsid w:val="00FE774B"/>
    <w:rsid w:val="00FE7837"/>
    <w:rsid w:val="00FE7A70"/>
    <w:rsid w:val="00FE7A7B"/>
    <w:rsid w:val="00FE7BFD"/>
    <w:rsid w:val="00FE7C5E"/>
    <w:rsid w:val="00FE7CDC"/>
    <w:rsid w:val="00FE7D1C"/>
    <w:rsid w:val="00FE7D38"/>
    <w:rsid w:val="00FE7D53"/>
    <w:rsid w:val="00FE7E20"/>
    <w:rsid w:val="00FE7E47"/>
    <w:rsid w:val="00FE7F66"/>
    <w:rsid w:val="00FF0218"/>
    <w:rsid w:val="00FF0255"/>
    <w:rsid w:val="00FF02D8"/>
    <w:rsid w:val="00FF0377"/>
    <w:rsid w:val="00FF03A7"/>
    <w:rsid w:val="00FF05E3"/>
    <w:rsid w:val="00FF05EE"/>
    <w:rsid w:val="00FF061E"/>
    <w:rsid w:val="00FF0657"/>
    <w:rsid w:val="00FF065E"/>
    <w:rsid w:val="00FF0711"/>
    <w:rsid w:val="00FF0744"/>
    <w:rsid w:val="00FF07EA"/>
    <w:rsid w:val="00FF08E9"/>
    <w:rsid w:val="00FF090B"/>
    <w:rsid w:val="00FF0927"/>
    <w:rsid w:val="00FF0A32"/>
    <w:rsid w:val="00FF0A37"/>
    <w:rsid w:val="00FF0A62"/>
    <w:rsid w:val="00FF0ADA"/>
    <w:rsid w:val="00FF0B81"/>
    <w:rsid w:val="00FF0C72"/>
    <w:rsid w:val="00FF0CA4"/>
    <w:rsid w:val="00FF0CF3"/>
    <w:rsid w:val="00FF0DFA"/>
    <w:rsid w:val="00FF0F27"/>
    <w:rsid w:val="00FF0F8F"/>
    <w:rsid w:val="00FF0FB2"/>
    <w:rsid w:val="00FF1022"/>
    <w:rsid w:val="00FF102E"/>
    <w:rsid w:val="00FF1259"/>
    <w:rsid w:val="00FF12CF"/>
    <w:rsid w:val="00FF1319"/>
    <w:rsid w:val="00FF1331"/>
    <w:rsid w:val="00FF139B"/>
    <w:rsid w:val="00FF1406"/>
    <w:rsid w:val="00FF143A"/>
    <w:rsid w:val="00FF1602"/>
    <w:rsid w:val="00FF1695"/>
    <w:rsid w:val="00FF16F0"/>
    <w:rsid w:val="00FF1B65"/>
    <w:rsid w:val="00FF1BA8"/>
    <w:rsid w:val="00FF1F9A"/>
    <w:rsid w:val="00FF2069"/>
    <w:rsid w:val="00FF2199"/>
    <w:rsid w:val="00FF21A3"/>
    <w:rsid w:val="00FF21C3"/>
    <w:rsid w:val="00FF2266"/>
    <w:rsid w:val="00FF2303"/>
    <w:rsid w:val="00FF24CB"/>
    <w:rsid w:val="00FF24E8"/>
    <w:rsid w:val="00FF24EE"/>
    <w:rsid w:val="00FF2711"/>
    <w:rsid w:val="00FF28AC"/>
    <w:rsid w:val="00FF296D"/>
    <w:rsid w:val="00FF29C0"/>
    <w:rsid w:val="00FF2B56"/>
    <w:rsid w:val="00FF2BC4"/>
    <w:rsid w:val="00FF2C81"/>
    <w:rsid w:val="00FF2C91"/>
    <w:rsid w:val="00FF2CB6"/>
    <w:rsid w:val="00FF2D1E"/>
    <w:rsid w:val="00FF2D99"/>
    <w:rsid w:val="00FF2EC8"/>
    <w:rsid w:val="00FF2ED8"/>
    <w:rsid w:val="00FF324E"/>
    <w:rsid w:val="00FF34B3"/>
    <w:rsid w:val="00FF35AA"/>
    <w:rsid w:val="00FF35C1"/>
    <w:rsid w:val="00FF361E"/>
    <w:rsid w:val="00FF3723"/>
    <w:rsid w:val="00FF3757"/>
    <w:rsid w:val="00FF376D"/>
    <w:rsid w:val="00FF38AA"/>
    <w:rsid w:val="00FF38F6"/>
    <w:rsid w:val="00FF39FB"/>
    <w:rsid w:val="00FF3AF2"/>
    <w:rsid w:val="00FF3BD8"/>
    <w:rsid w:val="00FF3D32"/>
    <w:rsid w:val="00FF3E3D"/>
    <w:rsid w:val="00FF3F2A"/>
    <w:rsid w:val="00FF3FEC"/>
    <w:rsid w:val="00FF3FF6"/>
    <w:rsid w:val="00FF4002"/>
    <w:rsid w:val="00FF409B"/>
    <w:rsid w:val="00FF40AD"/>
    <w:rsid w:val="00FF40DC"/>
    <w:rsid w:val="00FF41B2"/>
    <w:rsid w:val="00FF41D8"/>
    <w:rsid w:val="00FF42F6"/>
    <w:rsid w:val="00FF430C"/>
    <w:rsid w:val="00FF43B0"/>
    <w:rsid w:val="00FF4401"/>
    <w:rsid w:val="00FF4492"/>
    <w:rsid w:val="00FF45FE"/>
    <w:rsid w:val="00FF499E"/>
    <w:rsid w:val="00FF49F3"/>
    <w:rsid w:val="00FF4BFF"/>
    <w:rsid w:val="00FF4C14"/>
    <w:rsid w:val="00FF4C47"/>
    <w:rsid w:val="00FF4D07"/>
    <w:rsid w:val="00FF4D63"/>
    <w:rsid w:val="00FF4DFC"/>
    <w:rsid w:val="00FF4E7D"/>
    <w:rsid w:val="00FF4FA6"/>
    <w:rsid w:val="00FF500F"/>
    <w:rsid w:val="00FF504A"/>
    <w:rsid w:val="00FF50E3"/>
    <w:rsid w:val="00FF50EE"/>
    <w:rsid w:val="00FF515C"/>
    <w:rsid w:val="00FF5228"/>
    <w:rsid w:val="00FF5459"/>
    <w:rsid w:val="00FF5499"/>
    <w:rsid w:val="00FF54C6"/>
    <w:rsid w:val="00FF5504"/>
    <w:rsid w:val="00FF5608"/>
    <w:rsid w:val="00FF5682"/>
    <w:rsid w:val="00FF575D"/>
    <w:rsid w:val="00FF586F"/>
    <w:rsid w:val="00FF5A00"/>
    <w:rsid w:val="00FF5A2C"/>
    <w:rsid w:val="00FF5ABE"/>
    <w:rsid w:val="00FF5AE3"/>
    <w:rsid w:val="00FF5C67"/>
    <w:rsid w:val="00FF5D63"/>
    <w:rsid w:val="00FF60E8"/>
    <w:rsid w:val="00FF6150"/>
    <w:rsid w:val="00FF6171"/>
    <w:rsid w:val="00FF61EE"/>
    <w:rsid w:val="00FF6264"/>
    <w:rsid w:val="00FF633C"/>
    <w:rsid w:val="00FF6358"/>
    <w:rsid w:val="00FF63C6"/>
    <w:rsid w:val="00FF645F"/>
    <w:rsid w:val="00FF64DA"/>
    <w:rsid w:val="00FF656D"/>
    <w:rsid w:val="00FF658F"/>
    <w:rsid w:val="00FF6650"/>
    <w:rsid w:val="00FF6791"/>
    <w:rsid w:val="00FF6888"/>
    <w:rsid w:val="00FF68A7"/>
    <w:rsid w:val="00FF68F4"/>
    <w:rsid w:val="00FF6966"/>
    <w:rsid w:val="00FF6A34"/>
    <w:rsid w:val="00FF6D76"/>
    <w:rsid w:val="00FF6E43"/>
    <w:rsid w:val="00FF6EB1"/>
    <w:rsid w:val="00FF6F94"/>
    <w:rsid w:val="00FF70A9"/>
    <w:rsid w:val="00FF710A"/>
    <w:rsid w:val="00FF7134"/>
    <w:rsid w:val="00FF71DF"/>
    <w:rsid w:val="00FF7375"/>
    <w:rsid w:val="00FF7489"/>
    <w:rsid w:val="00FF74A0"/>
    <w:rsid w:val="00FF7570"/>
    <w:rsid w:val="00FF75A4"/>
    <w:rsid w:val="00FF768A"/>
    <w:rsid w:val="00FF77FD"/>
    <w:rsid w:val="00FF7953"/>
    <w:rsid w:val="00FF7A9C"/>
    <w:rsid w:val="00FF7AC2"/>
    <w:rsid w:val="00FF7C80"/>
    <w:rsid w:val="00FF7C95"/>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2CBC25"/>
    <w:rsid w:val="023196E4"/>
    <w:rsid w:val="02333D0C"/>
    <w:rsid w:val="02466BC0"/>
    <w:rsid w:val="0294DBE4"/>
    <w:rsid w:val="029864F5"/>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BDFBF"/>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3DBCBB"/>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14EC1"/>
    <w:rsid w:val="0EB57835"/>
    <w:rsid w:val="0EB63B6A"/>
    <w:rsid w:val="0EC6B07C"/>
    <w:rsid w:val="0EF8F5AD"/>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4E2BF18"/>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3A2D7D"/>
    <w:rsid w:val="16858E9F"/>
    <w:rsid w:val="168E3BD4"/>
    <w:rsid w:val="1694976C"/>
    <w:rsid w:val="16AD6408"/>
    <w:rsid w:val="16AF9D1D"/>
    <w:rsid w:val="16DDB493"/>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25448"/>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5C09DF"/>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A5711E"/>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BAECB1"/>
    <w:rsid w:val="28CD9716"/>
    <w:rsid w:val="28EF7692"/>
    <w:rsid w:val="2901B7F3"/>
    <w:rsid w:val="2931C4E1"/>
    <w:rsid w:val="294F9AB0"/>
    <w:rsid w:val="2967E0E0"/>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7E2215"/>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40DE6"/>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831A5"/>
    <w:rsid w:val="378CDE0A"/>
    <w:rsid w:val="37BCB70B"/>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8D9E0A"/>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3EE04A"/>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B3EE2F"/>
    <w:rsid w:val="3EC30597"/>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AD5326"/>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88344"/>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26715"/>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C4CD04"/>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D3523D"/>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57667F"/>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7C9E51"/>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75DDBA"/>
    <w:rsid w:val="5D8128F4"/>
    <w:rsid w:val="5D91DF33"/>
    <w:rsid w:val="5D993B8E"/>
    <w:rsid w:val="5DBD4A3F"/>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5FEAC238"/>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0E6D92"/>
    <w:rsid w:val="64259B57"/>
    <w:rsid w:val="644538CA"/>
    <w:rsid w:val="644B0E51"/>
    <w:rsid w:val="6459CFDC"/>
    <w:rsid w:val="64769029"/>
    <w:rsid w:val="64871050"/>
    <w:rsid w:val="6491B7E9"/>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BF3B7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4FD7AC6"/>
    <w:rsid w:val="751E800C"/>
    <w:rsid w:val="754394B2"/>
    <w:rsid w:val="75577A00"/>
    <w:rsid w:val="755A7253"/>
    <w:rsid w:val="75704933"/>
    <w:rsid w:val="75719C73"/>
    <w:rsid w:val="75869F80"/>
    <w:rsid w:val="758DBB56"/>
    <w:rsid w:val="75911731"/>
    <w:rsid w:val="759EDD07"/>
    <w:rsid w:val="75D841DC"/>
    <w:rsid w:val="75DFBF40"/>
    <w:rsid w:val="76000415"/>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DE0EF"/>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DF0823F"/>
    <w:rsid w:val="7E100DD1"/>
    <w:rsid w:val="7E2D32C1"/>
    <w:rsid w:val="7E2FE4D6"/>
    <w:rsid w:val="7E330138"/>
    <w:rsid w:val="7E34F75B"/>
    <w:rsid w:val="7E6BFBC5"/>
    <w:rsid w:val="7E963256"/>
    <w:rsid w:val="7EA9C613"/>
    <w:rsid w:val="7EE21B89"/>
    <w:rsid w:val="7EFCFD0F"/>
    <w:rsid w:val="7F2F1F93"/>
    <w:rsid w:val="7F4530A2"/>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15:docId w15:val="{EE052718-2E5A-4BFA-9662-D6FC59DB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1701BD"/>
    <w:rPr>
      <w:rFonts w:cs="Calibri"/>
      <w:color w:val="26664E" w:themeColor="accent1"/>
      <w:szCs w:val="20"/>
    </w:rPr>
  </w:style>
  <w:style w:type="character" w:customStyle="1" w:styleId="08FiguretableboxheadingChar">
    <w:name w:val="08. Figure/table/box heading Char"/>
    <w:basedOn w:val="TableheadingChar"/>
    <w:link w:val="08Figuretableboxheading"/>
    <w:rsid w:val="00F771F2"/>
    <w:rPr>
      <w:rFonts w:ascii="Calibri Light" w:hAnsi="Calibri Light" w:cs="Calibri"/>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F2C34"/>
    <w:pPr>
      <w:spacing w:after="0"/>
      <w:ind w:left="227" w:hanging="227"/>
    </w:pPr>
    <w:rPr>
      <w:rFonts w:ascii="Calibri Light" w:hAnsi="Calibri Light" w:cs="Times New Roman (Body CS)"/>
      <w:spacing w:val="-6"/>
      <w:sz w:val="18"/>
      <w:szCs w:val="72"/>
    </w:rPr>
  </w:style>
  <w:style w:type="character" w:customStyle="1" w:styleId="FootnotesChar">
    <w:name w:val="Footnotes Char"/>
    <w:basedOn w:val="DefaultParagraphFont"/>
    <w:link w:val="Footnotes"/>
    <w:rsid w:val="0024419C"/>
    <w:rPr>
      <w:rFonts w:ascii="Calibri Light" w:hAnsi="Calibri Light" w:cs="Times New Roman (Body CS)"/>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qFormat/>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1701BD"/>
    <w:pPr>
      <w:spacing w:after="240"/>
      <w:ind w:right="-149"/>
      <w:contextualSpacing/>
    </w:pPr>
    <w:rPr>
      <w:rFonts w:ascii="Calibri Light" w:hAnsi="Calibri Light" w:cs="Calibri"/>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0B013B"/>
    <w:rPr>
      <w:rFonts w:ascii="Calibri Light" w:hAnsi="Calibri Light" w:cs="Calibri"/>
      <w:color w:val="000000" w:themeColor="text1"/>
      <w:sz w:val="18"/>
      <w:szCs w:val="20"/>
    </w:rPr>
  </w:style>
  <w:style w:type="paragraph" w:customStyle="1" w:styleId="Tabletext">
    <w:name w:val="Table text"/>
    <w:link w:val="TabletextChar"/>
    <w:qFormat/>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B76457"/>
    <w:pPr>
      <w:spacing w:before="120" w:after="120"/>
    </w:pPr>
    <w:rPr>
      <w:b/>
    </w:rPr>
  </w:style>
  <w:style w:type="paragraph" w:styleId="TOC2">
    <w:name w:val="toc 2"/>
    <w:next w:val="Paragraph"/>
    <w:uiPriority w:val="39"/>
    <w:unhideWhenUsed/>
    <w:qFormat/>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3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1701BD"/>
    <w:pPr>
      <w:spacing w:before="180" w:after="0" w:line="276" w:lineRule="auto"/>
      <w:jc w:val="both"/>
    </w:pPr>
    <w:rPr>
      <w:rFonts w:ascii="Calibri Light" w:hAnsi="Calibri Light" w:cs="Calibri"/>
      <w:color w:val="000000" w:themeColor="text1"/>
      <w:sz w:val="26"/>
      <w:szCs w:val="20"/>
    </w:rPr>
  </w:style>
  <w:style w:type="character" w:customStyle="1" w:styleId="05ParagraphChar">
    <w:name w:val="05. Paragraph Char"/>
    <w:basedOn w:val="DefaultParagraphFont"/>
    <w:link w:val="05Paragraph"/>
    <w:rsid w:val="002229FF"/>
    <w:rPr>
      <w:rFonts w:ascii="Calibri Light" w:hAnsi="Calibri Light" w:cs="Calibri"/>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qFormat/>
    <w:locked/>
    <w:rsid w:val="00051414"/>
    <w:pPr>
      <w:numPr>
        <w:numId w:val="15"/>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16"/>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16"/>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16"/>
      </w:numPr>
    </w:pPr>
  </w:style>
  <w:style w:type="paragraph" w:customStyle="1" w:styleId="DPCbulletafternumbers1">
    <w:name w:val="DPC bullet after numbers 1"/>
    <w:basedOn w:val="Normal"/>
    <w:rsid w:val="00051414"/>
    <w:pPr>
      <w:numPr>
        <w:ilvl w:val="2"/>
        <w:numId w:val="16"/>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16"/>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Light" w:hAnsi="Calibri Light"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numPr>
        <w:ilvl w:val="1"/>
        <w:numId w:val="14"/>
      </w:numPr>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673EF5"/>
    <w:pPr>
      <w:spacing w:after="48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1701BD"/>
    <w:pPr>
      <w:numPr>
        <w:numId w:val="18"/>
      </w:numPr>
      <w:spacing w:line="276" w:lineRule="auto"/>
      <w:jc w:val="both"/>
    </w:pPr>
    <w:rPr>
      <w:rFonts w:cs="Calibri"/>
    </w:rPr>
  </w:style>
  <w:style w:type="character" w:customStyle="1" w:styleId="06VIRTBulletpointsChar">
    <w:name w:val="06. VIRT Bullet points Char"/>
    <w:basedOn w:val="DefaultParagraphFont"/>
    <w:link w:val="06VIRTBulletpoints"/>
    <w:locked/>
    <w:rsid w:val="002229FF"/>
    <w:rPr>
      <w:rFonts w:ascii="Calibri Light" w:hAnsi="Calibri Light" w:cs="Calibri"/>
      <w:color w:val="000000" w:themeColor="text1"/>
      <w:sz w:val="26"/>
      <w:szCs w:val="20"/>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table" w:customStyle="1" w:styleId="ListTable3-Accent214">
    <w:name w:val="List Table 3 - Accent 214"/>
    <w:basedOn w:val="TableNormal"/>
    <w:next w:val="ListTable3-Accent2"/>
    <w:uiPriority w:val="48"/>
    <w:rsid w:val="0008426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5">
    <w:name w:val="List Table 3 - Accent 215"/>
    <w:basedOn w:val="TableNormal"/>
    <w:next w:val="ListTable3-Accent2"/>
    <w:uiPriority w:val="48"/>
    <w:rsid w:val="003045C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6">
    <w:name w:val="List Table 3 - Accent 216"/>
    <w:basedOn w:val="TableNormal"/>
    <w:next w:val="ListTable3-Accent2"/>
    <w:uiPriority w:val="48"/>
    <w:rsid w:val="00991DD7"/>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8">
    <w:name w:val="List Table 3 - Accent 28"/>
    <w:basedOn w:val="TableNormal"/>
    <w:next w:val="ListTable3-Accent2"/>
    <w:uiPriority w:val="48"/>
    <w:rsid w:val="00F051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7">
    <w:name w:val="List Table 3 - Accent 217"/>
    <w:basedOn w:val="TableNormal"/>
    <w:next w:val="ListTable3-Accent2"/>
    <w:uiPriority w:val="48"/>
    <w:rsid w:val="006A7C1B"/>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Style2">
    <w:name w:val="Style2"/>
    <w:basedOn w:val="03VIRTHeading3"/>
    <w:link w:val="Style2Char"/>
    <w:qFormat/>
    <w:rsid w:val="00FE3EB8"/>
    <w:rPr>
      <w:b/>
      <w:bCs/>
    </w:rPr>
  </w:style>
  <w:style w:type="paragraph" w:customStyle="1" w:styleId="Style3">
    <w:name w:val="Style3"/>
    <w:basedOn w:val="02VIRTHeading2"/>
    <w:link w:val="Style3Char"/>
    <w:qFormat/>
    <w:rsid w:val="00FE3EB8"/>
    <w:pPr>
      <w:ind w:left="0" w:firstLine="0"/>
    </w:pPr>
  </w:style>
  <w:style w:type="character" w:customStyle="1" w:styleId="Style2Char">
    <w:name w:val="Style2 Char"/>
    <w:basedOn w:val="03VIRTHeading3Char"/>
    <w:link w:val="Style2"/>
    <w:rsid w:val="00FE3EB8"/>
    <w:rPr>
      <w:rFonts w:ascii="Rockwell" w:hAnsi="Rockwell" w:cs="Arial"/>
      <w:b/>
      <w:bCs/>
      <w:color w:val="0F6745" w:themeColor="accent2" w:themeShade="BF"/>
      <w:spacing w:val="-6"/>
      <w:sz w:val="30"/>
    </w:rPr>
  </w:style>
  <w:style w:type="paragraph" w:customStyle="1" w:styleId="Style4">
    <w:name w:val="Style4"/>
    <w:basedOn w:val="Chapterheading"/>
    <w:link w:val="Style4Char"/>
    <w:qFormat/>
    <w:rsid w:val="00FE3EB8"/>
  </w:style>
  <w:style w:type="character" w:customStyle="1" w:styleId="Style3Char">
    <w:name w:val="Style3 Char"/>
    <w:basedOn w:val="02VIRTHeading2Char"/>
    <w:link w:val="Style3"/>
    <w:rsid w:val="00FE3EB8"/>
    <w:rPr>
      <w:rFonts w:ascii="Rockwell" w:hAnsi="Rockwell" w:cs="Times New Roman (Body CS)"/>
      <w:color w:val="007449"/>
      <w:sz w:val="44"/>
      <w:szCs w:val="44"/>
    </w:rPr>
  </w:style>
  <w:style w:type="character" w:customStyle="1" w:styleId="Style4Char">
    <w:name w:val="Style4 Char"/>
    <w:basedOn w:val="ChapterheadingChar"/>
    <w:link w:val="Style4"/>
    <w:rsid w:val="00FE3EB8"/>
    <w:rPr>
      <w:rFonts w:ascii="Rockwell" w:hAnsi="Rockwell"/>
      <w:color w:val="26664E" w:themeColor="accent1"/>
      <w:sz w:val="72"/>
    </w:rPr>
  </w:style>
  <w:style w:type="paragraph" w:customStyle="1" w:styleId="VIRTBreakouttext">
    <w:name w:val="VIRT Breakout text"/>
    <w:basedOn w:val="Normal"/>
    <w:link w:val="VIRTBreakouttextChar"/>
    <w:qFormat/>
    <w:locked/>
    <w:rsid w:val="00CF34D3"/>
    <w:pPr>
      <w:tabs>
        <w:tab w:val="center" w:pos="4680"/>
        <w:tab w:val="right" w:pos="9360"/>
      </w:tabs>
      <w:spacing w:before="180" w:line="276" w:lineRule="auto"/>
      <w:ind w:left="425" w:right="425"/>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CF34D3"/>
    <w:rPr>
      <w:rFonts w:ascii="Calibri Light" w:hAnsi="Calibri Light" w:cs="Times New Roman (Body CS)"/>
      <w:i/>
      <w:color w:val="0E7650"/>
      <w:spacing w:val="-6"/>
      <w:sz w:val="26"/>
    </w:rPr>
  </w:style>
  <w:style w:type="paragraph" w:customStyle="1" w:styleId="VIRTHeading3">
    <w:name w:val="VIRT Heading 3"/>
    <w:basedOn w:val="Normal"/>
    <w:link w:val="VIRTHeading3Char"/>
    <w:qFormat/>
    <w:locked/>
    <w:rsid w:val="00CF34D3"/>
    <w:pPr>
      <w:spacing w:before="240" w:after="240"/>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CF34D3"/>
    <w:rPr>
      <w:rFonts w:ascii="Rockwell" w:hAnsi="Rockwell" w:cs="Arial"/>
      <w:color w:val="0F6745" w:themeColor="accent2" w:themeShade="BF"/>
      <w:spacing w:val="-6"/>
      <w:sz w:val="30"/>
    </w:rPr>
  </w:style>
  <w:style w:type="paragraph" w:customStyle="1" w:styleId="VIRTheading4">
    <w:name w:val="VIRT heading 4"/>
    <w:link w:val="VIRTheading4Char"/>
    <w:qFormat/>
    <w:locked/>
    <w:rsid w:val="00CF34D3"/>
    <w:pPr>
      <w:spacing w:before="120" w:after="120"/>
    </w:pPr>
    <w:rPr>
      <w:rFonts w:ascii="Calibri Light" w:hAnsi="Calibri Light" w:cs="Arial"/>
      <w:b/>
      <w:color w:val="148A5D" w:themeColor="accent2"/>
      <w:sz w:val="26"/>
      <w:szCs w:val="20"/>
    </w:rPr>
  </w:style>
  <w:style w:type="character" w:customStyle="1" w:styleId="VIRTheading4Char">
    <w:name w:val="VIRT heading 4 Char"/>
    <w:basedOn w:val="DefaultParagraphFont"/>
    <w:link w:val="VIRTheading4"/>
    <w:rsid w:val="00CF34D3"/>
    <w:rPr>
      <w:rFonts w:ascii="Calibri Light" w:hAnsi="Calibri Light" w:cs="Arial"/>
      <w:b/>
      <w:color w:val="148A5D" w:themeColor="accent2"/>
      <w:sz w:val="26"/>
      <w:szCs w:val="20"/>
    </w:rPr>
  </w:style>
  <w:style w:type="paragraph" w:customStyle="1" w:styleId="Bulletswithinnumberedparaslvl1">
    <w:name w:val="Bullets within numbered paras lvl 1"/>
    <w:link w:val="Bulletswithinnumberedparaslvl1Char"/>
    <w:qFormat/>
    <w:rsid w:val="00CF34D3"/>
    <w:pPr>
      <w:numPr>
        <w:numId w:val="34"/>
      </w:numPr>
      <w:spacing w:after="120" w:line="276" w:lineRule="auto"/>
      <w:ind w:left="782" w:hanging="357"/>
    </w:pPr>
    <w:rPr>
      <w:rFonts w:ascii="Calibri Light" w:hAnsi="Calibri Light" w:cs="Arial"/>
      <w:sz w:val="26"/>
      <w:szCs w:val="20"/>
    </w:rPr>
  </w:style>
  <w:style w:type="character" w:customStyle="1" w:styleId="Bulletswithinnumberedparaslvl1Char">
    <w:name w:val="Bullets within numbered paras lvl 1 Char"/>
    <w:basedOn w:val="DefaultParagraphFont"/>
    <w:link w:val="Bulletswithinnumberedparaslvl1"/>
    <w:rsid w:val="00CF34D3"/>
    <w:rPr>
      <w:rFonts w:ascii="Calibri Light" w:hAnsi="Calibri Light" w:cs="Arial"/>
      <w:sz w:val="26"/>
      <w:szCs w:val="20"/>
    </w:rPr>
  </w:style>
  <w:style w:type="character" w:customStyle="1" w:styleId="cf01">
    <w:name w:val="cf01"/>
    <w:basedOn w:val="DefaultParagraphFont"/>
    <w:rsid w:val="007F0AB3"/>
    <w:rPr>
      <w:rFonts w:ascii="Segoe UI" w:hAnsi="Segoe UI" w:cs="Segoe UI" w:hint="default"/>
      <w:color w:val="7F7F7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15638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44913052">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6745872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4811464">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3164401">
      <w:bodyDiv w:val="1"/>
      <w:marLeft w:val="0"/>
      <w:marRight w:val="0"/>
      <w:marTop w:val="0"/>
      <w:marBottom w:val="0"/>
      <w:divBdr>
        <w:top w:val="none" w:sz="0" w:space="0" w:color="auto"/>
        <w:left w:val="none" w:sz="0" w:space="0" w:color="auto"/>
        <w:bottom w:val="none" w:sz="0" w:space="0" w:color="auto"/>
        <w:right w:val="none" w:sz="0" w:space="0" w:color="auto"/>
      </w:divBdr>
      <w:divsChild>
        <w:div w:id="1274557647">
          <w:marLeft w:val="547"/>
          <w:marRight w:val="0"/>
          <w:marTop w:val="0"/>
          <w:marBottom w:val="0"/>
          <w:divBdr>
            <w:top w:val="none" w:sz="0" w:space="0" w:color="auto"/>
            <w:left w:val="none" w:sz="0" w:space="0" w:color="auto"/>
            <w:bottom w:val="none" w:sz="0" w:space="0" w:color="auto"/>
            <w:right w:val="none" w:sz="0" w:space="0" w:color="auto"/>
          </w:divBdr>
        </w:div>
        <w:div w:id="1359699656">
          <w:marLeft w:val="547"/>
          <w:marRight w:val="0"/>
          <w:marTop w:val="0"/>
          <w:marBottom w:val="0"/>
          <w:divBdr>
            <w:top w:val="none" w:sz="0" w:space="0" w:color="auto"/>
            <w:left w:val="none" w:sz="0" w:space="0" w:color="auto"/>
            <w:bottom w:val="none" w:sz="0" w:space="0" w:color="auto"/>
            <w:right w:val="none" w:sz="0" w:space="0" w:color="auto"/>
          </w:divBdr>
        </w:div>
      </w:divsChild>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79203503">
      <w:bodyDiv w:val="1"/>
      <w:marLeft w:val="0"/>
      <w:marRight w:val="0"/>
      <w:marTop w:val="0"/>
      <w:marBottom w:val="0"/>
      <w:divBdr>
        <w:top w:val="none" w:sz="0" w:space="0" w:color="auto"/>
        <w:left w:val="none" w:sz="0" w:space="0" w:color="auto"/>
        <w:bottom w:val="none" w:sz="0" w:space="0" w:color="auto"/>
        <w:right w:val="none" w:sz="0" w:space="0" w:color="auto"/>
      </w:divBdr>
    </w:div>
    <w:div w:id="183596616">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394355917">
      <w:bodyDiv w:val="1"/>
      <w:marLeft w:val="0"/>
      <w:marRight w:val="0"/>
      <w:marTop w:val="0"/>
      <w:marBottom w:val="0"/>
      <w:divBdr>
        <w:top w:val="none" w:sz="0" w:space="0" w:color="auto"/>
        <w:left w:val="none" w:sz="0" w:space="0" w:color="auto"/>
        <w:bottom w:val="none" w:sz="0" w:space="0" w:color="auto"/>
        <w:right w:val="none" w:sz="0" w:space="0" w:color="auto"/>
      </w:divBdr>
      <w:divsChild>
        <w:div w:id="12920105">
          <w:marLeft w:val="547"/>
          <w:marRight w:val="0"/>
          <w:marTop w:val="0"/>
          <w:marBottom w:val="0"/>
          <w:divBdr>
            <w:top w:val="none" w:sz="0" w:space="0" w:color="auto"/>
            <w:left w:val="none" w:sz="0" w:space="0" w:color="auto"/>
            <w:bottom w:val="none" w:sz="0" w:space="0" w:color="auto"/>
            <w:right w:val="none" w:sz="0" w:space="0" w:color="auto"/>
          </w:divBdr>
        </w:div>
        <w:div w:id="891161049">
          <w:marLeft w:val="547"/>
          <w:marRight w:val="0"/>
          <w:marTop w:val="0"/>
          <w:marBottom w:val="0"/>
          <w:divBdr>
            <w:top w:val="none" w:sz="0" w:space="0" w:color="auto"/>
            <w:left w:val="none" w:sz="0" w:space="0" w:color="auto"/>
            <w:bottom w:val="none" w:sz="0" w:space="0" w:color="auto"/>
            <w:right w:val="none" w:sz="0" w:space="0" w:color="auto"/>
          </w:divBdr>
        </w:div>
        <w:div w:id="1605772549">
          <w:marLeft w:val="547"/>
          <w:marRight w:val="0"/>
          <w:marTop w:val="0"/>
          <w:marBottom w:val="0"/>
          <w:divBdr>
            <w:top w:val="none" w:sz="0" w:space="0" w:color="auto"/>
            <w:left w:val="none" w:sz="0" w:space="0" w:color="auto"/>
            <w:bottom w:val="none" w:sz="0" w:space="0" w:color="auto"/>
            <w:right w:val="none" w:sz="0" w:space="0" w:color="auto"/>
          </w:divBdr>
        </w:div>
        <w:div w:id="1632708296">
          <w:marLeft w:val="547"/>
          <w:marRight w:val="0"/>
          <w:marTop w:val="0"/>
          <w:marBottom w:val="0"/>
          <w:divBdr>
            <w:top w:val="none" w:sz="0" w:space="0" w:color="auto"/>
            <w:left w:val="none" w:sz="0" w:space="0" w:color="auto"/>
            <w:bottom w:val="none" w:sz="0" w:space="0" w:color="auto"/>
            <w:right w:val="none" w:sz="0" w:space="0" w:color="auto"/>
          </w:divBdr>
        </w:div>
      </w:divsChild>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7136503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3514100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48680115">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0040610">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4691866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1714142">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69939336">
      <w:bodyDiv w:val="1"/>
      <w:marLeft w:val="0"/>
      <w:marRight w:val="0"/>
      <w:marTop w:val="0"/>
      <w:marBottom w:val="0"/>
      <w:divBdr>
        <w:top w:val="none" w:sz="0" w:space="0" w:color="auto"/>
        <w:left w:val="none" w:sz="0" w:space="0" w:color="auto"/>
        <w:bottom w:val="none" w:sz="0" w:space="0" w:color="auto"/>
        <w:right w:val="none" w:sz="0" w:space="0" w:color="auto"/>
      </w:divBdr>
    </w:div>
    <w:div w:id="974532482">
      <w:bodyDiv w:val="1"/>
      <w:marLeft w:val="0"/>
      <w:marRight w:val="0"/>
      <w:marTop w:val="0"/>
      <w:marBottom w:val="0"/>
      <w:divBdr>
        <w:top w:val="none" w:sz="0" w:space="0" w:color="auto"/>
        <w:left w:val="none" w:sz="0" w:space="0" w:color="auto"/>
        <w:bottom w:val="none" w:sz="0" w:space="0" w:color="auto"/>
        <w:right w:val="none" w:sz="0" w:space="0" w:color="auto"/>
      </w:divBdr>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68670458">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2721041">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45914201">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3765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34125658">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46285726">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4039106">
      <w:bodyDiv w:val="1"/>
      <w:marLeft w:val="0"/>
      <w:marRight w:val="0"/>
      <w:marTop w:val="0"/>
      <w:marBottom w:val="0"/>
      <w:divBdr>
        <w:top w:val="none" w:sz="0" w:space="0" w:color="auto"/>
        <w:left w:val="none" w:sz="0" w:space="0" w:color="auto"/>
        <w:bottom w:val="none" w:sz="0" w:space="0" w:color="auto"/>
        <w:right w:val="none" w:sz="0" w:space="0" w:color="auto"/>
      </w:divBdr>
      <w:divsChild>
        <w:div w:id="63836970">
          <w:marLeft w:val="547"/>
          <w:marRight w:val="0"/>
          <w:marTop w:val="0"/>
          <w:marBottom w:val="0"/>
          <w:divBdr>
            <w:top w:val="none" w:sz="0" w:space="0" w:color="auto"/>
            <w:left w:val="none" w:sz="0" w:space="0" w:color="auto"/>
            <w:bottom w:val="none" w:sz="0" w:space="0" w:color="auto"/>
            <w:right w:val="none" w:sz="0" w:space="0" w:color="auto"/>
          </w:divBdr>
        </w:div>
        <w:div w:id="1380518629">
          <w:marLeft w:val="547"/>
          <w:marRight w:val="0"/>
          <w:marTop w:val="0"/>
          <w:marBottom w:val="0"/>
          <w:divBdr>
            <w:top w:val="none" w:sz="0" w:space="0" w:color="auto"/>
            <w:left w:val="none" w:sz="0" w:space="0" w:color="auto"/>
            <w:bottom w:val="none" w:sz="0" w:space="0" w:color="auto"/>
            <w:right w:val="none" w:sz="0" w:space="0" w:color="auto"/>
          </w:divBdr>
        </w:div>
        <w:div w:id="1742169828">
          <w:marLeft w:val="547"/>
          <w:marRight w:val="0"/>
          <w:marTop w:val="0"/>
          <w:marBottom w:val="0"/>
          <w:divBdr>
            <w:top w:val="none" w:sz="0" w:space="0" w:color="auto"/>
            <w:left w:val="none" w:sz="0" w:space="0" w:color="auto"/>
            <w:bottom w:val="none" w:sz="0" w:space="0" w:color="auto"/>
            <w:right w:val="none" w:sz="0" w:space="0" w:color="auto"/>
          </w:divBdr>
        </w:div>
      </w:divsChild>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55971900">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1984234267">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chart" Target="charts/chart2.xml"/><Relationship Id="rId21" Type="http://schemas.openxmlformats.org/officeDocument/2006/relationships/image" Target="media/image5.png"/><Relationship Id="rId34" Type="http://schemas.openxmlformats.org/officeDocument/2006/relationships/header" Target="header8.xml"/><Relationship Id="rId42" Type="http://schemas.openxmlformats.org/officeDocument/2006/relationships/image" Target="media/image10.png"/><Relationship Id="rId47" Type="http://schemas.openxmlformats.org/officeDocument/2006/relationships/image" Target="media/image15.svg"/><Relationship Id="rId50" Type="http://schemas.openxmlformats.org/officeDocument/2006/relationships/image" Target="media/image120.png"/><Relationship Id="rId55" Type="http://schemas.openxmlformats.org/officeDocument/2006/relationships/hyperlink" Target="https://www.dtf.vic.gov.au/state-financial-data-sets/other-financial-aggregate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image" Target="media/image7.png"/><Relationship Id="rId41" Type="http://schemas.openxmlformats.org/officeDocument/2006/relationships/chart" Target="charts/chart4.xml"/><Relationship Id="rId54" Type="http://schemas.openxmlformats.org/officeDocument/2006/relationships/hyperlink" Target="https://www.abs.gov.au/methodologies/wage-price-index-australia-methodology/mar-20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image" Target="media/image9.png"/><Relationship Id="rId40" Type="http://schemas.openxmlformats.org/officeDocument/2006/relationships/chart" Target="charts/chart3.xml"/><Relationship Id="rId45" Type="http://schemas.openxmlformats.org/officeDocument/2006/relationships/image" Target="media/image13.svg"/><Relationship Id="rId53" Type="http://schemas.openxmlformats.org/officeDocument/2006/relationships/image" Target="media/image150.svg"/><Relationship Id="rId58" Type="http://schemas.openxmlformats.org/officeDocument/2006/relationships/hyperlink" Target="https://www.lga.sa.gov.au/news-and-events/news/latest-news/2023/periodic-adjustment-of-council-member-allowance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image" Target="media/image8.png"/><Relationship Id="rId49" Type="http://schemas.openxmlformats.org/officeDocument/2006/relationships/image" Target="media/image110.svg"/><Relationship Id="rId57" Type="http://schemas.openxmlformats.org/officeDocument/2006/relationships/hyperlink" Target="https://www.esc.vic.gov.au/local-government/higher-rate-cap-applications/recent-higher-cap-applications"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eader" Target="header7.xml"/><Relationship Id="rId44" Type="http://schemas.openxmlformats.org/officeDocument/2006/relationships/image" Target="media/image12.png"/><Relationship Id="rId52" Type="http://schemas.openxmlformats.org/officeDocument/2006/relationships/image" Target="media/image140.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image" Target="media/image11.svg"/><Relationship Id="rId48" Type="http://schemas.openxmlformats.org/officeDocument/2006/relationships/image" Target="media/image100.png"/><Relationship Id="rId56" Type="http://schemas.openxmlformats.org/officeDocument/2006/relationships/hyperlink" Target="https://www.esc.vic.gov.au/local-government/annual-council-rate-caps" TargetMode="External"/><Relationship Id="rId8" Type="http://schemas.openxmlformats.org/officeDocument/2006/relationships/settings" Target="settings.xml"/><Relationship Id="rId51" Type="http://schemas.openxmlformats.org/officeDocument/2006/relationships/image" Target="media/image130.sv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chart" Target="charts/chart1.xml"/><Relationship Id="rId46" Type="http://schemas.openxmlformats.org/officeDocument/2006/relationships/image" Target="media/image14.png"/><Relationship Id="rId59" Type="http://schemas.openxmlformats.org/officeDocument/2006/relationships/hyperlink" Target="https://www.premier.vic.gov.au/council-rates-cap-keep-costs-low-victorian-famil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budget.gov.au/content/bp1/index.htm" TargetMode="External"/><Relationship Id="rId1" Type="http://schemas.openxmlformats.org/officeDocument/2006/relationships/hyperlink" Target="https://www.rba.gov.au/publications/smp/2024/ma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GDP (quarterly)</c:v>
          </c:tx>
          <c:spPr>
            <a:solidFill>
              <a:schemeClr val="accent5"/>
            </a:solidFill>
            <a:ln>
              <a:noFill/>
            </a:ln>
            <a:effectLst/>
          </c:spPr>
          <c:invertIfNegative val="0"/>
          <c:dLbls>
            <c:dLbl>
              <c:idx val="4"/>
              <c:tx>
                <c:rich>
                  <a:bodyPr/>
                  <a:lstStyle/>
                  <a:p>
                    <a:fld id="{AE7FE7F2-C069-49E3-B8E2-2B8D6AA770A5}" type="VALUE">
                      <a:rPr lang="en-US">
                        <a:solidFill>
                          <a:schemeClr val="accent5"/>
                        </a:solidFill>
                      </a:rPr>
                      <a:pPr/>
                      <a:t>[VALUE]</a:t>
                    </a:fld>
                    <a:r>
                      <a:rPr lang="en-US">
                        <a:solidFill>
                          <a:schemeClr val="accent5"/>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834-428B-8B2B-4AFD0F81E0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2 in Microsoft Word]Sheet1'!$A$7:$A$11</c:f>
              <c:numCache>
                <c:formatCode>mmm\-yyyy</c:formatCode>
                <c:ptCount val="5"/>
                <c:pt idx="0">
                  <c:v>44986</c:v>
                </c:pt>
                <c:pt idx="1">
                  <c:v>45078</c:v>
                </c:pt>
                <c:pt idx="2">
                  <c:v>45170</c:v>
                </c:pt>
                <c:pt idx="3">
                  <c:v>45261</c:v>
                </c:pt>
                <c:pt idx="4">
                  <c:v>45352</c:v>
                </c:pt>
              </c:numCache>
            </c:numRef>
          </c:cat>
          <c:val>
            <c:numRef>
              <c:f>'[Chart 2 in Microsoft Word]Sheet1'!$B$7:$B$11</c:f>
              <c:numCache>
                <c:formatCode>0.0</c:formatCode>
                <c:ptCount val="5"/>
                <c:pt idx="0">
                  <c:v>0.6</c:v>
                </c:pt>
                <c:pt idx="1">
                  <c:v>0.4</c:v>
                </c:pt>
                <c:pt idx="2">
                  <c:v>0.2</c:v>
                </c:pt>
                <c:pt idx="3">
                  <c:v>0.3</c:v>
                </c:pt>
                <c:pt idx="4">
                  <c:v>0.1</c:v>
                </c:pt>
              </c:numCache>
            </c:numRef>
          </c:val>
          <c:extLst>
            <c:ext xmlns:c16="http://schemas.microsoft.com/office/drawing/2014/chart" uri="{C3380CC4-5D6E-409C-BE32-E72D297353CC}">
              <c16:uniqueId val="{00000001-1834-428B-8B2B-4AFD0F81E0B2}"/>
            </c:ext>
          </c:extLst>
        </c:ser>
        <c:ser>
          <c:idx val="2"/>
          <c:order val="1"/>
          <c:tx>
            <c:v>State Final Demand (quarterly)</c:v>
          </c:tx>
          <c:spPr>
            <a:solidFill>
              <a:schemeClr val="accent2"/>
            </a:solidFill>
            <a:ln>
              <a:noFill/>
            </a:ln>
            <a:effectLst/>
          </c:spPr>
          <c:invertIfNegative val="0"/>
          <c:dLbls>
            <c:dLbl>
              <c:idx val="4"/>
              <c:layout>
                <c:manualLayout>
                  <c:x val="1.266054215432184E-2"/>
                  <c:y val="2.4661336703570635E-2"/>
                </c:manualLayout>
              </c:layout>
              <c:tx>
                <c:rich>
                  <a:bodyPr/>
                  <a:lstStyle/>
                  <a:p>
                    <a:fld id="{EBD3D85E-D079-44E7-B34D-9312E2B032C0}" type="VALUE">
                      <a:rPr lang="en-US">
                        <a:solidFill>
                          <a:schemeClr val="accent2"/>
                        </a:solidFill>
                      </a:rPr>
                      <a:pPr/>
                      <a:t>[VALUE]</a:t>
                    </a:fld>
                    <a:r>
                      <a:rPr lang="en-US">
                        <a:solidFill>
                          <a:schemeClr val="accent2"/>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834-428B-8B2B-4AFD0F81E0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2 in Microsoft Word]Sheet1'!$A$7:$A$11</c:f>
              <c:numCache>
                <c:formatCode>mmm\-yyyy</c:formatCode>
                <c:ptCount val="5"/>
                <c:pt idx="0">
                  <c:v>44986</c:v>
                </c:pt>
                <c:pt idx="1">
                  <c:v>45078</c:v>
                </c:pt>
                <c:pt idx="2">
                  <c:v>45170</c:v>
                </c:pt>
                <c:pt idx="3">
                  <c:v>45261</c:v>
                </c:pt>
                <c:pt idx="4">
                  <c:v>45352</c:v>
                </c:pt>
              </c:numCache>
            </c:numRef>
          </c:cat>
          <c:val>
            <c:numRef>
              <c:f>'[Chart 2 in Microsoft Word]Sheet1'!$D$7:$D$11</c:f>
              <c:numCache>
                <c:formatCode>0.0</c:formatCode>
                <c:ptCount val="5"/>
                <c:pt idx="0">
                  <c:v>0.9</c:v>
                </c:pt>
                <c:pt idx="1">
                  <c:v>1.1000000000000001</c:v>
                </c:pt>
                <c:pt idx="2">
                  <c:v>0.5</c:v>
                </c:pt>
                <c:pt idx="3">
                  <c:v>-0.1</c:v>
                </c:pt>
                <c:pt idx="4">
                  <c:v>0</c:v>
                </c:pt>
              </c:numCache>
            </c:numRef>
          </c:val>
          <c:extLst>
            <c:ext xmlns:c16="http://schemas.microsoft.com/office/drawing/2014/chart" uri="{C3380CC4-5D6E-409C-BE32-E72D297353CC}">
              <c16:uniqueId val="{00000003-1834-428B-8B2B-4AFD0F81E0B2}"/>
            </c:ext>
          </c:extLst>
        </c:ser>
        <c:dLbls>
          <c:showLegendKey val="0"/>
          <c:showVal val="0"/>
          <c:showCatName val="0"/>
          <c:showSerName val="0"/>
          <c:showPercent val="0"/>
          <c:showBubbleSize val="0"/>
        </c:dLbls>
        <c:gapWidth val="100"/>
        <c:axId val="667983488"/>
        <c:axId val="667975568"/>
      </c:barChart>
      <c:lineChart>
        <c:grouping val="standard"/>
        <c:varyColors val="0"/>
        <c:ser>
          <c:idx val="1"/>
          <c:order val="2"/>
          <c:tx>
            <c:v>GDP (annual)</c:v>
          </c:tx>
          <c:spPr>
            <a:ln w="28575" cap="rnd">
              <a:solidFill>
                <a:schemeClr val="accent5"/>
              </a:solidFill>
              <a:prstDash val="sysDash"/>
              <a:round/>
            </a:ln>
            <a:effectLst/>
          </c:spPr>
          <c:marker>
            <c:symbol val="none"/>
          </c:marker>
          <c:dLbls>
            <c:dLbl>
              <c:idx val="4"/>
              <c:tx>
                <c:rich>
                  <a:bodyPr/>
                  <a:lstStyle/>
                  <a:p>
                    <a:fld id="{EA912BB3-0323-4CD4-8654-965CDA62CE44}" type="VALUE">
                      <a:rPr lang="en-US">
                        <a:solidFill>
                          <a:schemeClr val="accent5"/>
                        </a:solidFill>
                      </a:rPr>
                      <a:pPr/>
                      <a:t>[VALUE]</a:t>
                    </a:fld>
                    <a:r>
                      <a:rPr lang="en-US">
                        <a:solidFill>
                          <a:schemeClr val="accent5"/>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834-428B-8B2B-4AFD0F81E0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
                    <a:ea typeface="+mn-ea"/>
                    <a:cs typeface="Calibri Light" panose="020F03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2 in Microsoft Word]Sheet1'!$A$7:$A$11</c:f>
              <c:numCache>
                <c:formatCode>mmm\-yyyy</c:formatCode>
                <c:ptCount val="5"/>
                <c:pt idx="0">
                  <c:v>44986</c:v>
                </c:pt>
                <c:pt idx="1">
                  <c:v>45078</c:v>
                </c:pt>
                <c:pt idx="2">
                  <c:v>45170</c:v>
                </c:pt>
                <c:pt idx="3">
                  <c:v>45261</c:v>
                </c:pt>
                <c:pt idx="4">
                  <c:v>45352</c:v>
                </c:pt>
              </c:numCache>
            </c:numRef>
          </c:cat>
          <c:val>
            <c:numRef>
              <c:f>'[Chart 2 in Microsoft Word]Sheet1'!$C$7:$C$11</c:f>
              <c:numCache>
                <c:formatCode>0.0</c:formatCode>
                <c:ptCount val="5"/>
                <c:pt idx="0">
                  <c:v>2.2999999999999998</c:v>
                </c:pt>
                <c:pt idx="1">
                  <c:v>1.9</c:v>
                </c:pt>
                <c:pt idx="2">
                  <c:v>2.1</c:v>
                </c:pt>
                <c:pt idx="3">
                  <c:v>1.6</c:v>
                </c:pt>
                <c:pt idx="4">
                  <c:v>1.1000000000000001</c:v>
                </c:pt>
              </c:numCache>
            </c:numRef>
          </c:val>
          <c:smooth val="0"/>
          <c:extLst>
            <c:ext xmlns:c16="http://schemas.microsoft.com/office/drawing/2014/chart" uri="{C3380CC4-5D6E-409C-BE32-E72D297353CC}">
              <c16:uniqueId val="{00000005-1834-428B-8B2B-4AFD0F81E0B2}"/>
            </c:ext>
          </c:extLst>
        </c:ser>
        <c:ser>
          <c:idx val="3"/>
          <c:order val="3"/>
          <c:tx>
            <c:v>State Final Demand (annual)</c:v>
          </c:tx>
          <c:spPr>
            <a:ln w="28575" cap="rnd">
              <a:solidFill>
                <a:schemeClr val="accent2"/>
              </a:solidFill>
              <a:prstDash val="sysDash"/>
              <a:round/>
            </a:ln>
            <a:effectLst/>
          </c:spPr>
          <c:marker>
            <c:symbol val="none"/>
          </c:marker>
          <c:dLbls>
            <c:dLbl>
              <c:idx val="4"/>
              <c:layout>
                <c:manualLayout>
                  <c:x val="0"/>
                  <c:y val="0"/>
                </c:manualLayout>
              </c:layout>
              <c:tx>
                <c:rich>
                  <a:bodyPr/>
                  <a:lstStyle/>
                  <a:p>
                    <a:fld id="{DBB072F5-B342-4EAD-B616-38D34C984C87}" type="VALUE">
                      <a:rPr lang="en-US">
                        <a:solidFill>
                          <a:schemeClr val="accent2"/>
                        </a:solidFill>
                      </a:rPr>
                      <a:pPr/>
                      <a:t>[VALUE]</a:t>
                    </a:fld>
                    <a:r>
                      <a:rPr lang="en-US">
                        <a:solidFill>
                          <a:schemeClr val="accent2"/>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834-428B-8B2B-4AFD0F81E0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'[Chart 2 in Microsoft Word]Sheet1'!$A$7:$A$11</c:f>
              <c:numCache>
                <c:formatCode>mmm\-yyyy</c:formatCode>
                <c:ptCount val="5"/>
                <c:pt idx="0">
                  <c:v>44986</c:v>
                </c:pt>
                <c:pt idx="1">
                  <c:v>45078</c:v>
                </c:pt>
                <c:pt idx="2">
                  <c:v>45170</c:v>
                </c:pt>
                <c:pt idx="3">
                  <c:v>45261</c:v>
                </c:pt>
                <c:pt idx="4">
                  <c:v>45352</c:v>
                </c:pt>
              </c:numCache>
            </c:numRef>
          </c:cat>
          <c:val>
            <c:numRef>
              <c:f>'[Chart 2 in Microsoft Word]Sheet1'!$E$7:$E$11</c:f>
              <c:numCache>
                <c:formatCode>0.0</c:formatCode>
                <c:ptCount val="5"/>
                <c:pt idx="0">
                  <c:v>2.5</c:v>
                </c:pt>
                <c:pt idx="1">
                  <c:v>2.5</c:v>
                </c:pt>
                <c:pt idx="2">
                  <c:v>3</c:v>
                </c:pt>
                <c:pt idx="3">
                  <c:v>2.2999999999999998</c:v>
                </c:pt>
                <c:pt idx="4">
                  <c:v>1.5</c:v>
                </c:pt>
              </c:numCache>
            </c:numRef>
          </c:val>
          <c:smooth val="0"/>
          <c:extLst>
            <c:ext xmlns:c16="http://schemas.microsoft.com/office/drawing/2014/chart" uri="{C3380CC4-5D6E-409C-BE32-E72D297353CC}">
              <c16:uniqueId val="{00000007-1834-428B-8B2B-4AFD0F81E0B2}"/>
            </c:ext>
          </c:extLst>
        </c:ser>
        <c:dLbls>
          <c:showLegendKey val="0"/>
          <c:showVal val="0"/>
          <c:showCatName val="0"/>
          <c:showSerName val="0"/>
          <c:showPercent val="0"/>
          <c:showBubbleSize val="0"/>
        </c:dLbls>
        <c:marker val="1"/>
        <c:smooth val="0"/>
        <c:axId val="667983488"/>
        <c:axId val="667975568"/>
      </c:lineChart>
      <c:catAx>
        <c:axId val="667983488"/>
        <c:scaling>
          <c:orientation val="minMax"/>
        </c:scaling>
        <c:delete val="0"/>
        <c:axPos val="b"/>
        <c:numFmt formatCode="mmm\-yy"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667975568"/>
        <c:crosses val="autoZero"/>
        <c:auto val="0"/>
        <c:lblAlgn val="ctr"/>
        <c:lblOffset val="100"/>
        <c:tickLblSkip val="1"/>
        <c:noMultiLvlLbl val="0"/>
      </c:catAx>
      <c:valAx>
        <c:axId val="6679755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667983488"/>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1224360497347"/>
          <c:y val="4.7151343323882815E-2"/>
          <c:w val="0.8274728755840659"/>
          <c:h val="0.85340961252868908"/>
        </c:manualLayout>
      </c:layout>
      <c:areaChart>
        <c:grouping val="stacked"/>
        <c:varyColors val="0"/>
        <c:ser>
          <c:idx val="2"/>
          <c:order val="1"/>
          <c:spPr>
            <a:noFill/>
            <a:ln>
              <a:noFill/>
            </a:ln>
            <a:effectLst/>
          </c:spPr>
          <c:cat>
            <c:numRef>
              <c:f>'[Charts and data for economic and financial presentation.xlsx]CPI'!$A$309:$A$313</c:f>
              <c:numCache>
                <c:formatCode>mmm\-yyyy</c:formatCode>
                <c:ptCount val="5"/>
                <c:pt idx="0">
                  <c:v>44986</c:v>
                </c:pt>
                <c:pt idx="1">
                  <c:v>45078</c:v>
                </c:pt>
                <c:pt idx="2">
                  <c:v>45170</c:v>
                </c:pt>
                <c:pt idx="3">
                  <c:v>45261</c:v>
                </c:pt>
                <c:pt idx="4">
                  <c:v>45352</c:v>
                </c:pt>
              </c:numCache>
            </c:numRef>
          </c:cat>
          <c:val>
            <c:numRef>
              <c:f>'[Charts and data for economic and financial presentation.xlsx]CPI'!$AM$309:$AM$313</c:f>
              <c:numCache>
                <c:formatCode>0.0;\-0.0;0.0;@</c:formatCode>
                <c:ptCount val="5"/>
                <c:pt idx="0">
                  <c:v>2</c:v>
                </c:pt>
                <c:pt idx="1">
                  <c:v>2</c:v>
                </c:pt>
                <c:pt idx="2">
                  <c:v>2</c:v>
                </c:pt>
                <c:pt idx="3">
                  <c:v>2</c:v>
                </c:pt>
                <c:pt idx="4">
                  <c:v>2</c:v>
                </c:pt>
              </c:numCache>
            </c:numRef>
          </c:val>
          <c:extLst>
            <c:ext xmlns:c16="http://schemas.microsoft.com/office/drawing/2014/chart" uri="{C3380CC4-5D6E-409C-BE32-E72D297353CC}">
              <c16:uniqueId val="{00000000-28BD-4008-8E64-79AF2955DFEB}"/>
            </c:ext>
          </c:extLst>
        </c:ser>
        <c:ser>
          <c:idx val="3"/>
          <c:order val="2"/>
          <c:spPr>
            <a:solidFill>
              <a:schemeClr val="bg1">
                <a:lumMod val="85000"/>
              </a:schemeClr>
            </a:solidFill>
            <a:ln>
              <a:noFill/>
            </a:ln>
            <a:effectLst/>
          </c:spPr>
          <c:cat>
            <c:numRef>
              <c:f>'[Charts and data for economic and financial presentation.xlsx]CPI'!$A$309:$A$313</c:f>
              <c:numCache>
                <c:formatCode>mmm\-yyyy</c:formatCode>
                <c:ptCount val="5"/>
                <c:pt idx="0">
                  <c:v>44986</c:v>
                </c:pt>
                <c:pt idx="1">
                  <c:v>45078</c:v>
                </c:pt>
                <c:pt idx="2">
                  <c:v>45170</c:v>
                </c:pt>
                <c:pt idx="3">
                  <c:v>45261</c:v>
                </c:pt>
                <c:pt idx="4">
                  <c:v>45352</c:v>
                </c:pt>
              </c:numCache>
            </c:numRef>
          </c:cat>
          <c:val>
            <c:numRef>
              <c:f>'[Charts and data for economic and financial presentation.xlsx]CPI'!$AN$309:$AN$313</c:f>
              <c:numCache>
                <c:formatCode>0.0;\-0.0;0.0;@</c:formatCode>
                <c:ptCount val="5"/>
                <c:pt idx="0">
                  <c:v>1</c:v>
                </c:pt>
                <c:pt idx="1">
                  <c:v>1</c:v>
                </c:pt>
                <c:pt idx="2">
                  <c:v>1</c:v>
                </c:pt>
                <c:pt idx="3">
                  <c:v>1</c:v>
                </c:pt>
                <c:pt idx="4">
                  <c:v>1</c:v>
                </c:pt>
              </c:numCache>
            </c:numRef>
          </c:val>
          <c:extLst>
            <c:ext xmlns:c16="http://schemas.microsoft.com/office/drawing/2014/chart" uri="{C3380CC4-5D6E-409C-BE32-E72D297353CC}">
              <c16:uniqueId val="{00000001-28BD-4008-8E64-79AF2955DFEB}"/>
            </c:ext>
          </c:extLst>
        </c:ser>
        <c:dLbls>
          <c:showLegendKey val="0"/>
          <c:showVal val="0"/>
          <c:showCatName val="0"/>
          <c:showSerName val="0"/>
          <c:showPercent val="0"/>
          <c:showBubbleSize val="0"/>
        </c:dLbls>
        <c:axId val="817602216"/>
        <c:axId val="817610856"/>
      </c:areaChart>
      <c:lineChart>
        <c:grouping val="standard"/>
        <c:varyColors val="0"/>
        <c:ser>
          <c:idx val="1"/>
          <c:order val="0"/>
          <c:spPr>
            <a:ln w="28575" cap="rnd">
              <a:solidFill>
                <a:schemeClr val="accent2"/>
              </a:solidFill>
              <a:round/>
            </a:ln>
            <a:effectLst/>
          </c:spPr>
          <c:marker>
            <c:symbol val="none"/>
          </c:marker>
          <c:dLbls>
            <c:dLbl>
              <c:idx val="4"/>
              <c:layout>
                <c:manualLayout>
                  <c:x val="-7.5433594678070799E-3"/>
                  <c:y val="-1.2859457270149859E-2"/>
                </c:manualLayout>
              </c:layout>
              <c:tx>
                <c:rich>
                  <a:bodyPr/>
                  <a:lstStyle/>
                  <a:p>
                    <a:fld id="{C7ABB0F3-E5C8-467E-BE00-0F474A5E5B2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8BD-4008-8E64-79AF2955DF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'[Charts and data for economic and financial presentation.xlsx]CPI'!$A$277:$A$313</c:f>
              <c:numCache>
                <c:formatCode>mmm\-yyyy</c:formatCode>
                <c:ptCount val="37"/>
                <c:pt idx="0">
                  <c:v>42064</c:v>
                </c:pt>
                <c:pt idx="1">
                  <c:v>42156</c:v>
                </c:pt>
                <c:pt idx="2">
                  <c:v>42248</c:v>
                </c:pt>
                <c:pt idx="3">
                  <c:v>42339</c:v>
                </c:pt>
                <c:pt idx="4">
                  <c:v>42430</c:v>
                </c:pt>
                <c:pt idx="5">
                  <c:v>42522</c:v>
                </c:pt>
                <c:pt idx="6">
                  <c:v>42614</c:v>
                </c:pt>
                <c:pt idx="7">
                  <c:v>42705</c:v>
                </c:pt>
                <c:pt idx="8">
                  <c:v>42795</c:v>
                </c:pt>
                <c:pt idx="9">
                  <c:v>42887</c:v>
                </c:pt>
                <c:pt idx="10">
                  <c:v>42979</c:v>
                </c:pt>
                <c:pt idx="11">
                  <c:v>43070</c:v>
                </c:pt>
                <c:pt idx="12">
                  <c:v>43160</c:v>
                </c:pt>
                <c:pt idx="13">
                  <c:v>43252</c:v>
                </c:pt>
                <c:pt idx="14">
                  <c:v>43344</c:v>
                </c:pt>
                <c:pt idx="15">
                  <c:v>43435</c:v>
                </c:pt>
                <c:pt idx="16">
                  <c:v>43525</c:v>
                </c:pt>
                <c:pt idx="17">
                  <c:v>43617</c:v>
                </c:pt>
                <c:pt idx="18">
                  <c:v>43709</c:v>
                </c:pt>
                <c:pt idx="19">
                  <c:v>43800</c:v>
                </c:pt>
                <c:pt idx="20">
                  <c:v>43891</c:v>
                </c:pt>
                <c:pt idx="21">
                  <c:v>43983</c:v>
                </c:pt>
                <c:pt idx="22">
                  <c:v>44075</c:v>
                </c:pt>
                <c:pt idx="23">
                  <c:v>44166</c:v>
                </c:pt>
                <c:pt idx="24">
                  <c:v>44256</c:v>
                </c:pt>
                <c:pt idx="25">
                  <c:v>44348</c:v>
                </c:pt>
                <c:pt idx="26">
                  <c:v>44440</c:v>
                </c:pt>
                <c:pt idx="27">
                  <c:v>44531</c:v>
                </c:pt>
                <c:pt idx="28">
                  <c:v>44621</c:v>
                </c:pt>
                <c:pt idx="29">
                  <c:v>44713</c:v>
                </c:pt>
                <c:pt idx="30">
                  <c:v>44805</c:v>
                </c:pt>
                <c:pt idx="31">
                  <c:v>44896</c:v>
                </c:pt>
                <c:pt idx="32">
                  <c:v>44986</c:v>
                </c:pt>
                <c:pt idx="33">
                  <c:v>45078</c:v>
                </c:pt>
                <c:pt idx="34">
                  <c:v>45170</c:v>
                </c:pt>
                <c:pt idx="35">
                  <c:v>45261</c:v>
                </c:pt>
                <c:pt idx="36">
                  <c:v>45352</c:v>
                </c:pt>
              </c:numCache>
            </c:numRef>
          </c:cat>
          <c:val>
            <c:numRef>
              <c:f>'[Charts and data for economic and financial presentation.xlsx]CPI'!$AK$309:$AK$313</c:f>
              <c:numCache>
                <c:formatCode>0.0;\-0.0;0.0;@</c:formatCode>
                <c:ptCount val="5"/>
                <c:pt idx="0">
                  <c:v>6.8438003220611776</c:v>
                </c:pt>
                <c:pt idx="1">
                  <c:v>5.6170886075949333</c:v>
                </c:pt>
                <c:pt idx="2">
                  <c:v>4.8837209302325713</c:v>
                </c:pt>
                <c:pt idx="3">
                  <c:v>3.8138825324180115</c:v>
                </c:pt>
                <c:pt idx="4">
                  <c:v>3.6</c:v>
                </c:pt>
              </c:numCache>
            </c:numRef>
          </c:val>
          <c:smooth val="0"/>
          <c:extLst>
            <c:ext xmlns:c16="http://schemas.microsoft.com/office/drawing/2014/chart" uri="{C3380CC4-5D6E-409C-BE32-E72D297353CC}">
              <c16:uniqueId val="{00000003-28BD-4008-8E64-79AF2955DFEB}"/>
            </c:ext>
          </c:extLst>
        </c:ser>
        <c:dLbls>
          <c:showLegendKey val="0"/>
          <c:showVal val="0"/>
          <c:showCatName val="0"/>
          <c:showSerName val="0"/>
          <c:showPercent val="0"/>
          <c:showBubbleSize val="0"/>
        </c:dLbls>
        <c:marker val="1"/>
        <c:smooth val="0"/>
        <c:axId val="817602216"/>
        <c:axId val="817610856"/>
      </c:lineChart>
      <c:dateAx>
        <c:axId val="817602216"/>
        <c:scaling>
          <c:orientation val="minMax"/>
        </c:scaling>
        <c:delete val="0"/>
        <c:axPos val="b"/>
        <c:numFmt formatCode="mmm\-yy" sourceLinked="0"/>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17610856"/>
        <c:crossesAt val="-4"/>
        <c:auto val="0"/>
        <c:lblOffset val="100"/>
        <c:baseTimeUnit val="months"/>
        <c:majorUnit val="3"/>
        <c:majorTimeUnit val="months"/>
      </c:dateAx>
      <c:valAx>
        <c:axId val="8176108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17602216"/>
        <c:crossesAt val="1"/>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91152961863634"/>
          <c:y val="5.1337890413264503E-2"/>
          <c:w val="0.79855185226213432"/>
          <c:h val="0.73001092254772493"/>
        </c:manualLayout>
      </c:layout>
      <c:lineChart>
        <c:grouping val="standard"/>
        <c:varyColors val="0"/>
        <c:ser>
          <c:idx val="0"/>
          <c:order val="0"/>
          <c:tx>
            <c:v>Australia</c:v>
          </c:tx>
          <c:spPr>
            <a:ln w="28575" cap="rnd">
              <a:solidFill>
                <a:schemeClr val="accent5"/>
              </a:solidFill>
              <a:round/>
            </a:ln>
            <a:effectLst/>
          </c:spPr>
          <c:marker>
            <c:symbol val="none"/>
          </c:marker>
          <c:dLbls>
            <c:dLbl>
              <c:idx val="4"/>
              <c:tx>
                <c:rich>
                  <a:bodyPr/>
                  <a:lstStyle/>
                  <a:p>
                    <a:fld id="{D463FA68-8567-4EC6-B8F8-19A76FDE37FA}" type="VALUE">
                      <a:rPr lang="en-US">
                        <a:solidFill>
                          <a:schemeClr val="accent1"/>
                        </a:solidFill>
                      </a:rPr>
                      <a:pPr/>
                      <a:t>[VALUE]</a:t>
                    </a:fld>
                    <a:r>
                      <a:rPr lang="en-US">
                        <a:solidFill>
                          <a:schemeClr val="accent1"/>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112-47B9-8740-59705DD0BE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'[Charts and data for economic and financial presentation.xlsx]WPI'!$A$113:$A$117</c:f>
              <c:numCache>
                <c:formatCode>mmm\-yyyy</c:formatCode>
                <c:ptCount val="5"/>
                <c:pt idx="0">
                  <c:v>44986</c:v>
                </c:pt>
                <c:pt idx="1">
                  <c:v>45078</c:v>
                </c:pt>
                <c:pt idx="2">
                  <c:v>45170</c:v>
                </c:pt>
                <c:pt idx="3">
                  <c:v>45261</c:v>
                </c:pt>
                <c:pt idx="4">
                  <c:v>45352</c:v>
                </c:pt>
              </c:numCache>
            </c:numRef>
          </c:cat>
          <c:val>
            <c:numRef>
              <c:f>'[Charts and data for economic and financial presentation.xlsx]WPI'!$AG$113:$AG$117</c:f>
              <c:numCache>
                <c:formatCode>0.0;\-0.0;0.0;@</c:formatCode>
                <c:ptCount val="5"/>
                <c:pt idx="0">
                  <c:v>3.6</c:v>
                </c:pt>
                <c:pt idx="1">
                  <c:v>3.6</c:v>
                </c:pt>
                <c:pt idx="2">
                  <c:v>4.0999999999999996</c:v>
                </c:pt>
                <c:pt idx="3">
                  <c:v>4.3</c:v>
                </c:pt>
                <c:pt idx="4" formatCode="General">
                  <c:v>4.0999999999999996</c:v>
                </c:pt>
              </c:numCache>
            </c:numRef>
          </c:val>
          <c:smooth val="0"/>
          <c:extLst>
            <c:ext xmlns:c16="http://schemas.microsoft.com/office/drawing/2014/chart" uri="{C3380CC4-5D6E-409C-BE32-E72D297353CC}">
              <c16:uniqueId val="{00000001-E112-47B9-8740-59705DD0BE0E}"/>
            </c:ext>
          </c:extLst>
        </c:ser>
        <c:ser>
          <c:idx val="1"/>
          <c:order val="1"/>
          <c:tx>
            <c:v>Victoria</c:v>
          </c:tx>
          <c:spPr>
            <a:ln w="28575" cap="rnd">
              <a:solidFill>
                <a:schemeClr val="accent2"/>
              </a:solidFill>
              <a:round/>
            </a:ln>
            <a:effectLst/>
          </c:spPr>
          <c:marker>
            <c:symbol val="none"/>
          </c:marker>
          <c:dLbls>
            <c:dLbl>
              <c:idx val="4"/>
              <c:tx>
                <c:rich>
                  <a:bodyPr/>
                  <a:lstStyle/>
                  <a:p>
                    <a:fld id="{9361CA7C-EA87-40D4-8D8D-C0086C1F5ECA}" type="VALUE">
                      <a:rPr lang="en-US">
                        <a:solidFill>
                          <a:schemeClr val="accent2"/>
                        </a:solidFill>
                      </a:rPr>
                      <a:pPr/>
                      <a:t>[VALUE]</a:t>
                    </a:fld>
                    <a:r>
                      <a:rPr lang="en-US">
                        <a:solidFill>
                          <a:schemeClr val="accent2"/>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112-47B9-8740-59705DD0BE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'[Charts and data for economic and financial presentation.xlsx]WPI'!$A$113:$A$117</c:f>
              <c:numCache>
                <c:formatCode>mmm\-yyyy</c:formatCode>
                <c:ptCount val="5"/>
                <c:pt idx="0">
                  <c:v>44986</c:v>
                </c:pt>
                <c:pt idx="1">
                  <c:v>45078</c:v>
                </c:pt>
                <c:pt idx="2">
                  <c:v>45170</c:v>
                </c:pt>
                <c:pt idx="3">
                  <c:v>45261</c:v>
                </c:pt>
                <c:pt idx="4">
                  <c:v>45352</c:v>
                </c:pt>
              </c:numCache>
            </c:numRef>
          </c:cat>
          <c:val>
            <c:numRef>
              <c:f>'[Charts and data for economic and financial presentation.xlsx]WPI'!$Z$113:$Z$117</c:f>
              <c:numCache>
                <c:formatCode>0.0;\-0.0;0.0;@</c:formatCode>
                <c:ptCount val="5"/>
                <c:pt idx="0">
                  <c:v>3.5</c:v>
                </c:pt>
                <c:pt idx="1">
                  <c:v>3.6</c:v>
                </c:pt>
                <c:pt idx="2">
                  <c:v>3.7</c:v>
                </c:pt>
                <c:pt idx="3">
                  <c:v>3.7</c:v>
                </c:pt>
                <c:pt idx="4" formatCode="General">
                  <c:v>3.6</c:v>
                </c:pt>
              </c:numCache>
            </c:numRef>
          </c:val>
          <c:smooth val="0"/>
          <c:extLst>
            <c:ext xmlns:c16="http://schemas.microsoft.com/office/drawing/2014/chart" uri="{C3380CC4-5D6E-409C-BE32-E72D297353CC}">
              <c16:uniqueId val="{00000003-E112-47B9-8740-59705DD0BE0E}"/>
            </c:ext>
          </c:extLst>
        </c:ser>
        <c:dLbls>
          <c:showLegendKey val="0"/>
          <c:showVal val="0"/>
          <c:showCatName val="0"/>
          <c:showSerName val="0"/>
          <c:showPercent val="0"/>
          <c:showBubbleSize val="0"/>
        </c:dLbls>
        <c:smooth val="0"/>
        <c:axId val="888068088"/>
        <c:axId val="888068448"/>
      </c:lineChart>
      <c:dateAx>
        <c:axId val="888068088"/>
        <c:scaling>
          <c:orientation val="minMax"/>
          <c:max val="45352"/>
          <c:min val="44986"/>
        </c:scaling>
        <c:delete val="0"/>
        <c:axPos val="b"/>
        <c:numFmt formatCode="mmm\-yy" sourceLinked="0"/>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88068448"/>
        <c:crosses val="autoZero"/>
        <c:auto val="1"/>
        <c:lblOffset val="100"/>
        <c:baseTimeUnit val="months"/>
        <c:majorUnit val="3"/>
        <c:majorTimeUnit val="months"/>
      </c:dateAx>
      <c:valAx>
        <c:axId val="888068448"/>
        <c:scaling>
          <c:orientation val="minMax"/>
          <c:min val="3"/>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880680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2"/>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v>Australia</c:v>
          </c:tx>
          <c:spPr>
            <a:ln w="28575" cap="rnd">
              <a:solidFill>
                <a:schemeClr val="accent5"/>
              </a:solidFill>
              <a:round/>
            </a:ln>
            <a:effectLst/>
          </c:spPr>
          <c:marker>
            <c:symbol val="none"/>
          </c:marker>
          <c:dLbls>
            <c:dLbl>
              <c:idx val="41"/>
              <c:layout>
                <c:manualLayout>
                  <c:x val="-1.1688737147664323E-16"/>
                  <c:y val="-4.5210102381302741E-2"/>
                </c:manualLayout>
              </c:layout>
              <c:tx>
                <c:rich>
                  <a:bodyPr/>
                  <a:lstStyle/>
                  <a:p>
                    <a:fld id="{7EAE04E1-EEE7-4DB8-B752-5AA4853E071A}" type="VALUE">
                      <a:rPr lang="en-US" smtClean="0">
                        <a:solidFill>
                          <a:schemeClr val="accent5"/>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C13-48C8-B450-8393EFC1B7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'[Charts and data for economic and financial presentation.xlsx]Sheet2'!$A$2:$A$43</c:f>
              <c:numCache>
                <c:formatCode>mmm\-yyyy</c:formatCode>
                <c:ptCount val="42"/>
                <c:pt idx="0">
                  <c:v>41609</c:v>
                </c:pt>
                <c:pt idx="1">
                  <c:v>41699</c:v>
                </c:pt>
                <c:pt idx="2">
                  <c:v>41791</c:v>
                </c:pt>
                <c:pt idx="3">
                  <c:v>41883</c:v>
                </c:pt>
                <c:pt idx="4">
                  <c:v>41974</c:v>
                </c:pt>
                <c:pt idx="5">
                  <c:v>42064</c:v>
                </c:pt>
                <c:pt idx="6">
                  <c:v>42156</c:v>
                </c:pt>
                <c:pt idx="7">
                  <c:v>42248</c:v>
                </c:pt>
                <c:pt idx="8">
                  <c:v>42339</c:v>
                </c:pt>
                <c:pt idx="9">
                  <c:v>42430</c:v>
                </c:pt>
                <c:pt idx="10">
                  <c:v>42522</c:v>
                </c:pt>
                <c:pt idx="11">
                  <c:v>42614</c:v>
                </c:pt>
                <c:pt idx="12">
                  <c:v>42705</c:v>
                </c:pt>
                <c:pt idx="13">
                  <c:v>42795</c:v>
                </c:pt>
                <c:pt idx="14">
                  <c:v>42887</c:v>
                </c:pt>
                <c:pt idx="15">
                  <c:v>42979</c:v>
                </c:pt>
                <c:pt idx="16">
                  <c:v>43070</c:v>
                </c:pt>
                <c:pt idx="17">
                  <c:v>43160</c:v>
                </c:pt>
                <c:pt idx="18">
                  <c:v>43252</c:v>
                </c:pt>
                <c:pt idx="19">
                  <c:v>43344</c:v>
                </c:pt>
                <c:pt idx="20">
                  <c:v>43435</c:v>
                </c:pt>
                <c:pt idx="21">
                  <c:v>43525</c:v>
                </c:pt>
                <c:pt idx="22">
                  <c:v>43617</c:v>
                </c:pt>
                <c:pt idx="23">
                  <c:v>43709</c:v>
                </c:pt>
                <c:pt idx="24">
                  <c:v>43800</c:v>
                </c:pt>
                <c:pt idx="25">
                  <c:v>43891</c:v>
                </c:pt>
                <c:pt idx="26">
                  <c:v>43983</c:v>
                </c:pt>
                <c:pt idx="27">
                  <c:v>44075</c:v>
                </c:pt>
                <c:pt idx="28">
                  <c:v>44166</c:v>
                </c:pt>
                <c:pt idx="29">
                  <c:v>44256</c:v>
                </c:pt>
                <c:pt idx="30">
                  <c:v>44348</c:v>
                </c:pt>
                <c:pt idx="31">
                  <c:v>44440</c:v>
                </c:pt>
                <c:pt idx="32">
                  <c:v>44531</c:v>
                </c:pt>
                <c:pt idx="33">
                  <c:v>44621</c:v>
                </c:pt>
                <c:pt idx="34">
                  <c:v>44713</c:v>
                </c:pt>
                <c:pt idx="35">
                  <c:v>44805</c:v>
                </c:pt>
                <c:pt idx="36">
                  <c:v>44896</c:v>
                </c:pt>
                <c:pt idx="37">
                  <c:v>44986</c:v>
                </c:pt>
                <c:pt idx="38">
                  <c:v>45078</c:v>
                </c:pt>
                <c:pt idx="39">
                  <c:v>45170</c:v>
                </c:pt>
                <c:pt idx="40">
                  <c:v>45261</c:v>
                </c:pt>
                <c:pt idx="41">
                  <c:v>45352</c:v>
                </c:pt>
              </c:numCache>
              <c:extLst xmlns:c15="http://schemas.microsoft.com/office/drawing/2012/chart"/>
            </c:numRef>
          </c:cat>
          <c:val>
            <c:numRef>
              <c:f>'[Charts and data for economic and financial presentation.xlsx]Sheet2'!$K$2:$K$43</c:f>
              <c:numCache>
                <c:formatCode>General</c:formatCode>
                <c:ptCount val="42"/>
                <c:pt idx="0">
                  <c:v>-0.20000000000000018</c:v>
                </c:pt>
                <c:pt idx="1">
                  <c:v>-0.29999999999999982</c:v>
                </c:pt>
                <c:pt idx="2">
                  <c:v>-0.39999999999999991</c:v>
                </c:pt>
                <c:pt idx="3">
                  <c:v>0.20000000000000018</c:v>
                </c:pt>
                <c:pt idx="4">
                  <c:v>0.90000000000000013</c:v>
                </c:pt>
                <c:pt idx="5">
                  <c:v>0.99999999999999978</c:v>
                </c:pt>
                <c:pt idx="6">
                  <c:v>0.79999999999999982</c:v>
                </c:pt>
                <c:pt idx="7">
                  <c:v>0.79999999999999982</c:v>
                </c:pt>
                <c:pt idx="8">
                  <c:v>0.40000000000000013</c:v>
                </c:pt>
                <c:pt idx="9">
                  <c:v>0.8</c:v>
                </c:pt>
                <c:pt idx="10">
                  <c:v>1.1000000000000001</c:v>
                </c:pt>
                <c:pt idx="11">
                  <c:v>0.7</c:v>
                </c:pt>
                <c:pt idx="12">
                  <c:v>0.5</c:v>
                </c:pt>
                <c:pt idx="13">
                  <c:v>-0.20000000000000018</c:v>
                </c:pt>
                <c:pt idx="14">
                  <c:v>0</c:v>
                </c:pt>
                <c:pt idx="15">
                  <c:v>0.19999999999999996</c:v>
                </c:pt>
                <c:pt idx="16">
                  <c:v>0.20000000000000018</c:v>
                </c:pt>
                <c:pt idx="17">
                  <c:v>0.20000000000000018</c:v>
                </c:pt>
                <c:pt idx="18">
                  <c:v>0</c:v>
                </c:pt>
                <c:pt idx="19">
                  <c:v>0.39999999999999991</c:v>
                </c:pt>
                <c:pt idx="20">
                  <c:v>0.49999999999999978</c:v>
                </c:pt>
                <c:pt idx="21">
                  <c:v>0.99999999999999978</c:v>
                </c:pt>
                <c:pt idx="22">
                  <c:v>0.79999999999999982</c:v>
                </c:pt>
                <c:pt idx="23">
                  <c:v>0.50000000000000022</c:v>
                </c:pt>
                <c:pt idx="24">
                  <c:v>0.40000000000000013</c:v>
                </c:pt>
                <c:pt idx="25">
                  <c:v>0</c:v>
                </c:pt>
                <c:pt idx="26">
                  <c:v>2</c:v>
                </c:pt>
                <c:pt idx="27">
                  <c:v>0.7</c:v>
                </c:pt>
                <c:pt idx="28">
                  <c:v>0.49999999999999989</c:v>
                </c:pt>
                <c:pt idx="29">
                  <c:v>0.39999999999999991</c:v>
                </c:pt>
                <c:pt idx="30">
                  <c:v>-1.9999999999999998</c:v>
                </c:pt>
                <c:pt idx="31">
                  <c:v>-0.79999999999999982</c:v>
                </c:pt>
                <c:pt idx="32">
                  <c:v>-1.2000000000000002</c:v>
                </c:pt>
                <c:pt idx="33">
                  <c:v>-2.6999999999999997</c:v>
                </c:pt>
                <c:pt idx="34">
                  <c:v>-3.4999999999999996</c:v>
                </c:pt>
                <c:pt idx="35">
                  <c:v>-4.0999999999999996</c:v>
                </c:pt>
                <c:pt idx="36">
                  <c:v>-4.4000000000000004</c:v>
                </c:pt>
                <c:pt idx="37">
                  <c:v>-3.4</c:v>
                </c:pt>
                <c:pt idx="38">
                  <c:v>-2.4</c:v>
                </c:pt>
                <c:pt idx="39">
                  <c:v>-1.3000000000000007</c:v>
                </c:pt>
                <c:pt idx="40">
                  <c:v>0.20000000000000018</c:v>
                </c:pt>
                <c:pt idx="41">
                  <c:v>0.49999999999999956</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1-7C13-48C8-B450-8393EFC1B765}"/>
            </c:ext>
          </c:extLst>
        </c:ser>
        <c:ser>
          <c:idx val="3"/>
          <c:order val="3"/>
          <c:tx>
            <c:v>Victoria</c:v>
          </c:tx>
          <c:spPr>
            <a:ln w="28575" cap="rnd">
              <a:solidFill>
                <a:schemeClr val="accent2"/>
              </a:solidFill>
              <a:round/>
            </a:ln>
            <a:effectLst/>
          </c:spPr>
          <c:marker>
            <c:symbol val="none"/>
          </c:marker>
          <c:dLbls>
            <c:dLbl>
              <c:idx val="41"/>
              <c:layout>
                <c:manualLayout>
                  <c:x val="-1.1688737147664323E-16"/>
                  <c:y val="5.0233447090336301E-2"/>
                </c:manualLayout>
              </c:layout>
              <c:tx>
                <c:rich>
                  <a:bodyPr/>
                  <a:lstStyle/>
                  <a:p>
                    <a:fld id="{4694B66D-77FD-4824-9361-8EE1E4935335}" type="VALUE">
                      <a:rPr lang="en-US" smtClean="0">
                        <a:solidFill>
                          <a:schemeClr val="accent2"/>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C13-48C8-B450-8393EFC1B7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'[Charts and data for economic and financial presentation.xlsx]Sheet2'!$A$2:$A$43</c:f>
              <c:numCache>
                <c:formatCode>mmm\-yyyy</c:formatCode>
                <c:ptCount val="42"/>
                <c:pt idx="0">
                  <c:v>41609</c:v>
                </c:pt>
                <c:pt idx="1">
                  <c:v>41699</c:v>
                </c:pt>
                <c:pt idx="2">
                  <c:v>41791</c:v>
                </c:pt>
                <c:pt idx="3">
                  <c:v>41883</c:v>
                </c:pt>
                <c:pt idx="4">
                  <c:v>41974</c:v>
                </c:pt>
                <c:pt idx="5">
                  <c:v>42064</c:v>
                </c:pt>
                <c:pt idx="6">
                  <c:v>42156</c:v>
                </c:pt>
                <c:pt idx="7">
                  <c:v>42248</c:v>
                </c:pt>
                <c:pt idx="8">
                  <c:v>42339</c:v>
                </c:pt>
                <c:pt idx="9">
                  <c:v>42430</c:v>
                </c:pt>
                <c:pt idx="10">
                  <c:v>42522</c:v>
                </c:pt>
                <c:pt idx="11">
                  <c:v>42614</c:v>
                </c:pt>
                <c:pt idx="12">
                  <c:v>42705</c:v>
                </c:pt>
                <c:pt idx="13">
                  <c:v>42795</c:v>
                </c:pt>
                <c:pt idx="14">
                  <c:v>42887</c:v>
                </c:pt>
                <c:pt idx="15">
                  <c:v>42979</c:v>
                </c:pt>
                <c:pt idx="16">
                  <c:v>43070</c:v>
                </c:pt>
                <c:pt idx="17">
                  <c:v>43160</c:v>
                </c:pt>
                <c:pt idx="18">
                  <c:v>43252</c:v>
                </c:pt>
                <c:pt idx="19">
                  <c:v>43344</c:v>
                </c:pt>
                <c:pt idx="20">
                  <c:v>43435</c:v>
                </c:pt>
                <c:pt idx="21">
                  <c:v>43525</c:v>
                </c:pt>
                <c:pt idx="22">
                  <c:v>43617</c:v>
                </c:pt>
                <c:pt idx="23">
                  <c:v>43709</c:v>
                </c:pt>
                <c:pt idx="24">
                  <c:v>43800</c:v>
                </c:pt>
                <c:pt idx="25">
                  <c:v>43891</c:v>
                </c:pt>
                <c:pt idx="26">
                  <c:v>43983</c:v>
                </c:pt>
                <c:pt idx="27">
                  <c:v>44075</c:v>
                </c:pt>
                <c:pt idx="28">
                  <c:v>44166</c:v>
                </c:pt>
                <c:pt idx="29">
                  <c:v>44256</c:v>
                </c:pt>
                <c:pt idx="30">
                  <c:v>44348</c:v>
                </c:pt>
                <c:pt idx="31">
                  <c:v>44440</c:v>
                </c:pt>
                <c:pt idx="32">
                  <c:v>44531</c:v>
                </c:pt>
                <c:pt idx="33">
                  <c:v>44621</c:v>
                </c:pt>
                <c:pt idx="34">
                  <c:v>44713</c:v>
                </c:pt>
                <c:pt idx="35">
                  <c:v>44805</c:v>
                </c:pt>
                <c:pt idx="36">
                  <c:v>44896</c:v>
                </c:pt>
                <c:pt idx="37">
                  <c:v>44986</c:v>
                </c:pt>
                <c:pt idx="38">
                  <c:v>45078</c:v>
                </c:pt>
                <c:pt idx="39">
                  <c:v>45170</c:v>
                </c:pt>
                <c:pt idx="40">
                  <c:v>45261</c:v>
                </c:pt>
                <c:pt idx="41">
                  <c:v>45352</c:v>
                </c:pt>
              </c:numCache>
              <c:extLst xmlns:c15="http://schemas.microsoft.com/office/drawing/2012/chart"/>
            </c:numRef>
          </c:cat>
          <c:val>
            <c:numRef>
              <c:f>'[Charts and data for economic and financial presentation.xlsx]Sheet2'!$M$2:$M$43</c:f>
              <c:numCache>
                <c:formatCode>General</c:formatCode>
                <c:ptCount val="42"/>
                <c:pt idx="0">
                  <c:v>-0.20000000000000018</c:v>
                </c:pt>
                <c:pt idx="1">
                  <c:v>-9.9999999999999645E-2</c:v>
                </c:pt>
                <c:pt idx="2">
                  <c:v>-0.40000000000000036</c:v>
                </c:pt>
                <c:pt idx="3">
                  <c:v>0.70000000000000018</c:v>
                </c:pt>
                <c:pt idx="4">
                  <c:v>1.4</c:v>
                </c:pt>
                <c:pt idx="5">
                  <c:v>1.6</c:v>
                </c:pt>
                <c:pt idx="6">
                  <c:v>1.5</c:v>
                </c:pt>
                <c:pt idx="7">
                  <c:v>1.2000000000000002</c:v>
                </c:pt>
                <c:pt idx="8">
                  <c:v>0.5</c:v>
                </c:pt>
                <c:pt idx="9">
                  <c:v>0.7</c:v>
                </c:pt>
                <c:pt idx="10">
                  <c:v>0.70000000000000018</c:v>
                </c:pt>
                <c:pt idx="11">
                  <c:v>0.60000000000000009</c:v>
                </c:pt>
                <c:pt idx="12">
                  <c:v>0.39999999999999991</c:v>
                </c:pt>
                <c:pt idx="13">
                  <c:v>-0.5</c:v>
                </c:pt>
                <c:pt idx="14">
                  <c:v>-0.20000000000000018</c:v>
                </c:pt>
                <c:pt idx="15">
                  <c:v>0</c:v>
                </c:pt>
                <c:pt idx="16">
                  <c:v>0.19999999999999973</c:v>
                </c:pt>
                <c:pt idx="17">
                  <c:v>9.9999999999999645E-2</c:v>
                </c:pt>
                <c:pt idx="18">
                  <c:v>0</c:v>
                </c:pt>
                <c:pt idx="19">
                  <c:v>0.29999999999999982</c:v>
                </c:pt>
                <c:pt idx="20">
                  <c:v>0.70000000000000018</c:v>
                </c:pt>
                <c:pt idx="21">
                  <c:v>1.5000000000000002</c:v>
                </c:pt>
                <c:pt idx="22">
                  <c:v>1.5999999999999999</c:v>
                </c:pt>
                <c:pt idx="23">
                  <c:v>1.0999999999999999</c:v>
                </c:pt>
                <c:pt idx="24">
                  <c:v>0.70000000000000018</c:v>
                </c:pt>
                <c:pt idx="25">
                  <c:v>-0.20000000000000018</c:v>
                </c:pt>
                <c:pt idx="26">
                  <c:v>1.4</c:v>
                </c:pt>
                <c:pt idx="27">
                  <c:v>0.5</c:v>
                </c:pt>
                <c:pt idx="28">
                  <c:v>0</c:v>
                </c:pt>
                <c:pt idx="29">
                  <c:v>0.7</c:v>
                </c:pt>
                <c:pt idx="30">
                  <c:v>-1.0999999999999999</c:v>
                </c:pt>
                <c:pt idx="31">
                  <c:v>-0.39999999999999991</c:v>
                </c:pt>
                <c:pt idx="32">
                  <c:v>-0.20000000000000018</c:v>
                </c:pt>
                <c:pt idx="33">
                  <c:v>-2.2000000000000002</c:v>
                </c:pt>
                <c:pt idx="34">
                  <c:v>-3.5999999999999996</c:v>
                </c:pt>
                <c:pt idx="35">
                  <c:v>-4.3000000000000007</c:v>
                </c:pt>
                <c:pt idx="36">
                  <c:v>-4.5999999999999996</c:v>
                </c:pt>
                <c:pt idx="37">
                  <c:v>-3.3</c:v>
                </c:pt>
                <c:pt idx="38">
                  <c:v>-1.9999999999999996</c:v>
                </c:pt>
                <c:pt idx="39">
                  <c:v>-1.2000000000000002</c:v>
                </c:pt>
                <c:pt idx="40">
                  <c:v>-9.9999999999999645E-2</c:v>
                </c:pt>
                <c:pt idx="41" formatCode="0.0">
                  <c:v>0</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3-7C13-48C8-B450-8393EFC1B765}"/>
            </c:ext>
          </c:extLst>
        </c:ser>
        <c:dLbls>
          <c:showLegendKey val="0"/>
          <c:showVal val="0"/>
          <c:showCatName val="0"/>
          <c:showSerName val="0"/>
          <c:showPercent val="0"/>
          <c:showBubbleSize val="0"/>
        </c:dLbls>
        <c:smooth val="0"/>
        <c:axId val="1124649176"/>
        <c:axId val="1124649536"/>
        <c:extLst>
          <c:ext xmlns:c15="http://schemas.microsoft.com/office/drawing/2012/chart" uri="{02D57815-91ED-43cb-92C2-25804820EDAC}">
            <c15:filteredLineSeries>
              <c15:ser>
                <c:idx val="0"/>
                <c:order val="0"/>
                <c:spPr>
                  <a:ln w="28575" cap="rnd">
                    <a:solidFill>
                      <a:schemeClr val="accent1"/>
                    </a:solidFill>
                    <a:round/>
                  </a:ln>
                  <a:effectLst/>
                </c:spPr>
                <c:marker>
                  <c:symbol val="none"/>
                </c:marker>
                <c:cat>
                  <c:numRef>
                    <c:extLst>
                      <c:ext uri="{02D57815-91ED-43cb-92C2-25804820EDAC}">
                        <c15:formulaRef>
                          <c15:sqref>'[Charts and data for economic and financial presentation.xlsx]Sheet2'!$A$2:$A$43</c15:sqref>
                        </c15:formulaRef>
                      </c:ext>
                    </c:extLst>
                    <c:numCache>
                      <c:formatCode>mmm\-yyyy</c:formatCode>
                      <c:ptCount val="42"/>
                      <c:pt idx="0">
                        <c:v>41609</c:v>
                      </c:pt>
                      <c:pt idx="1">
                        <c:v>41699</c:v>
                      </c:pt>
                      <c:pt idx="2">
                        <c:v>41791</c:v>
                      </c:pt>
                      <c:pt idx="3">
                        <c:v>41883</c:v>
                      </c:pt>
                      <c:pt idx="4">
                        <c:v>41974</c:v>
                      </c:pt>
                      <c:pt idx="5">
                        <c:v>42064</c:v>
                      </c:pt>
                      <c:pt idx="6">
                        <c:v>42156</c:v>
                      </c:pt>
                      <c:pt idx="7">
                        <c:v>42248</c:v>
                      </c:pt>
                      <c:pt idx="8">
                        <c:v>42339</c:v>
                      </c:pt>
                      <c:pt idx="9">
                        <c:v>42430</c:v>
                      </c:pt>
                      <c:pt idx="10">
                        <c:v>42522</c:v>
                      </c:pt>
                      <c:pt idx="11">
                        <c:v>42614</c:v>
                      </c:pt>
                      <c:pt idx="12">
                        <c:v>42705</c:v>
                      </c:pt>
                      <c:pt idx="13">
                        <c:v>42795</c:v>
                      </c:pt>
                      <c:pt idx="14">
                        <c:v>42887</c:v>
                      </c:pt>
                      <c:pt idx="15">
                        <c:v>42979</c:v>
                      </c:pt>
                      <c:pt idx="16">
                        <c:v>43070</c:v>
                      </c:pt>
                      <c:pt idx="17">
                        <c:v>43160</c:v>
                      </c:pt>
                      <c:pt idx="18">
                        <c:v>43252</c:v>
                      </c:pt>
                      <c:pt idx="19">
                        <c:v>43344</c:v>
                      </c:pt>
                      <c:pt idx="20">
                        <c:v>43435</c:v>
                      </c:pt>
                      <c:pt idx="21">
                        <c:v>43525</c:v>
                      </c:pt>
                      <c:pt idx="22">
                        <c:v>43617</c:v>
                      </c:pt>
                      <c:pt idx="23">
                        <c:v>43709</c:v>
                      </c:pt>
                      <c:pt idx="24">
                        <c:v>43800</c:v>
                      </c:pt>
                      <c:pt idx="25">
                        <c:v>43891</c:v>
                      </c:pt>
                      <c:pt idx="26">
                        <c:v>43983</c:v>
                      </c:pt>
                      <c:pt idx="27">
                        <c:v>44075</c:v>
                      </c:pt>
                      <c:pt idx="28">
                        <c:v>44166</c:v>
                      </c:pt>
                      <c:pt idx="29">
                        <c:v>44256</c:v>
                      </c:pt>
                      <c:pt idx="30">
                        <c:v>44348</c:v>
                      </c:pt>
                      <c:pt idx="31">
                        <c:v>44440</c:v>
                      </c:pt>
                      <c:pt idx="32">
                        <c:v>44531</c:v>
                      </c:pt>
                      <c:pt idx="33">
                        <c:v>44621</c:v>
                      </c:pt>
                      <c:pt idx="34">
                        <c:v>44713</c:v>
                      </c:pt>
                      <c:pt idx="35">
                        <c:v>44805</c:v>
                      </c:pt>
                      <c:pt idx="36">
                        <c:v>44896</c:v>
                      </c:pt>
                      <c:pt idx="37">
                        <c:v>44986</c:v>
                      </c:pt>
                      <c:pt idx="38">
                        <c:v>45078</c:v>
                      </c:pt>
                      <c:pt idx="39">
                        <c:v>45170</c:v>
                      </c:pt>
                      <c:pt idx="40">
                        <c:v>45261</c:v>
                      </c:pt>
                      <c:pt idx="41">
                        <c:v>45352</c:v>
                      </c:pt>
                    </c:numCache>
                  </c:numRef>
                </c:cat>
                <c:val>
                  <c:numRef>
                    <c:extLst>
                      <c:ext uri="{02D57815-91ED-43cb-92C2-25804820EDAC}">
                        <c15:formulaRef>
                          <c15:sqref>'[Charts and data for economic and financial presentation.xlsx]Sheet2'!$J$2:$J$43</c15:sqref>
                        </c15:formulaRef>
                      </c:ext>
                    </c:extLst>
                    <c:numCache>
                      <c:formatCode>General</c:formatCode>
                      <c:ptCount val="42"/>
                      <c:pt idx="0">
                        <c:v>-0.30000000000000004</c:v>
                      </c:pt>
                      <c:pt idx="1">
                        <c:v>9.9999999999999978E-2</c:v>
                      </c:pt>
                      <c:pt idx="2">
                        <c:v>-9.9999999999999978E-2</c:v>
                      </c:pt>
                      <c:pt idx="3">
                        <c:v>0.30000000000000004</c:v>
                      </c:pt>
                      <c:pt idx="4">
                        <c:v>0.39999999999999997</c:v>
                      </c:pt>
                      <c:pt idx="5">
                        <c:v>0.2</c:v>
                      </c:pt>
                      <c:pt idx="6">
                        <c:v>-0.29999999999999993</c:v>
                      </c:pt>
                      <c:pt idx="7">
                        <c:v>0.30000000000000004</c:v>
                      </c:pt>
                      <c:pt idx="8">
                        <c:v>0</c:v>
                      </c:pt>
                      <c:pt idx="9">
                        <c:v>0.60000000000000009</c:v>
                      </c:pt>
                      <c:pt idx="10">
                        <c:v>0</c:v>
                      </c:pt>
                      <c:pt idx="11">
                        <c:v>0</c:v>
                      </c:pt>
                      <c:pt idx="12">
                        <c:v>-9.9999999999999978E-2</c:v>
                      </c:pt>
                      <c:pt idx="13">
                        <c:v>-9.9999999999999978E-2</c:v>
                      </c:pt>
                      <c:pt idx="14">
                        <c:v>0.2</c:v>
                      </c:pt>
                      <c:pt idx="15">
                        <c:v>0.20000000000000007</c:v>
                      </c:pt>
                      <c:pt idx="16">
                        <c:v>-9.9999999999999978E-2</c:v>
                      </c:pt>
                      <c:pt idx="17">
                        <c:v>0</c:v>
                      </c:pt>
                      <c:pt idx="18">
                        <c:v>0</c:v>
                      </c:pt>
                      <c:pt idx="19">
                        <c:v>0.6</c:v>
                      </c:pt>
                      <c:pt idx="20">
                        <c:v>0</c:v>
                      </c:pt>
                      <c:pt idx="21">
                        <c:v>0.5</c:v>
                      </c:pt>
                      <c:pt idx="22">
                        <c:v>-9.9999999999999978E-2</c:v>
                      </c:pt>
                      <c:pt idx="23">
                        <c:v>0.30000000000000004</c:v>
                      </c:pt>
                      <c:pt idx="24">
                        <c:v>-0.19999999999999996</c:v>
                      </c:pt>
                      <c:pt idx="25">
                        <c:v>0.10000000000000003</c:v>
                      </c:pt>
                      <c:pt idx="26">
                        <c:v>1.9</c:v>
                      </c:pt>
                      <c:pt idx="27">
                        <c:v>-1.2000000000000002</c:v>
                      </c:pt>
                      <c:pt idx="28">
                        <c:v>-0.4</c:v>
                      </c:pt>
                      <c:pt idx="29">
                        <c:v>-9.9999999999999978E-2</c:v>
                      </c:pt>
                      <c:pt idx="30">
                        <c:v>-0.5</c:v>
                      </c:pt>
                      <c:pt idx="31">
                        <c:v>9.9999999999999978E-2</c:v>
                      </c:pt>
                      <c:pt idx="32">
                        <c:v>-0.70000000000000007</c:v>
                      </c:pt>
                      <c:pt idx="33">
                        <c:v>-1.5</c:v>
                      </c:pt>
                      <c:pt idx="34">
                        <c:v>-1.2000000000000002</c:v>
                      </c:pt>
                      <c:pt idx="35">
                        <c:v>-0.40000000000000013</c:v>
                      </c:pt>
                      <c:pt idx="36">
                        <c:v>-1.0999999999999999</c:v>
                      </c:pt>
                      <c:pt idx="37">
                        <c:v>-0.59999999999999987</c:v>
                      </c:pt>
                      <c:pt idx="38">
                        <c:v>-0.20000000000000007</c:v>
                      </c:pt>
                      <c:pt idx="39">
                        <c:v>0.7</c:v>
                      </c:pt>
                      <c:pt idx="40">
                        <c:v>0.30000000000000004</c:v>
                      </c:pt>
                      <c:pt idx="41">
                        <c:v>-0.19999999999999996</c:v>
                      </c:pt>
                    </c:numCache>
                  </c:numRef>
                </c:val>
                <c:smooth val="0"/>
                <c:extLst>
                  <c:ext xmlns:c16="http://schemas.microsoft.com/office/drawing/2014/chart" uri="{C3380CC4-5D6E-409C-BE32-E72D297353CC}">
                    <c16:uniqueId val="{00000004-7C13-48C8-B450-8393EFC1B765}"/>
                  </c:ext>
                </c:extLst>
              </c15:ser>
            </c15:filteredLineSeries>
            <c15:filteredLineSeries>
              <c15:ser>
                <c:idx val="2"/>
                <c:order val="2"/>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'[Charts and data for economic and financial presentation.xlsx]Sheet2'!$A$2:$A$43</c15:sqref>
                        </c15:formulaRef>
                      </c:ext>
                    </c:extLst>
                    <c:numCache>
                      <c:formatCode>mmm\-yyyy</c:formatCode>
                      <c:ptCount val="42"/>
                      <c:pt idx="0">
                        <c:v>41609</c:v>
                      </c:pt>
                      <c:pt idx="1">
                        <c:v>41699</c:v>
                      </c:pt>
                      <c:pt idx="2">
                        <c:v>41791</c:v>
                      </c:pt>
                      <c:pt idx="3">
                        <c:v>41883</c:v>
                      </c:pt>
                      <c:pt idx="4">
                        <c:v>41974</c:v>
                      </c:pt>
                      <c:pt idx="5">
                        <c:v>42064</c:v>
                      </c:pt>
                      <c:pt idx="6">
                        <c:v>42156</c:v>
                      </c:pt>
                      <c:pt idx="7">
                        <c:v>42248</c:v>
                      </c:pt>
                      <c:pt idx="8">
                        <c:v>42339</c:v>
                      </c:pt>
                      <c:pt idx="9">
                        <c:v>42430</c:v>
                      </c:pt>
                      <c:pt idx="10">
                        <c:v>42522</c:v>
                      </c:pt>
                      <c:pt idx="11">
                        <c:v>42614</c:v>
                      </c:pt>
                      <c:pt idx="12">
                        <c:v>42705</c:v>
                      </c:pt>
                      <c:pt idx="13">
                        <c:v>42795</c:v>
                      </c:pt>
                      <c:pt idx="14">
                        <c:v>42887</c:v>
                      </c:pt>
                      <c:pt idx="15">
                        <c:v>42979</c:v>
                      </c:pt>
                      <c:pt idx="16">
                        <c:v>43070</c:v>
                      </c:pt>
                      <c:pt idx="17">
                        <c:v>43160</c:v>
                      </c:pt>
                      <c:pt idx="18">
                        <c:v>43252</c:v>
                      </c:pt>
                      <c:pt idx="19">
                        <c:v>43344</c:v>
                      </c:pt>
                      <c:pt idx="20">
                        <c:v>43435</c:v>
                      </c:pt>
                      <c:pt idx="21">
                        <c:v>43525</c:v>
                      </c:pt>
                      <c:pt idx="22">
                        <c:v>43617</c:v>
                      </c:pt>
                      <c:pt idx="23">
                        <c:v>43709</c:v>
                      </c:pt>
                      <c:pt idx="24">
                        <c:v>43800</c:v>
                      </c:pt>
                      <c:pt idx="25">
                        <c:v>43891</c:v>
                      </c:pt>
                      <c:pt idx="26">
                        <c:v>43983</c:v>
                      </c:pt>
                      <c:pt idx="27">
                        <c:v>44075</c:v>
                      </c:pt>
                      <c:pt idx="28">
                        <c:v>44166</c:v>
                      </c:pt>
                      <c:pt idx="29">
                        <c:v>44256</c:v>
                      </c:pt>
                      <c:pt idx="30">
                        <c:v>44348</c:v>
                      </c:pt>
                      <c:pt idx="31">
                        <c:v>44440</c:v>
                      </c:pt>
                      <c:pt idx="32">
                        <c:v>44531</c:v>
                      </c:pt>
                      <c:pt idx="33">
                        <c:v>44621</c:v>
                      </c:pt>
                      <c:pt idx="34">
                        <c:v>44713</c:v>
                      </c:pt>
                      <c:pt idx="35">
                        <c:v>44805</c:v>
                      </c:pt>
                      <c:pt idx="36">
                        <c:v>44896</c:v>
                      </c:pt>
                      <c:pt idx="37">
                        <c:v>44986</c:v>
                      </c:pt>
                      <c:pt idx="38">
                        <c:v>45078</c:v>
                      </c:pt>
                      <c:pt idx="39">
                        <c:v>45170</c:v>
                      </c:pt>
                      <c:pt idx="40">
                        <c:v>45261</c:v>
                      </c:pt>
                      <c:pt idx="41">
                        <c:v>45352</c:v>
                      </c:pt>
                    </c:numCache>
                  </c:numRef>
                </c:cat>
                <c:val>
                  <c:numRef>
                    <c:extLst xmlns:c15="http://schemas.microsoft.com/office/drawing/2012/chart">
                      <c:ext xmlns:c15="http://schemas.microsoft.com/office/drawing/2012/chart" uri="{02D57815-91ED-43cb-92C2-25804820EDAC}">
                        <c15:formulaRef>
                          <c15:sqref>'[Charts and data for economic and financial presentation.xlsx]Sheet2'!$L$2:$L$43</c15:sqref>
                        </c15:formulaRef>
                      </c:ext>
                    </c:extLst>
                    <c:numCache>
                      <c:formatCode>General</c:formatCode>
                      <c:ptCount val="42"/>
                      <c:pt idx="0">
                        <c:v>-0.30000000000000004</c:v>
                      </c:pt>
                      <c:pt idx="1">
                        <c:v>0.19999999999999996</c:v>
                      </c:pt>
                      <c:pt idx="2">
                        <c:v>0</c:v>
                      </c:pt>
                      <c:pt idx="3">
                        <c:v>0.60000000000000009</c:v>
                      </c:pt>
                      <c:pt idx="4">
                        <c:v>0.49999999999999994</c:v>
                      </c:pt>
                      <c:pt idx="5">
                        <c:v>0.30000000000000004</c:v>
                      </c:pt>
                      <c:pt idx="6">
                        <c:v>0</c:v>
                      </c:pt>
                      <c:pt idx="7">
                        <c:v>0.30000000000000004</c:v>
                      </c:pt>
                      <c:pt idx="8">
                        <c:v>-0.19999999999999996</c:v>
                      </c:pt>
                      <c:pt idx="9">
                        <c:v>0.5</c:v>
                      </c:pt>
                      <c:pt idx="10">
                        <c:v>0</c:v>
                      </c:pt>
                      <c:pt idx="11">
                        <c:v>9.9999999999999978E-2</c:v>
                      </c:pt>
                      <c:pt idx="12">
                        <c:v>-0.29999999999999993</c:v>
                      </c:pt>
                      <c:pt idx="13">
                        <c:v>-0.30000000000000004</c:v>
                      </c:pt>
                      <c:pt idx="14">
                        <c:v>0.30000000000000004</c:v>
                      </c:pt>
                      <c:pt idx="15">
                        <c:v>0.30000000000000004</c:v>
                      </c:pt>
                      <c:pt idx="16">
                        <c:v>-9.9999999999999978E-2</c:v>
                      </c:pt>
                      <c:pt idx="17">
                        <c:v>-0.4</c:v>
                      </c:pt>
                      <c:pt idx="18">
                        <c:v>9.9999999999999978E-2</c:v>
                      </c:pt>
                      <c:pt idx="19">
                        <c:v>0.60000000000000009</c:v>
                      </c:pt>
                      <c:pt idx="20">
                        <c:v>0.30000000000000004</c:v>
                      </c:pt>
                      <c:pt idx="21">
                        <c:v>0.4</c:v>
                      </c:pt>
                      <c:pt idx="22">
                        <c:v>0.19999999999999996</c:v>
                      </c:pt>
                      <c:pt idx="23">
                        <c:v>0.30000000000000004</c:v>
                      </c:pt>
                      <c:pt idx="24">
                        <c:v>-0.20000000000000007</c:v>
                      </c:pt>
                      <c:pt idx="25">
                        <c:v>-0.4</c:v>
                      </c:pt>
                      <c:pt idx="26">
                        <c:v>1.7</c:v>
                      </c:pt>
                      <c:pt idx="27">
                        <c:v>-0.7</c:v>
                      </c:pt>
                      <c:pt idx="28">
                        <c:v>-0.8</c:v>
                      </c:pt>
                      <c:pt idx="29">
                        <c:v>0.3</c:v>
                      </c:pt>
                      <c:pt idx="30">
                        <c:v>0</c:v>
                      </c:pt>
                      <c:pt idx="31">
                        <c:v>9.9999999999999978E-2</c:v>
                      </c:pt>
                      <c:pt idx="32">
                        <c:v>-0.60000000000000009</c:v>
                      </c:pt>
                      <c:pt idx="33">
                        <c:v>-1.6999999999999997</c:v>
                      </c:pt>
                      <c:pt idx="34">
                        <c:v>-1.2000000000000002</c:v>
                      </c:pt>
                      <c:pt idx="35">
                        <c:v>-0.70000000000000018</c:v>
                      </c:pt>
                      <c:pt idx="36">
                        <c:v>-0.8</c:v>
                      </c:pt>
                      <c:pt idx="37">
                        <c:v>-0.5</c:v>
                      </c:pt>
                      <c:pt idx="38">
                        <c:v>9.9999999999999978E-2</c:v>
                      </c:pt>
                      <c:pt idx="39">
                        <c:v>0.19999999999999996</c:v>
                      </c:pt>
                      <c:pt idx="40">
                        <c:v>9.9999999999999978E-2</c:v>
                      </c:pt>
                      <c:pt idx="41">
                        <c:v>-0.4</c:v>
                      </c:pt>
                    </c:numCache>
                  </c:numRef>
                </c:val>
                <c:smooth val="0"/>
                <c:extLst xmlns:c15="http://schemas.microsoft.com/office/drawing/2012/chart">
                  <c:ext xmlns:c16="http://schemas.microsoft.com/office/drawing/2014/chart" uri="{C3380CC4-5D6E-409C-BE32-E72D297353CC}">
                    <c16:uniqueId val="{00000005-7C13-48C8-B450-8393EFC1B765}"/>
                  </c:ext>
                </c:extLst>
              </c15:ser>
            </c15:filteredLineSeries>
          </c:ext>
        </c:extLst>
      </c:lineChart>
      <c:dateAx>
        <c:axId val="1124649176"/>
        <c:scaling>
          <c:orientation val="minMax"/>
          <c:min val="44256"/>
        </c:scaling>
        <c:delete val="0"/>
        <c:axPos val="b"/>
        <c:numFmt formatCode="mmm\-yy"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24649536"/>
        <c:crosses val="autoZero"/>
        <c:auto val="1"/>
        <c:lblOffset val="100"/>
        <c:baseTimeUnit val="months"/>
        <c:majorUnit val="6"/>
        <c:majorTimeUnit val="months"/>
      </c:dateAx>
      <c:valAx>
        <c:axId val="11246495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Percentage points</a:t>
                </a:r>
              </a:p>
            </c:rich>
          </c:tx>
          <c:layout>
            <c:manualLayout>
              <c:xMode val="edge"/>
              <c:yMode val="edge"/>
              <c:x val="1.4064697609001406E-2"/>
              <c:y val="0.203675368654627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
                <a:ea typeface="+mn-ea"/>
                <a:cs typeface="Calibri Light" panose="020F0302020204030204" pitchFamily="34" charset="0"/>
              </a:defRPr>
            </a:pPr>
            <a:endParaRPr lang="en-US"/>
          </a:p>
        </c:txPr>
        <c:crossAx val="112464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4e1e71-129c-4de1-afb3-2f736e137077">
      <Terms xmlns="http://schemas.microsoft.com/office/infopath/2007/PartnerControls"/>
    </lcf76f155ced4ddcb4097134ff3c332f>
    <SharedWithUsers xmlns="fce0cbbd-9970-43b6-9355-fd97ff13673a">
      <UserInfo>
        <DisplayName>Barbara Aretino (DPC)</DisplayName>
        <AccountId>12</AccountId>
        <AccountType/>
      </UserInfo>
      <UserInfo>
        <DisplayName>Lev Gutkin (DPC)</DisplayName>
        <AccountId>13</AccountId>
        <AccountType/>
      </UserInfo>
      <UserInfo>
        <DisplayName>Andrew Walker (DPC)</DisplayName>
        <AccountId>11</AccountId>
        <AccountType/>
      </UserInfo>
      <UserInfo>
        <DisplayName>Jennifer Barton (DPC)</DisplayName>
        <AccountId>24</AccountId>
        <AccountType/>
      </UserInfo>
      <UserInfo>
        <DisplayName>Everyone except external users</DisplayName>
        <AccountId>10</AccountId>
        <AccountType/>
      </UserInfo>
      <UserInfo>
        <DisplayName>Jack Lucas (DPC)</DisplayName>
        <AccountId>14</AccountId>
        <AccountType/>
      </UserInfo>
      <UserInfo>
        <DisplayName>Jennifer Hill (DPC)</DisplayName>
        <AccountId>77</AccountId>
        <AccountType/>
      </UserInfo>
      <UserInfo>
        <DisplayName>Ted Thyer (DPC)</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8E11D9790CF74DAAE7686528C74D80" ma:contentTypeVersion="11" ma:contentTypeDescription="Create a new document." ma:contentTypeScope="" ma:versionID="6e5c3f1f25b4e679d04875373c580f5d">
  <xsd:schema xmlns:xsd="http://www.w3.org/2001/XMLSchema" xmlns:xs="http://www.w3.org/2001/XMLSchema" xmlns:p="http://schemas.microsoft.com/office/2006/metadata/properties" xmlns:ns2="b94e1e71-129c-4de1-afb3-2f736e137077" xmlns:ns3="fce0cbbd-9970-43b6-9355-fd97ff13673a" targetNamespace="http://schemas.microsoft.com/office/2006/metadata/properties" ma:root="true" ma:fieldsID="135534cd53b97185b628204b44def78a" ns2:_="" ns3:_="">
    <xsd:import namespace="b94e1e71-129c-4de1-afb3-2f736e137077"/>
    <xsd:import namespace="fce0cbbd-9970-43b6-9355-fd97ff1367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1e71-129c-4de1-afb3-2f736e137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0cbbd-9970-43b6-9355-fd97ff136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335EEBD3-4CCC-40CC-9E61-78DD41F898F9}">
  <ds:schemaRefs>
    <ds:schemaRef ds:uri="http://purl.org/dc/dcmitype/"/>
    <ds:schemaRef ds:uri="http://schemas.microsoft.com/office/infopath/2007/PartnerControls"/>
    <ds:schemaRef ds:uri="fce0cbbd-9970-43b6-9355-fd97ff13673a"/>
    <ds:schemaRef ds:uri="http://purl.org/dc/terms/"/>
    <ds:schemaRef ds:uri="b94e1e71-129c-4de1-afb3-2f736e137077"/>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4.xml><?xml version="1.0" encoding="utf-8"?>
<ds:datastoreItem xmlns:ds="http://schemas.openxmlformats.org/officeDocument/2006/customXml" ds:itemID="{4D3CA8EF-7A87-4215-B8D4-41BDD2B54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1e71-129c-4de1-afb3-2f736e137077"/>
    <ds:schemaRef ds:uri="fce0cbbd-9970-43b6-9355-fd97ff136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3F8B42-736D-49DC-B884-46295F40D6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8218</Words>
  <Characters>51857</Characters>
  <DocSecurity>2</DocSecurity>
  <Lines>1329</Lines>
  <Paragraphs>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59179</CharactersWithSpaces>
  <SharedDoc>false</SharedDoc>
  <HLinks>
    <vt:vector size="48" baseType="variant">
      <vt:variant>
        <vt:i4>7733302</vt:i4>
      </vt:variant>
      <vt:variant>
        <vt:i4>78</vt:i4>
      </vt:variant>
      <vt:variant>
        <vt:i4>0</vt:i4>
      </vt:variant>
      <vt:variant>
        <vt:i4>5</vt:i4>
      </vt:variant>
      <vt:variant>
        <vt:lpwstr>https://www.premier.vic.gov.au/council-rates-cap-keep-costs-low-victorian-families</vt:lpwstr>
      </vt:variant>
      <vt:variant>
        <vt:lpwstr/>
      </vt:variant>
      <vt:variant>
        <vt:i4>393237</vt:i4>
      </vt:variant>
      <vt:variant>
        <vt:i4>75</vt:i4>
      </vt:variant>
      <vt:variant>
        <vt:i4>0</vt:i4>
      </vt:variant>
      <vt:variant>
        <vt:i4>5</vt:i4>
      </vt:variant>
      <vt:variant>
        <vt:lpwstr>https://www.lga.sa.gov.au/news-and-events/news/latest-news/2023/periodic-adjustment-of-council-member-allowances</vt:lpwstr>
      </vt:variant>
      <vt:variant>
        <vt:lpwstr/>
      </vt:variant>
      <vt:variant>
        <vt:i4>6619168</vt:i4>
      </vt:variant>
      <vt:variant>
        <vt:i4>72</vt:i4>
      </vt:variant>
      <vt:variant>
        <vt:i4>0</vt:i4>
      </vt:variant>
      <vt:variant>
        <vt:i4>5</vt:i4>
      </vt:variant>
      <vt:variant>
        <vt:lpwstr>https://www.esc.vic.gov.au/local-government/higher-rate-cap-applications/recent-higher-cap-applications</vt:lpwstr>
      </vt:variant>
      <vt:variant>
        <vt:lpwstr/>
      </vt:variant>
      <vt:variant>
        <vt:i4>1900619</vt:i4>
      </vt:variant>
      <vt:variant>
        <vt:i4>69</vt:i4>
      </vt:variant>
      <vt:variant>
        <vt:i4>0</vt:i4>
      </vt:variant>
      <vt:variant>
        <vt:i4>5</vt:i4>
      </vt:variant>
      <vt:variant>
        <vt:lpwstr>https://www.esc.vic.gov.au/local-government/annual-council-rate-caps</vt:lpwstr>
      </vt:variant>
      <vt:variant>
        <vt:lpwstr/>
      </vt:variant>
      <vt:variant>
        <vt:i4>3080247</vt:i4>
      </vt:variant>
      <vt:variant>
        <vt:i4>66</vt:i4>
      </vt:variant>
      <vt:variant>
        <vt:i4>0</vt:i4>
      </vt:variant>
      <vt:variant>
        <vt:i4>5</vt:i4>
      </vt:variant>
      <vt:variant>
        <vt:lpwstr>https://www.dtf.vic.gov.au/state-financial-data-sets/other-financial-aggregates</vt:lpwstr>
      </vt:variant>
      <vt:variant>
        <vt:lpwstr/>
      </vt:variant>
      <vt:variant>
        <vt:i4>6094940</vt:i4>
      </vt:variant>
      <vt:variant>
        <vt:i4>63</vt:i4>
      </vt:variant>
      <vt:variant>
        <vt:i4>0</vt:i4>
      </vt:variant>
      <vt:variant>
        <vt:i4>5</vt:i4>
      </vt:variant>
      <vt:variant>
        <vt:lpwstr>https://www.abs.gov.au/methodologies/wage-price-index-australia-methodology/mar-2024</vt:lpwstr>
      </vt:variant>
      <vt:variant>
        <vt:lpwstr>glossary</vt:lpwstr>
      </vt:variant>
      <vt:variant>
        <vt:i4>8126571</vt:i4>
      </vt:variant>
      <vt:variant>
        <vt:i4>3</vt:i4>
      </vt:variant>
      <vt:variant>
        <vt:i4>0</vt:i4>
      </vt:variant>
      <vt:variant>
        <vt:i4>5</vt:i4>
      </vt:variant>
      <vt:variant>
        <vt:lpwstr>https://budget.gov.au/content/bp1/index.htm</vt:lpwstr>
      </vt:variant>
      <vt:variant>
        <vt:lpwstr/>
      </vt:variant>
      <vt:variant>
        <vt:i4>5242963</vt:i4>
      </vt:variant>
      <vt:variant>
        <vt:i4>0</vt:i4>
      </vt:variant>
      <vt:variant>
        <vt:i4>0</vt:i4>
      </vt:variant>
      <vt:variant>
        <vt:i4>5</vt:i4>
      </vt:variant>
      <vt:variant>
        <vt:lpwstr>https://www.rba.gov.au/publications/smp/2024/may/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2024-06-21T05:01:00Z</cp:lastPrinted>
  <dcterms:created xsi:type="dcterms:W3CDTF">2024-07-01T02:33:00Z</dcterms:created>
  <dcterms:modified xsi:type="dcterms:W3CDTF">2024-07-01T02:33:00Z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0x010100958E11D9790CF74DAAE7686528C74D80</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xd_Prog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12;#Lucy Nelms (DPC);#13;#Jenny Zhou (DPC);#11;#Nick Voukelatos (DPC);#24;#Barbara Aretino (DPC);#10;#Jack Lucas (DPC);#102;#Andrew Walker (DPC);#14;#Lev Gutkin (DPC)</vt:lpwstr>
  </property>
  <property fmtid="{D5CDD505-2E9C-101B-9397-08002B2CF9AE}" pid="14" name="MediaServiceImageTags">
    <vt:lpwstr/>
  </property>
  <property fmtid="{D5CDD505-2E9C-101B-9397-08002B2CF9AE}" pid="15" name="ClassificationContentMarkingFooterShapeIds">
    <vt:lpwstr>1,3,6,9,a,c,f,10,11</vt:lpwstr>
  </property>
  <property fmtid="{D5CDD505-2E9C-101B-9397-08002B2CF9AE}" pid="16" name="ClassificationContentMarkingFooterFontProps">
    <vt:lpwstr>#000000,11,Calibri</vt:lpwstr>
  </property>
  <property fmtid="{D5CDD505-2E9C-101B-9397-08002B2CF9AE}" pid="17" name="ClassificationContentMarkingFooterText">
    <vt:lpwstr>OFFICIAL: Sensitive</vt:lpwstr>
  </property>
  <property fmtid="{D5CDD505-2E9C-101B-9397-08002B2CF9AE}" pid="18" name="MSIP_Label_17d22cff-4d41-44a1-a7ea-af857521bf50_Enabled">
    <vt:lpwstr>true</vt:lpwstr>
  </property>
  <property fmtid="{D5CDD505-2E9C-101B-9397-08002B2CF9AE}" pid="19" name="MSIP_Label_17d22cff-4d41-44a1-a7ea-af857521bf50_SetDate">
    <vt:lpwstr>2024-04-17T01:58:34Z</vt:lpwstr>
  </property>
  <property fmtid="{D5CDD505-2E9C-101B-9397-08002B2CF9AE}" pid="20" name="MSIP_Label_17d22cff-4d41-44a1-a7ea-af857521bf50_Method">
    <vt:lpwstr>Privileged</vt:lpwstr>
  </property>
  <property fmtid="{D5CDD505-2E9C-101B-9397-08002B2CF9AE}" pid="21" name="MSIP_Label_17d22cff-4d41-44a1-a7ea-af857521bf50_Name">
    <vt:lpwstr>17d22cff-4d41-44a1-a7ea-af857521bf50</vt:lpwstr>
  </property>
  <property fmtid="{D5CDD505-2E9C-101B-9397-08002B2CF9AE}" pid="22" name="MSIP_Label_17d22cff-4d41-44a1-a7ea-af857521bf50_SiteId">
    <vt:lpwstr>722ea0be-3e1c-4b11-ad6f-9401d6856e24</vt:lpwstr>
  </property>
  <property fmtid="{D5CDD505-2E9C-101B-9397-08002B2CF9AE}" pid="23" name="MSIP_Label_17d22cff-4d41-44a1-a7ea-af857521bf50_ActionId">
    <vt:lpwstr>48d59c9f-74d5-47de-b310-91ced756b9af</vt:lpwstr>
  </property>
  <property fmtid="{D5CDD505-2E9C-101B-9397-08002B2CF9AE}" pid="24" name="MSIP_Label_17d22cff-4d41-44a1-a7ea-af857521bf50_ContentBits">
    <vt:lpwstr>2</vt:lpwstr>
  </property>
</Properties>
</file>